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575001pt;margin-top:49.174999pt;width:485.85pt;height:.1pt;mso-position-horizontal-relative:page;mso-position-vertical-relative:page;z-index:0" coordorigin="1112,983" coordsize="9717,2">
            <v:shape style="position:absolute;left:1112;top:983;width:9717;height:2" coordorigin="1112,983" coordsize="9717,0" path="m1112,983l10829,983e" filled="false" stroked="true" strokeweight=".75pt" strokecolor="#000000">
              <v:path arrowok="t"/>
            </v:shape>
            <w10:wrap type="none"/>
          </v:group>
        </w:pict>
      </w:r>
    </w:p>
    <w:p>
      <w:pPr>
        <w:spacing w:line="240" w:lineRule="auto" w:before="4"/>
        <w:rPr>
          <w:rFonts w:ascii="Times New Roman" w:hAnsi="Times New Roman" w:cs="Times New Roman" w:eastAsia="Times New Roman" w:hint="default"/>
          <w:sz w:val="13"/>
          <w:szCs w:val="13"/>
        </w:rPr>
      </w:pPr>
    </w:p>
    <w:p>
      <w:pPr>
        <w:spacing w:line="2611" w:lineRule="exact"/>
        <w:ind w:left="76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1"/>
          <w:sz w:val="20"/>
          <w:szCs w:val="20"/>
        </w:rPr>
        <w:drawing>
          <wp:inline distT="0" distB="0" distL="0" distR="0">
            <wp:extent cx="5364845" cy="1658016"/>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364845" cy="1658016"/>
                    </a:xfrm>
                    <a:prstGeom prst="rect">
                      <a:avLst/>
                    </a:prstGeom>
                  </pic:spPr>
                </pic:pic>
              </a:graphicData>
            </a:graphic>
          </wp:inline>
        </w:drawing>
      </w:r>
      <w:r>
        <w:rPr>
          <w:rFonts w:ascii="Times New Roman" w:hAnsi="Times New Roman" w:cs="Times New Roman" w:eastAsia="Times New Roman" w:hint="default"/>
          <w:position w:val="-51"/>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8"/>
          <w:szCs w:val="18"/>
        </w:rPr>
      </w:pPr>
    </w:p>
    <w:p>
      <w:pPr>
        <w:spacing w:line="535" w:lineRule="exact" w:before="0"/>
        <w:ind w:left="0" w:right="987" w:firstLine="0"/>
        <w:jc w:val="center"/>
        <w:rPr>
          <w:rFonts w:ascii="宋体" w:hAnsi="宋体" w:cs="宋体" w:eastAsia="宋体" w:hint="default"/>
          <w:sz w:val="43"/>
          <w:szCs w:val="43"/>
        </w:rPr>
      </w:pPr>
      <w:r>
        <w:rPr>
          <w:rFonts w:ascii="宋体" w:hAnsi="宋体" w:cs="宋体" w:eastAsia="宋体" w:hint="default"/>
          <w:b/>
          <w:bCs/>
          <w:spacing w:val="6"/>
          <w:sz w:val="43"/>
          <w:szCs w:val="43"/>
        </w:rPr>
        <w:t>思创医惠科技股份有限公司</w:t>
      </w:r>
      <w:r>
        <w:rPr>
          <w:rFonts w:ascii="宋体" w:hAnsi="宋体" w:cs="宋体" w:eastAsia="宋体" w:hint="default"/>
          <w:spacing w:val="6"/>
          <w:sz w:val="43"/>
          <w:szCs w:val="43"/>
        </w:rPr>
      </w:r>
    </w:p>
    <w:p>
      <w:pPr>
        <w:spacing w:before="373"/>
        <w:ind w:left="0" w:right="968" w:firstLine="0"/>
        <w:jc w:val="center"/>
        <w:rPr>
          <w:rFonts w:ascii="宋体" w:hAnsi="宋体" w:cs="宋体" w:eastAsia="宋体" w:hint="default"/>
          <w:sz w:val="40"/>
          <w:szCs w:val="40"/>
        </w:rPr>
      </w:pPr>
      <w:r>
        <w:rPr>
          <w:rFonts w:ascii="Times New Roman" w:hAnsi="Times New Roman" w:cs="Times New Roman" w:eastAsia="Times New Roman" w:hint="default"/>
          <w:b/>
          <w:bCs/>
          <w:spacing w:val="-3"/>
          <w:sz w:val="40"/>
          <w:szCs w:val="40"/>
        </w:rPr>
        <w:t>2019</w:t>
      </w:r>
      <w:r>
        <w:rPr>
          <w:rFonts w:ascii="Times New Roman" w:hAnsi="Times New Roman" w:cs="Times New Roman" w:eastAsia="Times New Roman" w:hint="default"/>
          <w:b/>
          <w:bCs/>
          <w:spacing w:val="31"/>
          <w:sz w:val="40"/>
          <w:szCs w:val="40"/>
        </w:rPr>
        <w:t> </w:t>
      </w:r>
      <w:r>
        <w:rPr>
          <w:rFonts w:ascii="宋体" w:hAnsi="宋体" w:cs="宋体" w:eastAsia="宋体" w:hint="default"/>
          <w:b/>
          <w:bCs/>
          <w:sz w:val="40"/>
          <w:szCs w:val="40"/>
        </w:rPr>
        <w:t>年年度报告</w:t>
      </w:r>
      <w:r>
        <w:rPr>
          <w:rFonts w:ascii="宋体" w:hAnsi="宋体" w:cs="宋体" w:eastAsia="宋体" w:hint="default"/>
          <w:sz w:val="40"/>
          <w:szCs w:val="40"/>
        </w:rPr>
      </w: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0"/>
        <w:rPr>
          <w:rFonts w:ascii="宋体" w:hAnsi="宋体" w:cs="宋体" w:eastAsia="宋体" w:hint="default"/>
          <w:b/>
          <w:bCs/>
          <w:sz w:val="42"/>
          <w:szCs w:val="42"/>
        </w:rPr>
      </w:pPr>
    </w:p>
    <w:p>
      <w:pPr>
        <w:spacing w:line="240" w:lineRule="auto" w:before="10"/>
        <w:rPr>
          <w:rFonts w:ascii="宋体" w:hAnsi="宋体" w:cs="宋体" w:eastAsia="宋体" w:hint="default"/>
          <w:b/>
          <w:bCs/>
          <w:sz w:val="36"/>
          <w:szCs w:val="36"/>
        </w:rPr>
      </w:pPr>
    </w:p>
    <w:p>
      <w:pPr>
        <w:spacing w:before="0"/>
        <w:ind w:left="0" w:right="983" w:firstLine="0"/>
        <w:jc w:val="center"/>
        <w:rPr>
          <w:rFonts w:ascii="宋体" w:hAnsi="宋体" w:cs="宋体" w:eastAsia="宋体" w:hint="default"/>
          <w:sz w:val="40"/>
          <w:szCs w:val="40"/>
        </w:rPr>
      </w:pPr>
      <w:r>
        <w:rPr>
          <w:rFonts w:ascii="Times New Roman" w:hAnsi="Times New Roman" w:cs="Times New Roman" w:eastAsia="Times New Roman" w:hint="default"/>
          <w:b/>
          <w:bCs/>
          <w:spacing w:val="-3"/>
          <w:sz w:val="40"/>
          <w:szCs w:val="40"/>
        </w:rPr>
        <w:t>2020</w:t>
      </w:r>
      <w:r>
        <w:rPr>
          <w:rFonts w:ascii="Times New Roman" w:hAnsi="Times New Roman" w:cs="Times New Roman" w:eastAsia="Times New Roman" w:hint="default"/>
          <w:b/>
          <w:bCs/>
          <w:spacing w:val="6"/>
          <w:sz w:val="40"/>
          <w:szCs w:val="40"/>
        </w:rPr>
        <w:t> </w:t>
      </w:r>
      <w:r>
        <w:rPr>
          <w:rFonts w:ascii="宋体" w:hAnsi="宋体" w:cs="宋体" w:eastAsia="宋体" w:hint="default"/>
          <w:b/>
          <w:bCs/>
          <w:sz w:val="40"/>
          <w:szCs w:val="40"/>
        </w:rPr>
        <w:t>年</w:t>
      </w:r>
      <w:r>
        <w:rPr>
          <w:rFonts w:ascii="宋体" w:hAnsi="宋体" w:cs="宋体" w:eastAsia="宋体" w:hint="default"/>
          <w:b/>
          <w:bCs/>
          <w:spacing w:val="-88"/>
          <w:sz w:val="40"/>
          <w:szCs w:val="40"/>
        </w:rPr>
        <w:t> </w:t>
      </w:r>
      <w:r>
        <w:rPr>
          <w:rFonts w:ascii="Times New Roman" w:hAnsi="Times New Roman" w:cs="Times New Roman" w:eastAsia="Times New Roman" w:hint="default"/>
          <w:b/>
          <w:bCs/>
          <w:spacing w:val="-4"/>
          <w:sz w:val="40"/>
          <w:szCs w:val="40"/>
        </w:rPr>
        <w:t>04</w:t>
      </w:r>
      <w:r>
        <w:rPr>
          <w:rFonts w:ascii="Times New Roman" w:hAnsi="Times New Roman" w:cs="Times New Roman" w:eastAsia="Times New Roman" w:hint="default"/>
          <w:b/>
          <w:bCs/>
          <w:spacing w:val="5"/>
          <w:sz w:val="40"/>
          <w:szCs w:val="40"/>
        </w:rPr>
        <w:t> </w:t>
      </w:r>
      <w:r>
        <w:rPr>
          <w:rFonts w:ascii="宋体" w:hAnsi="宋体" w:cs="宋体" w:eastAsia="宋体" w:hint="default"/>
          <w:b/>
          <w:bCs/>
          <w:sz w:val="40"/>
          <w:szCs w:val="40"/>
        </w:rPr>
        <w:t>月</w:t>
      </w:r>
      <w:r>
        <w:rPr>
          <w:rFonts w:ascii="宋体" w:hAnsi="宋体" w:cs="宋体" w:eastAsia="宋体" w:hint="default"/>
          <w:sz w:val="40"/>
          <w:szCs w:val="40"/>
        </w:rPr>
      </w:r>
    </w:p>
    <w:p>
      <w:pPr>
        <w:spacing w:after="0"/>
        <w:jc w:val="center"/>
        <w:rPr>
          <w:rFonts w:ascii="宋体" w:hAnsi="宋体" w:cs="宋体" w:eastAsia="宋体" w:hint="default"/>
          <w:sz w:val="40"/>
          <w:szCs w:val="40"/>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799" w:right="1086"/>
        <w:jc w:val="left"/>
        <w:rPr>
          <w:b w:val="0"/>
          <w:bCs w:val="0"/>
        </w:rPr>
      </w:pPr>
      <w:bookmarkStart w:name="_TOC_250012" w:id="1"/>
      <w:bookmarkStart w:name="第一节 重要提示、目录和释义" w:id="2"/>
      <w:r>
        <w:rPr>
          <w:b w:val="0"/>
          <w:bCs w:val="0"/>
        </w:rPr>
      </w:r>
      <w:r>
        <w:rPr>
          <w:spacing w:val="4"/>
        </w:rPr>
        <w:t>第一节</w:t>
      </w:r>
      <w:r>
        <w:rPr>
          <w:spacing w:val="71"/>
        </w:rPr>
        <w:t> </w:t>
      </w:r>
      <w:r>
        <w:rPr>
          <w:spacing w:val="5"/>
        </w:rPr>
        <w:t>重要提示、目录和释义</w:t>
      </w:r>
      <w:bookmarkEnd w:id="1"/>
      <w:r>
        <w:rPr>
          <w:b w:val="0"/>
          <w:bCs w:val="0"/>
          <w:spacing w:val="5"/>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412" w:lineRule="auto" w:before="158"/>
        <w:ind w:left="141" w:right="1109" w:firstLine="555"/>
        <w:jc w:val="both"/>
        <w:rPr>
          <w:rFonts w:ascii="宋体" w:hAnsi="宋体" w:cs="宋体" w:eastAsia="宋体" w:hint="default"/>
          <w:sz w:val="28"/>
          <w:szCs w:val="28"/>
        </w:rPr>
      </w:pPr>
      <w:r>
        <w:rPr>
          <w:rFonts w:ascii="宋体" w:hAnsi="宋体" w:cs="宋体" w:eastAsia="宋体" w:hint="default"/>
          <w:b/>
          <w:bCs/>
          <w:spacing w:val="-6"/>
          <w:sz w:val="28"/>
          <w:szCs w:val="28"/>
        </w:rPr>
        <w:t>公司负责人章笠中、主管会计工作负责人王凛及会计机构负责人</w:t>
      </w:r>
      <w:r>
        <w:rPr>
          <w:rFonts w:ascii="宋体" w:hAnsi="宋体" w:cs="宋体" w:eastAsia="宋体" w:hint="default"/>
          <w:b/>
          <w:bCs/>
          <w:spacing w:val="-6"/>
          <w:sz w:val="28"/>
          <w:szCs w:val="28"/>
        </w:rPr>
        <w:t>(</w:t>
      </w:r>
      <w:r>
        <w:rPr>
          <w:rFonts w:ascii="宋体" w:hAnsi="宋体" w:cs="宋体" w:eastAsia="宋体" w:hint="default"/>
          <w:b/>
          <w:bCs/>
          <w:spacing w:val="-6"/>
          <w:sz w:val="28"/>
          <w:szCs w:val="28"/>
        </w:rPr>
        <w:t>会计主管</w:t>
      </w:r>
      <w:r>
        <w:rPr>
          <w:rFonts w:ascii="宋体" w:hAnsi="宋体" w:cs="宋体" w:eastAsia="宋体" w:hint="default"/>
          <w:b/>
          <w:bCs/>
          <w:w w:val="101"/>
          <w:sz w:val="28"/>
          <w:szCs w:val="28"/>
        </w:rPr>
        <w:t> </w:t>
      </w:r>
      <w:r>
        <w:rPr>
          <w:rFonts w:ascii="宋体" w:hAnsi="宋体" w:cs="宋体" w:eastAsia="宋体" w:hint="default"/>
          <w:b/>
          <w:bCs/>
          <w:spacing w:val="-4"/>
          <w:sz w:val="28"/>
          <w:szCs w:val="28"/>
        </w:rPr>
        <w:t>人员</w:t>
      </w:r>
      <w:r>
        <w:rPr>
          <w:rFonts w:ascii="宋体" w:hAnsi="宋体" w:cs="宋体" w:eastAsia="宋体" w:hint="default"/>
          <w:b/>
          <w:bCs/>
          <w:spacing w:val="-4"/>
          <w:sz w:val="28"/>
          <w:szCs w:val="28"/>
        </w:rPr>
        <w:t>)</w:t>
      </w:r>
      <w:r>
        <w:rPr>
          <w:rFonts w:ascii="宋体" w:hAnsi="宋体" w:cs="宋体" w:eastAsia="宋体" w:hint="default"/>
          <w:b/>
          <w:bCs/>
          <w:spacing w:val="-4"/>
          <w:sz w:val="28"/>
          <w:szCs w:val="28"/>
        </w:rPr>
        <w:t>王凛声明：保证年度报告中财务报告的真实、准确、完整。</w:t>
      </w:r>
      <w:r>
        <w:rPr>
          <w:rFonts w:ascii="宋体" w:hAnsi="宋体" w:cs="宋体" w:eastAsia="宋体" w:hint="default"/>
          <w:spacing w:val="-4"/>
          <w:sz w:val="28"/>
          <w:szCs w:val="28"/>
        </w:rPr>
      </w:r>
    </w:p>
    <w:p>
      <w:pPr>
        <w:spacing w:line="472" w:lineRule="auto" w:before="153"/>
        <w:ind w:left="696" w:right="1086"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2"/>
          <w:sz w:val="28"/>
          <w:szCs w:val="28"/>
        </w:rPr>
        <w:t>公司在经营管理中可能面临的主要风险与相应举措已在本报告第四节“经</w:t>
      </w:r>
      <w:r>
        <w:rPr>
          <w:rFonts w:ascii="宋体" w:hAnsi="宋体" w:cs="宋体" w:eastAsia="宋体" w:hint="default"/>
          <w:spacing w:val="-2"/>
          <w:sz w:val="28"/>
          <w:szCs w:val="28"/>
        </w:rPr>
      </w:r>
    </w:p>
    <w:p>
      <w:pPr>
        <w:spacing w:line="412" w:lineRule="auto" w:before="0"/>
        <w:ind w:left="141" w:right="1086" w:firstLine="0"/>
        <w:jc w:val="left"/>
        <w:rPr>
          <w:rFonts w:ascii="宋体" w:hAnsi="宋体" w:cs="宋体" w:eastAsia="宋体" w:hint="default"/>
          <w:sz w:val="28"/>
          <w:szCs w:val="28"/>
        </w:rPr>
      </w:pPr>
      <w:r>
        <w:rPr>
          <w:rFonts w:ascii="宋体" w:hAnsi="宋体" w:cs="宋体" w:eastAsia="宋体" w:hint="default"/>
          <w:b/>
          <w:bCs/>
          <w:sz w:val="28"/>
          <w:szCs w:val="28"/>
        </w:rPr>
        <w:t>营情况讨论与分析”</w:t>
      </w:r>
      <w:r>
        <w:rPr>
          <w:rFonts w:ascii="宋体" w:hAnsi="宋体" w:cs="宋体" w:eastAsia="宋体" w:hint="default"/>
          <w:b/>
          <w:bCs/>
          <w:spacing w:val="73"/>
          <w:sz w:val="28"/>
          <w:szCs w:val="28"/>
        </w:rPr>
        <w:t> </w:t>
      </w:r>
      <w:r>
        <w:rPr>
          <w:rFonts w:ascii="宋体" w:hAnsi="宋体" w:cs="宋体" w:eastAsia="宋体" w:hint="default"/>
          <w:b/>
          <w:bCs/>
          <w:spacing w:val="-3"/>
          <w:sz w:val="28"/>
          <w:szCs w:val="28"/>
        </w:rPr>
        <w:t>之“九、公司未来发展的展望”</w:t>
      </w:r>
      <w:r>
        <w:rPr>
          <w:rFonts w:ascii="宋体" w:hAnsi="宋体" w:cs="宋体" w:eastAsia="宋体" w:hint="default"/>
          <w:b/>
          <w:bCs/>
          <w:spacing w:val="73"/>
          <w:sz w:val="28"/>
          <w:szCs w:val="28"/>
        </w:rPr>
        <w:t> </w:t>
      </w:r>
      <w:r>
        <w:rPr>
          <w:rFonts w:ascii="宋体" w:hAnsi="宋体" w:cs="宋体" w:eastAsia="宋体" w:hint="default"/>
          <w:b/>
          <w:bCs/>
          <w:sz w:val="28"/>
          <w:szCs w:val="28"/>
        </w:rPr>
        <w:t>部分予以描述。敬请广</w:t>
      </w:r>
      <w:r>
        <w:rPr>
          <w:rFonts w:ascii="宋体" w:hAnsi="宋体" w:cs="宋体" w:eastAsia="宋体" w:hint="default"/>
          <w:b/>
          <w:bCs/>
          <w:spacing w:val="-138"/>
          <w:sz w:val="28"/>
          <w:szCs w:val="28"/>
        </w:rPr>
        <w:t> </w:t>
      </w:r>
      <w:r>
        <w:rPr>
          <w:rFonts w:ascii="宋体" w:hAnsi="宋体" w:cs="宋体" w:eastAsia="宋体" w:hint="default"/>
          <w:b/>
          <w:bCs/>
          <w:spacing w:val="-138"/>
          <w:sz w:val="28"/>
          <w:szCs w:val="28"/>
        </w:rPr>
      </w:r>
      <w:r>
        <w:rPr>
          <w:rFonts w:ascii="宋体" w:hAnsi="宋体" w:cs="宋体" w:eastAsia="宋体" w:hint="default"/>
          <w:b/>
          <w:bCs/>
          <w:sz w:val="28"/>
          <w:szCs w:val="28"/>
        </w:rPr>
        <w:t>大投资者注意风险。</w:t>
      </w:r>
      <w:r>
        <w:rPr>
          <w:rFonts w:ascii="宋体" w:hAnsi="宋体" w:cs="宋体" w:eastAsia="宋体" w:hint="default"/>
          <w:sz w:val="28"/>
          <w:szCs w:val="28"/>
        </w:rPr>
      </w:r>
    </w:p>
    <w:p>
      <w:pPr>
        <w:spacing w:before="152"/>
        <w:ind w:left="696" w:right="0" w:firstLine="0"/>
        <w:jc w:val="left"/>
        <w:rPr>
          <w:rFonts w:ascii="宋体" w:hAnsi="宋体" w:cs="宋体" w:eastAsia="宋体" w:hint="default"/>
          <w:sz w:val="28"/>
          <w:szCs w:val="28"/>
        </w:rPr>
      </w:pPr>
      <w:r>
        <w:rPr>
          <w:rFonts w:ascii="宋体" w:hAnsi="宋体" w:cs="宋体" w:eastAsia="宋体" w:hint="default"/>
          <w:b/>
          <w:bCs/>
          <w:spacing w:val="-7"/>
          <w:sz w:val="28"/>
          <w:szCs w:val="28"/>
        </w:rPr>
        <w:t>公司经本次董事会审议通过的利润分配预案为：以 </w:t>
      </w:r>
      <w:r>
        <w:rPr>
          <w:rFonts w:ascii="宋体" w:hAnsi="宋体" w:cs="宋体" w:eastAsia="宋体" w:hint="default"/>
          <w:b/>
          <w:bCs/>
          <w:spacing w:val="-3"/>
          <w:sz w:val="28"/>
          <w:szCs w:val="28"/>
        </w:rPr>
        <w:t>869,411,466</w:t>
      </w:r>
      <w:r>
        <w:rPr>
          <w:rFonts w:ascii="宋体" w:hAnsi="宋体" w:cs="宋体" w:eastAsia="宋体" w:hint="default"/>
          <w:b/>
          <w:bCs/>
          <w:spacing w:val="29"/>
          <w:sz w:val="28"/>
          <w:szCs w:val="28"/>
        </w:rPr>
        <w:t> </w:t>
      </w:r>
      <w:r>
        <w:rPr>
          <w:rFonts w:ascii="宋体" w:hAnsi="宋体" w:cs="宋体" w:eastAsia="宋体" w:hint="default"/>
          <w:b/>
          <w:bCs/>
          <w:spacing w:val="-7"/>
          <w:sz w:val="28"/>
          <w:szCs w:val="28"/>
        </w:rPr>
        <w:t>股为基数，</w:t>
      </w:r>
      <w:r>
        <w:rPr>
          <w:rFonts w:ascii="宋体" w:hAnsi="宋体" w:cs="宋体" w:eastAsia="宋体" w:hint="default"/>
          <w:spacing w:val="-7"/>
          <w:sz w:val="28"/>
          <w:szCs w:val="28"/>
        </w:rPr>
      </w:r>
    </w:p>
    <w:p>
      <w:pPr>
        <w:spacing w:before="249"/>
        <w:ind w:left="141" w:right="0" w:firstLine="0"/>
        <w:jc w:val="left"/>
        <w:rPr>
          <w:rFonts w:ascii="宋体" w:hAnsi="宋体" w:cs="宋体" w:eastAsia="宋体" w:hint="default"/>
          <w:sz w:val="28"/>
          <w:szCs w:val="28"/>
        </w:rPr>
      </w:pPr>
      <w:r>
        <w:rPr>
          <w:rFonts w:ascii="宋体" w:hAnsi="宋体" w:cs="宋体" w:eastAsia="宋体" w:hint="default"/>
          <w:b/>
          <w:bCs/>
          <w:w w:val="101"/>
          <w:sz w:val="28"/>
          <w:szCs w:val="28"/>
        </w:rPr>
        <w:t>向全体股</w:t>
      </w:r>
      <w:r>
        <w:rPr>
          <w:rFonts w:ascii="宋体" w:hAnsi="宋体" w:cs="宋体" w:eastAsia="宋体" w:hint="default"/>
          <w:b/>
          <w:bCs/>
          <w:spacing w:val="-16"/>
          <w:w w:val="101"/>
          <w:sz w:val="28"/>
          <w:szCs w:val="28"/>
        </w:rPr>
        <w:t>东</w:t>
      </w:r>
      <w:r>
        <w:rPr>
          <w:rFonts w:ascii="宋体" w:hAnsi="宋体" w:cs="宋体" w:eastAsia="宋体" w:hint="default"/>
          <w:b/>
          <w:bCs/>
          <w:w w:val="101"/>
          <w:sz w:val="28"/>
          <w:szCs w:val="28"/>
        </w:rPr>
        <w:t>每</w:t>
      </w:r>
      <w:r>
        <w:rPr>
          <w:rFonts w:ascii="宋体" w:hAnsi="宋体" w:cs="宋体" w:eastAsia="宋体" w:hint="default"/>
          <w:b/>
          <w:bCs/>
          <w:spacing w:val="-67"/>
          <w:sz w:val="28"/>
          <w:szCs w:val="28"/>
        </w:rPr>
        <w:t> </w:t>
      </w:r>
      <w:r>
        <w:rPr>
          <w:rFonts w:ascii="宋体" w:hAnsi="宋体" w:cs="宋体" w:eastAsia="宋体" w:hint="default"/>
          <w:b/>
          <w:bCs/>
          <w:spacing w:val="-8"/>
          <w:w w:val="101"/>
          <w:sz w:val="28"/>
          <w:szCs w:val="28"/>
        </w:rPr>
        <w:t>1</w:t>
      </w:r>
      <w:r>
        <w:rPr>
          <w:rFonts w:ascii="宋体" w:hAnsi="宋体" w:cs="宋体" w:eastAsia="宋体" w:hint="default"/>
          <w:b/>
          <w:bCs/>
          <w:w w:val="101"/>
          <w:sz w:val="28"/>
          <w:szCs w:val="28"/>
        </w:rPr>
        <w:t>0</w:t>
      </w:r>
      <w:r>
        <w:rPr>
          <w:rFonts w:ascii="宋体" w:hAnsi="宋体" w:cs="宋体" w:eastAsia="宋体" w:hint="default"/>
          <w:b/>
          <w:bCs/>
          <w:spacing w:val="-44"/>
          <w:sz w:val="28"/>
          <w:szCs w:val="28"/>
        </w:rPr>
        <w:t> </w:t>
      </w:r>
      <w:r>
        <w:rPr>
          <w:rFonts w:ascii="宋体" w:hAnsi="宋体" w:cs="宋体" w:eastAsia="宋体" w:hint="default"/>
          <w:b/>
          <w:bCs/>
          <w:w w:val="101"/>
          <w:sz w:val="28"/>
          <w:szCs w:val="28"/>
        </w:rPr>
        <w:t>股派</w:t>
      </w:r>
      <w:r>
        <w:rPr>
          <w:rFonts w:ascii="宋体" w:hAnsi="宋体" w:cs="宋体" w:eastAsia="宋体" w:hint="default"/>
          <w:b/>
          <w:bCs/>
          <w:spacing w:val="-16"/>
          <w:w w:val="101"/>
          <w:sz w:val="28"/>
          <w:szCs w:val="28"/>
        </w:rPr>
        <w:t>发</w:t>
      </w:r>
      <w:r>
        <w:rPr>
          <w:rFonts w:ascii="宋体" w:hAnsi="宋体" w:cs="宋体" w:eastAsia="宋体" w:hint="default"/>
          <w:b/>
          <w:bCs/>
          <w:w w:val="101"/>
          <w:sz w:val="28"/>
          <w:szCs w:val="28"/>
        </w:rPr>
        <w:t>现金</w:t>
      </w:r>
      <w:r>
        <w:rPr>
          <w:rFonts w:ascii="宋体" w:hAnsi="宋体" w:cs="宋体" w:eastAsia="宋体" w:hint="default"/>
          <w:b/>
          <w:bCs/>
          <w:spacing w:val="-16"/>
          <w:w w:val="101"/>
          <w:sz w:val="28"/>
          <w:szCs w:val="28"/>
        </w:rPr>
        <w:t>红</w:t>
      </w:r>
      <w:r>
        <w:rPr>
          <w:rFonts w:ascii="宋体" w:hAnsi="宋体" w:cs="宋体" w:eastAsia="宋体" w:hint="default"/>
          <w:b/>
          <w:bCs/>
          <w:w w:val="101"/>
          <w:sz w:val="28"/>
          <w:szCs w:val="28"/>
        </w:rPr>
        <w:t>利</w:t>
      </w:r>
      <w:r>
        <w:rPr>
          <w:rFonts w:ascii="宋体" w:hAnsi="宋体" w:cs="宋体" w:eastAsia="宋体" w:hint="default"/>
          <w:b/>
          <w:bCs/>
          <w:spacing w:val="-52"/>
          <w:sz w:val="28"/>
          <w:szCs w:val="28"/>
        </w:rPr>
        <w:t> </w:t>
      </w:r>
      <w:r>
        <w:rPr>
          <w:rFonts w:ascii="宋体" w:hAnsi="宋体" w:cs="宋体" w:eastAsia="宋体" w:hint="default"/>
          <w:b/>
          <w:bCs/>
          <w:spacing w:val="-8"/>
          <w:w w:val="101"/>
          <w:sz w:val="28"/>
          <w:szCs w:val="28"/>
        </w:rPr>
        <w:t>0.1</w:t>
      </w:r>
      <w:r>
        <w:rPr>
          <w:rFonts w:ascii="宋体" w:hAnsi="宋体" w:cs="宋体" w:eastAsia="宋体" w:hint="default"/>
          <w:b/>
          <w:bCs/>
          <w:w w:val="101"/>
          <w:sz w:val="28"/>
          <w:szCs w:val="28"/>
        </w:rPr>
        <w:t>8</w:t>
      </w:r>
      <w:r>
        <w:rPr>
          <w:rFonts w:ascii="宋体" w:hAnsi="宋体" w:cs="宋体" w:eastAsia="宋体" w:hint="default"/>
          <w:b/>
          <w:bCs/>
          <w:spacing w:val="-43"/>
          <w:sz w:val="28"/>
          <w:szCs w:val="28"/>
        </w:rPr>
        <w:t> </w:t>
      </w:r>
      <w:r>
        <w:rPr>
          <w:rFonts w:ascii="宋体" w:hAnsi="宋体" w:cs="宋体" w:eastAsia="宋体" w:hint="default"/>
          <w:b/>
          <w:bCs/>
          <w:w w:val="101"/>
          <w:sz w:val="28"/>
          <w:szCs w:val="28"/>
        </w:rPr>
        <w:t>元（</w:t>
      </w:r>
      <w:r>
        <w:rPr>
          <w:rFonts w:ascii="宋体" w:hAnsi="宋体" w:cs="宋体" w:eastAsia="宋体" w:hint="default"/>
          <w:b/>
          <w:bCs/>
          <w:spacing w:val="-16"/>
          <w:w w:val="101"/>
          <w:sz w:val="28"/>
          <w:szCs w:val="28"/>
        </w:rPr>
        <w:t>含</w:t>
      </w:r>
      <w:r>
        <w:rPr>
          <w:rFonts w:ascii="宋体" w:hAnsi="宋体" w:cs="宋体" w:eastAsia="宋体" w:hint="default"/>
          <w:b/>
          <w:bCs/>
          <w:w w:val="101"/>
          <w:sz w:val="28"/>
          <w:szCs w:val="28"/>
        </w:rPr>
        <w:t>税</w:t>
      </w:r>
      <w:r>
        <w:rPr>
          <w:rFonts w:ascii="宋体" w:hAnsi="宋体" w:cs="宋体" w:eastAsia="宋体" w:hint="default"/>
          <w:b/>
          <w:bCs/>
          <w:spacing w:val="-151"/>
          <w:w w:val="101"/>
          <w:sz w:val="28"/>
          <w:szCs w:val="28"/>
        </w:rPr>
        <w:t>）</w:t>
      </w:r>
      <w:r>
        <w:rPr>
          <w:rFonts w:ascii="宋体" w:hAnsi="宋体" w:cs="宋体" w:eastAsia="宋体" w:hint="default"/>
          <w:b/>
          <w:bCs/>
          <w:w w:val="101"/>
          <w:sz w:val="28"/>
          <w:szCs w:val="28"/>
        </w:rPr>
        <w:t>，送</w:t>
      </w:r>
      <w:r>
        <w:rPr>
          <w:rFonts w:ascii="宋体" w:hAnsi="宋体" w:cs="宋体" w:eastAsia="宋体" w:hint="default"/>
          <w:b/>
          <w:bCs/>
          <w:spacing w:val="-16"/>
          <w:w w:val="101"/>
          <w:sz w:val="28"/>
          <w:szCs w:val="28"/>
        </w:rPr>
        <w:t>红</w:t>
      </w:r>
      <w:r>
        <w:rPr>
          <w:rFonts w:ascii="宋体" w:hAnsi="宋体" w:cs="宋体" w:eastAsia="宋体" w:hint="default"/>
          <w:b/>
          <w:bCs/>
          <w:w w:val="101"/>
          <w:sz w:val="28"/>
          <w:szCs w:val="28"/>
        </w:rPr>
        <w:t>股</w:t>
      </w:r>
      <w:r>
        <w:rPr>
          <w:rFonts w:ascii="宋体" w:hAnsi="宋体" w:cs="宋体" w:eastAsia="宋体" w:hint="default"/>
          <w:b/>
          <w:bCs/>
          <w:spacing w:val="-68"/>
          <w:sz w:val="28"/>
          <w:szCs w:val="28"/>
        </w:rPr>
        <w:t> </w:t>
      </w:r>
      <w:r>
        <w:rPr>
          <w:rFonts w:ascii="宋体" w:hAnsi="宋体" w:cs="宋体" w:eastAsia="宋体" w:hint="default"/>
          <w:b/>
          <w:bCs/>
          <w:w w:val="101"/>
          <w:sz w:val="28"/>
          <w:szCs w:val="28"/>
        </w:rPr>
        <w:t>0</w:t>
      </w:r>
      <w:r>
        <w:rPr>
          <w:rFonts w:ascii="宋体" w:hAnsi="宋体" w:cs="宋体" w:eastAsia="宋体" w:hint="default"/>
          <w:b/>
          <w:bCs/>
          <w:spacing w:val="-44"/>
          <w:sz w:val="28"/>
          <w:szCs w:val="28"/>
        </w:rPr>
        <w:t> </w:t>
      </w:r>
      <w:r>
        <w:rPr>
          <w:rFonts w:ascii="宋体" w:hAnsi="宋体" w:cs="宋体" w:eastAsia="宋体" w:hint="default"/>
          <w:b/>
          <w:bCs/>
          <w:w w:val="101"/>
          <w:sz w:val="28"/>
          <w:szCs w:val="28"/>
        </w:rPr>
        <w:t>股</w:t>
      </w:r>
      <w:r>
        <w:rPr>
          <w:rFonts w:ascii="宋体" w:hAnsi="宋体" w:cs="宋体" w:eastAsia="宋体" w:hint="default"/>
          <w:b/>
          <w:bCs/>
          <w:spacing w:val="-16"/>
          <w:w w:val="101"/>
          <w:sz w:val="28"/>
          <w:szCs w:val="28"/>
        </w:rPr>
        <w:t>（</w:t>
      </w:r>
      <w:r>
        <w:rPr>
          <w:rFonts w:ascii="宋体" w:hAnsi="宋体" w:cs="宋体" w:eastAsia="宋体" w:hint="default"/>
          <w:b/>
          <w:bCs/>
          <w:w w:val="101"/>
          <w:sz w:val="28"/>
          <w:szCs w:val="28"/>
        </w:rPr>
        <w:t>含税</w:t>
      </w:r>
      <w:r>
        <w:rPr>
          <w:rFonts w:ascii="宋体" w:hAnsi="宋体" w:cs="宋体" w:eastAsia="宋体" w:hint="default"/>
          <w:b/>
          <w:bCs/>
          <w:spacing w:val="-151"/>
          <w:w w:val="101"/>
          <w:sz w:val="28"/>
          <w:szCs w:val="28"/>
        </w:rPr>
        <w:t>）</w:t>
      </w:r>
      <w:r>
        <w:rPr>
          <w:rFonts w:ascii="宋体" w:hAnsi="宋体" w:cs="宋体" w:eastAsia="宋体" w:hint="default"/>
          <w:b/>
          <w:bCs/>
          <w:w w:val="101"/>
          <w:sz w:val="28"/>
          <w:szCs w:val="28"/>
        </w:rPr>
        <w:t>，以资</w:t>
      </w:r>
      <w:r>
        <w:rPr>
          <w:rFonts w:ascii="宋体" w:hAnsi="宋体" w:cs="宋体" w:eastAsia="宋体" w:hint="default"/>
          <w:sz w:val="28"/>
          <w:szCs w:val="28"/>
        </w:rPr>
      </w:r>
    </w:p>
    <w:p>
      <w:pPr>
        <w:spacing w:line="240" w:lineRule="auto" w:before="3"/>
        <w:rPr>
          <w:rFonts w:ascii="宋体" w:hAnsi="宋体" w:cs="宋体" w:eastAsia="宋体" w:hint="default"/>
          <w:b/>
          <w:bCs/>
          <w:sz w:val="20"/>
          <w:szCs w:val="20"/>
        </w:rPr>
      </w:pPr>
    </w:p>
    <w:p>
      <w:pPr>
        <w:spacing w:before="0"/>
        <w:ind w:left="141" w:right="1086" w:firstLine="0"/>
        <w:jc w:val="left"/>
        <w:rPr>
          <w:rFonts w:ascii="宋体" w:hAnsi="宋体" w:cs="宋体" w:eastAsia="宋体" w:hint="default"/>
          <w:sz w:val="28"/>
          <w:szCs w:val="28"/>
        </w:rPr>
      </w:pPr>
      <w:r>
        <w:rPr>
          <w:rFonts w:ascii="宋体" w:hAnsi="宋体" w:cs="宋体" w:eastAsia="宋体" w:hint="default"/>
          <w:b/>
          <w:bCs/>
          <w:spacing w:val="-4"/>
          <w:sz w:val="28"/>
          <w:szCs w:val="28"/>
        </w:rPr>
        <w:t>本公积金向全体股东每</w:t>
      </w:r>
      <w:r>
        <w:rPr>
          <w:rFonts w:ascii="宋体" w:hAnsi="宋体" w:cs="宋体" w:eastAsia="宋体" w:hint="default"/>
          <w:b/>
          <w:bCs/>
          <w:spacing w:val="-47"/>
          <w:sz w:val="28"/>
          <w:szCs w:val="28"/>
        </w:rPr>
        <w:t> </w:t>
      </w:r>
      <w:r>
        <w:rPr>
          <w:rFonts w:ascii="宋体" w:hAnsi="宋体" w:cs="宋体" w:eastAsia="宋体" w:hint="default"/>
          <w:b/>
          <w:bCs/>
          <w:spacing w:val="-4"/>
          <w:sz w:val="28"/>
          <w:szCs w:val="28"/>
        </w:rPr>
        <w:t>10</w:t>
      </w:r>
      <w:r>
        <w:rPr>
          <w:rFonts w:ascii="宋体" w:hAnsi="宋体" w:cs="宋体" w:eastAsia="宋体" w:hint="default"/>
          <w:b/>
          <w:bCs/>
          <w:spacing w:val="-55"/>
          <w:sz w:val="28"/>
          <w:szCs w:val="28"/>
        </w:rPr>
        <w:t> </w:t>
      </w:r>
      <w:r>
        <w:rPr>
          <w:rFonts w:ascii="宋体" w:hAnsi="宋体" w:cs="宋体" w:eastAsia="宋体" w:hint="default"/>
          <w:b/>
          <w:bCs/>
          <w:sz w:val="28"/>
          <w:szCs w:val="28"/>
        </w:rPr>
        <w:t>股转增</w:t>
      </w:r>
      <w:r>
        <w:rPr>
          <w:rFonts w:ascii="宋体" w:hAnsi="宋体" w:cs="宋体" w:eastAsia="宋体" w:hint="default"/>
          <w:b/>
          <w:bCs/>
          <w:spacing w:val="-65"/>
          <w:sz w:val="28"/>
          <w:szCs w:val="28"/>
        </w:rPr>
        <w:t> </w:t>
      </w:r>
      <w:r>
        <w:rPr>
          <w:rFonts w:ascii="宋体" w:hAnsi="宋体" w:cs="宋体" w:eastAsia="宋体" w:hint="default"/>
          <w:b/>
          <w:bCs/>
          <w:sz w:val="28"/>
          <w:szCs w:val="28"/>
        </w:rPr>
        <w:t>0</w:t>
      </w:r>
      <w:r>
        <w:rPr>
          <w:rFonts w:ascii="宋体" w:hAnsi="宋体" w:cs="宋体" w:eastAsia="宋体" w:hint="default"/>
          <w:b/>
          <w:bCs/>
          <w:spacing w:val="-55"/>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tabs>
          <w:tab w:pos="720" w:val="left" w:leader="none"/>
        </w:tabs>
        <w:spacing w:line="460" w:lineRule="exact" w:before="0"/>
        <w:ind w:left="0" w:right="982"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5"/>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宋体" w:hAnsi="宋体" w:cs="宋体" w:eastAsia="宋体" w:hint="default"/>
              <w:b w:val="0"/>
              <w:bCs w:val="0"/>
            </w:rPr>
          </w:pPr>
          <w:r>
            <w:fldChar w:fldCharType="begin"/>
          </w:r>
          <w:r>
            <w:instrText>TOC \o "1-1" \h \z \u </w:instrText>
          </w:r>
          <w:r>
            <w:fldChar w:fldCharType="separate"/>
          </w:r>
          <w:hyperlink w:history="true" w:anchor="_TOC_250012">
            <w:r>
              <w:rPr/>
              <w:t>第一节</w:t>
            </w:r>
            <w:r>
              <w:rPr>
                <w:spacing w:val="-1"/>
              </w:rPr>
              <w:t> </w:t>
            </w:r>
            <w:r>
              <w:rPr/>
              <w:t>重要提示、目录和释义</w:t>
            </w:r>
            <w:r>
              <w:rPr>
                <w:rFonts w:ascii="宋体" w:hAnsi="宋体" w:cs="宋体" w:eastAsia="宋体" w:hint="default"/>
              </w:rPr>
              <w:tab/>
              <w:t>6</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11">
            <w:r>
              <w:rPr/>
              <w:t>第二节</w:t>
            </w:r>
            <w:r>
              <w:rPr>
                <w:spacing w:val="-1"/>
              </w:rPr>
              <w:t> </w:t>
            </w:r>
            <w:r>
              <w:rPr/>
              <w:t>公司简介和主要财务指标</w:t>
            </w:r>
            <w:r>
              <w:rPr>
                <w:rFonts w:ascii="宋体" w:hAnsi="宋体" w:cs="宋体" w:eastAsia="宋体" w:hint="default"/>
              </w:rPr>
              <w:tab/>
              <w:t>10</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10">
            <w:r>
              <w:rPr/>
              <w:t>第三节</w:t>
            </w:r>
            <w:r>
              <w:rPr>
                <w:spacing w:val="-2"/>
              </w:rPr>
              <w:t> </w:t>
            </w:r>
            <w:r>
              <w:rPr>
                <w:spacing w:val="2"/>
              </w:rPr>
              <w:t>公司业务概要</w:t>
            </w:r>
            <w:r>
              <w:rPr>
                <w:rFonts w:ascii="宋体" w:hAnsi="宋体" w:cs="宋体" w:eastAsia="宋体" w:hint="default"/>
                <w:spacing w:val="2"/>
              </w:rPr>
              <w:tab/>
            </w:r>
            <w:r>
              <w:rPr>
                <w:rFonts w:ascii="宋体" w:hAnsi="宋体" w:cs="宋体" w:eastAsia="宋体" w:hint="default"/>
              </w:rPr>
              <w:t>17</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9">
            <w:r>
              <w:rPr/>
              <w:t>第四节</w:t>
            </w:r>
            <w:r>
              <w:rPr>
                <w:spacing w:val="-1"/>
              </w:rPr>
              <w:t> </w:t>
            </w:r>
            <w:r>
              <w:rPr/>
              <w:t>经营情况讨论与分析</w:t>
            </w:r>
            <w:r>
              <w:rPr>
                <w:rFonts w:ascii="宋体" w:hAnsi="宋体" w:cs="宋体" w:eastAsia="宋体" w:hint="default"/>
              </w:rPr>
              <w:tab/>
              <w:t>42</w:t>
            </w:r>
            <w:r>
              <w:rPr>
                <w:rFonts w:ascii="宋体" w:hAnsi="宋体" w:cs="宋体" w:eastAsia="宋体" w:hint="default"/>
                <w:b w:val="0"/>
                <w:bCs w:val="0"/>
              </w:rPr>
            </w:r>
          </w:hyperlink>
        </w:p>
        <w:p>
          <w:pPr>
            <w:pStyle w:val="TOC1"/>
            <w:tabs>
              <w:tab w:pos="9782" w:val="right" w:leader="dot"/>
            </w:tabs>
            <w:spacing w:line="240" w:lineRule="auto" w:before="332"/>
            <w:ind w:right="0"/>
            <w:jc w:val="left"/>
            <w:rPr>
              <w:rFonts w:ascii="宋体" w:hAnsi="宋体" w:cs="宋体" w:eastAsia="宋体" w:hint="default"/>
              <w:b w:val="0"/>
              <w:bCs w:val="0"/>
            </w:rPr>
          </w:pPr>
          <w:hyperlink w:history="true" w:anchor="_TOC_250008">
            <w:r>
              <w:rPr/>
              <w:t>第五节</w:t>
            </w:r>
            <w:r>
              <w:rPr>
                <w:spacing w:val="-2"/>
              </w:rPr>
              <w:t> </w:t>
            </w:r>
            <w:r>
              <w:rPr>
                <w:spacing w:val="3"/>
              </w:rPr>
              <w:t>重要事项</w:t>
            </w:r>
            <w:r>
              <w:rPr>
                <w:rFonts w:ascii="宋体" w:hAnsi="宋体" w:cs="宋体" w:eastAsia="宋体" w:hint="default"/>
                <w:spacing w:val="3"/>
              </w:rPr>
              <w:tab/>
            </w:r>
            <w:r>
              <w:rPr>
                <w:rFonts w:ascii="宋体" w:hAnsi="宋体" w:cs="宋体" w:eastAsia="宋体" w:hint="default"/>
              </w:rPr>
              <w:t>59</w:t>
            </w:r>
            <w:r>
              <w:rPr>
                <w:rFonts w:ascii="宋体" w:hAnsi="宋体" w:cs="宋体" w:eastAsia="宋体" w:hint="default"/>
                <w:b w:val="0"/>
                <w:bCs w:val="0"/>
              </w:rPr>
            </w:r>
          </w:hyperlink>
        </w:p>
        <w:p>
          <w:pPr>
            <w:pStyle w:val="TOC1"/>
            <w:tabs>
              <w:tab w:pos="9782" w:val="right" w:leader="dot"/>
            </w:tabs>
            <w:spacing w:line="240" w:lineRule="auto" w:before="346"/>
            <w:ind w:right="0"/>
            <w:jc w:val="left"/>
            <w:rPr>
              <w:rFonts w:ascii="宋体" w:hAnsi="宋体" w:cs="宋体" w:eastAsia="宋体" w:hint="default"/>
              <w:b w:val="0"/>
              <w:bCs w:val="0"/>
            </w:rPr>
          </w:pPr>
          <w:hyperlink w:history="true" w:anchor="_TOC_250007">
            <w:r>
              <w:rPr/>
              <w:t>第六节</w:t>
            </w:r>
            <w:r>
              <w:rPr>
                <w:spacing w:val="-1"/>
              </w:rPr>
              <w:t> </w:t>
            </w:r>
            <w:r>
              <w:rPr/>
              <w:t>股份变动及股东情况</w:t>
            </w:r>
            <w:r>
              <w:rPr>
                <w:rFonts w:ascii="宋体" w:hAnsi="宋体" w:cs="宋体" w:eastAsia="宋体" w:hint="default"/>
              </w:rPr>
              <w:tab/>
              <w:t>68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6">
            <w:r>
              <w:rPr/>
              <w:t>第七节</w:t>
            </w:r>
            <w:r>
              <w:rPr>
                <w:spacing w:val="-2"/>
              </w:rPr>
              <w:t> </w:t>
            </w:r>
            <w:r>
              <w:rPr>
                <w:spacing w:val="2"/>
              </w:rPr>
              <w:t>优先股相关情况</w:t>
            </w:r>
            <w:r>
              <w:rPr>
                <w:rFonts w:ascii="宋体" w:hAnsi="宋体" w:cs="宋体" w:eastAsia="宋体" w:hint="default"/>
                <w:spacing w:val="2"/>
              </w:rPr>
              <w:tab/>
            </w:r>
            <w:r>
              <w:rPr>
                <w:rFonts w:ascii="宋体" w:hAnsi="宋体" w:cs="宋体" w:eastAsia="宋体" w:hint="default"/>
              </w:rPr>
              <w:t>68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5">
            <w:r>
              <w:rPr/>
              <w:t>第八节</w:t>
            </w:r>
            <w:r>
              <w:rPr>
                <w:spacing w:val="-1"/>
              </w:rPr>
              <w:t> </w:t>
            </w:r>
            <w:r>
              <w:rPr/>
              <w:t>可转换公司债券相关情况</w:t>
            </w:r>
            <w:r>
              <w:rPr>
                <w:rFonts w:ascii="宋体" w:hAnsi="宋体" w:cs="宋体" w:eastAsia="宋体" w:hint="default"/>
              </w:rPr>
              <w:tab/>
              <w:t>68</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4">
            <w:r>
              <w:rPr/>
              <w:t>第九节</w:t>
            </w:r>
            <w:r>
              <w:rPr>
                <w:spacing w:val="-2"/>
              </w:rPr>
              <w:t> </w:t>
            </w:r>
            <w:r>
              <w:rPr/>
              <w:t>董事、监事、高级管理人员和员工情况</w:t>
            </w:r>
            <w:r>
              <w:rPr>
                <w:rFonts w:ascii="宋体" w:hAnsi="宋体" w:cs="宋体" w:eastAsia="宋体" w:hint="default"/>
              </w:rPr>
              <w:tab/>
              <w:t>69</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3">
            <w:r>
              <w:rPr/>
              <w:t>第十节</w:t>
            </w:r>
            <w:r>
              <w:rPr>
                <w:spacing w:val="-2"/>
              </w:rPr>
              <w:t> </w:t>
            </w:r>
            <w:r>
              <w:rPr>
                <w:spacing w:val="3"/>
              </w:rPr>
              <w:t>公司治理</w:t>
            </w:r>
            <w:r>
              <w:rPr>
                <w:rFonts w:ascii="宋体" w:hAnsi="宋体" w:cs="宋体" w:eastAsia="宋体" w:hint="default"/>
                <w:spacing w:val="3"/>
              </w:rPr>
              <w:tab/>
            </w:r>
            <w:r>
              <w:rPr>
                <w:rFonts w:ascii="宋体" w:hAnsi="宋体" w:cs="宋体" w:eastAsia="宋体" w:hint="default"/>
              </w:rPr>
              <w:t>70</w:t>
            </w:r>
            <w:r>
              <w:rPr>
                <w:rFonts w:ascii="宋体" w:hAnsi="宋体" w:cs="宋体" w:eastAsia="宋体" w:hint="default"/>
                <w:b w:val="0"/>
                <w:bCs w:val="0"/>
              </w:rPr>
            </w:r>
          </w:hyperlink>
        </w:p>
        <w:p>
          <w:pPr>
            <w:pStyle w:val="TOC1"/>
            <w:tabs>
              <w:tab w:pos="9782" w:val="right" w:leader="dot"/>
            </w:tabs>
            <w:spacing w:line="240" w:lineRule="auto" w:before="346"/>
            <w:ind w:right="0"/>
            <w:jc w:val="left"/>
            <w:rPr>
              <w:rFonts w:ascii="宋体" w:hAnsi="宋体" w:cs="宋体" w:eastAsia="宋体" w:hint="default"/>
              <w:b w:val="0"/>
              <w:bCs w:val="0"/>
            </w:rPr>
          </w:pPr>
          <w:hyperlink w:history="true" w:anchor="_TOC_250002">
            <w:r>
              <w:rPr/>
              <w:t>第十一节</w:t>
            </w:r>
            <w:r>
              <w:rPr>
                <w:spacing w:val="-1"/>
              </w:rPr>
              <w:t> </w:t>
            </w:r>
            <w:r>
              <w:rPr/>
              <w:t>公司债券相关情况</w:t>
            </w:r>
            <w:r>
              <w:rPr>
                <w:rFonts w:ascii="宋体" w:hAnsi="宋体" w:cs="宋体" w:eastAsia="宋体" w:hint="default"/>
              </w:rPr>
              <w:tab/>
              <w:t>76</w:t>
            </w:r>
            <w:r>
              <w:rPr>
                <w:rFonts w:ascii="宋体" w:hAnsi="宋体" w:cs="宋体" w:eastAsia="宋体" w:hint="default"/>
                <w:b w:val="0"/>
                <w:bCs w:val="0"/>
              </w:rPr>
            </w:r>
          </w:hyperlink>
        </w:p>
        <w:p>
          <w:pPr>
            <w:pStyle w:val="TOC1"/>
            <w:tabs>
              <w:tab w:pos="9782" w:val="right" w:leader="dot"/>
            </w:tabs>
            <w:spacing w:line="240" w:lineRule="auto" w:before="332"/>
            <w:ind w:right="0"/>
            <w:jc w:val="left"/>
            <w:rPr>
              <w:rFonts w:ascii="宋体" w:hAnsi="宋体" w:cs="宋体" w:eastAsia="宋体" w:hint="default"/>
              <w:b w:val="0"/>
              <w:bCs w:val="0"/>
            </w:rPr>
          </w:pPr>
          <w:hyperlink w:history="true" w:anchor="_TOC_250001">
            <w:r>
              <w:rPr/>
              <w:t>第十二节</w:t>
            </w:r>
            <w:r>
              <w:rPr>
                <w:spacing w:val="-2"/>
              </w:rPr>
              <w:t> </w:t>
            </w:r>
            <w:r>
              <w:rPr>
                <w:spacing w:val="3"/>
              </w:rPr>
              <w:t>财务报告</w:t>
            </w:r>
            <w:r>
              <w:rPr>
                <w:rFonts w:ascii="宋体" w:hAnsi="宋体" w:cs="宋体" w:eastAsia="宋体" w:hint="default"/>
                <w:spacing w:val="3"/>
              </w:rPr>
              <w:tab/>
            </w:r>
            <w:r>
              <w:rPr>
                <w:rFonts w:ascii="宋体" w:hAnsi="宋体" w:cs="宋体" w:eastAsia="宋体" w:hint="default"/>
              </w:rPr>
              <w:t>82</w:t>
            </w:r>
            <w:r>
              <w:rPr>
                <w:rFonts w:ascii="宋体" w:hAnsi="宋体" w:cs="宋体" w:eastAsia="宋体" w:hint="default"/>
                <w:b w:val="0"/>
                <w:bCs w:val="0"/>
              </w:rPr>
            </w:r>
          </w:hyperlink>
        </w:p>
        <w:p>
          <w:pPr>
            <w:pStyle w:val="TOC1"/>
            <w:tabs>
              <w:tab w:pos="9782" w:val="right" w:leader="dot"/>
            </w:tabs>
            <w:spacing w:line="240" w:lineRule="auto"/>
            <w:ind w:right="0"/>
            <w:jc w:val="left"/>
            <w:rPr>
              <w:rFonts w:ascii="宋体" w:hAnsi="宋体" w:cs="宋体" w:eastAsia="宋体" w:hint="default"/>
              <w:b w:val="0"/>
              <w:bCs w:val="0"/>
            </w:rPr>
          </w:pPr>
          <w:hyperlink w:history="true" w:anchor="_TOC_250000">
            <w:r>
              <w:rPr/>
              <w:t>第十三节</w:t>
            </w:r>
            <w:r>
              <w:rPr>
                <w:spacing w:val="-2"/>
              </w:rPr>
              <w:t> </w:t>
            </w:r>
            <w:r>
              <w:rPr>
                <w:spacing w:val="2"/>
              </w:rPr>
              <w:t>备查文件目录</w:t>
            </w:r>
            <w:r>
              <w:rPr>
                <w:rFonts w:ascii="宋体" w:hAnsi="宋体" w:cs="宋体" w:eastAsia="宋体" w:hint="default"/>
                <w:spacing w:val="2"/>
              </w:rPr>
              <w:tab/>
            </w:r>
            <w:r>
              <w:rPr>
                <w:rFonts w:ascii="宋体" w:hAnsi="宋体" w:cs="宋体" w:eastAsia="宋体" w:hint="default"/>
              </w:rPr>
              <w:t>83</w:t>
            </w:r>
            <w:r>
              <w:rPr>
                <w:rFonts w:ascii="宋体" w:hAnsi="宋体" w:cs="宋体" w:eastAsia="宋体" w:hint="default"/>
                <w:b w:val="0"/>
                <w:bCs w:val="0"/>
              </w:rPr>
            </w:r>
          </w:hyperlink>
        </w:p>
        <w:p>
          <w:pPr/>
          <w:r>
            <w:fldChar w:fldCharType="end"/>
          </w:r>
        </w:p>
      </w:sdtContent>
    </w:sdt>
    <w:p>
      <w:pPr>
        <w:spacing w:after="0"/>
        <w:sectPr>
          <w:pgSz w:w="11910" w:h="16850"/>
          <w:pgMar w:header="731" w:footer="981" w:top="1040" w:bottom="1180" w:left="1000" w:right="0"/>
        </w:sectPr>
      </w:pPr>
    </w:p>
    <w:p>
      <w:pPr>
        <w:tabs>
          <w:tab w:pos="630" w:val="left" w:leader="none"/>
        </w:tabs>
        <w:spacing w:before="953"/>
        <w:ind w:left="0" w:right="997" w:firstLine="0"/>
        <w:jc w:val="center"/>
        <w:rPr>
          <w:rFonts w:ascii="宋体" w:hAnsi="宋体" w:cs="宋体" w:eastAsia="宋体" w:hint="default"/>
          <w:sz w:val="31"/>
          <w:szCs w:val="31"/>
        </w:rPr>
      </w:pPr>
      <w:r>
        <w:rPr>
          <w:rFonts w:ascii="宋体" w:hAnsi="宋体" w:cs="宋体" w:eastAsia="宋体" w:hint="default"/>
          <w:b/>
          <w:bCs/>
          <w:sz w:val="31"/>
          <w:szCs w:val="31"/>
        </w:rPr>
        <w:t>释</w:t>
        <w:tab/>
        <w:t>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pStyle w:val="Heading6"/>
        <w:spacing w:line="240" w:lineRule="auto"/>
        <w:ind w:left="0" w:right="1103"/>
        <w:jc w:val="right"/>
      </w:pPr>
      <w:r>
        <w:rPr/>
        <w:pict>
          <v:shape style="position:absolute;margin-left:56.325001pt;margin-top:-437.386322pt;width:480.25pt;height:594.550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834"/>
                    <w:gridCol w:w="6751"/>
                  </w:tblGrid>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28"/>
                          <w:jc w:val="center"/>
                          <w:rPr>
                            <w:rFonts w:ascii="宋体" w:hAnsi="宋体" w:cs="宋体" w:eastAsia="宋体" w:hint="default"/>
                            <w:sz w:val="21"/>
                            <w:szCs w:val="21"/>
                          </w:rPr>
                        </w:pPr>
                        <w:r>
                          <w:rPr>
                            <w:rFonts w:ascii="宋体" w:hAnsi="宋体" w:cs="宋体" w:eastAsia="宋体" w:hint="default"/>
                            <w:sz w:val="21"/>
                            <w:szCs w:val="21"/>
                          </w:rPr>
                          <w:t>释义项</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20"/>
                          <w:jc w:val="center"/>
                          <w:rPr>
                            <w:rFonts w:ascii="宋体" w:hAnsi="宋体" w:cs="宋体" w:eastAsia="宋体" w:hint="default"/>
                            <w:sz w:val="21"/>
                            <w:szCs w:val="21"/>
                          </w:rPr>
                        </w:pPr>
                        <w:r>
                          <w:rPr>
                            <w:rFonts w:ascii="宋体" w:hAnsi="宋体" w:cs="宋体" w:eastAsia="宋体" w:hint="default"/>
                            <w:sz w:val="21"/>
                            <w:szCs w:val="21"/>
                          </w:rPr>
                          <w:t>释义内容</w:t>
                        </w:r>
                      </w:p>
                    </w:tc>
                  </w:tr>
                  <w:tr>
                    <w:trPr>
                      <w:trHeight w:val="173" w:hRule="exact"/>
                    </w:trPr>
                    <w:tc>
                      <w:tcPr>
                        <w:tcW w:w="1997" w:type="dxa"/>
                        <w:vMerge w:val="restart"/>
                        <w:tcBorders>
                          <w:top w:val="single" w:sz="6" w:space="0" w:color="000000"/>
                          <w:left w:val="single" w:sz="6" w:space="0" w:color="000000"/>
                          <w:right w:val="single" w:sz="12" w:space="0" w:color="D2D2D2"/>
                        </w:tcBorders>
                      </w:tcPr>
                      <w:p>
                        <w:pPr>
                          <w:pStyle w:val="TableParagraph"/>
                          <w:spacing w:line="302" w:lineRule="auto" w:before="24"/>
                          <w:ind w:left="15" w:right="275"/>
                          <w:jc w:val="left"/>
                          <w:rPr>
                            <w:rFonts w:ascii="宋体" w:hAnsi="宋体" w:cs="宋体" w:eastAsia="宋体" w:hint="default"/>
                            <w:sz w:val="21"/>
                            <w:szCs w:val="21"/>
                          </w:rPr>
                        </w:pPr>
                        <w:r>
                          <w:rPr>
                            <w:rFonts w:ascii="宋体" w:hAnsi="宋体" w:cs="宋体" w:eastAsia="宋体" w:hint="default"/>
                            <w:sz w:val="21"/>
                            <w:szCs w:val="21"/>
                          </w:rPr>
                          <w:t>思创医惠、公司、 上市公司、本公司</w:t>
                        </w:r>
                      </w:p>
                    </w:tc>
                    <w:tc>
                      <w:tcPr>
                        <w:tcW w:w="834" w:type="dxa"/>
                        <w:tcBorders>
                          <w:top w:val="single" w:sz="6" w:space="0" w:color="000000"/>
                          <w:left w:val="single" w:sz="6" w:space="0" w:color="000000"/>
                          <w:bottom w:val="nil" w:sz="6" w:space="0" w:color="auto"/>
                          <w:right w:val="single" w:sz="6" w:space="0" w:color="000000"/>
                        </w:tcBorders>
                        <w:shd w:val="clear" w:color="auto" w:fill="D2D2D2"/>
                      </w:tcPr>
                      <w:p>
                        <w:pPr/>
                      </w:p>
                    </w:tc>
                    <w:tc>
                      <w:tcPr>
                        <w:tcW w:w="6751"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思创医惠科技股份有限公司</w:t>
                        </w:r>
                      </w:p>
                    </w:tc>
                  </w:tr>
                  <w:tr>
                    <w:trPr>
                      <w:trHeight w:val="406" w:hRule="exact"/>
                    </w:trPr>
                    <w:tc>
                      <w:tcPr>
                        <w:tcW w:w="1997" w:type="dxa"/>
                        <w:vMerge/>
                        <w:tcBorders>
                          <w:left w:val="single" w:sz="6" w:space="0" w:color="000000"/>
                          <w:right w:val="single" w:sz="12" w:space="0" w:color="D2D2D2"/>
                        </w:tcBorders>
                      </w:tcPr>
                      <w:p>
                        <w:pPr/>
                      </w:p>
                    </w:tc>
                    <w:tc>
                      <w:tcPr>
                        <w:tcW w:w="83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vMerge/>
                        <w:tcBorders>
                          <w:left w:val="single" w:sz="6" w:space="0" w:color="000000"/>
                          <w:right w:val="single" w:sz="6" w:space="0" w:color="000000"/>
                        </w:tcBorders>
                      </w:tcPr>
                      <w:p>
                        <w:pPr/>
                      </w:p>
                    </w:tc>
                  </w:tr>
                  <w:tr>
                    <w:trPr>
                      <w:trHeight w:val="173" w:hRule="exact"/>
                    </w:trPr>
                    <w:tc>
                      <w:tcPr>
                        <w:tcW w:w="1997" w:type="dxa"/>
                        <w:vMerge/>
                        <w:tcBorders>
                          <w:left w:val="single" w:sz="6" w:space="0" w:color="000000"/>
                          <w:bottom w:val="single" w:sz="6" w:space="0" w:color="000000"/>
                          <w:right w:val="single" w:sz="12" w:space="0" w:color="D2D2D2"/>
                        </w:tcBorders>
                      </w:tcPr>
                      <w:p>
                        <w:pPr/>
                      </w:p>
                    </w:tc>
                    <w:tc>
                      <w:tcPr>
                        <w:tcW w:w="834" w:type="dxa"/>
                        <w:tcBorders>
                          <w:top w:val="nil" w:sz="6" w:space="0" w:color="auto"/>
                          <w:left w:val="single" w:sz="6" w:space="0" w:color="000000"/>
                          <w:bottom w:val="single" w:sz="6" w:space="0" w:color="000000"/>
                          <w:right w:val="single" w:sz="6" w:space="0" w:color="000000"/>
                        </w:tcBorders>
                        <w:shd w:val="clear" w:color="auto" w:fill="D2D2D2"/>
                      </w:tcPr>
                      <w:p>
                        <w:pPr/>
                      </w:p>
                    </w:tc>
                    <w:tc>
                      <w:tcPr>
                        <w:tcW w:w="6751" w:type="dxa"/>
                        <w:vMerge/>
                        <w:tcBorders>
                          <w:left w:val="single" w:sz="6" w:space="0" w:color="000000"/>
                          <w:bottom w:val="single" w:sz="6" w:space="0" w:color="000000"/>
                          <w:right w:val="single" w:sz="6" w:space="0" w:color="000000"/>
                        </w:tcBorders>
                      </w:tcPr>
                      <w:p>
                        <w:pPr/>
                      </w:p>
                    </w:tc>
                  </w:tr>
                  <w:tr>
                    <w:trPr>
                      <w:trHeight w:val="405"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医惠科技</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医惠科技有限公司</w:t>
                        </w:r>
                      </w:p>
                    </w:tc>
                  </w:tr>
                  <w:tr>
                    <w:trPr>
                      <w:trHeight w:val="420"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思越科技</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杭州思越科技有限公司</w:t>
                        </w:r>
                      </w:p>
                    </w:tc>
                  </w:tr>
                  <w:tr>
                    <w:trPr>
                      <w:trHeight w:val="406"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思创汇联</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杭州思创汇联科技有限公司</w:t>
                        </w:r>
                      </w:p>
                    </w:tc>
                  </w:tr>
                  <w:tr>
                    <w:trPr>
                      <w:trHeight w:val="406"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上扬无线</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上扬无线射频科技扬州有限公司</w:t>
                        </w:r>
                      </w:p>
                    </w:tc>
                  </w:tr>
                  <w:tr>
                    <w:trPr>
                      <w:trHeight w:val="405"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思创香港</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中瑞思创（香港）国际有限公司</w:t>
                        </w:r>
                      </w:p>
                    </w:tc>
                  </w:tr>
                  <w:tr>
                    <w:trPr>
                      <w:trHeight w:val="405"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琅玕科技</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杭州琅玕科技有限公司</w:t>
                        </w:r>
                      </w:p>
                    </w:tc>
                  </w:tr>
                  <w:tr>
                    <w:trPr>
                      <w:trHeight w:val="406"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江苏钜芯</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江苏钜芯集成电路技术股份有限公司</w:t>
                        </w:r>
                      </w:p>
                    </w:tc>
                  </w:tr>
                  <w:tr>
                    <w:trPr>
                      <w:trHeight w:val="405"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广州理德</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广州理德物联网科技有限公司</w:t>
                        </w:r>
                      </w:p>
                    </w:tc>
                  </w:tr>
                  <w:tr>
                    <w:trPr>
                      <w:trHeight w:val="420"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医惠软件</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杭州医惠软件有限公司</w:t>
                        </w:r>
                      </w:p>
                    </w:tc>
                  </w:tr>
                  <w:tr>
                    <w:trPr>
                      <w:trHeight w:val="405"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医惠物联网</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21"/>
                            <w:szCs w:val="21"/>
                          </w:rPr>
                        </w:pPr>
                        <w:r>
                          <w:rPr>
                            <w:rFonts w:ascii="宋体" w:hAnsi="宋体" w:cs="宋体" w:eastAsia="宋体" w:hint="default"/>
                            <w:sz w:val="21"/>
                            <w:szCs w:val="21"/>
                          </w:rPr>
                          <w:t>杭州医惠物联网科技有限公司</w:t>
                        </w:r>
                      </w:p>
                    </w:tc>
                  </w:tr>
                  <w:tr>
                    <w:trPr>
                      <w:trHeight w:val="406"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中国证监会</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405"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406"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r>
                    <w:trPr>
                      <w:trHeight w:val="405"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深交所</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6"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报告期</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45"/>
                            <w:sz w:val="21"/>
                            <w:szCs w:val="21"/>
                          </w:rPr>
                          <w:t> </w:t>
                        </w:r>
                        <w:r>
                          <w:rPr>
                            <w:rFonts w:ascii="宋体" w:hAnsi="宋体" w:cs="宋体" w:eastAsia="宋体" w:hint="default"/>
                            <w:sz w:val="21"/>
                            <w:szCs w:val="21"/>
                          </w:rPr>
                          <w:t>年度</w:t>
                        </w:r>
                      </w:p>
                    </w:tc>
                  </w:tr>
                  <w:tr>
                    <w:trPr>
                      <w:trHeight w:val="405" w:hRule="exact"/>
                    </w:trPr>
                    <w:tc>
                      <w:tcPr>
                        <w:tcW w:w="199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元</w:t>
                        </w:r>
                      </w:p>
                    </w:tc>
                    <w:tc>
                      <w:tcPr>
                        <w:tcW w:w="8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4"/>
                          <w:ind w:left="15" w:right="0"/>
                          <w:jc w:val="left"/>
                          <w:rPr>
                            <w:rFonts w:ascii="宋体" w:hAnsi="宋体" w:cs="宋体" w:eastAsia="宋体" w:hint="default"/>
                            <w:sz w:val="21"/>
                            <w:szCs w:val="21"/>
                          </w:rPr>
                        </w:pPr>
                        <w:r>
                          <w:rPr>
                            <w:rFonts w:ascii="宋体" w:hAnsi="宋体" w:cs="宋体" w:eastAsia="宋体" w:hint="default"/>
                            <w:sz w:val="21"/>
                            <w:szCs w:val="21"/>
                          </w:rPr>
                          <w:t>人民币元</w:t>
                        </w:r>
                      </w:p>
                    </w:tc>
                  </w:tr>
                  <w:tr>
                    <w:trPr>
                      <w:trHeight w:val="323" w:hRule="exact"/>
                    </w:trPr>
                    <w:tc>
                      <w:tcPr>
                        <w:tcW w:w="1997" w:type="dxa"/>
                        <w:vMerge w:val="restart"/>
                        <w:tcBorders>
                          <w:top w:val="single" w:sz="6" w:space="0" w:color="000000"/>
                          <w:left w:val="single" w:sz="6" w:space="0" w:color="000000"/>
                          <w:right w:val="single" w:sz="12" w:space="0" w:color="D2D2D2"/>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21"/>
                            <w:szCs w:val="21"/>
                          </w:rPr>
                        </w:pPr>
                        <w:r>
                          <w:rPr>
                            <w:rFonts w:ascii="宋体"/>
                            <w:sz w:val="21"/>
                          </w:rPr>
                          <w:t>EAS</w:t>
                        </w:r>
                      </w:p>
                    </w:tc>
                    <w:tc>
                      <w:tcPr>
                        <w:tcW w:w="834" w:type="dxa"/>
                        <w:tcBorders>
                          <w:top w:val="single" w:sz="6" w:space="0" w:color="000000"/>
                          <w:left w:val="single" w:sz="6" w:space="0" w:color="000000"/>
                          <w:bottom w:val="nil" w:sz="6" w:space="0" w:color="auto"/>
                          <w:right w:val="single" w:sz="6" w:space="0" w:color="000000"/>
                        </w:tcBorders>
                        <w:shd w:val="clear" w:color="auto" w:fill="D2D2D2"/>
                      </w:tcPr>
                      <w:p>
                        <w:pPr/>
                      </w:p>
                    </w:tc>
                    <w:tc>
                      <w:tcPr>
                        <w:tcW w:w="6751" w:type="dxa"/>
                        <w:vMerge w:val="restart"/>
                        <w:tcBorders>
                          <w:top w:val="single" w:sz="6" w:space="0" w:color="000000"/>
                          <w:left w:val="single" w:sz="6" w:space="0" w:color="000000"/>
                          <w:right w:val="single" w:sz="6" w:space="0" w:color="000000"/>
                        </w:tcBorders>
                      </w:tcPr>
                      <w:p>
                        <w:pPr>
                          <w:pStyle w:val="TableParagraph"/>
                          <w:spacing w:line="268" w:lineRule="auto" w:before="25"/>
                          <w:ind w:left="22" w:right="13"/>
                          <w:jc w:val="both"/>
                          <w:rPr>
                            <w:rFonts w:ascii="宋体" w:hAnsi="宋体" w:cs="宋体" w:eastAsia="宋体" w:hint="default"/>
                            <w:sz w:val="21"/>
                            <w:szCs w:val="21"/>
                          </w:rPr>
                        </w:pPr>
                        <w:r>
                          <w:rPr>
                            <w:rFonts w:ascii="宋体" w:hAnsi="宋体" w:cs="宋体" w:eastAsia="宋体" w:hint="default"/>
                            <w:sz w:val="21"/>
                            <w:szCs w:val="21"/>
                          </w:rPr>
                          <w:t>Electronic Article Surveillance</w:t>
                        </w:r>
                        <w:r>
                          <w:rPr>
                            <w:rFonts w:ascii="宋体" w:hAnsi="宋体" w:cs="宋体" w:eastAsia="宋体" w:hint="default"/>
                            <w:spacing w:val="-30"/>
                            <w:sz w:val="21"/>
                            <w:szCs w:val="21"/>
                          </w:rPr>
                          <w:t> </w:t>
                        </w:r>
                        <w:r>
                          <w:rPr>
                            <w:rFonts w:ascii="宋体" w:hAnsi="宋体" w:cs="宋体" w:eastAsia="宋体" w:hint="default"/>
                            <w:sz w:val="21"/>
                            <w:szCs w:val="21"/>
                          </w:rPr>
                          <w:t>的简称，即电子商品防盗系统，该系 </w:t>
                        </w:r>
                        <w:r>
                          <w:rPr>
                            <w:rFonts w:ascii="宋体" w:hAnsi="宋体" w:cs="宋体" w:eastAsia="宋体" w:hint="default"/>
                            <w:spacing w:val="-2"/>
                            <w:sz w:val="21"/>
                            <w:szCs w:val="21"/>
                          </w:rPr>
                          <w:t>统是一个高科技的电子防盗设备体系，它以高科技的手段赋予商品一种自</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卫能力，能有效的保护商品、防止商品失窃</w:t>
                        </w:r>
                      </w:p>
                    </w:tc>
                  </w:tr>
                  <w:tr>
                    <w:trPr>
                      <w:trHeight w:val="391" w:hRule="exact"/>
                    </w:trPr>
                    <w:tc>
                      <w:tcPr>
                        <w:tcW w:w="1997" w:type="dxa"/>
                        <w:vMerge/>
                        <w:tcBorders>
                          <w:left w:val="single" w:sz="6" w:space="0" w:color="000000"/>
                          <w:right w:val="single" w:sz="12" w:space="0" w:color="D2D2D2"/>
                        </w:tcBorders>
                      </w:tcPr>
                      <w:p>
                        <w:pPr/>
                      </w:p>
                    </w:tc>
                    <w:tc>
                      <w:tcPr>
                        <w:tcW w:w="83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vMerge/>
                        <w:tcBorders>
                          <w:left w:val="single" w:sz="6" w:space="0" w:color="000000"/>
                          <w:right w:val="single" w:sz="6" w:space="0" w:color="000000"/>
                        </w:tcBorders>
                      </w:tcPr>
                      <w:p>
                        <w:pPr/>
                      </w:p>
                    </w:tc>
                  </w:tr>
                  <w:tr>
                    <w:trPr>
                      <w:trHeight w:val="323" w:hRule="exact"/>
                    </w:trPr>
                    <w:tc>
                      <w:tcPr>
                        <w:tcW w:w="1997" w:type="dxa"/>
                        <w:vMerge/>
                        <w:tcBorders>
                          <w:left w:val="single" w:sz="6" w:space="0" w:color="000000"/>
                          <w:bottom w:val="single" w:sz="6" w:space="0" w:color="000000"/>
                          <w:right w:val="single" w:sz="12" w:space="0" w:color="D2D2D2"/>
                        </w:tcBorders>
                      </w:tcPr>
                      <w:p>
                        <w:pPr/>
                      </w:p>
                    </w:tc>
                    <w:tc>
                      <w:tcPr>
                        <w:tcW w:w="834" w:type="dxa"/>
                        <w:tcBorders>
                          <w:top w:val="nil" w:sz="6" w:space="0" w:color="auto"/>
                          <w:left w:val="single" w:sz="6" w:space="0" w:color="000000"/>
                          <w:bottom w:val="single" w:sz="6" w:space="0" w:color="000000"/>
                          <w:right w:val="single" w:sz="6" w:space="0" w:color="000000"/>
                        </w:tcBorders>
                        <w:shd w:val="clear" w:color="auto" w:fill="D2D2D2"/>
                      </w:tcPr>
                      <w:p>
                        <w:pPr/>
                      </w:p>
                    </w:tc>
                    <w:tc>
                      <w:tcPr>
                        <w:tcW w:w="6751" w:type="dxa"/>
                        <w:vMerge/>
                        <w:tcBorders>
                          <w:left w:val="single" w:sz="6" w:space="0" w:color="000000"/>
                          <w:bottom w:val="single" w:sz="6" w:space="0" w:color="000000"/>
                          <w:right w:val="single" w:sz="6" w:space="0" w:color="000000"/>
                        </w:tcBorders>
                      </w:tcPr>
                      <w:p>
                        <w:pPr/>
                      </w:p>
                    </w:tc>
                  </w:tr>
                  <w:tr>
                    <w:trPr>
                      <w:trHeight w:val="157" w:hRule="exact"/>
                    </w:trPr>
                    <w:tc>
                      <w:tcPr>
                        <w:tcW w:w="1997" w:type="dxa"/>
                        <w:vMerge w:val="restart"/>
                        <w:tcBorders>
                          <w:top w:val="single" w:sz="6" w:space="0" w:color="000000"/>
                          <w:left w:val="single" w:sz="6" w:space="0" w:color="000000"/>
                          <w:right w:val="single" w:sz="18" w:space="0" w:color="D2D2D2"/>
                        </w:tcBorders>
                      </w:tcPr>
                      <w:p>
                        <w:pPr>
                          <w:pStyle w:val="TableParagraph"/>
                          <w:spacing w:line="240" w:lineRule="auto" w:before="175"/>
                          <w:ind w:left="15" w:right="0"/>
                          <w:jc w:val="left"/>
                          <w:rPr>
                            <w:rFonts w:ascii="宋体" w:hAnsi="宋体" w:cs="宋体" w:eastAsia="宋体" w:hint="default"/>
                            <w:sz w:val="21"/>
                            <w:szCs w:val="21"/>
                          </w:rPr>
                        </w:pPr>
                        <w:r>
                          <w:rPr>
                            <w:rFonts w:ascii="宋体" w:hAnsi="宋体" w:cs="宋体" w:eastAsia="宋体" w:hint="default"/>
                            <w:sz w:val="21"/>
                            <w:szCs w:val="21"/>
                          </w:rPr>
                          <w:t>硬标签</w:t>
                        </w:r>
                      </w:p>
                    </w:tc>
                    <w:tc>
                      <w:tcPr>
                        <w:tcW w:w="834" w:type="dxa"/>
                        <w:tcBorders>
                          <w:top w:val="single" w:sz="6" w:space="0" w:color="000000"/>
                          <w:left w:val="single" w:sz="6" w:space="0" w:color="000000"/>
                          <w:bottom w:val="nil" w:sz="6" w:space="0" w:color="auto"/>
                          <w:right w:val="single" w:sz="6" w:space="0" w:color="000000"/>
                        </w:tcBorders>
                        <w:shd w:val="clear" w:color="auto" w:fill="D2D2D2"/>
                      </w:tcPr>
                      <w:p>
                        <w:pPr/>
                      </w:p>
                    </w:tc>
                    <w:tc>
                      <w:tcPr>
                        <w:tcW w:w="6751" w:type="dxa"/>
                        <w:vMerge w:val="restart"/>
                        <w:tcBorders>
                          <w:top w:val="single" w:sz="6" w:space="0" w:color="000000"/>
                          <w:left w:val="single" w:sz="12" w:space="0" w:color="000000"/>
                          <w:right w:val="single" w:sz="6" w:space="0" w:color="000000"/>
                        </w:tcBorders>
                      </w:tcPr>
                      <w:p>
                        <w:pPr>
                          <w:pStyle w:val="TableParagraph"/>
                          <w:spacing w:line="261" w:lineRule="auto" w:before="25"/>
                          <w:ind w:left="15" w:right="112"/>
                          <w:jc w:val="left"/>
                          <w:rPr>
                            <w:rFonts w:ascii="宋体" w:hAnsi="宋体" w:cs="宋体" w:eastAsia="宋体" w:hint="default"/>
                            <w:sz w:val="21"/>
                            <w:szCs w:val="21"/>
                          </w:rPr>
                        </w:pPr>
                        <w:r>
                          <w:rPr>
                            <w:rFonts w:ascii="宋体" w:hAnsi="宋体" w:cs="宋体" w:eastAsia="宋体" w:hint="default"/>
                            <w:spacing w:val="-1"/>
                            <w:sz w:val="21"/>
                            <w:szCs w:val="21"/>
                          </w:rPr>
                          <w:t>Tag</w:t>
                        </w:r>
                        <w:r>
                          <w:rPr>
                            <w:rFonts w:ascii="宋体" w:hAnsi="宋体" w:cs="宋体" w:eastAsia="宋体" w:hint="default"/>
                            <w:spacing w:val="-1"/>
                            <w:sz w:val="21"/>
                            <w:szCs w:val="21"/>
                          </w:rPr>
                          <w:t>，由锁芯、线圈、塑壳、线路板等构成的防盗标签，用于服装、鞋帽</w:t>
                        </w:r>
                        <w:r>
                          <w:rPr>
                            <w:rFonts w:ascii="宋体" w:hAnsi="宋体" w:cs="宋体" w:eastAsia="宋体" w:hint="default"/>
                            <w:sz w:val="21"/>
                            <w:szCs w:val="21"/>
                          </w:rPr>
                          <w:t> 高档化妆品、箱包、电脑等商品的防盗。</w:t>
                        </w:r>
                      </w:p>
                    </w:tc>
                  </w:tr>
                  <w:tr>
                    <w:trPr>
                      <w:trHeight w:val="390" w:hRule="exact"/>
                    </w:trPr>
                    <w:tc>
                      <w:tcPr>
                        <w:tcW w:w="1997" w:type="dxa"/>
                        <w:vMerge/>
                        <w:tcBorders>
                          <w:left w:val="single" w:sz="6" w:space="0" w:color="000000"/>
                          <w:right w:val="single" w:sz="18" w:space="0" w:color="D2D2D2"/>
                        </w:tcBorders>
                      </w:tcPr>
                      <w:p>
                        <w:pPr/>
                      </w:p>
                    </w:tc>
                    <w:tc>
                      <w:tcPr>
                        <w:tcW w:w="83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vMerge/>
                        <w:tcBorders>
                          <w:left w:val="single" w:sz="12" w:space="0" w:color="000000"/>
                          <w:right w:val="single" w:sz="6" w:space="0" w:color="000000"/>
                        </w:tcBorders>
                      </w:tcPr>
                      <w:p>
                        <w:pPr/>
                      </w:p>
                    </w:tc>
                  </w:tr>
                  <w:tr>
                    <w:trPr>
                      <w:trHeight w:val="158" w:hRule="exact"/>
                    </w:trPr>
                    <w:tc>
                      <w:tcPr>
                        <w:tcW w:w="1997" w:type="dxa"/>
                        <w:vMerge/>
                        <w:tcBorders>
                          <w:left w:val="single" w:sz="6" w:space="0" w:color="000000"/>
                          <w:bottom w:val="single" w:sz="6" w:space="0" w:color="000000"/>
                          <w:right w:val="single" w:sz="18" w:space="0" w:color="D2D2D2"/>
                        </w:tcBorders>
                      </w:tcPr>
                      <w:p>
                        <w:pPr/>
                      </w:p>
                    </w:tc>
                    <w:tc>
                      <w:tcPr>
                        <w:tcW w:w="834" w:type="dxa"/>
                        <w:tcBorders>
                          <w:top w:val="nil" w:sz="6" w:space="0" w:color="auto"/>
                          <w:left w:val="single" w:sz="6" w:space="0" w:color="000000"/>
                          <w:bottom w:val="single" w:sz="6" w:space="0" w:color="000000"/>
                          <w:right w:val="single" w:sz="6" w:space="0" w:color="000000"/>
                        </w:tcBorders>
                        <w:shd w:val="clear" w:color="auto" w:fill="D2D2D2"/>
                      </w:tcPr>
                      <w:p>
                        <w:pPr/>
                      </w:p>
                    </w:tc>
                    <w:tc>
                      <w:tcPr>
                        <w:tcW w:w="6751" w:type="dxa"/>
                        <w:vMerge/>
                        <w:tcBorders>
                          <w:left w:val="single" w:sz="12" w:space="0" w:color="000000"/>
                          <w:bottom w:val="single" w:sz="6" w:space="0" w:color="000000"/>
                          <w:right w:val="single" w:sz="6" w:space="0" w:color="000000"/>
                        </w:tcBorders>
                      </w:tcPr>
                      <w:p>
                        <w:pPr/>
                      </w:p>
                    </w:tc>
                  </w:tr>
                  <w:tr>
                    <w:trPr>
                      <w:trHeight w:val="323" w:hRule="exact"/>
                    </w:trPr>
                    <w:tc>
                      <w:tcPr>
                        <w:tcW w:w="1997" w:type="dxa"/>
                        <w:vMerge w:val="restart"/>
                        <w:tcBorders>
                          <w:top w:val="single" w:sz="6" w:space="0" w:color="000000"/>
                          <w:left w:val="single" w:sz="6" w:space="0" w:color="000000"/>
                          <w:right w:val="single" w:sz="12" w:space="0" w:color="D2D2D2"/>
                        </w:tcBorders>
                      </w:tcPr>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射频软标签</w:t>
                        </w:r>
                      </w:p>
                    </w:tc>
                    <w:tc>
                      <w:tcPr>
                        <w:tcW w:w="834" w:type="dxa"/>
                        <w:tcBorders>
                          <w:top w:val="single" w:sz="6" w:space="0" w:color="000000"/>
                          <w:left w:val="single" w:sz="6" w:space="0" w:color="000000"/>
                          <w:bottom w:val="nil" w:sz="6" w:space="0" w:color="auto"/>
                          <w:right w:val="single" w:sz="6" w:space="0" w:color="000000"/>
                        </w:tcBorders>
                        <w:shd w:val="clear" w:color="auto" w:fill="D2D2D2"/>
                      </w:tcPr>
                      <w:p>
                        <w:pPr/>
                      </w:p>
                    </w:tc>
                    <w:tc>
                      <w:tcPr>
                        <w:tcW w:w="6751" w:type="dxa"/>
                        <w:vMerge w:val="restart"/>
                        <w:tcBorders>
                          <w:top w:val="single" w:sz="6" w:space="0" w:color="000000"/>
                          <w:left w:val="single" w:sz="6" w:space="0" w:color="000000"/>
                          <w:right w:val="single" w:sz="6" w:space="0" w:color="000000"/>
                        </w:tcBorders>
                      </w:tcPr>
                      <w:p>
                        <w:pPr>
                          <w:pStyle w:val="TableParagraph"/>
                          <w:spacing w:line="268" w:lineRule="auto" w:before="25"/>
                          <w:ind w:left="22" w:right="21"/>
                          <w:jc w:val="both"/>
                          <w:rPr>
                            <w:rFonts w:ascii="宋体" w:hAnsi="宋体" w:cs="宋体" w:eastAsia="宋体" w:hint="default"/>
                            <w:sz w:val="21"/>
                            <w:szCs w:val="21"/>
                          </w:rPr>
                        </w:pPr>
                        <w:r>
                          <w:rPr>
                            <w:rFonts w:ascii="宋体" w:hAnsi="宋体" w:cs="宋体" w:eastAsia="宋体" w:hint="default"/>
                            <w:sz w:val="21"/>
                            <w:szCs w:val="21"/>
                          </w:rPr>
                          <w:t>RF</w:t>
                        </w:r>
                        <w:r>
                          <w:rPr>
                            <w:rFonts w:ascii="宋体" w:hAnsi="宋体" w:cs="宋体" w:eastAsia="宋体" w:hint="default"/>
                            <w:spacing w:val="-45"/>
                            <w:sz w:val="21"/>
                            <w:szCs w:val="21"/>
                          </w:rPr>
                          <w:t> </w:t>
                        </w:r>
                        <w:r>
                          <w:rPr>
                            <w:rFonts w:ascii="宋体" w:hAnsi="宋体" w:cs="宋体" w:eastAsia="宋体" w:hint="default"/>
                            <w:sz w:val="21"/>
                            <w:szCs w:val="21"/>
                          </w:rPr>
                          <w:t>Label</w:t>
                        </w:r>
                        <w:r>
                          <w:rPr>
                            <w:rFonts w:ascii="宋体" w:hAnsi="宋体" w:cs="宋体" w:eastAsia="宋体" w:hint="default"/>
                            <w:sz w:val="21"/>
                            <w:szCs w:val="21"/>
                          </w:rPr>
                          <w:t>，又称纸标签，利用射频技术，由电磁线圈、电容、不干胶黏贴 </w:t>
                        </w:r>
                        <w:r>
                          <w:rPr>
                            <w:rFonts w:ascii="宋体" w:hAnsi="宋体" w:cs="宋体" w:eastAsia="宋体" w:hint="default"/>
                            <w:spacing w:val="-2"/>
                            <w:sz w:val="21"/>
                            <w:szCs w:val="21"/>
                          </w:rPr>
                          <w:t>纸等构成的防盗标签，贴在商品表面，用于书本、食品、日用品等商品的</w:t>
                        </w:r>
                        <w:r>
                          <w:rPr>
                            <w:rFonts w:ascii="宋体" w:hAnsi="宋体" w:cs="宋体" w:eastAsia="宋体" w:hint="default"/>
                            <w:sz w:val="21"/>
                            <w:szCs w:val="21"/>
                          </w:rPr>
                          <w:t> 防盗。</w:t>
                        </w:r>
                      </w:p>
                    </w:tc>
                  </w:tr>
                  <w:tr>
                    <w:trPr>
                      <w:trHeight w:val="390" w:hRule="exact"/>
                    </w:trPr>
                    <w:tc>
                      <w:tcPr>
                        <w:tcW w:w="1997" w:type="dxa"/>
                        <w:vMerge/>
                        <w:tcBorders>
                          <w:left w:val="single" w:sz="6" w:space="0" w:color="000000"/>
                          <w:right w:val="single" w:sz="12" w:space="0" w:color="D2D2D2"/>
                        </w:tcBorders>
                      </w:tcPr>
                      <w:p>
                        <w:pPr/>
                      </w:p>
                    </w:tc>
                    <w:tc>
                      <w:tcPr>
                        <w:tcW w:w="83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vMerge/>
                        <w:tcBorders>
                          <w:left w:val="single" w:sz="6" w:space="0" w:color="000000"/>
                          <w:right w:val="single" w:sz="6" w:space="0" w:color="000000"/>
                        </w:tcBorders>
                      </w:tcPr>
                      <w:p>
                        <w:pPr/>
                      </w:p>
                    </w:tc>
                  </w:tr>
                  <w:tr>
                    <w:trPr>
                      <w:trHeight w:val="323" w:hRule="exact"/>
                    </w:trPr>
                    <w:tc>
                      <w:tcPr>
                        <w:tcW w:w="1997" w:type="dxa"/>
                        <w:vMerge/>
                        <w:tcBorders>
                          <w:left w:val="single" w:sz="6" w:space="0" w:color="000000"/>
                          <w:bottom w:val="single" w:sz="6" w:space="0" w:color="000000"/>
                          <w:right w:val="single" w:sz="12" w:space="0" w:color="D2D2D2"/>
                        </w:tcBorders>
                      </w:tcPr>
                      <w:p>
                        <w:pPr/>
                      </w:p>
                    </w:tc>
                    <w:tc>
                      <w:tcPr>
                        <w:tcW w:w="834" w:type="dxa"/>
                        <w:tcBorders>
                          <w:top w:val="nil" w:sz="6" w:space="0" w:color="auto"/>
                          <w:left w:val="single" w:sz="6" w:space="0" w:color="000000"/>
                          <w:bottom w:val="single" w:sz="6" w:space="0" w:color="000000"/>
                          <w:right w:val="single" w:sz="6" w:space="0" w:color="000000"/>
                        </w:tcBorders>
                        <w:shd w:val="clear" w:color="auto" w:fill="D2D2D2"/>
                      </w:tcPr>
                      <w:p>
                        <w:pPr/>
                      </w:p>
                    </w:tc>
                    <w:tc>
                      <w:tcPr>
                        <w:tcW w:w="6751" w:type="dxa"/>
                        <w:vMerge/>
                        <w:tcBorders>
                          <w:left w:val="single" w:sz="6" w:space="0" w:color="000000"/>
                          <w:bottom w:val="single" w:sz="6" w:space="0" w:color="000000"/>
                          <w:right w:val="single" w:sz="6" w:space="0" w:color="000000"/>
                        </w:tcBorders>
                      </w:tcPr>
                      <w:p>
                        <w:pPr/>
                      </w:p>
                    </w:tc>
                  </w:tr>
                  <w:tr>
                    <w:trPr>
                      <w:trHeight w:val="158" w:hRule="exact"/>
                    </w:trPr>
                    <w:tc>
                      <w:tcPr>
                        <w:tcW w:w="1997" w:type="dxa"/>
                        <w:vMerge w:val="restart"/>
                        <w:tcBorders>
                          <w:top w:val="single" w:sz="6" w:space="0" w:color="000000"/>
                          <w:left w:val="single" w:sz="6" w:space="0" w:color="000000"/>
                          <w:right w:val="single" w:sz="18" w:space="0" w:color="D2D2D2"/>
                        </w:tcBorders>
                      </w:tcPr>
                      <w:p>
                        <w:pPr>
                          <w:pStyle w:val="TableParagraph"/>
                          <w:spacing w:line="240" w:lineRule="auto" w:before="175"/>
                          <w:ind w:left="15" w:right="0"/>
                          <w:jc w:val="left"/>
                          <w:rPr>
                            <w:rFonts w:ascii="宋体" w:hAnsi="宋体" w:cs="宋体" w:eastAsia="宋体" w:hint="default"/>
                            <w:sz w:val="21"/>
                            <w:szCs w:val="21"/>
                          </w:rPr>
                        </w:pPr>
                        <w:r>
                          <w:rPr>
                            <w:rFonts w:ascii="宋体" w:hAnsi="宋体" w:cs="宋体" w:eastAsia="宋体" w:hint="default"/>
                            <w:sz w:val="21"/>
                            <w:szCs w:val="21"/>
                          </w:rPr>
                          <w:t>声磁软标签</w:t>
                        </w:r>
                      </w:p>
                    </w:tc>
                    <w:tc>
                      <w:tcPr>
                        <w:tcW w:w="834" w:type="dxa"/>
                        <w:tcBorders>
                          <w:top w:val="single" w:sz="6" w:space="0" w:color="000000"/>
                          <w:left w:val="single" w:sz="6" w:space="0" w:color="000000"/>
                          <w:bottom w:val="nil" w:sz="6" w:space="0" w:color="auto"/>
                          <w:right w:val="single" w:sz="6" w:space="0" w:color="000000"/>
                        </w:tcBorders>
                        <w:shd w:val="clear" w:color="auto" w:fill="D2D2D2"/>
                      </w:tcPr>
                      <w:p>
                        <w:pPr/>
                      </w:p>
                    </w:tc>
                    <w:tc>
                      <w:tcPr>
                        <w:tcW w:w="6751" w:type="dxa"/>
                        <w:vMerge w:val="restart"/>
                        <w:tcBorders>
                          <w:top w:val="single" w:sz="6" w:space="0" w:color="000000"/>
                          <w:left w:val="single" w:sz="12" w:space="0" w:color="000000"/>
                          <w:right w:val="single" w:sz="6" w:space="0" w:color="000000"/>
                        </w:tcBorders>
                      </w:tcPr>
                      <w:p>
                        <w:pPr>
                          <w:pStyle w:val="TableParagraph"/>
                          <w:spacing w:line="261" w:lineRule="auto" w:before="25"/>
                          <w:ind w:left="15" w:right="21"/>
                          <w:jc w:val="left"/>
                          <w:rPr>
                            <w:rFonts w:ascii="宋体" w:hAnsi="宋体" w:cs="宋体" w:eastAsia="宋体" w:hint="default"/>
                            <w:sz w:val="21"/>
                            <w:szCs w:val="21"/>
                          </w:rPr>
                        </w:pPr>
                        <w:r>
                          <w:rPr>
                            <w:rFonts w:ascii="宋体" w:hAnsi="宋体" w:cs="宋体" w:eastAsia="宋体" w:hint="default"/>
                            <w:sz w:val="21"/>
                            <w:szCs w:val="21"/>
                          </w:rPr>
                          <w:t>AM</w:t>
                        </w:r>
                        <w:r>
                          <w:rPr>
                            <w:rFonts w:ascii="宋体" w:hAnsi="宋体" w:cs="宋体" w:eastAsia="宋体" w:hint="default"/>
                            <w:spacing w:val="-45"/>
                            <w:sz w:val="21"/>
                            <w:szCs w:val="21"/>
                          </w:rPr>
                          <w:t> </w:t>
                        </w:r>
                        <w:r>
                          <w:rPr>
                            <w:rFonts w:ascii="宋体" w:hAnsi="宋体" w:cs="宋体" w:eastAsia="宋体" w:hint="default"/>
                            <w:sz w:val="21"/>
                            <w:szCs w:val="21"/>
                          </w:rPr>
                          <w:t>Label</w:t>
                        </w:r>
                        <w:r>
                          <w:rPr>
                            <w:rFonts w:ascii="宋体" w:hAnsi="宋体" w:cs="宋体" w:eastAsia="宋体" w:hint="default"/>
                            <w:sz w:val="21"/>
                            <w:szCs w:val="21"/>
                          </w:rPr>
                          <w:t>，利用声磁共振技术，由非晶片、半硬磁片、不干胶黏贴纸等构 成的防盗标签，主要用途与纸标签相同。</w:t>
                        </w:r>
                      </w:p>
                    </w:tc>
                  </w:tr>
                  <w:tr>
                    <w:trPr>
                      <w:trHeight w:val="391" w:hRule="exact"/>
                    </w:trPr>
                    <w:tc>
                      <w:tcPr>
                        <w:tcW w:w="1997" w:type="dxa"/>
                        <w:vMerge/>
                        <w:tcBorders>
                          <w:left w:val="single" w:sz="6" w:space="0" w:color="000000"/>
                          <w:right w:val="single" w:sz="18" w:space="0" w:color="D2D2D2"/>
                        </w:tcBorders>
                      </w:tcPr>
                      <w:p>
                        <w:pPr/>
                      </w:p>
                    </w:tc>
                    <w:tc>
                      <w:tcPr>
                        <w:tcW w:w="83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5"/>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vMerge/>
                        <w:tcBorders>
                          <w:left w:val="single" w:sz="12" w:space="0" w:color="000000"/>
                          <w:right w:val="single" w:sz="6" w:space="0" w:color="000000"/>
                        </w:tcBorders>
                      </w:tcPr>
                      <w:p>
                        <w:pPr/>
                      </w:p>
                    </w:tc>
                  </w:tr>
                  <w:tr>
                    <w:trPr>
                      <w:trHeight w:val="158" w:hRule="exact"/>
                    </w:trPr>
                    <w:tc>
                      <w:tcPr>
                        <w:tcW w:w="1997" w:type="dxa"/>
                        <w:vMerge/>
                        <w:tcBorders>
                          <w:left w:val="single" w:sz="6" w:space="0" w:color="000000"/>
                          <w:bottom w:val="single" w:sz="6" w:space="0" w:color="000000"/>
                          <w:right w:val="single" w:sz="18" w:space="0" w:color="D2D2D2"/>
                        </w:tcBorders>
                      </w:tcPr>
                      <w:p>
                        <w:pPr/>
                      </w:p>
                    </w:tc>
                    <w:tc>
                      <w:tcPr>
                        <w:tcW w:w="834" w:type="dxa"/>
                        <w:tcBorders>
                          <w:top w:val="nil" w:sz="6" w:space="0" w:color="auto"/>
                          <w:left w:val="single" w:sz="6" w:space="0" w:color="000000"/>
                          <w:bottom w:val="single" w:sz="6" w:space="0" w:color="000000"/>
                          <w:right w:val="single" w:sz="6" w:space="0" w:color="000000"/>
                        </w:tcBorders>
                        <w:shd w:val="clear" w:color="auto" w:fill="D2D2D2"/>
                      </w:tcPr>
                      <w:p>
                        <w:pPr/>
                      </w:p>
                    </w:tc>
                    <w:tc>
                      <w:tcPr>
                        <w:tcW w:w="6751" w:type="dxa"/>
                        <w:vMerge/>
                        <w:tcBorders>
                          <w:left w:val="single" w:sz="12" w:space="0" w:color="000000"/>
                          <w:bottom w:val="single" w:sz="6" w:space="0" w:color="000000"/>
                          <w:right w:val="single" w:sz="6" w:space="0" w:color="000000"/>
                        </w:tcBorders>
                      </w:tcPr>
                      <w:p>
                        <w:pPr/>
                      </w:p>
                    </w:tc>
                  </w:tr>
                  <w:tr>
                    <w:trPr>
                      <w:trHeight w:val="173" w:hRule="exact"/>
                    </w:trPr>
                    <w:tc>
                      <w:tcPr>
                        <w:tcW w:w="1997" w:type="dxa"/>
                        <w:vMerge w:val="restart"/>
                        <w:tcBorders>
                          <w:top w:val="single" w:sz="6" w:space="0" w:color="000000"/>
                          <w:left w:val="single" w:sz="6" w:space="0" w:color="000000"/>
                          <w:right w:val="single" w:sz="12" w:space="0" w:color="D2D2D2"/>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展保</w:t>
                        </w:r>
                      </w:p>
                    </w:tc>
                    <w:tc>
                      <w:tcPr>
                        <w:tcW w:w="834" w:type="dxa"/>
                        <w:tcBorders>
                          <w:top w:val="single" w:sz="6" w:space="0" w:color="000000"/>
                          <w:left w:val="single" w:sz="6" w:space="0" w:color="000000"/>
                          <w:bottom w:val="nil" w:sz="6" w:space="0" w:color="auto"/>
                          <w:right w:val="single" w:sz="6" w:space="0" w:color="000000"/>
                        </w:tcBorders>
                        <w:shd w:val="clear" w:color="auto" w:fill="D2D2D2"/>
                      </w:tcPr>
                      <w:p>
                        <w:pPr/>
                      </w:p>
                    </w:tc>
                    <w:tc>
                      <w:tcPr>
                        <w:tcW w:w="6751" w:type="dxa"/>
                        <w:vMerge w:val="restart"/>
                        <w:tcBorders>
                          <w:top w:val="single" w:sz="6" w:space="0" w:color="000000"/>
                          <w:left w:val="single" w:sz="6" w:space="0" w:color="000000"/>
                          <w:right w:val="single" w:sz="6" w:space="0" w:color="000000"/>
                        </w:tcBorders>
                      </w:tcPr>
                      <w:p>
                        <w:pPr>
                          <w:pStyle w:val="TableParagraph"/>
                          <w:spacing w:line="276" w:lineRule="auto" w:before="25"/>
                          <w:ind w:left="22" w:right="-23"/>
                          <w:jc w:val="left"/>
                          <w:rPr>
                            <w:rFonts w:ascii="宋体" w:hAnsi="宋体" w:cs="宋体" w:eastAsia="宋体" w:hint="default"/>
                            <w:sz w:val="21"/>
                            <w:szCs w:val="21"/>
                          </w:rPr>
                        </w:pPr>
                        <w:r>
                          <w:rPr>
                            <w:rFonts w:ascii="宋体" w:hAnsi="宋体" w:cs="宋体" w:eastAsia="宋体" w:hint="default"/>
                            <w:sz w:val="21"/>
                            <w:szCs w:val="21"/>
                          </w:rPr>
                          <w:t>展示保护类商品，一种专业为零售商就笔记本电脑、手机、</w:t>
                        </w:r>
                        <w:r>
                          <w:rPr>
                            <w:rFonts w:ascii="宋体" w:hAnsi="宋体" w:cs="宋体" w:eastAsia="宋体" w:hint="default"/>
                            <w:sz w:val="21"/>
                            <w:szCs w:val="21"/>
                          </w:rPr>
                          <w:t>IPAD</w:t>
                        </w:r>
                        <w:r>
                          <w:rPr>
                            <w:rFonts w:ascii="宋体" w:hAnsi="宋体" w:cs="宋体" w:eastAsia="宋体" w:hint="default"/>
                            <w:spacing w:val="-47"/>
                            <w:sz w:val="21"/>
                            <w:szCs w:val="21"/>
                          </w:rPr>
                          <w:t> </w:t>
                        </w:r>
                        <w:r>
                          <w:rPr>
                            <w:rFonts w:ascii="宋体" w:hAnsi="宋体" w:cs="宋体" w:eastAsia="宋体" w:hint="default"/>
                            <w:sz w:val="21"/>
                            <w:szCs w:val="21"/>
                          </w:rPr>
                          <w:t>等</w:t>
                        </w:r>
                        <w:r>
                          <w:rPr>
                            <w:rFonts w:ascii="宋体" w:hAnsi="宋体" w:cs="宋体" w:eastAsia="宋体" w:hint="default"/>
                            <w:spacing w:val="-47"/>
                            <w:sz w:val="21"/>
                            <w:szCs w:val="21"/>
                          </w:rPr>
                          <w:t> </w:t>
                        </w:r>
                        <w:r>
                          <w:rPr>
                            <w:rFonts w:ascii="宋体" w:hAnsi="宋体" w:cs="宋体" w:eastAsia="宋体" w:hint="default"/>
                            <w:sz w:val="21"/>
                            <w:szCs w:val="21"/>
                          </w:rPr>
                          <w:t>3C</w:t>
                        </w:r>
                        <w:r>
                          <w:rPr>
                            <w:rFonts w:ascii="宋体" w:hAnsi="宋体" w:cs="宋体" w:eastAsia="宋体" w:hint="default"/>
                            <w:spacing w:val="-47"/>
                            <w:sz w:val="21"/>
                            <w:szCs w:val="21"/>
                          </w:rPr>
                          <w:t> </w:t>
                        </w:r>
                        <w:r>
                          <w:rPr>
                            <w:rFonts w:ascii="宋体" w:hAnsi="宋体" w:cs="宋体" w:eastAsia="宋体" w:hint="default"/>
                            <w:sz w:val="21"/>
                            <w:szCs w:val="21"/>
                          </w:rPr>
                          <w:t>电 子产品开架销售提供供电保护系统的产品，以提高客户体验，促进销售。</w:t>
                        </w:r>
                      </w:p>
                    </w:tc>
                  </w:tr>
                  <w:tr>
                    <w:trPr>
                      <w:trHeight w:val="390" w:hRule="exact"/>
                    </w:trPr>
                    <w:tc>
                      <w:tcPr>
                        <w:tcW w:w="1997" w:type="dxa"/>
                        <w:vMerge/>
                        <w:tcBorders>
                          <w:left w:val="single" w:sz="6" w:space="0" w:color="000000"/>
                          <w:right w:val="single" w:sz="12" w:space="0" w:color="D2D2D2"/>
                        </w:tcBorders>
                      </w:tcPr>
                      <w:p>
                        <w:pPr/>
                      </w:p>
                    </w:tc>
                    <w:tc>
                      <w:tcPr>
                        <w:tcW w:w="83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4"/>
                          <w:ind w:right="5"/>
                          <w:jc w:val="center"/>
                          <w:rPr>
                            <w:rFonts w:ascii="宋体" w:hAnsi="宋体" w:cs="宋体" w:eastAsia="宋体" w:hint="default"/>
                            <w:sz w:val="21"/>
                            <w:szCs w:val="21"/>
                          </w:rPr>
                        </w:pPr>
                        <w:r>
                          <w:rPr>
                            <w:rFonts w:ascii="宋体" w:hAnsi="宋体" w:cs="宋体" w:eastAsia="宋体" w:hint="default"/>
                            <w:sz w:val="21"/>
                            <w:szCs w:val="21"/>
                          </w:rPr>
                          <w:t>指</w:t>
                        </w:r>
                      </w:p>
                    </w:tc>
                    <w:tc>
                      <w:tcPr>
                        <w:tcW w:w="6751" w:type="dxa"/>
                        <w:vMerge/>
                        <w:tcBorders>
                          <w:left w:val="single" w:sz="6" w:space="0" w:color="000000"/>
                          <w:right w:val="single" w:sz="6" w:space="0" w:color="000000"/>
                        </w:tcBorders>
                      </w:tcPr>
                      <w:p>
                        <w:pPr/>
                      </w:p>
                    </w:tc>
                  </w:tr>
                  <w:tr>
                    <w:trPr>
                      <w:trHeight w:val="158" w:hRule="exact"/>
                    </w:trPr>
                    <w:tc>
                      <w:tcPr>
                        <w:tcW w:w="1997" w:type="dxa"/>
                        <w:vMerge/>
                        <w:tcBorders>
                          <w:left w:val="single" w:sz="6" w:space="0" w:color="000000"/>
                          <w:bottom w:val="single" w:sz="6" w:space="0" w:color="000000"/>
                          <w:right w:val="single" w:sz="12" w:space="0" w:color="D2D2D2"/>
                        </w:tcBorders>
                      </w:tcPr>
                      <w:p>
                        <w:pPr/>
                      </w:p>
                    </w:tc>
                    <w:tc>
                      <w:tcPr>
                        <w:tcW w:w="834" w:type="dxa"/>
                        <w:tcBorders>
                          <w:top w:val="nil" w:sz="6" w:space="0" w:color="auto"/>
                          <w:left w:val="single" w:sz="6" w:space="0" w:color="000000"/>
                          <w:bottom w:val="single" w:sz="6" w:space="0" w:color="000000"/>
                          <w:right w:val="single" w:sz="6" w:space="0" w:color="000000"/>
                        </w:tcBorders>
                        <w:shd w:val="clear" w:color="auto" w:fill="D2D2D2"/>
                      </w:tcPr>
                      <w:p>
                        <w:pPr/>
                      </w:p>
                    </w:tc>
                    <w:tc>
                      <w:tcPr>
                        <w:tcW w:w="6751" w:type="dxa"/>
                        <w:vMerge/>
                        <w:tcBorders>
                          <w:left w:val="single" w:sz="6" w:space="0" w:color="000000"/>
                          <w:bottom w:val="single" w:sz="6" w:space="0" w:color="000000"/>
                          <w:right w:val="single" w:sz="6" w:space="0" w:color="000000"/>
                        </w:tcBorders>
                      </w:tcPr>
                      <w:p>
                        <w:pPr/>
                      </w:p>
                    </w:tc>
                  </w:tr>
                </w:tbl>
                <w:p>
                  <w:pPr/>
                </w:p>
              </w:txbxContent>
            </v:textbox>
            <w10:wrap type="none"/>
          </v:shape>
        </w:pict>
      </w: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7"/>
          <w:szCs w:val="27"/>
        </w:rPr>
      </w:pPr>
    </w:p>
    <w:p>
      <w:pPr>
        <w:pStyle w:val="Heading6"/>
        <w:spacing w:line="240" w:lineRule="auto" w:before="35"/>
        <w:ind w:left="0" w:right="1109"/>
        <w:jc w:val="right"/>
      </w:pPr>
      <w:r>
        <w:rPr/>
        <w:pict>
          <v:shape style="position:absolute;margin-left:56.325001pt;margin-top:-51.276321pt;width:480.25pt;height:26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2"/>
                    <w:gridCol w:w="856"/>
                    <w:gridCol w:w="6743"/>
                  </w:tblGrid>
                  <w:tr>
                    <w:trPr>
                      <w:trHeight w:val="102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21"/>
                            <w:szCs w:val="21"/>
                          </w:rPr>
                        </w:pPr>
                        <w:r>
                          <w:rPr>
                            <w:rFonts w:ascii="宋体"/>
                            <w:sz w:val="21"/>
                          </w:rPr>
                          <w:t>RFID</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3"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24"/>
                          <w:ind w:left="15" w:right="6"/>
                          <w:jc w:val="both"/>
                          <w:rPr>
                            <w:rFonts w:ascii="宋体" w:hAnsi="宋体" w:cs="宋体" w:eastAsia="宋体" w:hint="default"/>
                            <w:sz w:val="21"/>
                            <w:szCs w:val="21"/>
                          </w:rPr>
                        </w:pPr>
                        <w:r>
                          <w:rPr>
                            <w:rFonts w:ascii="宋体" w:hAnsi="宋体" w:cs="宋体" w:eastAsia="宋体" w:hint="default"/>
                            <w:sz w:val="21"/>
                            <w:szCs w:val="21"/>
                          </w:rPr>
                          <w:t>Radio</w:t>
                        </w:r>
                        <w:r>
                          <w:rPr>
                            <w:rFonts w:ascii="宋体" w:hAnsi="宋体" w:cs="宋体" w:eastAsia="宋体" w:hint="default"/>
                            <w:spacing w:val="-45"/>
                            <w:sz w:val="21"/>
                            <w:szCs w:val="21"/>
                          </w:rPr>
                          <w:t> </w:t>
                        </w:r>
                        <w:r>
                          <w:rPr>
                            <w:rFonts w:ascii="宋体" w:hAnsi="宋体" w:cs="宋体" w:eastAsia="宋体" w:hint="default"/>
                            <w:sz w:val="21"/>
                            <w:szCs w:val="21"/>
                          </w:rPr>
                          <w:t>Frequency</w:t>
                        </w:r>
                        <w:r>
                          <w:rPr>
                            <w:rFonts w:ascii="宋体" w:hAnsi="宋体" w:cs="宋体" w:eastAsia="宋体" w:hint="default"/>
                            <w:spacing w:val="-45"/>
                            <w:sz w:val="21"/>
                            <w:szCs w:val="21"/>
                          </w:rPr>
                          <w:t> </w:t>
                        </w:r>
                        <w:r>
                          <w:rPr>
                            <w:rFonts w:ascii="宋体" w:hAnsi="宋体" w:cs="宋体" w:eastAsia="宋体" w:hint="default"/>
                            <w:sz w:val="21"/>
                            <w:szCs w:val="21"/>
                          </w:rPr>
                          <w:t>Identification</w:t>
                        </w:r>
                        <w:r>
                          <w:rPr>
                            <w:rFonts w:ascii="宋体" w:hAnsi="宋体" w:cs="宋体" w:eastAsia="宋体" w:hint="default"/>
                            <w:spacing w:val="-42"/>
                            <w:sz w:val="21"/>
                            <w:szCs w:val="21"/>
                          </w:rPr>
                          <w:t> </w:t>
                        </w:r>
                        <w:r>
                          <w:rPr>
                            <w:rFonts w:ascii="宋体" w:hAnsi="宋体" w:cs="宋体" w:eastAsia="宋体" w:hint="default"/>
                            <w:sz w:val="21"/>
                            <w:szCs w:val="21"/>
                          </w:rPr>
                          <w:t>的简称，即射频识别，是一种非接触式 </w:t>
                        </w:r>
                        <w:r>
                          <w:rPr>
                            <w:rFonts w:ascii="宋体" w:hAnsi="宋体" w:cs="宋体" w:eastAsia="宋体" w:hint="default"/>
                            <w:spacing w:val="-1"/>
                            <w:sz w:val="21"/>
                            <w:szCs w:val="21"/>
                          </w:rPr>
                          <w:t>的自动识别技术，它通过射频信号自动识别目标对象并获取相关数据，识</w:t>
                        </w:r>
                        <w:r>
                          <w:rPr>
                            <w:rFonts w:ascii="宋体" w:hAnsi="宋体" w:cs="宋体" w:eastAsia="宋体" w:hint="default"/>
                            <w:sz w:val="21"/>
                            <w:szCs w:val="21"/>
                          </w:rPr>
                          <w:t> 别工作无需人工干预，可工作于各种恶劣环境。</w:t>
                        </w:r>
                      </w:p>
                    </w:tc>
                  </w:tr>
                  <w:tr>
                    <w:trPr>
                      <w:trHeight w:val="42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z w:val="21"/>
                            <w:szCs w:val="21"/>
                          </w:rPr>
                          <w:t>特种标签</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5" w:right="0"/>
                          <w:jc w:val="left"/>
                          <w:rPr>
                            <w:rFonts w:ascii="宋体" w:hAnsi="宋体" w:cs="宋体" w:eastAsia="宋体" w:hint="default"/>
                            <w:sz w:val="21"/>
                            <w:szCs w:val="21"/>
                          </w:rPr>
                        </w:pPr>
                        <w:r>
                          <w:rPr>
                            <w:rFonts w:ascii="宋体" w:hAnsi="宋体" w:cs="宋体" w:eastAsia="宋体" w:hint="default"/>
                            <w:spacing w:val="-7"/>
                            <w:sz w:val="21"/>
                            <w:szCs w:val="21"/>
                          </w:rPr>
                          <w:t>应用于特定的场合、环境、物品的</w:t>
                        </w:r>
                        <w:r>
                          <w:rPr>
                            <w:rFonts w:ascii="宋体" w:hAnsi="宋体" w:cs="宋体" w:eastAsia="宋体" w:hint="default"/>
                            <w:spacing w:val="-44"/>
                            <w:sz w:val="21"/>
                            <w:szCs w:val="21"/>
                          </w:rPr>
                          <w:t> </w:t>
                        </w:r>
                        <w:r>
                          <w:rPr>
                            <w:rFonts w:ascii="宋体" w:hAnsi="宋体" w:cs="宋体" w:eastAsia="宋体" w:hint="default"/>
                            <w:sz w:val="21"/>
                            <w:szCs w:val="21"/>
                          </w:rPr>
                          <w:t>RFID</w:t>
                        </w:r>
                        <w:r>
                          <w:rPr>
                            <w:rFonts w:ascii="宋体" w:hAnsi="宋体" w:cs="宋体" w:eastAsia="宋体" w:hint="default"/>
                            <w:spacing w:val="-42"/>
                            <w:sz w:val="21"/>
                            <w:szCs w:val="21"/>
                          </w:rPr>
                          <w:t> </w:t>
                        </w:r>
                        <w:r>
                          <w:rPr>
                            <w:rFonts w:ascii="宋体" w:hAnsi="宋体" w:cs="宋体" w:eastAsia="宋体" w:hint="default"/>
                            <w:spacing w:val="-15"/>
                            <w:sz w:val="21"/>
                            <w:szCs w:val="21"/>
                          </w:rPr>
                          <w:t>标签，是</w:t>
                        </w:r>
                        <w:r>
                          <w:rPr>
                            <w:rFonts w:ascii="宋体" w:hAnsi="宋体" w:cs="宋体" w:eastAsia="宋体" w:hint="default"/>
                            <w:spacing w:val="-42"/>
                            <w:sz w:val="21"/>
                            <w:szCs w:val="21"/>
                          </w:rPr>
                          <w:t> </w:t>
                        </w:r>
                        <w:r>
                          <w:rPr>
                            <w:rFonts w:ascii="宋体" w:hAnsi="宋体" w:cs="宋体" w:eastAsia="宋体" w:hint="default"/>
                            <w:spacing w:val="-4"/>
                            <w:sz w:val="21"/>
                            <w:szCs w:val="21"/>
                          </w:rPr>
                          <w:t>RFID</w:t>
                        </w:r>
                        <w:r>
                          <w:rPr>
                            <w:rFonts w:ascii="宋体" w:hAnsi="宋体" w:cs="宋体" w:eastAsia="宋体" w:hint="default"/>
                            <w:spacing w:val="-42"/>
                            <w:sz w:val="21"/>
                            <w:szCs w:val="21"/>
                          </w:rPr>
                          <w:t> </w:t>
                        </w:r>
                        <w:r>
                          <w:rPr>
                            <w:rFonts w:ascii="宋体" w:hAnsi="宋体" w:cs="宋体" w:eastAsia="宋体" w:hint="default"/>
                            <w:sz w:val="21"/>
                            <w:szCs w:val="21"/>
                          </w:rPr>
                          <w:t>裸标签的扩展应用</w:t>
                        </w:r>
                      </w:p>
                    </w:tc>
                  </w:tr>
                  <w:tr>
                    <w:trPr>
                      <w:trHeight w:val="7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left="15" w:right="0"/>
                          <w:jc w:val="left"/>
                          <w:rPr>
                            <w:rFonts w:ascii="宋体" w:hAnsi="宋体" w:cs="宋体" w:eastAsia="宋体" w:hint="default"/>
                            <w:sz w:val="21"/>
                            <w:szCs w:val="21"/>
                          </w:rPr>
                        </w:pPr>
                        <w:r>
                          <w:rPr>
                            <w:rFonts w:ascii="宋体" w:hAnsi="宋体" w:cs="宋体" w:eastAsia="宋体" w:hint="default"/>
                            <w:sz w:val="21"/>
                            <w:szCs w:val="21"/>
                          </w:rPr>
                          <w:t>移动互联网</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10"/>
                          <w:ind w:left="15" w:right="9"/>
                          <w:jc w:val="left"/>
                          <w:rPr>
                            <w:rFonts w:ascii="宋体" w:hAnsi="宋体" w:cs="宋体" w:eastAsia="宋体" w:hint="default"/>
                            <w:sz w:val="21"/>
                            <w:szCs w:val="21"/>
                          </w:rPr>
                        </w:pPr>
                        <w:r>
                          <w:rPr>
                            <w:rFonts w:ascii="宋体" w:hAnsi="宋体" w:cs="宋体" w:eastAsia="宋体" w:hint="default"/>
                            <w:spacing w:val="-1"/>
                            <w:sz w:val="21"/>
                            <w:szCs w:val="21"/>
                          </w:rPr>
                          <w:t>互联网的技术、平台、商业模式和应用与移动通信技术结合并实践的活动</w:t>
                        </w:r>
                        <w:r>
                          <w:rPr>
                            <w:rFonts w:ascii="宋体" w:hAnsi="宋体" w:cs="宋体" w:eastAsia="宋体" w:hint="default"/>
                            <w:sz w:val="21"/>
                            <w:szCs w:val="21"/>
                          </w:rPr>
                          <w:t> 的总称。</w:t>
                        </w:r>
                      </w:p>
                    </w:tc>
                  </w:tr>
                  <w:tr>
                    <w:trPr>
                      <w:trHeight w:val="103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物联网</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3"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before="25"/>
                          <w:ind w:left="15" w:right="24"/>
                          <w:jc w:val="both"/>
                          <w:rPr>
                            <w:rFonts w:ascii="宋体" w:hAnsi="宋体" w:cs="宋体" w:eastAsia="宋体" w:hint="default"/>
                            <w:sz w:val="21"/>
                            <w:szCs w:val="21"/>
                          </w:rPr>
                        </w:pPr>
                        <w:r>
                          <w:rPr>
                            <w:rFonts w:ascii="宋体" w:hAnsi="宋体" w:cs="宋体" w:eastAsia="宋体" w:hint="default"/>
                            <w:spacing w:val="-4"/>
                            <w:sz w:val="21"/>
                            <w:szCs w:val="21"/>
                          </w:rPr>
                          <w:t>通过射频识别（</w:t>
                        </w:r>
                        <w:r>
                          <w:rPr>
                            <w:rFonts w:ascii="宋体" w:hAnsi="宋体" w:cs="宋体" w:eastAsia="宋体" w:hint="default"/>
                            <w:spacing w:val="-4"/>
                            <w:sz w:val="21"/>
                            <w:szCs w:val="21"/>
                          </w:rPr>
                          <w:t>RFID</w:t>
                        </w:r>
                        <w:r>
                          <w:rPr>
                            <w:rFonts w:ascii="宋体" w:hAnsi="宋体" w:cs="宋体" w:eastAsia="宋体" w:hint="default"/>
                            <w:spacing w:val="-4"/>
                            <w:sz w:val="21"/>
                            <w:szCs w:val="21"/>
                          </w:rPr>
                          <w:t>）、红外感应器、全球定位系统、激光扫描器等信息</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传感设备，按约定的协议，把任何物品与互联网相连接，进行信息交换和</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5"/>
                            <w:sz w:val="21"/>
                            <w:szCs w:val="21"/>
                          </w:rPr>
                          <w:t>通信，以实现对物品的智能化识别、定位、跟踪、监控和管理的一种网络</w:t>
                        </w:r>
                      </w:p>
                    </w:tc>
                  </w:tr>
                  <w:tr>
                    <w:trPr>
                      <w:trHeight w:val="7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left="15" w:right="0"/>
                          <w:jc w:val="left"/>
                          <w:rPr>
                            <w:rFonts w:ascii="宋体" w:hAnsi="宋体" w:cs="宋体" w:eastAsia="宋体" w:hint="default"/>
                            <w:sz w:val="21"/>
                            <w:szCs w:val="21"/>
                          </w:rPr>
                        </w:pPr>
                        <w:r>
                          <w:rPr>
                            <w:rFonts w:ascii="宋体" w:hAnsi="宋体" w:cs="宋体" w:eastAsia="宋体" w:hint="default"/>
                            <w:sz w:val="21"/>
                            <w:szCs w:val="21"/>
                          </w:rPr>
                          <w:t>云计算</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10"/>
                          <w:ind w:left="15" w:right="6"/>
                          <w:jc w:val="left"/>
                          <w:rPr>
                            <w:rFonts w:ascii="宋体" w:hAnsi="宋体" w:cs="宋体" w:eastAsia="宋体" w:hint="default"/>
                            <w:sz w:val="21"/>
                            <w:szCs w:val="21"/>
                          </w:rPr>
                        </w:pPr>
                        <w:r>
                          <w:rPr>
                            <w:rFonts w:ascii="宋体" w:hAnsi="宋体" w:cs="宋体" w:eastAsia="宋体" w:hint="default"/>
                            <w:spacing w:val="-1"/>
                            <w:sz w:val="21"/>
                            <w:szCs w:val="21"/>
                          </w:rPr>
                          <w:t>一种基于互联网的计算方式，通过这种方式，共享的软硬件资源和信息可</w:t>
                        </w:r>
                        <w:r>
                          <w:rPr>
                            <w:rFonts w:ascii="宋体" w:hAnsi="宋体" w:cs="宋体" w:eastAsia="宋体" w:hint="default"/>
                            <w:sz w:val="21"/>
                            <w:szCs w:val="21"/>
                          </w:rPr>
                          <w:t> 以按需求提供给计算机和其他设备。</w:t>
                        </w:r>
                      </w:p>
                    </w:tc>
                  </w:tr>
                  <w:tr>
                    <w:trPr>
                      <w:trHeight w:val="721"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5"/>
                          <w:ind w:left="15" w:right="0"/>
                          <w:jc w:val="left"/>
                          <w:rPr>
                            <w:rFonts w:ascii="宋体" w:hAnsi="宋体" w:cs="宋体" w:eastAsia="宋体" w:hint="default"/>
                            <w:sz w:val="21"/>
                            <w:szCs w:val="21"/>
                          </w:rPr>
                        </w:pPr>
                        <w:r>
                          <w:rPr>
                            <w:rFonts w:ascii="宋体" w:hAnsi="宋体" w:cs="宋体" w:eastAsia="宋体" w:hint="default"/>
                            <w:sz w:val="21"/>
                            <w:szCs w:val="21"/>
                          </w:rPr>
                          <w:t>大数据</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5"/>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25"/>
                          <w:ind w:left="15" w:right="20"/>
                          <w:jc w:val="left"/>
                          <w:rPr>
                            <w:rFonts w:ascii="宋体" w:hAnsi="宋体" w:cs="宋体" w:eastAsia="宋体" w:hint="default"/>
                            <w:sz w:val="21"/>
                            <w:szCs w:val="21"/>
                          </w:rPr>
                        </w:pPr>
                        <w:r>
                          <w:rPr>
                            <w:rFonts w:ascii="宋体" w:hAnsi="宋体" w:cs="宋体" w:eastAsia="宋体" w:hint="default"/>
                            <w:spacing w:val="-2"/>
                            <w:sz w:val="21"/>
                            <w:szCs w:val="21"/>
                          </w:rPr>
                          <w:t>需要新处理模式才能具有更强的决策力、洞察发现力和流程优化能力的海</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量、高增长率和多样化的信息资产。</w:t>
                        </w:r>
                      </w:p>
                    </w:tc>
                  </w:tr>
                  <w:tr>
                    <w:trPr>
                      <w:trHeight w:val="7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4"/>
                          <w:ind w:left="15" w:right="0"/>
                          <w:jc w:val="left"/>
                          <w:rPr>
                            <w:rFonts w:ascii="宋体" w:hAnsi="宋体" w:cs="宋体" w:eastAsia="宋体" w:hint="default"/>
                            <w:sz w:val="21"/>
                            <w:szCs w:val="21"/>
                          </w:rPr>
                        </w:pPr>
                        <w:r>
                          <w:rPr>
                            <w:rFonts w:ascii="宋体"/>
                            <w:sz w:val="21"/>
                          </w:rPr>
                          <w:t>HIMSS</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指</w:t>
                        </w:r>
                      </w:p>
                    </w:tc>
                    <w:tc>
                      <w:tcPr>
                        <w:tcW w:w="674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9"/>
                          <w:ind w:left="15" w:right="26"/>
                          <w:jc w:val="left"/>
                          <w:rPr>
                            <w:rFonts w:ascii="宋体" w:hAnsi="宋体" w:cs="宋体" w:eastAsia="宋体" w:hint="default"/>
                            <w:sz w:val="21"/>
                            <w:szCs w:val="21"/>
                          </w:rPr>
                        </w:pPr>
                        <w:r>
                          <w:rPr>
                            <w:rFonts w:ascii="宋体" w:hAnsi="宋体" w:cs="宋体" w:eastAsia="宋体" w:hint="default"/>
                            <w:sz w:val="21"/>
                            <w:szCs w:val="21"/>
                          </w:rPr>
                          <w:t>Healthcare Information and Management Systems Society</w:t>
                        </w:r>
                        <w:r>
                          <w:rPr>
                            <w:rFonts w:ascii="宋体" w:hAnsi="宋体" w:cs="宋体" w:eastAsia="宋体" w:hint="default"/>
                            <w:spacing w:val="-38"/>
                            <w:sz w:val="21"/>
                            <w:szCs w:val="21"/>
                          </w:rPr>
                          <w:t> </w:t>
                        </w:r>
                        <w:r>
                          <w:rPr>
                            <w:rFonts w:ascii="宋体" w:hAnsi="宋体" w:cs="宋体" w:eastAsia="宋体" w:hint="default"/>
                            <w:sz w:val="21"/>
                            <w:szCs w:val="21"/>
                          </w:rPr>
                          <w:t>的简称，即 医疗卫生信息和管理系统协会</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6"/>
        <w:spacing w:line="240" w:lineRule="auto" w:before="35"/>
        <w:ind w:left="0" w:right="1106"/>
        <w:jc w:val="right"/>
      </w:pPr>
      <w:r>
        <w:rPr/>
        <w:t>。</w:t>
      </w:r>
    </w:p>
    <w:p>
      <w:pPr>
        <w:spacing w:after="0" w:line="240" w:lineRule="auto"/>
        <w:jc w:val="righ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634" w:right="1086"/>
        <w:jc w:val="left"/>
        <w:rPr>
          <w:b w:val="0"/>
          <w:bCs w:val="0"/>
        </w:rPr>
      </w:pPr>
      <w:bookmarkStart w:name="_TOC_250011" w:id="3"/>
      <w:bookmarkStart w:name="第二节 公司简介和主要财务指标" w:id="4"/>
      <w:r>
        <w:rPr>
          <w:b w:val="0"/>
          <w:bCs w:val="0"/>
        </w:rPr>
      </w:r>
      <w:r>
        <w:rPr>
          <w:spacing w:val="4"/>
        </w:rPr>
        <w:t>第二节</w:t>
      </w:r>
      <w:r>
        <w:rPr>
          <w:spacing w:val="84"/>
        </w:rPr>
        <w:t> </w:t>
      </w:r>
      <w:r>
        <w:rPr>
          <w:spacing w:val="5"/>
        </w:rPr>
        <w:t>公司简介和主要财务指标</w:t>
      </w:r>
      <w:bookmarkEnd w:id="3"/>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086"/>
        <w:jc w:val="left"/>
        <w:rPr>
          <w:b w:val="0"/>
          <w:bCs w:val="0"/>
        </w:rPr>
      </w:pPr>
      <w:r>
        <w:rPr/>
        <w:pict>
          <v:group style="position:absolute;margin-left:171.229996pt;margin-top:115.170631pt;width:363.45pt;height:19.55pt;mso-position-horizontal-relative:page;mso-position-vertical-relative:paragraph;z-index:-1276984" coordorigin="3425,2303" coordsize="7269,391">
            <v:group style="position:absolute;left:3425;top:2303;width:30;height:391" coordorigin="3425,2303" coordsize="30,391">
              <v:shape style="position:absolute;left:3425;top:2303;width:30;height:391" coordorigin="3425,2303" coordsize="30,391" path="m3425,2694l3455,2694,3455,2303,3425,2303,3425,2694xe" filled="true" fillcolor="#ffffff" stroked="false">
                <v:path arrowok="t"/>
                <v:fill type="solid"/>
              </v:shape>
            </v:group>
            <v:group style="position:absolute;left:3455;top:2303;width:7239;height:391" coordorigin="3455,2303" coordsize="7239,391">
              <v:shape style="position:absolute;left:3455;top:2303;width:7239;height:391" coordorigin="3455,2303" coordsize="7239,391" path="m3455,2694l10694,2694,10694,2303,3455,2303,3455,2694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300078</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思创医惠科技股份有限公司</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思创医惠</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HANGZHOU CENTURY CO.,LTD</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9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宋体" w:hAnsi="宋体" w:cs="宋体" w:eastAsia="宋体" w:hint="default"/>
                <w:spacing w:val="-8"/>
                <w:sz w:val="18"/>
                <w:szCs w:val="18"/>
              </w:rPr>
              <w:t>CENTURY</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章笠中</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4"/>
                <w:sz w:val="18"/>
                <w:szCs w:val="18"/>
              </w:rPr>
              <w:t> </w:t>
            </w:r>
            <w:r>
              <w:rPr>
                <w:rFonts w:ascii="宋体" w:hAnsi="宋体" w:cs="宋体" w:eastAsia="宋体" w:hint="default"/>
                <w:sz w:val="18"/>
                <w:szCs w:val="18"/>
              </w:rPr>
              <w:t>1418-25</w:t>
            </w:r>
            <w:r>
              <w:rPr>
                <w:rFonts w:ascii="宋体" w:hAnsi="宋体" w:cs="宋体" w:eastAsia="宋体" w:hint="default"/>
                <w:spacing w:val="-45"/>
                <w:sz w:val="18"/>
                <w:szCs w:val="18"/>
              </w:rPr>
              <w:t> </w:t>
            </w:r>
            <w:r>
              <w:rPr>
                <w:rFonts w:ascii="宋体" w:hAnsi="宋体" w:cs="宋体" w:eastAsia="宋体" w:hint="default"/>
                <w:sz w:val="18"/>
                <w:szCs w:val="18"/>
              </w:rPr>
              <w:t>号（上城科技经济园）</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sz w:val="18"/>
              </w:rPr>
              <w:t>310011</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4"/>
                <w:sz w:val="18"/>
                <w:szCs w:val="18"/>
              </w:rPr>
              <w:t> </w:t>
            </w:r>
            <w:r>
              <w:rPr>
                <w:rFonts w:ascii="宋体" w:hAnsi="宋体" w:cs="宋体" w:eastAsia="宋体" w:hint="default"/>
                <w:sz w:val="18"/>
                <w:szCs w:val="18"/>
              </w:rPr>
              <w:t>1418-48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sz w:val="18"/>
              </w:rPr>
              <w:t>310011</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hyperlink r:id="rId9">
              <w:r>
                <w:rPr>
                  <w:rFonts w:ascii="宋体"/>
                  <w:sz w:val="18"/>
                </w:rPr>
                <w:t>www.sichuangyihui.com.cn</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hyperlink r:id="rId10">
              <w:r>
                <w:rPr>
                  <w:rFonts w:ascii="宋体"/>
                  <w:sz w:val="18"/>
                </w:rPr>
                <w:t>zhengquanbu@century-cn.com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086"/>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曾正</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4"/>
                <w:sz w:val="18"/>
                <w:szCs w:val="18"/>
              </w:rPr>
              <w:t> </w:t>
            </w:r>
            <w:r>
              <w:rPr>
                <w:rFonts w:ascii="宋体" w:hAnsi="宋体" w:cs="宋体" w:eastAsia="宋体" w:hint="default"/>
                <w:sz w:val="18"/>
                <w:szCs w:val="18"/>
              </w:rPr>
              <w:t>1418-48</w:t>
            </w:r>
            <w:r>
              <w:rPr>
                <w:rFonts w:ascii="宋体" w:hAnsi="宋体" w:cs="宋体" w:eastAsia="宋体" w:hint="default"/>
                <w:spacing w:val="-45"/>
                <w:sz w:val="18"/>
                <w:szCs w:val="18"/>
              </w:rPr>
              <w:t> </w:t>
            </w:r>
            <w:r>
              <w:rPr>
                <w:rFonts w:ascii="宋体" w:hAnsi="宋体" w:cs="宋体" w:eastAsia="宋体" w:hint="default"/>
                <w:sz w:val="18"/>
                <w:szCs w:val="18"/>
              </w:rPr>
              <w:t>号</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杭州市莫干山路</w:t>
            </w:r>
            <w:r>
              <w:rPr>
                <w:rFonts w:ascii="宋体" w:hAnsi="宋体" w:cs="宋体" w:eastAsia="宋体" w:hint="default"/>
                <w:spacing w:val="-44"/>
                <w:sz w:val="18"/>
                <w:szCs w:val="18"/>
              </w:rPr>
              <w:t> </w:t>
            </w:r>
            <w:r>
              <w:rPr>
                <w:rFonts w:ascii="宋体" w:hAnsi="宋体" w:cs="宋体" w:eastAsia="宋体" w:hint="default"/>
                <w:sz w:val="18"/>
                <w:szCs w:val="18"/>
              </w:rPr>
              <w:t>1418-48</w:t>
            </w:r>
            <w:r>
              <w:rPr>
                <w:rFonts w:ascii="宋体" w:hAnsi="宋体" w:cs="宋体" w:eastAsia="宋体" w:hint="default"/>
                <w:spacing w:val="-45"/>
                <w:sz w:val="18"/>
                <w:szCs w:val="18"/>
              </w:rPr>
              <w:t> </w:t>
            </w:r>
            <w:r>
              <w:rPr>
                <w:rFonts w:ascii="宋体" w:hAnsi="宋体" w:cs="宋体" w:eastAsia="宋体" w:hint="default"/>
                <w:sz w:val="18"/>
                <w:szCs w:val="18"/>
              </w:rPr>
              <w:t>号</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sz w:val="18"/>
              </w:rPr>
              <w:t>0571-28818656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sz w:val="18"/>
              </w:rPr>
              <w:t>0571-28818665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sz w:val="18"/>
              </w:rPr>
              <w:t>0571-28818665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sz w:val="18"/>
              </w:rPr>
              <w:t>0571-28818665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hyperlink r:id="rId11">
              <w:r>
                <w:rPr>
                  <w:rFonts w:ascii="宋体"/>
                  <w:sz w:val="18"/>
                </w:rPr>
                <w:t>sunxinjun@century-cn.com</w:t>
              </w:r>
            </w:hyperlink>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hyperlink r:id="rId12">
              <w:r>
                <w:rPr>
                  <w:rFonts w:ascii="宋体"/>
                  <w:sz w:val="18"/>
                </w:rPr>
                <w:t>zengzheng@century-cn.com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1086"/>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3"/>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6"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7" w:right="0"/>
              <w:jc w:val="left"/>
              <w:rPr>
                <w:rFonts w:ascii="宋体" w:hAnsi="宋体" w:cs="宋体" w:eastAsia="宋体" w:hint="default"/>
                <w:sz w:val="18"/>
                <w:szCs w:val="18"/>
              </w:rPr>
            </w:pPr>
            <w:hyperlink r:id="rId13">
              <w:r>
                <w:rPr>
                  <w:rFonts w:ascii="宋体"/>
                  <w:sz w:val="18"/>
                </w:rPr>
                <w:t>http://www.cninfo.com.cn</w:t>
              </w:r>
            </w:hyperlink>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证券管理部</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4"/>
          <w:szCs w:val="24"/>
        </w:rPr>
      </w:pPr>
      <w:r>
        <w:rPr/>
        <w:pict>
          <v:group style="position:absolute;margin-left:199.75pt;margin-top:502.950012pt;width:82.6pt;height:19.5pt;mso-position-horizontal-relative:page;mso-position-vertical-relative:page;z-index:-1276936" coordorigin="3995,10059" coordsize="1652,390">
            <v:shape style="position:absolute;left:3995;top:10059;width:1652;height:390" coordorigin="3995,10059" coordsize="1652,390" path="m3995,10449l5647,10449,5647,10059,3995,10059,3995,10449xe" filled="true" fillcolor="#ffffff" stroked="false">
              <v:path arrowok="t"/>
              <v:fill type="solid"/>
            </v:shape>
            <w10:wrap type="none"/>
          </v:group>
        </w:pict>
      </w:r>
    </w:p>
    <w:p>
      <w:pPr>
        <w:pStyle w:val="Heading2"/>
        <w:spacing w:line="240" w:lineRule="auto" w:before="26"/>
        <w:ind w:right="1086"/>
        <w:jc w:val="left"/>
        <w:rPr>
          <w:b w:val="0"/>
          <w:bCs w:val="0"/>
        </w:rPr>
      </w:pPr>
      <w:bookmarkStart w:name="四、其他有关资料" w:id="8"/>
      <w:bookmarkEnd w:id="8"/>
      <w:r>
        <w:rPr>
          <w:b w:val="0"/>
          <w:bCs w:val="0"/>
        </w:rPr>
      </w:r>
      <w:r>
        <w:rPr/>
        <w:t>四、其他有关资料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086"/>
        <w:jc w:val="left"/>
      </w:pPr>
      <w:r>
        <w:rPr/>
        <w:t>公司聘请的会计师事务所</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杭州市江干区钱江路</w:t>
            </w:r>
            <w:r>
              <w:rPr>
                <w:rFonts w:ascii="宋体" w:hAnsi="宋体" w:cs="宋体" w:eastAsia="宋体" w:hint="default"/>
                <w:spacing w:val="-43"/>
                <w:sz w:val="18"/>
                <w:szCs w:val="18"/>
              </w:rPr>
              <w:t> </w:t>
            </w:r>
            <w:r>
              <w:rPr>
                <w:rFonts w:ascii="宋体" w:hAnsi="宋体" w:cs="宋体" w:eastAsia="宋体" w:hint="default"/>
                <w:sz w:val="18"/>
                <w:szCs w:val="18"/>
              </w:rPr>
              <w:t>1366</w:t>
            </w:r>
            <w:r>
              <w:rPr>
                <w:rFonts w:ascii="宋体" w:hAnsi="宋体" w:cs="宋体" w:eastAsia="宋体" w:hint="default"/>
                <w:spacing w:val="-45"/>
                <w:sz w:val="18"/>
                <w:szCs w:val="18"/>
              </w:rPr>
              <w:t> </w:t>
            </w:r>
            <w:r>
              <w:rPr>
                <w:rFonts w:ascii="宋体" w:hAnsi="宋体" w:cs="宋体" w:eastAsia="宋体" w:hint="default"/>
                <w:sz w:val="18"/>
                <w:szCs w:val="18"/>
              </w:rPr>
              <w:t>号华润大厦</w:t>
            </w:r>
            <w:r>
              <w:rPr>
                <w:rFonts w:ascii="宋体" w:hAnsi="宋体" w:cs="宋体" w:eastAsia="宋体" w:hint="default"/>
                <w:spacing w:val="-45"/>
                <w:sz w:val="18"/>
                <w:szCs w:val="18"/>
              </w:rPr>
              <w:t> </w:t>
            </w:r>
            <w:r>
              <w:rPr>
                <w:rFonts w:ascii="宋体" w:hAnsi="宋体" w:cs="宋体" w:eastAsia="宋体" w:hint="default"/>
                <w:sz w:val="18"/>
                <w:szCs w:val="18"/>
              </w:rPr>
              <w:t>B</w:t>
            </w:r>
            <w:r>
              <w:rPr>
                <w:rFonts w:ascii="宋体" w:hAnsi="宋体" w:cs="宋体" w:eastAsia="宋体" w:hint="default"/>
                <w:spacing w:val="-45"/>
                <w:sz w:val="18"/>
                <w:szCs w:val="18"/>
              </w:rPr>
              <w:t> </w:t>
            </w:r>
            <w:r>
              <w:rPr>
                <w:rFonts w:ascii="宋体" w:hAnsi="宋体" w:cs="宋体" w:eastAsia="宋体" w:hint="default"/>
                <w:sz w:val="18"/>
                <w:szCs w:val="18"/>
              </w:rPr>
              <w:t>座</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胡彦龙、徐莉丽</w:t>
            </w:r>
          </w:p>
        </w:tc>
      </w:tr>
    </w:tbl>
    <w:p>
      <w:pPr>
        <w:pStyle w:val="BodyText"/>
        <w:spacing w:line="240" w:lineRule="auto" w:before="45"/>
        <w:ind w:right="1086"/>
        <w:jc w:val="left"/>
      </w:pPr>
      <w:r>
        <w:rPr/>
        <w:t>公司聘请的报告期内履行持续督导职责的保荐机构</w:t>
      </w:r>
    </w:p>
    <w:p>
      <w:pPr>
        <w:pStyle w:val="BodyText"/>
        <w:spacing w:line="240" w:lineRule="auto" w:before="124"/>
        <w:ind w:right="1086"/>
        <w:jc w:val="left"/>
      </w:pPr>
      <w:r>
        <w:rPr/>
        <w:t>√ 适用 □</w:t>
      </w:r>
      <w:r>
        <w:rPr>
          <w:spacing w:val="-1"/>
        </w:rPr>
        <w:t> </w:t>
      </w:r>
      <w:r>
        <w:rPr/>
        <w:t>不适用</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55"/>
              <w:jc w:val="right"/>
              <w:rPr>
                <w:rFonts w:ascii="宋体" w:hAnsi="宋体" w:cs="宋体" w:eastAsia="宋体" w:hint="default"/>
                <w:sz w:val="18"/>
                <w:szCs w:val="18"/>
              </w:rPr>
            </w:pPr>
            <w:r>
              <w:rPr>
                <w:rFonts w:ascii="宋体" w:hAnsi="宋体" w:cs="宋体" w:eastAsia="宋体" w:hint="default"/>
                <w:sz w:val="18"/>
                <w:szCs w:val="18"/>
              </w:rPr>
              <w:t>保荐代表人姓名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中信证券股份有限公司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广东省深圳市福田区中心三</w:t>
            </w:r>
          </w:p>
          <w:p>
            <w:pPr>
              <w:pStyle w:val="TableParagraph"/>
              <w:spacing w:line="321" w:lineRule="auto" w:before="79"/>
              <w:ind w:left="30" w:right="15"/>
              <w:jc w:val="left"/>
              <w:rPr>
                <w:rFonts w:ascii="宋体" w:hAnsi="宋体" w:cs="宋体" w:eastAsia="宋体" w:hint="default"/>
                <w:sz w:val="18"/>
                <w:szCs w:val="18"/>
              </w:rPr>
            </w:pPr>
            <w:r>
              <w:rPr>
                <w:rFonts w:ascii="宋体" w:hAnsi="宋体" w:cs="宋体" w:eastAsia="宋体" w:hint="default"/>
                <w:sz w:val="18"/>
                <w:szCs w:val="18"/>
              </w:rPr>
              <w:t>路</w:t>
            </w:r>
            <w:r>
              <w:rPr>
                <w:rFonts w:ascii="宋体" w:hAnsi="宋体" w:cs="宋体" w:eastAsia="宋体" w:hint="default"/>
                <w:spacing w:val="-45"/>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号卓越时代广场（二期） 北座</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555"/>
              <w:jc w:val="right"/>
              <w:rPr>
                <w:rFonts w:ascii="宋体" w:hAnsi="宋体" w:cs="宋体" w:eastAsia="宋体" w:hint="default"/>
                <w:sz w:val="18"/>
                <w:szCs w:val="18"/>
              </w:rPr>
            </w:pPr>
            <w:r>
              <w:rPr>
                <w:rFonts w:ascii="宋体" w:hAnsi="宋体" w:cs="宋体" w:eastAsia="宋体" w:hint="default"/>
                <w:sz w:val="18"/>
                <w:szCs w:val="18"/>
              </w:rPr>
              <w:t>徐峰先生、马齐玮先生</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2020</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宋体" w:hAnsi="宋体" w:cs="宋体" w:eastAsia="宋体" w:hint="default"/>
                <w:sz w:val="18"/>
                <w:szCs w:val="18"/>
              </w:rPr>
              <w:t>04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09</w:t>
            </w:r>
            <w:r>
              <w:rPr>
                <w:rFonts w:ascii="宋体" w:hAnsi="宋体" w:cs="宋体" w:eastAsia="宋体" w:hint="default"/>
                <w:spacing w:val="-45"/>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宋体" w:hAnsi="宋体" w:cs="宋体" w:eastAsia="宋体" w:hint="default"/>
                <w:sz w:val="18"/>
                <w:szCs w:val="18"/>
              </w:rPr>
              <w:t>2022</w:t>
            </w:r>
            <w:r>
              <w:rPr>
                <w:rFonts w:ascii="宋体" w:hAnsi="宋体" w:cs="宋体" w:eastAsia="宋体" w:hint="default"/>
                <w:spacing w:val="-45"/>
                <w:sz w:val="18"/>
                <w:szCs w:val="18"/>
              </w:rPr>
              <w:t> </w:t>
            </w:r>
            <w:r>
              <w:rPr>
                <w:rFonts w:ascii="宋体" w:hAnsi="宋体" w:cs="宋体" w:eastAsia="宋体" w:hint="default"/>
                <w:sz w:val="18"/>
                <w:szCs w:val="18"/>
              </w:rPr>
              <w:t>年</w:t>
            </w:r>
          </w:p>
          <w:p>
            <w:pPr>
              <w:pStyle w:val="TableParagraph"/>
              <w:spacing w:line="240" w:lineRule="auto" w:before="65"/>
              <w:ind w:left="30"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31</w:t>
            </w:r>
            <w:r>
              <w:rPr>
                <w:rFonts w:ascii="宋体" w:hAnsi="宋体" w:cs="宋体" w:eastAsia="宋体" w:hint="default"/>
                <w:spacing w:val="-45"/>
                <w:sz w:val="18"/>
                <w:szCs w:val="18"/>
              </w:rPr>
              <w:t> </w:t>
            </w:r>
            <w:r>
              <w:rPr>
                <w:rFonts w:ascii="宋体" w:hAnsi="宋体" w:cs="宋体" w:eastAsia="宋体" w:hint="default"/>
                <w:sz w:val="18"/>
                <w:szCs w:val="18"/>
              </w:rPr>
              <w:t>日</w:t>
            </w:r>
          </w:p>
        </w:tc>
      </w:tr>
    </w:tbl>
    <w:p>
      <w:pPr>
        <w:pStyle w:val="BodyText"/>
        <w:spacing w:line="240" w:lineRule="auto" w:before="45"/>
        <w:ind w:right="1086"/>
        <w:jc w:val="left"/>
      </w:pPr>
      <w:r>
        <w:rPr/>
        <w:t>公司聘请的报告期内履行持续督导职责的财务顾问</w:t>
      </w:r>
    </w:p>
    <w:p>
      <w:pPr>
        <w:pStyle w:val="BodyText"/>
        <w:spacing w:line="240" w:lineRule="auto" w:before="109"/>
        <w:ind w:right="1086"/>
        <w:jc w:val="left"/>
      </w:pPr>
      <w:r>
        <w:rPr/>
        <w:t>□ 适用 √</w:t>
      </w:r>
      <w:r>
        <w:rPr>
          <w:spacing w:val="-1"/>
        </w:rPr>
        <w:t> </w:t>
      </w:r>
      <w:r>
        <w:rPr/>
        <w:t>不适用</w:t>
      </w:r>
    </w:p>
    <w:p>
      <w:pPr>
        <w:spacing w:line="240" w:lineRule="auto" w:before="13"/>
        <w:rPr>
          <w:rFonts w:ascii="宋体" w:hAnsi="宋体" w:cs="宋体" w:eastAsia="宋体" w:hint="default"/>
          <w:sz w:val="25"/>
          <w:szCs w:val="25"/>
        </w:rPr>
      </w:pPr>
    </w:p>
    <w:p>
      <w:pPr>
        <w:pStyle w:val="Heading2"/>
        <w:spacing w:line="240" w:lineRule="auto"/>
        <w:ind w:right="1086"/>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086"/>
        <w:jc w:val="left"/>
      </w:pPr>
      <w:r>
        <w:rPr/>
        <w:t>公司是否需追溯调整或重述以前年度会计数据</w:t>
      </w:r>
    </w:p>
    <w:p>
      <w:pPr>
        <w:pStyle w:val="BodyText"/>
        <w:spacing w:line="240" w:lineRule="auto" w:before="125"/>
        <w:ind w:right="1086"/>
        <w:jc w:val="left"/>
      </w:pPr>
      <w:r>
        <w:rPr/>
        <w:pict>
          <v:group style="position:absolute;margin-left:199.75pt;margin-top:64.061714pt;width:82.6pt;height:19.5pt;mso-position-horizontal-relative:page;mso-position-vertical-relative:paragraph;z-index:-1276960" coordorigin="3995,1281" coordsize="1652,390">
            <v:shape style="position:absolute;left:3995;top:1281;width:1652;height:390" coordorigin="3995,1281" coordsize="1652,390" path="m3995,1671l5647,1671,5647,1281,3995,1281,3995,1671xe" filled="true" fillcolor="#ffffff" stroked="false">
              <v:path arrowok="t"/>
              <v:fill type="solid"/>
            </v:shape>
            <w10:wrap type="none"/>
          </v:group>
        </w:pict>
      </w: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4"/>
        <w:rPr>
          <w:rFonts w:ascii="宋体" w:hAnsi="宋体" w:cs="宋体" w:eastAsia="宋体" w:hint="default"/>
          <w:sz w:val="7"/>
          <w:szCs w:val="7"/>
        </w:rPr>
      </w:pPr>
    </w:p>
    <w:tbl>
      <w:tblPr>
        <w:tblW w:w="0" w:type="auto"/>
        <w:jc w:val="left"/>
        <w:tblInd w:w="133" w:type="dxa"/>
        <w:tblLayout w:type="fixed"/>
        <w:tblCellMar>
          <w:top w:w="0" w:type="dxa"/>
          <w:left w:w="0" w:type="dxa"/>
          <w:bottom w:w="0" w:type="dxa"/>
          <w:right w:w="0" w:type="dxa"/>
        </w:tblCellMar>
        <w:tblLook w:val="01E0"/>
      </w:tblPr>
      <w:tblGrid>
        <w:gridCol w:w="2824"/>
        <w:gridCol w:w="1705"/>
        <w:gridCol w:w="1562"/>
        <w:gridCol w:w="1742"/>
        <w:gridCol w:w="1742"/>
      </w:tblGrid>
      <w:tr>
        <w:trPr>
          <w:trHeight w:val="390"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8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7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p>
        </w:tc>
      </w:tr>
      <w:tr>
        <w:trPr>
          <w:trHeight w:val="406"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1,573,993,606.47</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1,294,633,555.55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21.58%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1,112,251,720.34</w:t>
            </w:r>
          </w:p>
        </w:tc>
      </w:tr>
      <w:tr>
        <w:trPr>
          <w:trHeight w:val="405"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705" w:type="dxa"/>
            <w:tcBorders>
              <w:top w:val="single" w:sz="6" w:space="0" w:color="000000"/>
              <w:left w:val="single" w:sz="12" w:space="0" w:color="000000"/>
              <w:bottom w:val="single" w:sz="6" w:space="0" w:color="000000"/>
              <w:right w:val="single" w:sz="6" w:space="0" w:color="000000"/>
            </w:tcBorders>
          </w:tcPr>
          <w:p>
            <w:pPr>
              <w:pStyle w:val="TableParagraph"/>
              <w:tabs>
                <w:tab w:pos="405" w:val="left" w:leader="none"/>
              </w:tabs>
              <w:spacing w:line="240" w:lineRule="auto" w:before="44"/>
              <w:ind w:left="-139" w:right="14"/>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147,607,911.10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143,472,605.91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2.88%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130,262,340.03</w:t>
            </w:r>
          </w:p>
        </w:tc>
      </w:tr>
      <w:tr>
        <w:trPr>
          <w:trHeight w:val="721"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0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 性损益的净利润（元）</w:t>
            </w:r>
          </w:p>
        </w:tc>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119,728,829.88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130,481,298.93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-8.24%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108,591,186.01</w:t>
            </w:r>
          </w:p>
        </w:tc>
      </w:tr>
      <w:tr>
        <w:trPr>
          <w:trHeight w:val="390"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705" w:type="dxa"/>
            <w:tcBorders>
              <w:top w:val="single" w:sz="6" w:space="0" w:color="000000"/>
              <w:left w:val="single" w:sz="12" w:space="0" w:color="000000"/>
              <w:bottom w:val="single" w:sz="6" w:space="0" w:color="000000"/>
              <w:right w:val="single" w:sz="6" w:space="0" w:color="000000"/>
            </w:tcBorders>
          </w:tcPr>
          <w:p>
            <w:pPr>
              <w:pStyle w:val="TableParagraph"/>
              <w:tabs>
                <w:tab w:pos="585" w:val="left" w:leader="none"/>
              </w:tabs>
              <w:spacing w:line="240" w:lineRule="auto" w:before="29"/>
              <w:ind w:left="-139" w:right="14"/>
              <w:jc w:val="righ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sz w:val="18"/>
                <w:szCs w:val="18"/>
              </w:rPr>
              <w:t>4,016,052.21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-2,250,476.51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278.45%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183,688,718.29</w:t>
            </w:r>
          </w:p>
        </w:tc>
      </w:tr>
      <w:tr>
        <w:trPr>
          <w:trHeight w:val="406"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0.18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0.18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0.16</w:t>
            </w:r>
          </w:p>
        </w:tc>
      </w:tr>
      <w:tr>
        <w:trPr>
          <w:trHeight w:val="405"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0.18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0.18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0.16</w:t>
            </w:r>
          </w:p>
        </w:tc>
      </w:tr>
      <w:tr>
        <w:trPr>
          <w:trHeight w:val="406"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6.40%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6.75%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-0.35%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6.38%</w:t>
            </w:r>
          </w:p>
        </w:tc>
      </w:tr>
      <w:tr>
        <w:trPr>
          <w:trHeight w:val="405"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7"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6"/>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1"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年末</w:t>
            </w:r>
          </w:p>
        </w:tc>
      </w:tr>
      <w:tr>
        <w:trPr>
          <w:trHeight w:val="390"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4,224,616,751.91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3,424,095,703.68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23.38%</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2,901,704,986.98</w:t>
            </w:r>
          </w:p>
        </w:tc>
      </w:tr>
      <w:tr>
        <w:trPr>
          <w:trHeight w:val="406" w:hRule="exact"/>
        </w:trPr>
        <w:tc>
          <w:tcPr>
            <w:tcW w:w="28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7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39" w:right="14"/>
              <w:jc w:val="righ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3"/>
                <w:sz w:val="18"/>
                <w:szCs w:val="18"/>
              </w:rPr>
              <w:t> </w:t>
            </w:r>
            <w:r>
              <w:rPr>
                <w:rFonts w:ascii="宋体" w:hAnsi="宋体" w:cs="宋体" w:eastAsia="宋体" w:hint="default"/>
                <w:sz w:val="18"/>
                <w:szCs w:val="18"/>
              </w:rPr>
              <w:t>2,891,926,589.19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2,191,940,887.06</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31.93%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2,062,117,296.34</w:t>
            </w:r>
          </w:p>
        </w:tc>
      </w:tr>
    </w:tbl>
    <w:p>
      <w:pPr>
        <w:pStyle w:val="BodyText"/>
        <w:spacing w:line="307" w:lineRule="auto"/>
        <w:ind w:right="1086"/>
        <w:jc w:val="left"/>
      </w:pPr>
      <w:r>
        <w:rPr/>
        <w:pict>
          <v:group style="position:absolute;margin-left:199.75pt;margin-top:-20.313284pt;width:82.6pt;height:19.55pt;mso-position-horizontal-relative:page;mso-position-vertical-relative:paragraph;z-index:-1276912" coordorigin="3995,-406" coordsize="1652,391">
            <v:shape style="position:absolute;left:3995;top:-406;width:1652;height:391" coordorigin="3995,-406" coordsize="1652,391" path="m3995,-16l5647,-16,5647,-406,3995,-406,3995,-16xe" filled="true" fillcolor="#ffffff" stroked="false">
              <v:path arrowok="t"/>
              <v:fill type="solid"/>
            </v:shape>
            <w10:wrap type="none"/>
          </v:group>
        </w:pict>
      </w:r>
      <w:r>
        <w:rPr>
          <w:spacing w:val="-2"/>
        </w:rPr>
        <w:t>公司报告期末至年度报告披露日股本是否因发行新股、增发、配股、股权激励行权、回购等原因发生变化且影响所有者权益</w:t>
      </w:r>
      <w:r>
        <w:rPr>
          <w:spacing w:val="-42"/>
        </w:rPr>
        <w:t> </w:t>
      </w:r>
      <w:r>
        <w:rPr>
          <w:spacing w:val="-42"/>
        </w:rPr>
      </w:r>
      <w:r>
        <w:rPr/>
        <w:t>金额</w:t>
      </w:r>
    </w:p>
    <w:p>
      <w:pPr>
        <w:pStyle w:val="BodyText"/>
        <w:spacing w:line="240" w:lineRule="auto" w:before="89"/>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536"/>
        <w:gridCol w:w="5046"/>
      </w:tblGrid>
      <w:tr>
        <w:trPr>
          <w:trHeight w:val="405" w:hRule="exact"/>
        </w:trPr>
        <w:tc>
          <w:tcPr>
            <w:tcW w:w="4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0.00</w:t>
            </w:r>
          </w:p>
        </w:tc>
      </w:tr>
      <w:tr>
        <w:trPr>
          <w:trHeight w:val="405" w:hRule="exact"/>
        </w:trPr>
        <w:tc>
          <w:tcPr>
            <w:tcW w:w="45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宋体" w:hAnsi="宋体" w:cs="宋体" w:eastAsia="宋体" w:hint="default"/>
                <w:sz w:val="18"/>
                <w:szCs w:val="18"/>
              </w:rPr>
              <w:t>/</w:t>
            </w:r>
            <w:r>
              <w:rPr>
                <w:rFonts w:ascii="宋体" w:hAnsi="宋体" w:cs="宋体" w:eastAsia="宋体" w:hint="default"/>
                <w:sz w:val="18"/>
                <w:szCs w:val="18"/>
              </w:rPr>
              <w:t>股）</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0.1698</w:t>
            </w:r>
          </w:p>
        </w:tc>
      </w:tr>
    </w:tbl>
    <w:p>
      <w:pPr>
        <w:spacing w:after="0" w:line="240" w:lineRule="auto"/>
        <w:jc w:val="righ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1086"/>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2"/>
          <w:szCs w:val="22"/>
        </w:rPr>
      </w:pPr>
    </w:p>
    <w:p>
      <w:pPr>
        <w:pStyle w:val="BodyText"/>
        <w:spacing w:line="240" w:lineRule="auto"/>
        <w:ind w:left="0" w:right="129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303,023,959.84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420,744,146.07</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344,101,775.15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506,123,725.41</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28,796,852.22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60,544,071.24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31,920,639.65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26,346,347.99</w:t>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26,682,959.32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51,192,541.89</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right"/>
              <w:rPr>
                <w:rFonts w:ascii="宋体" w:hAnsi="宋体" w:cs="宋体" w:eastAsia="宋体" w:hint="default"/>
                <w:sz w:val="18"/>
                <w:szCs w:val="18"/>
              </w:rPr>
            </w:pPr>
            <w:r>
              <w:rPr>
                <w:rFonts w:ascii="宋体"/>
                <w:sz w:val="18"/>
              </w:rPr>
              <w:t>29,940,648.58</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13,116,299.69</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-128,762,084.71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-6,075,185.82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-6,862,365.96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145,715,688.70</w:t>
            </w:r>
          </w:p>
        </w:tc>
      </w:tr>
    </w:tbl>
    <w:p>
      <w:pPr>
        <w:pStyle w:val="BodyText"/>
        <w:spacing w:line="240" w:lineRule="auto" w:before="45"/>
        <w:ind w:right="1086"/>
        <w:jc w:val="left"/>
      </w:pPr>
      <w:r>
        <w:rPr/>
        <w:t>上述财务指标或其加总数是否与公司已披露季度报告、半年度报告相关财务指标存在重大差异</w:t>
      </w:r>
    </w:p>
    <w:p>
      <w:pPr>
        <w:pStyle w:val="BodyText"/>
        <w:spacing w:line="240" w:lineRule="auto" w:before="124"/>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1"/>
        <w:rPr>
          <w:rFonts w:ascii="宋体" w:hAnsi="宋体" w:cs="宋体" w:eastAsia="宋体" w:hint="default"/>
          <w:sz w:val="23"/>
          <w:szCs w:val="23"/>
        </w:rPr>
      </w:pPr>
    </w:p>
    <w:p>
      <w:pPr>
        <w:pStyle w:val="Heading2"/>
        <w:spacing w:line="240" w:lineRule="auto"/>
        <w:ind w:right="1086"/>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86"/>
        <w:jc w:val="left"/>
        <w:rPr>
          <w:b w:val="0"/>
          <w:bCs w:val="0"/>
        </w:rPr>
      </w:pPr>
      <w:bookmarkStart w:name="1、同时按照国际会计准则与按照中国会计准则披露的财务报告中净利润和净资产差异情况" w:id="12"/>
      <w:bookmarkEnd w:id="12"/>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7"/>
          <w:szCs w:val="27"/>
        </w:rPr>
      </w:pPr>
    </w:p>
    <w:p>
      <w:pPr>
        <w:pStyle w:val="BodyText"/>
        <w:spacing w:line="350" w:lineRule="auto" w:before="0"/>
        <w:ind w:right="2289"/>
        <w:jc w:val="left"/>
      </w:pPr>
      <w:r>
        <w:rPr/>
        <w:t>□ 适用 √</w:t>
      </w:r>
      <w:r>
        <w:rPr>
          <w:spacing w:val="-1"/>
        </w:rPr>
        <w:t> </w:t>
      </w:r>
      <w:r>
        <w:rPr/>
        <w:t>不适用</w:t>
      </w:r>
      <w:r>
        <w:rPr/>
        <w:t>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5"/>
        <w:spacing w:line="240" w:lineRule="auto"/>
        <w:ind w:right="1086"/>
        <w:jc w:val="left"/>
        <w:rPr>
          <w:b w:val="0"/>
          <w:bCs w:val="0"/>
        </w:rPr>
      </w:pPr>
      <w:bookmarkStart w:name="2、同时按照境外会计准则与按照中国会计准则披露的财务报告中净利润和净资产差异情况" w:id="13"/>
      <w:bookmarkEnd w:id="13"/>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7"/>
          <w:szCs w:val="27"/>
        </w:rPr>
      </w:pPr>
    </w:p>
    <w:p>
      <w:pPr>
        <w:pStyle w:val="BodyText"/>
        <w:spacing w:line="352" w:lineRule="auto" w:before="0"/>
        <w:ind w:right="2649"/>
        <w:jc w:val="left"/>
      </w:pPr>
      <w:r>
        <w:rPr/>
        <w:t>□ 适用 √</w:t>
      </w:r>
      <w:r>
        <w:rPr>
          <w:spacing w:val="-1"/>
        </w:rPr>
        <w:t> </w:t>
      </w:r>
      <w:r>
        <w:rPr/>
        <w:t>不适用</w:t>
      </w:r>
      <w:r>
        <w:rPr/>
        <w:t> 公司报告期不存在按照境外会计准则与按照中国会计准则披露的财务报告中净利润和净资产差异情况。</w:t>
      </w:r>
    </w:p>
    <w:p>
      <w:pPr>
        <w:spacing w:line="240" w:lineRule="auto" w:before="8"/>
        <w:rPr>
          <w:rFonts w:ascii="宋体" w:hAnsi="宋体" w:cs="宋体" w:eastAsia="宋体" w:hint="default"/>
          <w:sz w:val="20"/>
          <w:szCs w:val="20"/>
        </w:rPr>
      </w:pPr>
    </w:p>
    <w:p>
      <w:pPr>
        <w:pStyle w:val="Heading2"/>
        <w:spacing w:line="240" w:lineRule="auto"/>
        <w:ind w:right="1086"/>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7"/>
        <w:rPr>
          <w:rFonts w:ascii="宋体" w:hAnsi="宋体" w:cs="宋体" w:eastAsia="宋体" w:hint="default"/>
          <w:b/>
          <w:bCs/>
          <w:sz w:val="21"/>
          <w:szCs w:val="21"/>
        </w:rPr>
      </w:pPr>
    </w:p>
    <w:p>
      <w:pPr>
        <w:pStyle w:val="BodyText"/>
        <w:spacing w:line="240" w:lineRule="auto"/>
        <w:ind w:right="1086"/>
        <w:jc w:val="left"/>
      </w:pPr>
      <w:r>
        <w:rPr/>
        <w:t>√ 适用 □</w:t>
      </w:r>
      <w:r>
        <w:rPr>
          <w:spacing w:val="-1"/>
        </w:rPr>
        <w:t> </w:t>
      </w:r>
      <w:r>
        <w:rPr/>
        <w:t>不适用</w:t>
      </w:r>
    </w:p>
    <w:p>
      <w:pPr>
        <w:pStyle w:val="BodyText"/>
        <w:spacing w:line="240" w:lineRule="auto" w:before="110"/>
        <w:ind w:left="0" w:right="129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5"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7,570,564.33</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-1,336,790.81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871,702.47</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4"/>
              <w:jc w:val="right"/>
              <w:rPr>
                <w:rFonts w:ascii="宋体" w:hAnsi="宋体" w:cs="宋体" w:eastAsia="宋体" w:hint="default"/>
                <w:sz w:val="18"/>
                <w:szCs w:val="18"/>
              </w:rPr>
            </w:pPr>
            <w:r>
              <w:rPr>
                <w:rFonts w:ascii="宋体"/>
                <w:sz w:val="18"/>
              </w:rPr>
              <w:t>20,952,547.49</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
              <w:jc w:val="right"/>
              <w:rPr>
                <w:rFonts w:ascii="宋体" w:hAnsi="宋体" w:cs="宋体" w:eastAsia="宋体" w:hint="default"/>
                <w:sz w:val="18"/>
                <w:szCs w:val="18"/>
              </w:rPr>
            </w:pPr>
            <w:r>
              <w:rPr>
                <w:rFonts w:ascii="宋体"/>
                <w:sz w:val="18"/>
              </w:rPr>
              <w:t>15,592,023.55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5"/>
              <w:jc w:val="right"/>
              <w:rPr>
                <w:rFonts w:ascii="宋体" w:hAnsi="宋体" w:cs="宋体" w:eastAsia="宋体" w:hint="default"/>
                <w:sz w:val="18"/>
                <w:szCs w:val="18"/>
              </w:rPr>
            </w:pPr>
            <w:r>
              <w:rPr>
                <w:rFonts w:ascii="宋体"/>
                <w:sz w:val="18"/>
              </w:rPr>
              <w:t>22,064,343.60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71,857.90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555,107.31</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1,480,155.63</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922"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4"/>
              <w:ind w:left="15" w:right="1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4"/>
              <w:jc w:val="right"/>
              <w:rPr>
                <w:rFonts w:ascii="宋体" w:hAnsi="宋体" w:cs="宋体" w:eastAsia="宋体" w:hint="default"/>
                <w:sz w:val="18"/>
                <w:szCs w:val="18"/>
              </w:rPr>
            </w:pPr>
            <w:r>
              <w:rPr>
                <w:rFonts w:ascii="宋体"/>
                <w:sz w:val="18"/>
              </w:rPr>
              <w:t>2,869,589.50</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304"/>
        <w:gridCol w:w="1517"/>
        <w:gridCol w:w="1517"/>
        <w:gridCol w:w="1532"/>
        <w:gridCol w:w="1712"/>
      </w:tblGrid>
      <w:tr>
        <w:trPr>
          <w:trHeight w:val="360"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的投资收益</w:t>
            </w:r>
          </w:p>
        </w:tc>
        <w:tc>
          <w:tcPr>
            <w:tcW w:w="1517"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312,818.71</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173,097.56</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193,339.46</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3,246,039.17</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1,883,529.08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2,915,719.03</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652,257.54</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宋体" w:hAnsi="宋体" w:cs="宋体" w:eastAsia="宋体" w:hint="default"/>
                <w:sz w:val="18"/>
                <w:szCs w:val="18"/>
              </w:rPr>
            </w:pPr>
            <w:r>
              <w:rPr>
                <w:rFonts w:ascii="宋体"/>
                <w:sz w:val="18"/>
              </w:rPr>
              <w:t>108,601.55</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22,668.11</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27,879,081.22</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12,991,306.98</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21,671,154.02</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sz w:val="18"/>
              </w:rPr>
              <w:t>--</w:t>
            </w:r>
          </w:p>
        </w:tc>
      </w:tr>
    </w:tbl>
    <w:p>
      <w:pPr>
        <w:pStyle w:val="BodyText"/>
        <w:spacing w:line="240" w:lineRule="auto"/>
        <w:ind w:right="0"/>
        <w:jc w:val="left"/>
      </w:pPr>
      <w:r>
        <w:rPr>
          <w:spacing w:val="-3"/>
        </w:rPr>
        <w:t>对公司根据《公开发行证券的公司信息披露解释性公告第 </w:t>
      </w:r>
      <w:r>
        <w:rPr>
          <w:rFonts w:ascii="宋体" w:hAnsi="宋体" w:cs="宋体" w:eastAsia="宋体" w:hint="default"/>
        </w:rPr>
        <w:t>1</w:t>
      </w:r>
      <w:r>
        <w:rPr>
          <w:rFonts w:ascii="宋体" w:hAnsi="宋体" w:cs="宋体" w:eastAsia="宋体" w:hint="default"/>
          <w:spacing w:val="-44"/>
        </w:rPr>
        <w:t> </w:t>
      </w:r>
      <w:r>
        <w:rPr>
          <w:spacing w:val="-7"/>
        </w:rPr>
        <w:t>号——非经常性损益》定义界定的非经常性损益项目，以及把《公</w:t>
      </w:r>
    </w:p>
    <w:p>
      <w:pPr>
        <w:pStyle w:val="BodyText"/>
        <w:spacing w:line="321" w:lineRule="auto" w:before="65"/>
        <w:ind w:right="1118"/>
        <w:jc w:val="left"/>
      </w:pPr>
      <w:r>
        <w:rPr/>
        <w:t>开发行证券的公司信息披露解释性公告第</w:t>
      </w:r>
      <w:r>
        <w:rPr>
          <w:spacing w:val="-35"/>
        </w:rPr>
        <w:t> </w:t>
      </w:r>
      <w:r>
        <w:rPr>
          <w:rFonts w:ascii="宋体" w:hAnsi="宋体" w:cs="宋体" w:eastAsia="宋体" w:hint="default"/>
        </w:rPr>
        <w:t>1</w:t>
      </w:r>
      <w:r>
        <w:rPr>
          <w:rFonts w:ascii="宋体" w:hAnsi="宋体" w:cs="宋体" w:eastAsia="宋体" w:hint="default"/>
          <w:spacing w:val="-39"/>
        </w:rPr>
        <w:t> </w:t>
      </w:r>
      <w:r>
        <w:rPr>
          <w:spacing w:val="-3"/>
        </w:rPr>
        <w:t>号——非经常性损益》中列举的非经常性损益项目界定为经常性损益的项目，应</w:t>
      </w:r>
      <w:r>
        <w:rPr/>
        <w:t> 说明原因</w:t>
      </w:r>
    </w:p>
    <w:p>
      <w:pPr>
        <w:pStyle w:val="BodyText"/>
        <w:spacing w:line="240" w:lineRule="auto" w:before="63"/>
        <w:ind w:right="1086"/>
        <w:jc w:val="left"/>
      </w:pPr>
      <w:r>
        <w:rPr/>
        <w:t>□ 适用 √</w:t>
      </w:r>
      <w:r>
        <w:rPr>
          <w:spacing w:val="-1"/>
        </w:rPr>
        <w:t> </w:t>
      </w:r>
      <w:r>
        <w:rPr/>
        <w:t>不适用</w:t>
      </w:r>
    </w:p>
    <w:p>
      <w:pPr>
        <w:pStyle w:val="BodyText"/>
        <w:spacing w:line="321" w:lineRule="auto" w:before="110"/>
        <w:ind w:right="1115"/>
        <w:jc w:val="left"/>
      </w:pPr>
      <w:r>
        <w:rPr/>
        <w:t>公司报告期不存在将根据《公开发行证券的公司信息披露解释性公告第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7"/>
        </w:rPr>
        <w:t> </w:t>
      </w:r>
      <w:r>
        <w:rPr>
          <w:spacing w:val="-3"/>
        </w:rPr>
        <w:t>号——非经常性损益》定义、列举的非经常性损益</w:t>
      </w:r>
      <w:r>
        <w:rPr/>
        <w:t> 项目界定为经常性损益的项目的情形。</w:t>
      </w:r>
    </w:p>
    <w:p>
      <w:pPr>
        <w:spacing w:after="0" w:line="321"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430" w:right="1086"/>
        <w:jc w:val="left"/>
        <w:rPr>
          <w:b w:val="0"/>
          <w:bCs w:val="0"/>
        </w:rPr>
      </w:pPr>
      <w:bookmarkStart w:name="_TOC_250010" w:id="15"/>
      <w:bookmarkStart w:name="第三节 公司业务概要" w:id="16"/>
      <w:r>
        <w:rPr>
          <w:b w:val="0"/>
          <w:bCs w:val="0"/>
        </w:rPr>
      </w:r>
      <w:r>
        <w:rPr>
          <w:spacing w:val="4"/>
        </w:rPr>
        <w:t>第三节</w:t>
      </w:r>
      <w:r>
        <w:rPr>
          <w:spacing w:val="55"/>
        </w:rPr>
        <w:t> </w:t>
      </w:r>
      <w:r>
        <w:rPr>
          <w:spacing w:val="6"/>
        </w:rPr>
        <w:t>公司业务概要</w:t>
      </w:r>
      <w:bookmarkEnd w:id="15"/>
      <w:r>
        <w:rPr>
          <w:b w:val="0"/>
          <w:bCs w:val="0"/>
          <w:spacing w:val="6"/>
        </w:rPr>
      </w:r>
    </w:p>
    <w:p>
      <w:pPr>
        <w:spacing w:line="240" w:lineRule="auto" w:before="4"/>
        <w:rPr>
          <w:rFonts w:ascii="宋体" w:hAnsi="宋体" w:cs="宋体" w:eastAsia="宋体" w:hint="default"/>
          <w:b/>
          <w:bCs/>
          <w:sz w:val="38"/>
          <w:szCs w:val="38"/>
        </w:rPr>
      </w:pPr>
    </w:p>
    <w:p>
      <w:pPr>
        <w:pStyle w:val="Heading2"/>
        <w:spacing w:line="240" w:lineRule="auto"/>
        <w:ind w:right="1086"/>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0"/>
        <w:rPr>
          <w:rFonts w:ascii="宋体" w:hAnsi="宋体" w:cs="宋体" w:eastAsia="宋体" w:hint="default"/>
          <w:b/>
          <w:bCs/>
          <w:sz w:val="24"/>
          <w:szCs w:val="24"/>
        </w:rPr>
      </w:pPr>
    </w:p>
    <w:p>
      <w:pPr>
        <w:pStyle w:val="BodyText"/>
        <w:spacing w:line="468" w:lineRule="auto" w:before="178"/>
        <w:ind w:right="1029" w:firstLine="360"/>
        <w:jc w:val="left"/>
      </w:pPr>
      <w:r>
        <w:rPr/>
        <w:t>报告期内，公司始终秉承“互联物联，改变生活”的理念，依托“物联网、人工智能、平台大数据交互、微服务框架、 区块链”五大核心技术，创造性地将互联网和物联网在平台、网络、终端各个层面进行融合，形成以智慧医疗、智慧商业、 </w:t>
      </w:r>
      <w:r>
        <w:rPr>
          <w:spacing w:val="-2"/>
        </w:rPr>
        <w:t>智慧健康、智慧养老为核心的全产业链布局，持续引领行业创新发展，致力于成为全球领先的智慧医疗和物联网应用整体解</w:t>
      </w:r>
      <w:r>
        <w:rPr>
          <w:spacing w:val="-75"/>
        </w:rPr>
        <w:t> </w:t>
      </w:r>
      <w:r>
        <w:rPr>
          <w:spacing w:val="-75"/>
        </w:rPr>
      </w:r>
      <w:r>
        <w:rPr/>
        <w:t>决方案的供应商。</w:t>
      </w:r>
    </w:p>
    <w:p>
      <w:pPr>
        <w:pStyle w:val="BodyText"/>
        <w:spacing w:line="458" w:lineRule="auto" w:before="59"/>
        <w:ind w:left="501" w:right="8769"/>
        <w:jc w:val="left"/>
      </w:pPr>
      <w:r>
        <w:rPr/>
        <w:t>（一）智慧医疗业务 </w:t>
      </w:r>
      <w:r>
        <w:rPr>
          <w:rFonts w:ascii="宋体" w:hAnsi="宋体" w:cs="宋体" w:eastAsia="宋体" w:hint="default"/>
        </w:rPr>
        <w:t>1</w:t>
      </w:r>
      <w:r>
        <w:rPr/>
        <w:t>、主要业务情况</w:t>
      </w:r>
    </w:p>
    <w:p>
      <w:pPr>
        <w:pStyle w:val="BodyText"/>
        <w:spacing w:line="470" w:lineRule="auto" w:before="66"/>
        <w:ind w:right="996" w:firstLine="360"/>
        <w:jc w:val="left"/>
      </w:pPr>
      <w:r>
        <w:rPr>
          <w:spacing w:val="-3"/>
        </w:rPr>
        <w:t>公司坚持以“简约智慧医疗”为理念，以“病人安全、医疗质量、临床效率和费用控制”为目标，依托物联网、大数据、</w:t>
      </w:r>
      <w:r>
        <w:rPr/>
        <w:t> 人工智能等核心技术，为各级医院提供信息化整体解决方案，全面构建面向医院业务、基层卫生、居民养老和健康管理的智 </w:t>
      </w:r>
      <w:r>
        <w:rPr>
          <w:spacing w:val="-2"/>
        </w:rPr>
        <w:t>慧医疗健康服务体系，为大众和医疗机构提供全人全程可及连贯的医疗信息服务。目前公司产品主要涉及智慧医院、智慧医</w:t>
      </w:r>
      <w:r>
        <w:rPr>
          <w:spacing w:val="-72"/>
        </w:rPr>
        <w:t> </w:t>
      </w:r>
      <w:r>
        <w:rPr>
          <w:spacing w:val="-72"/>
        </w:rPr>
      </w:r>
      <w:r>
        <w:rPr>
          <w:spacing w:val="-2"/>
        </w:rPr>
        <w:t>共体、智慧养老、智能制造等板块，专注于打造创新型智慧医疗服务生态体系，助力医疗改革、提高医疗效益、服务全民健</w:t>
      </w:r>
      <w:r>
        <w:rPr>
          <w:spacing w:val="-72"/>
        </w:rPr>
        <w:t> </w:t>
      </w:r>
      <w:r>
        <w:rPr>
          <w:spacing w:val="-72"/>
        </w:rPr>
      </w:r>
      <w:r>
        <w:rPr/>
        <w:t>康。</w:t>
      </w:r>
    </w:p>
    <w:p>
      <w:pPr>
        <w:pStyle w:val="BodyText"/>
        <w:spacing w:line="240" w:lineRule="auto" w:before="42"/>
        <w:ind w:left="501" w:right="1086"/>
        <w:jc w:val="left"/>
      </w:pPr>
      <w:r>
        <w:rPr>
          <w:rFonts w:ascii="宋体" w:hAnsi="宋体" w:cs="宋体" w:eastAsia="宋体" w:hint="default"/>
        </w:rPr>
        <w:t>2</w:t>
      </w:r>
      <w:r>
        <w:rPr/>
        <w:t>、主要产品及用途</w:t>
      </w:r>
    </w:p>
    <w:p>
      <w:pPr>
        <w:spacing w:line="240" w:lineRule="auto" w:before="7"/>
        <w:rPr>
          <w:rFonts w:ascii="宋体" w:hAnsi="宋体" w:cs="宋体" w:eastAsia="宋体" w:hint="default"/>
          <w:sz w:val="17"/>
          <w:szCs w:val="17"/>
        </w:rPr>
      </w:pPr>
    </w:p>
    <w:p>
      <w:pPr>
        <w:pStyle w:val="BodyText"/>
        <w:spacing w:line="470" w:lineRule="auto" w:before="0"/>
        <w:ind w:right="0" w:firstLine="360"/>
        <w:jc w:val="left"/>
      </w:pPr>
      <w:r>
        <w:rPr>
          <w:spacing w:val="-2"/>
        </w:rPr>
        <w:t>（</w:t>
      </w:r>
      <w:r>
        <w:rPr>
          <w:rFonts w:ascii="宋体" w:hAnsi="宋体" w:cs="宋体" w:eastAsia="宋体" w:hint="default"/>
          <w:spacing w:val="-2"/>
        </w:rPr>
        <w:t>1</w:t>
      </w:r>
      <w:r>
        <w:rPr>
          <w:spacing w:val="-2"/>
        </w:rPr>
        <w:t>）智慧医院板块，公司智慧医院整体解决方案依据国家电子病历分级评价标准、互联互通标准、智慧服务评审标准，</w:t>
      </w:r>
      <w:r>
        <w:rPr/>
        <w:t> 并在充分利用信息化技术积累的成果、整合医院的医疗信息基础上，以全新的技术架构进行医院信息化整体规划、建设，包 </w:t>
      </w:r>
      <w:r>
        <w:rPr>
          <w:spacing w:val="-2"/>
        </w:rPr>
        <w:t>括面向医务人员的“智慧医疗”，打造以电子病历为核心的信息化建设；面向患者的“智慧服务”，为患者提供更加便捷的</w:t>
      </w:r>
      <w:r>
        <w:rPr>
          <w:spacing w:val="-65"/>
        </w:rPr>
        <w:t> </w:t>
      </w:r>
      <w:r>
        <w:rPr>
          <w:spacing w:val="-65"/>
        </w:rPr>
      </w:r>
      <w:r>
        <w:rPr>
          <w:spacing w:val="-2"/>
        </w:rPr>
        <w:t>就诊服务；面向医院的“智慧管理”，使管理者实时掌握全院运转的状态；面向课题研究的“智慧科研”，为科研提供标准</w:t>
      </w:r>
      <w:r>
        <w:rPr>
          <w:spacing w:val="-64"/>
        </w:rPr>
        <w:t> </w:t>
      </w:r>
      <w:r>
        <w:rPr>
          <w:spacing w:val="-64"/>
        </w:rPr>
      </w:r>
      <w:r>
        <w:rPr/>
        <w:t>的、准确的、具有研究价值的医疗数据。</w:t>
      </w:r>
    </w:p>
    <w:p>
      <w:pPr>
        <w:pStyle w:val="BodyText"/>
        <w:spacing w:line="475" w:lineRule="auto" w:before="41"/>
        <w:ind w:right="1106" w:firstLine="450"/>
        <w:jc w:val="both"/>
      </w:pPr>
      <w:r>
        <w:rPr>
          <w:spacing w:val="-2"/>
        </w:rPr>
        <w:t>医惠智慧医院整体解决方案将互联网</w:t>
      </w:r>
      <w:r>
        <w:rPr>
          <w:rFonts w:ascii="宋体" w:hAnsi="宋体" w:cs="宋体" w:eastAsia="宋体" w:hint="default"/>
          <w:spacing w:val="-2"/>
        </w:rPr>
        <w:t>+</w:t>
      </w:r>
      <w:r>
        <w:rPr>
          <w:spacing w:val="-2"/>
        </w:rPr>
        <w:t>、云计算、物联网、移动支付、人工智能、认知技术以及大数据技术和</w:t>
      </w:r>
      <w:r>
        <w:rPr>
          <w:rFonts w:ascii="宋体" w:hAnsi="宋体" w:cs="宋体" w:eastAsia="宋体" w:hint="default"/>
          <w:spacing w:val="-2"/>
        </w:rPr>
        <w:t>5G</w:t>
      </w:r>
      <w:r>
        <w:rPr>
          <w:spacing w:val="-2"/>
        </w:rPr>
        <w:t>等新技</w:t>
      </w:r>
      <w:r>
        <w:rPr/>
        <w:t> </w:t>
      </w:r>
      <w:r>
        <w:rPr>
          <w:spacing w:val="-2"/>
        </w:rPr>
        <w:t>术融入医院系统的建设，旨在帮助医院更好地管理复杂的业务流程、提高运营效率、降低运营成本，进一步满足人民群众不</w:t>
      </w:r>
      <w:r>
        <w:rPr>
          <w:spacing w:val="-42"/>
        </w:rPr>
        <w:t> </w:t>
      </w:r>
      <w:r>
        <w:rPr>
          <w:spacing w:val="-42"/>
        </w:rPr>
      </w:r>
      <w:r>
        <w:rPr/>
        <w:t>断增长的多层次多样化医疗服务需求。</w:t>
      </w:r>
    </w:p>
    <w:p>
      <w:pPr>
        <w:pStyle w:val="BodyText"/>
        <w:spacing w:line="470" w:lineRule="auto" w:before="38"/>
        <w:ind w:right="1014" w:firstLine="360"/>
        <w:jc w:val="left"/>
      </w:pPr>
      <w:r>
        <w:rPr/>
        <w:t>智慧医院板块的主要产品有：①智慧医疗：主要产品有医院信息智能开放平台、</w:t>
      </w:r>
      <w:r>
        <w:rPr>
          <w:rFonts w:ascii="宋体" w:hAnsi="宋体" w:cs="宋体" w:eastAsia="宋体" w:hint="default"/>
        </w:rPr>
        <w:t>ThinkGo</w:t>
      </w:r>
      <w:r>
        <w:rPr/>
        <w:t>人工智能开放平台、一体化服 </w:t>
      </w:r>
      <w:r>
        <w:rPr>
          <w:spacing w:val="-2"/>
        </w:rPr>
        <w:t>务平台、一体化监控平台、临床决策辅助支持系统、智能门户平台系统、电子病历后结构化、移动护理信息系统等；②智慧</w:t>
      </w:r>
      <w:r>
        <w:rPr>
          <w:spacing w:val="-72"/>
        </w:rPr>
        <w:t> </w:t>
      </w:r>
      <w:r>
        <w:rPr>
          <w:spacing w:val="-72"/>
        </w:rPr>
      </w:r>
      <w:r>
        <w:rPr/>
        <w:t>管理：主要产品有多网合一的物联网基础架构平台、物联网共性开放平台、消毒供应中心质量追溯系统、内镜消毒质量追溯</w:t>
      </w:r>
      <w:r>
        <w:rPr/>
        <w:t> </w:t>
      </w:r>
      <w:r>
        <w:rPr>
          <w:spacing w:val="-3"/>
        </w:rPr>
        <w:t>系统、智能婴儿防盗系统、医用织物管理系统、医废全流程监管整体解决方案等；③智慧服务：主要产品有患者全预约平台、</w:t>
      </w:r>
      <w:r>
        <w:rPr>
          <w:spacing w:val="-80"/>
        </w:rPr>
        <w:t> </w:t>
      </w:r>
      <w:r>
        <w:rPr>
          <w:spacing w:val="-80"/>
        </w:rPr>
      </w:r>
      <w:r>
        <w:rPr>
          <w:spacing w:val="-2"/>
        </w:rPr>
        <w:t>患者智能开放平台、健康宣教系统、室内导航系统、掌上医院、智能云随访系统等；④智慧科研：主要产品有科研服务平台</w:t>
      </w:r>
      <w:r>
        <w:rPr>
          <w:spacing w:val="-72"/>
        </w:rPr>
        <w:t> </w:t>
      </w:r>
      <w:r>
        <w:rPr>
          <w:spacing w:val="-72"/>
        </w:rPr>
      </w:r>
      <w:r>
        <w:rPr/>
        <w:t>等。</w:t>
      </w:r>
    </w:p>
    <w:p>
      <w:pPr>
        <w:spacing w:after="0" w:line="47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70" w:lineRule="auto"/>
        <w:ind w:right="1121" w:firstLine="360"/>
        <w:jc w:val="both"/>
      </w:pPr>
      <w:r>
        <w:rPr/>
        <w:t>（</w:t>
      </w:r>
      <w:r>
        <w:rPr>
          <w:rFonts w:ascii="宋体" w:hAnsi="宋体" w:cs="宋体" w:eastAsia="宋体" w:hint="default"/>
        </w:rPr>
        <w:t>2</w:t>
      </w:r>
      <w:r>
        <w:rPr/>
        <w:t>）智慧医共体板块，公司智慧医共体整体解决方案遵循国家深化医改、推进建设紧密型医共体的相关政策，同时基 </w:t>
      </w:r>
      <w:r>
        <w:rPr>
          <w:spacing w:val="-2"/>
        </w:rPr>
        <w:t>于公司多年深耕医疗信息化领域积累的行业经验，以先进的信息技术助力整合型医疗卫生服务体系构建，包括领域建模设计</w:t>
      </w:r>
      <w:r>
        <w:rPr>
          <w:spacing w:val="-72"/>
        </w:rPr>
        <w:t> </w:t>
      </w:r>
      <w:r>
        <w:rPr>
          <w:spacing w:val="-72"/>
        </w:rPr>
      </w:r>
      <w:r>
        <w:rPr>
          <w:spacing w:val="-2"/>
        </w:rPr>
        <w:t>和微服务架构一体化、临床诊疗和公共卫生一体化、前台业务和后台管控一体化的构建。旨在提高医疗卫生资源配置和使用</w:t>
      </w:r>
      <w:r>
        <w:rPr>
          <w:spacing w:val="-75"/>
        </w:rPr>
        <w:t> </w:t>
      </w:r>
      <w:r>
        <w:rPr>
          <w:spacing w:val="-75"/>
        </w:rPr>
      </w:r>
      <w:r>
        <w:rPr>
          <w:spacing w:val="-2"/>
        </w:rPr>
        <w:t>效率，提升基层医疗卫生服务能力，推动分级诊疗和家庭医生制度构建，为广大居民提供连贯、可及、高质量的医疗卫生服</w:t>
      </w:r>
      <w:r>
        <w:rPr>
          <w:spacing w:val="-57"/>
        </w:rPr>
        <w:t> </w:t>
      </w:r>
      <w:r>
        <w:rPr>
          <w:spacing w:val="-57"/>
        </w:rPr>
      </w:r>
      <w:r>
        <w:rPr/>
        <w:t>务。主要产品有智能</w:t>
      </w:r>
      <w:r>
        <w:rPr>
          <w:rFonts w:ascii="宋体" w:hAnsi="宋体" w:cs="宋体" w:eastAsia="宋体" w:hint="default"/>
        </w:rPr>
        <w:t>MDT&amp;</w:t>
      </w:r>
      <w:r>
        <w:rPr/>
        <w:t>远程医疗平台、慢病管理系统、母子健康手册等。</w:t>
      </w:r>
    </w:p>
    <w:p>
      <w:pPr>
        <w:pStyle w:val="BodyText"/>
        <w:spacing w:line="475" w:lineRule="auto" w:before="42"/>
        <w:ind w:right="1008" w:firstLine="360"/>
        <w:jc w:val="left"/>
      </w:pPr>
      <w:r>
        <w:rPr>
          <w:spacing w:val="-1"/>
        </w:rPr>
        <w:t>（</w:t>
      </w:r>
      <w:r>
        <w:rPr>
          <w:rFonts w:ascii="宋体" w:hAnsi="宋体" w:cs="宋体" w:eastAsia="宋体" w:hint="default"/>
          <w:spacing w:val="-1"/>
        </w:rPr>
        <w:t>3</w:t>
      </w:r>
      <w:r>
        <w:rPr>
          <w:spacing w:val="-1"/>
        </w:rPr>
        <w:t>）智慧养老板块，公司医养结合的智慧养老整体解决方案通过物联网、</w:t>
      </w:r>
      <w:r>
        <w:rPr>
          <w:rFonts w:ascii="宋体" w:hAnsi="宋体" w:cs="宋体" w:eastAsia="宋体" w:hint="default"/>
          <w:spacing w:val="-1"/>
        </w:rPr>
        <w:t>5G</w:t>
      </w:r>
      <w:r>
        <w:rPr>
          <w:spacing w:val="-1"/>
        </w:rPr>
        <w:t>、人工智能等技术实现个人健康闭环管理，</w:t>
      </w:r>
      <w:r>
        <w:rPr/>
        <w:t> 通过智能床、智能鞋、智能药盒等设备进行慢病患者以及独居老人的居家体征监测，实时远程看护其健康、用药以及睡眠情 况。主要产品有智能云随访系统</w:t>
      </w:r>
      <w:r>
        <w:rPr>
          <w:rFonts w:ascii="宋体" w:hAnsi="宋体" w:cs="宋体" w:eastAsia="宋体" w:hint="default"/>
        </w:rPr>
        <w:t>-</w:t>
      </w:r>
      <w:r>
        <w:rPr/>
        <w:t>居家监测、智能床、智能药盒、智能鞋、五网合一乐居平台等。</w:t>
      </w:r>
    </w:p>
    <w:p>
      <w:pPr>
        <w:pStyle w:val="BodyText"/>
        <w:spacing w:line="472" w:lineRule="auto" w:before="38"/>
        <w:ind w:right="1047" w:firstLine="360"/>
        <w:jc w:val="both"/>
      </w:pPr>
      <w:r>
        <w:rPr/>
        <w:t>（</w:t>
      </w:r>
      <w:r>
        <w:rPr>
          <w:rFonts w:ascii="宋体" w:hAnsi="宋体" w:cs="宋体" w:eastAsia="宋体" w:hint="default"/>
        </w:rPr>
        <w:t>4</w:t>
      </w:r>
      <w:r>
        <w:rPr/>
        <w:t>）智能制造板块，公司围绕智慧医院、智慧医共体、智慧养老的整体解决方案开展相关硬件的智能制造，实现软硬 </w:t>
      </w:r>
      <w:r>
        <w:rPr>
          <w:spacing w:val="-4"/>
        </w:rPr>
        <w:t>件协同发展。主要产品有被服自助回收站、被服自助发放站、智能回收车、智能药品柜、水洗标签、卡片标签、婴儿标签等。</w:t>
      </w:r>
    </w:p>
    <w:p>
      <w:pPr>
        <w:pStyle w:val="BodyText"/>
        <w:spacing w:line="458" w:lineRule="auto" w:before="55"/>
        <w:ind w:left="501" w:right="1086"/>
        <w:jc w:val="left"/>
      </w:pPr>
      <w:r>
        <w:rPr>
          <w:rFonts w:ascii="宋体" w:hAnsi="宋体" w:cs="宋体" w:eastAsia="宋体" w:hint="default"/>
        </w:rPr>
        <w:t>3</w:t>
      </w:r>
      <w:r>
        <w:rPr/>
        <w:t>、经营模式 </w:t>
      </w:r>
      <w:r>
        <w:rPr>
          <w:spacing w:val="-2"/>
        </w:rPr>
        <w:t>公司智慧医疗产品目前主要面向国内市场，并积极向境外市场开拓。业务通常采用直营的模式，主要客户为国内及港澳</w:t>
      </w:r>
    </w:p>
    <w:p>
      <w:pPr>
        <w:pStyle w:val="BodyText"/>
        <w:spacing w:line="475" w:lineRule="auto" w:before="66"/>
        <w:ind w:left="501" w:right="7510" w:hanging="361"/>
        <w:jc w:val="left"/>
      </w:pPr>
      <w:r>
        <w:rPr/>
        <w:t>地区的大中型医院及其他医疗养老机构。 </w:t>
      </w:r>
      <w:r>
        <w:rPr>
          <w:rFonts w:ascii="宋体" w:hAnsi="宋体" w:cs="宋体" w:eastAsia="宋体" w:hint="default"/>
        </w:rPr>
        <w:t>4</w:t>
      </w:r>
      <w:r>
        <w:rPr/>
        <w:t>、行业地位</w:t>
      </w:r>
    </w:p>
    <w:p>
      <w:pPr>
        <w:pStyle w:val="BodyText"/>
        <w:spacing w:line="470" w:lineRule="auto" w:before="38"/>
        <w:ind w:right="1129" w:firstLine="360"/>
        <w:jc w:val="both"/>
      </w:pPr>
      <w:r>
        <w:rPr>
          <w:spacing w:val="-2"/>
        </w:rPr>
        <w:t>公司是国内著名的智慧医疗整体解决方案供应商。公司在业内领先开发了医疗信息智能开放平台，推动了国内医疗信息</w:t>
      </w:r>
      <w:r>
        <w:rPr/>
        <w:t> </w:t>
      </w:r>
      <w:r>
        <w:rPr>
          <w:spacing w:val="-2"/>
        </w:rPr>
        <w:t>化建设模式的变革。公司是国家卫健委委属医院信息平台技术方案顶层设计单位，作为核心单位参与了医院信息互联互通标</w:t>
      </w:r>
      <w:r>
        <w:rPr>
          <w:spacing w:val="-72"/>
        </w:rPr>
        <w:t> </w:t>
      </w:r>
      <w:r>
        <w:rPr>
          <w:spacing w:val="-72"/>
        </w:rPr>
      </w:r>
      <w:r>
        <w:rPr/>
        <w:t>准等多项国家部、省级标准制定。公司牵头编制的相关标准通过</w:t>
      </w:r>
      <w:r>
        <w:rPr>
          <w:rFonts w:ascii="宋体" w:hAnsi="宋体" w:cs="宋体" w:eastAsia="宋体" w:hint="default"/>
        </w:rPr>
        <w:t>ISO</w:t>
      </w:r>
      <w:r>
        <w:rPr/>
        <w:t>国际化标准组织认证，开创了该领域中国医疗卫生信息</w:t>
      </w:r>
      <w:r>
        <w:rPr>
          <w:spacing w:val="-84"/>
        </w:rPr>
        <w:t> </w:t>
      </w:r>
      <w:r>
        <w:rPr>
          <w:spacing w:val="-2"/>
        </w:rPr>
        <w:t>标准国际化的先河。公司是国内医疗信息化行业首家给境外医院提供符合国际标准的整体信息化建设服务的企业，也是目前</w:t>
      </w:r>
      <w:r>
        <w:rPr>
          <w:spacing w:val="-64"/>
        </w:rPr>
        <w:t> </w:t>
      </w:r>
      <w:r>
        <w:rPr>
          <w:spacing w:val="-64"/>
        </w:rPr>
      </w:r>
      <w:r>
        <w:rPr/>
        <w:t>国内少数能够同时提供电子病历等级评审、医院信息互联互通测评、</w:t>
      </w:r>
      <w:r>
        <w:rPr>
          <w:rFonts w:ascii="宋体" w:hAnsi="宋体" w:cs="宋体" w:eastAsia="宋体" w:hint="default"/>
        </w:rPr>
        <w:t>JCI</w:t>
      </w:r>
      <w:r>
        <w:rPr/>
        <w:t>以及</w:t>
      </w:r>
      <w:r>
        <w:rPr>
          <w:rFonts w:ascii="宋体" w:hAnsi="宋体" w:cs="宋体" w:eastAsia="宋体" w:hint="default"/>
        </w:rPr>
        <w:t>HIMSS</w:t>
      </w:r>
      <w:r>
        <w:rPr/>
        <w:t>认证咨询服务的</w:t>
      </w:r>
      <w:r>
        <w:rPr>
          <w:rFonts w:ascii="宋体" w:hAnsi="宋体" w:cs="宋体" w:eastAsia="宋体" w:hint="default"/>
        </w:rPr>
        <w:t>IT</w:t>
      </w:r>
      <w:r>
        <w:rPr/>
        <w:t>企业。</w:t>
      </w:r>
    </w:p>
    <w:p>
      <w:pPr>
        <w:pStyle w:val="BodyText"/>
        <w:spacing w:line="458" w:lineRule="auto" w:before="57"/>
        <w:ind w:left="591" w:right="8769" w:hanging="90"/>
        <w:jc w:val="left"/>
      </w:pPr>
      <w:r>
        <w:rPr/>
        <w:t>（二）商业智能业务 </w:t>
      </w:r>
      <w:r>
        <w:rPr>
          <w:rFonts w:ascii="宋体" w:hAnsi="宋体" w:cs="宋体" w:eastAsia="宋体" w:hint="default"/>
        </w:rPr>
        <w:t>1</w:t>
      </w:r>
      <w:r>
        <w:rPr/>
        <w:t>、主要业务情况</w:t>
      </w:r>
    </w:p>
    <w:p>
      <w:pPr>
        <w:pStyle w:val="BodyText"/>
        <w:spacing w:line="475" w:lineRule="auto" w:before="66"/>
        <w:ind w:right="1044" w:firstLine="360"/>
        <w:jc w:val="both"/>
      </w:pPr>
      <w:r>
        <w:rPr/>
        <w:t>公司商业智能业务主要以</w:t>
      </w:r>
      <w:r>
        <w:rPr>
          <w:rFonts w:ascii="宋体" w:hAnsi="宋体" w:cs="宋体" w:eastAsia="宋体" w:hint="default"/>
        </w:rPr>
        <w:t>RFID</w:t>
      </w:r>
      <w:r>
        <w:rPr/>
        <w:t>标签的研发生产为基础，物联网应用开放平台为生态体系，提供智慧门店、服装供应链、 智慧城市的物联网解决方案，为实现数字化零售、供应链全流程管理、商业体系风险管控等方面提供全面的系统集成服务。</w:t>
      </w:r>
    </w:p>
    <w:p>
      <w:pPr>
        <w:pStyle w:val="BodyText"/>
        <w:spacing w:line="240" w:lineRule="auto" w:before="38"/>
        <w:ind w:left="501" w:right="1086"/>
        <w:jc w:val="left"/>
      </w:pPr>
      <w:r>
        <w:rPr>
          <w:rFonts w:ascii="宋体" w:hAnsi="宋体" w:cs="宋体" w:eastAsia="宋体" w:hint="default"/>
        </w:rPr>
        <w:t>2</w:t>
      </w:r>
      <w:r>
        <w:rPr/>
        <w:t>、主要产品及用途</w:t>
      </w:r>
    </w:p>
    <w:p>
      <w:pPr>
        <w:spacing w:line="240" w:lineRule="auto" w:before="8"/>
        <w:rPr>
          <w:rFonts w:ascii="宋体" w:hAnsi="宋体" w:cs="宋体" w:eastAsia="宋体" w:hint="default"/>
          <w:sz w:val="17"/>
          <w:szCs w:val="17"/>
        </w:rPr>
      </w:pPr>
    </w:p>
    <w:p>
      <w:pPr>
        <w:pStyle w:val="BodyText"/>
        <w:spacing w:line="472" w:lineRule="auto" w:before="0"/>
        <w:ind w:right="1111" w:firstLine="360"/>
        <w:jc w:val="both"/>
      </w:pPr>
      <w:r>
        <w:rPr>
          <w:spacing w:val="-2"/>
        </w:rPr>
        <w:t>（</w:t>
      </w:r>
      <w:r>
        <w:rPr>
          <w:rFonts w:ascii="宋体" w:hAnsi="宋体" w:cs="宋体" w:eastAsia="宋体" w:hint="default"/>
          <w:spacing w:val="-2"/>
        </w:rPr>
        <w:t>1</w:t>
      </w:r>
      <w:r>
        <w:rPr>
          <w:spacing w:val="-2"/>
        </w:rPr>
        <w:t>）智能防损板块，主要产品有实现防损防盗产品展示功能的硬标签、软标签、电子标签及其配套设备、</w:t>
      </w:r>
      <w:r>
        <w:rPr>
          <w:rFonts w:ascii="宋体" w:hAnsi="宋体" w:cs="宋体" w:eastAsia="宋体" w:hint="default"/>
          <w:spacing w:val="-2"/>
        </w:rPr>
        <w:t>AM/RF</w:t>
      </w:r>
      <w:r>
        <w:rPr>
          <w:spacing w:val="-2"/>
        </w:rPr>
        <w:t>天线系</w:t>
      </w:r>
      <w:r>
        <w:rPr/>
        <w:t> 统、展示保护类产品；以及</w:t>
      </w:r>
      <w:r>
        <w:rPr>
          <w:rFonts w:ascii="宋体" w:hAnsi="宋体" w:cs="宋体" w:eastAsia="宋体" w:hint="default"/>
        </w:rPr>
        <w:t>RFID</w:t>
      </w:r>
      <w:r>
        <w:rPr/>
        <w:t>监测系统、智慧仓储系统、智慧门店系统等集成应用系统和平台。</w:t>
      </w:r>
    </w:p>
    <w:p>
      <w:pPr>
        <w:pStyle w:val="BodyText"/>
        <w:spacing w:line="475" w:lineRule="auto" w:before="40"/>
        <w:ind w:right="1125" w:firstLine="360"/>
        <w:jc w:val="both"/>
      </w:pPr>
      <w:r>
        <w:rPr>
          <w:spacing w:val="-2"/>
        </w:rPr>
        <w:t>（</w:t>
      </w:r>
      <w:r>
        <w:rPr>
          <w:rFonts w:ascii="宋体" w:hAnsi="宋体" w:cs="宋体" w:eastAsia="宋体" w:hint="default"/>
          <w:spacing w:val="-2"/>
        </w:rPr>
        <w:t>2</w:t>
      </w:r>
      <w:r>
        <w:rPr>
          <w:spacing w:val="-2"/>
        </w:rPr>
        <w:t>）无人零售</w:t>
      </w:r>
      <w:r>
        <w:rPr>
          <w:rFonts w:ascii="宋体" w:hAnsi="宋体" w:cs="宋体" w:eastAsia="宋体" w:hint="default"/>
          <w:spacing w:val="-2"/>
        </w:rPr>
        <w:t>/</w:t>
      </w:r>
      <w:r>
        <w:rPr>
          <w:spacing w:val="-2"/>
        </w:rPr>
        <w:t>智能结算板块，主要产品为无人零售解决方案，采用“物联网”</w:t>
      </w:r>
      <w:r>
        <w:rPr>
          <w:rFonts w:ascii="宋体" w:hAnsi="宋体" w:cs="宋体" w:eastAsia="宋体" w:hint="default"/>
          <w:spacing w:val="-2"/>
        </w:rPr>
        <w:t>+</w:t>
      </w:r>
      <w:r>
        <w:rPr>
          <w:spacing w:val="-2"/>
        </w:rPr>
        <w:t>“机器视觉”</w:t>
      </w:r>
      <w:r>
        <w:rPr>
          <w:rFonts w:ascii="宋体" w:hAnsi="宋体" w:cs="宋体" w:eastAsia="宋体" w:hint="default"/>
          <w:spacing w:val="-2"/>
        </w:rPr>
        <w:t>+</w:t>
      </w:r>
      <w:r>
        <w:rPr>
          <w:spacing w:val="-2"/>
        </w:rPr>
        <w:t>“互联网”等多重主流</w:t>
      </w:r>
      <w:r>
        <w:rPr/>
        <w:t> 技术，打通卖场“人”、“货”、“场”，为消费者打造“即拿即走免排队”的消费体验。</w:t>
      </w:r>
    </w:p>
    <w:p>
      <w:pPr>
        <w:pStyle w:val="BodyText"/>
        <w:spacing w:line="458" w:lineRule="auto" w:before="53"/>
        <w:ind w:right="1046" w:firstLine="360"/>
        <w:jc w:val="both"/>
      </w:pPr>
      <w:r>
        <w:rPr/>
        <w:t>（</w:t>
      </w:r>
      <w:r>
        <w:rPr>
          <w:rFonts w:ascii="宋体" w:hAnsi="宋体" w:cs="宋体" w:eastAsia="宋体" w:hint="default"/>
        </w:rPr>
        <w:t>3</w:t>
      </w:r>
      <w:r>
        <w:rPr/>
        <w:t>）智慧城市物联网板块，主要产品有智慧窨井盖管理解决方案、智慧城市部件姿态管理方案、智能地下管网监测、 智能排污预警管理、固定资产管理等，通过灵敏度高、可定位的电子标签对城市公共设施、固定资产数据进行读取、采集、</w:t>
      </w:r>
    </w:p>
    <w:p>
      <w:pPr>
        <w:spacing w:after="0" w:line="458"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75" w:lineRule="auto"/>
        <w:ind w:left="501" w:right="5890" w:hanging="361"/>
        <w:jc w:val="left"/>
      </w:pPr>
      <w:r>
        <w:rPr/>
        <w:t>显示、识别以及监测，实现智能监测、智能管理以提高效率。 </w:t>
      </w:r>
      <w:r>
        <w:rPr>
          <w:rFonts w:ascii="宋体" w:hAnsi="宋体" w:cs="宋体" w:eastAsia="宋体" w:hint="default"/>
        </w:rPr>
        <w:t>3</w:t>
      </w:r>
      <w:r>
        <w:rPr/>
        <w:t>、经营模式</w:t>
      </w:r>
    </w:p>
    <w:p>
      <w:pPr>
        <w:pStyle w:val="BodyText"/>
        <w:spacing w:line="475" w:lineRule="auto" w:before="38"/>
        <w:ind w:right="1098" w:firstLine="360"/>
        <w:jc w:val="both"/>
      </w:pPr>
      <w:r>
        <w:rPr>
          <w:spacing w:val="-1"/>
        </w:rPr>
        <w:t>公司商业智能产品销售覆盖国内市场和海外市场，海外市场以</w:t>
      </w:r>
      <w:r>
        <w:rPr>
          <w:rFonts w:ascii="宋体" w:hAnsi="宋体" w:cs="宋体" w:eastAsia="宋体" w:hint="default"/>
          <w:spacing w:val="-1"/>
        </w:rPr>
        <w:t>ODM</w:t>
      </w:r>
      <w:r>
        <w:rPr>
          <w:spacing w:val="-1"/>
        </w:rPr>
        <w:t>、</w:t>
      </w:r>
      <w:r>
        <w:rPr>
          <w:rFonts w:ascii="宋体" w:hAnsi="宋体" w:cs="宋体" w:eastAsia="宋体" w:hint="default"/>
          <w:spacing w:val="-1"/>
        </w:rPr>
        <w:t>OEM</w:t>
      </w:r>
      <w:r>
        <w:rPr>
          <w:spacing w:val="-1"/>
        </w:rPr>
        <w:t>为主，部分区域为直营模式，客户主要为从事服</w:t>
      </w:r>
      <w:r>
        <w:rPr/>
        <w:t> </w:t>
      </w:r>
      <w:r>
        <w:rPr>
          <w:spacing w:val="-2"/>
        </w:rPr>
        <w:t>装、零售等行业的应用系统集成商。国内市场均为自主品牌，以“一站式零售解决方案提供商”的定位，采用直营加代理的</w:t>
      </w:r>
      <w:r>
        <w:rPr>
          <w:spacing w:val="-65"/>
        </w:rPr>
        <w:t> </w:t>
      </w:r>
      <w:r>
        <w:rPr>
          <w:spacing w:val="-65"/>
        </w:rPr>
      </w:r>
      <w:r>
        <w:rPr/>
        <w:t>模式，主要客户包括大型商超、服装连锁企业、</w:t>
      </w:r>
      <w:r>
        <w:rPr>
          <w:rFonts w:ascii="宋体" w:hAnsi="宋体" w:cs="宋体" w:eastAsia="宋体" w:hint="default"/>
        </w:rPr>
        <w:t>3C</w:t>
      </w:r>
      <w:r>
        <w:rPr/>
        <w:t>卖场、生鲜店、珠宝、物流、市政以及资产管理等行业客户。</w:t>
      </w:r>
    </w:p>
    <w:p>
      <w:pPr>
        <w:pStyle w:val="BodyText"/>
        <w:spacing w:line="475" w:lineRule="auto" w:before="38"/>
        <w:ind w:left="501" w:right="1086"/>
        <w:jc w:val="left"/>
      </w:pPr>
      <w:r>
        <w:rPr>
          <w:rFonts w:ascii="宋体" w:hAnsi="宋体" w:cs="宋体" w:eastAsia="宋体" w:hint="default"/>
        </w:rPr>
        <w:t>4</w:t>
      </w:r>
      <w:r>
        <w:rPr/>
        <w:t>、行业地位 </w:t>
      </w:r>
      <w:r>
        <w:rPr>
          <w:spacing w:val="-2"/>
        </w:rPr>
        <w:t>公司是全球最大的</w:t>
      </w:r>
      <w:r>
        <w:rPr>
          <w:rFonts w:ascii="宋体" w:hAnsi="宋体" w:cs="宋体" w:eastAsia="宋体" w:hint="default"/>
          <w:spacing w:val="-2"/>
        </w:rPr>
        <w:t>EAS</w:t>
      </w:r>
      <w:r>
        <w:rPr>
          <w:spacing w:val="-2"/>
        </w:rPr>
        <w:t>全产品线制造基地之一，目前</w:t>
      </w:r>
      <w:r>
        <w:rPr>
          <w:rFonts w:ascii="宋体" w:hAnsi="宋体" w:cs="宋体" w:eastAsia="宋体" w:hint="default"/>
          <w:spacing w:val="-2"/>
        </w:rPr>
        <w:t>EAS</w:t>
      </w:r>
      <w:r>
        <w:rPr>
          <w:spacing w:val="-2"/>
        </w:rPr>
        <w:t>拥有</w:t>
      </w:r>
      <w:r>
        <w:rPr>
          <w:rFonts w:ascii="宋体" w:hAnsi="宋体" w:cs="宋体" w:eastAsia="宋体" w:hint="default"/>
          <w:spacing w:val="-2"/>
        </w:rPr>
        <w:t>7</w:t>
      </w:r>
      <w:r>
        <w:rPr>
          <w:spacing w:val="-2"/>
        </w:rPr>
        <w:t>大产品系列，共计</w:t>
      </w:r>
      <w:r>
        <w:rPr>
          <w:rFonts w:ascii="宋体" w:hAnsi="宋体" w:cs="宋体" w:eastAsia="宋体" w:hint="default"/>
          <w:spacing w:val="-2"/>
        </w:rPr>
        <w:t>500</w:t>
      </w:r>
      <w:r>
        <w:rPr>
          <w:spacing w:val="-2"/>
        </w:rPr>
        <w:t>多种产品，其中硬标签产品市场占有</w:t>
      </w:r>
    </w:p>
    <w:p>
      <w:pPr>
        <w:pStyle w:val="BodyText"/>
        <w:spacing w:line="458" w:lineRule="auto" w:before="53"/>
        <w:ind w:right="1119"/>
        <w:jc w:val="left"/>
      </w:pPr>
      <w:r>
        <w:rPr/>
        <w:t>率持续多年稳居全球前列。公司也是全球最大</w:t>
      </w:r>
      <w:r>
        <w:rPr>
          <w:rFonts w:ascii="宋体" w:hAnsi="宋体" w:cs="宋体" w:eastAsia="宋体" w:hint="default"/>
        </w:rPr>
        <w:t>RFID</w:t>
      </w:r>
      <w:r>
        <w:rPr/>
        <w:t>技术研发生产基地之一，为多家国际知名</w:t>
      </w:r>
      <w:r>
        <w:rPr>
          <w:rFonts w:ascii="宋体" w:hAnsi="宋体" w:cs="宋体" w:eastAsia="宋体" w:hint="default"/>
        </w:rPr>
        <w:t>RFID</w:t>
      </w:r>
      <w:r>
        <w:rPr/>
        <w:t>客户提供</w:t>
      </w:r>
      <w:r>
        <w:rPr>
          <w:rFonts w:ascii="宋体" w:hAnsi="宋体" w:cs="宋体" w:eastAsia="宋体" w:hint="default"/>
        </w:rPr>
        <w:t>OEM</w:t>
      </w:r>
      <w:r>
        <w:rPr/>
        <w:t>服务。公司产</w:t>
      </w:r>
      <w:r>
        <w:rPr>
          <w:spacing w:val="-83"/>
        </w:rPr>
        <w:t> </w:t>
      </w:r>
      <w:r>
        <w:rPr/>
        <w:t>品出口遍及欧洲、美洲、中东、东南</w:t>
      </w:r>
      <w:r>
        <w:rPr>
          <w:spacing w:val="5"/>
        </w:rPr>
        <w:t> </w:t>
      </w:r>
      <w:r>
        <w:rPr/>
        <w:t>亚等</w:t>
      </w:r>
      <w:r>
        <w:rPr>
          <w:rFonts w:ascii="宋体" w:hAnsi="宋体" w:cs="宋体" w:eastAsia="宋体" w:hint="default"/>
        </w:rPr>
        <w:t>70</w:t>
      </w:r>
      <w:r>
        <w:rPr/>
        <w:t>多个国家及地区，与全球</w:t>
      </w:r>
      <w:r>
        <w:rPr>
          <w:rFonts w:ascii="宋体" w:hAnsi="宋体" w:cs="宋体" w:eastAsia="宋体" w:hint="default"/>
        </w:rPr>
        <w:t>300</w:t>
      </w:r>
      <w:r>
        <w:rPr/>
        <w:t>多家客户和代理商建立了长期稳定的合作关系。</w:t>
      </w:r>
    </w:p>
    <w:p>
      <w:pPr>
        <w:spacing w:line="240" w:lineRule="auto" w:before="6"/>
        <w:rPr>
          <w:rFonts w:ascii="宋体" w:hAnsi="宋体" w:cs="宋体" w:eastAsia="宋体" w:hint="default"/>
          <w:sz w:val="13"/>
          <w:szCs w:val="13"/>
        </w:rPr>
      </w:pPr>
    </w:p>
    <w:p>
      <w:pPr>
        <w:pStyle w:val="Heading2"/>
        <w:spacing w:line="240" w:lineRule="auto"/>
        <w:ind w:right="1086"/>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1086"/>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049"/>
        <w:gridCol w:w="6533"/>
      </w:tblGrid>
      <w:tr>
        <w:trPr>
          <w:trHeight w:val="187"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58"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vMerge w:val="restart"/>
            <w:tcBorders>
              <w:top w:val="single" w:sz="6" w:space="0" w:color="000000"/>
              <w:left w:val="single" w:sz="12" w:space="0" w:color="D2D2D2"/>
              <w:right w:val="single" w:sz="6" w:space="0" w:color="000000"/>
            </w:tcBorders>
          </w:tcPr>
          <w:p>
            <w:pPr>
              <w:pStyle w:val="TableParagraph"/>
              <w:spacing w:line="290" w:lineRule="auto" w:before="44"/>
              <w:ind w:left="22" w:right="31"/>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4,931.01</w:t>
            </w:r>
            <w:r>
              <w:rPr>
                <w:rFonts w:ascii="Times New Roman" w:hAnsi="Times New Roman" w:cs="Times New Roman" w:eastAsia="Times New Roman" w:hint="default"/>
                <w:spacing w:val="-13"/>
                <w:sz w:val="18"/>
                <w:szCs w:val="18"/>
              </w:rPr>
              <w:t> </w:t>
            </w:r>
            <w:r>
              <w:rPr>
                <w:rFonts w:ascii="宋体" w:hAnsi="宋体" w:cs="宋体" w:eastAsia="宋体" w:hint="default"/>
                <w:spacing w:val="-9"/>
                <w:sz w:val="18"/>
                <w:szCs w:val="18"/>
              </w:rPr>
              <w:t>万元，增幅</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16.42%</w:t>
            </w:r>
            <w:r>
              <w:rPr>
                <w:rFonts w:ascii="宋体" w:hAnsi="宋体" w:cs="宋体" w:eastAsia="宋体" w:hint="default"/>
                <w:sz w:val="18"/>
                <w:szCs w:val="18"/>
              </w:rPr>
              <w:t>，主要是物联网智慧医疗溯源管理项目 设备投入增加所致。</w:t>
            </w:r>
          </w:p>
        </w:tc>
      </w:tr>
      <w:tr>
        <w:trPr>
          <w:trHeight w:val="391"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3" w:type="dxa"/>
            <w:vMerge/>
            <w:tcBorders>
              <w:left w:val="single" w:sz="12" w:space="0" w:color="D2D2D2"/>
              <w:right w:val="single" w:sz="6" w:space="0" w:color="000000"/>
            </w:tcBorders>
          </w:tcPr>
          <w:p>
            <w:pPr/>
          </w:p>
        </w:tc>
      </w:tr>
      <w:tr>
        <w:trPr>
          <w:trHeight w:val="158"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vMerge/>
            <w:tcBorders>
              <w:left w:val="single" w:sz="12" w:space="0" w:color="D2D2D2"/>
              <w:bottom w:val="single" w:sz="6" w:space="0" w:color="000000"/>
              <w:right w:val="single" w:sz="6" w:space="0" w:color="000000"/>
            </w:tcBorders>
          </w:tcPr>
          <w:p>
            <w:pPr/>
          </w:p>
        </w:tc>
      </w:tr>
      <w:tr>
        <w:trPr>
          <w:trHeight w:val="406" w:hRule="exact"/>
        </w:trPr>
        <w:tc>
          <w:tcPr>
            <w:tcW w:w="304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157" w:hRule="exact"/>
        </w:trPr>
        <w:tc>
          <w:tcPr>
            <w:tcW w:w="3049" w:type="dxa"/>
            <w:tcBorders>
              <w:top w:val="single" w:sz="6" w:space="0" w:color="000000"/>
              <w:left w:val="single" w:sz="6" w:space="0" w:color="000000"/>
              <w:bottom w:val="nil" w:sz="6" w:space="0" w:color="auto"/>
              <w:right w:val="single" w:sz="6" w:space="0" w:color="000000"/>
            </w:tcBorders>
            <w:shd w:val="clear" w:color="auto" w:fill="D2D2D2"/>
          </w:tcPr>
          <w:p>
            <w:pPr/>
          </w:p>
        </w:tc>
        <w:tc>
          <w:tcPr>
            <w:tcW w:w="6533" w:type="dxa"/>
            <w:vMerge w:val="restart"/>
            <w:tcBorders>
              <w:top w:val="single" w:sz="6" w:space="0" w:color="000000"/>
              <w:left w:val="single" w:sz="12" w:space="0" w:color="D2D2D2"/>
              <w:right w:val="single" w:sz="6" w:space="0" w:color="000000"/>
            </w:tcBorders>
          </w:tcPr>
          <w:p>
            <w:pPr>
              <w:pStyle w:val="TableParagraph"/>
              <w:spacing w:line="276" w:lineRule="auto" w:before="59"/>
              <w:ind w:left="22" w:right="31"/>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8,669.31 </w:t>
            </w:r>
            <w:r>
              <w:rPr>
                <w:rFonts w:ascii="宋体" w:hAnsi="宋体" w:cs="宋体" w:eastAsia="宋体" w:hint="default"/>
                <w:sz w:val="18"/>
                <w:szCs w:val="18"/>
              </w:rPr>
              <w:t>万元，增幅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430.60%</w:t>
            </w:r>
            <w:r>
              <w:rPr>
                <w:rFonts w:ascii="宋体" w:hAnsi="宋体" w:cs="宋体" w:eastAsia="宋体" w:hint="default"/>
                <w:sz w:val="18"/>
                <w:szCs w:val="18"/>
              </w:rPr>
              <w:t>，主要系本公司智慧医疗产业化基地 项目持续投入建设所致。</w:t>
            </w:r>
          </w:p>
        </w:tc>
      </w:tr>
      <w:tr>
        <w:trPr>
          <w:trHeight w:val="390" w:hRule="exact"/>
        </w:trPr>
        <w:tc>
          <w:tcPr>
            <w:tcW w:w="304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3" w:type="dxa"/>
            <w:vMerge/>
            <w:tcBorders>
              <w:left w:val="single" w:sz="12" w:space="0" w:color="D2D2D2"/>
              <w:right w:val="single" w:sz="6" w:space="0" w:color="000000"/>
            </w:tcBorders>
          </w:tcPr>
          <w:p>
            <w:pPr/>
          </w:p>
        </w:tc>
      </w:tr>
      <w:tr>
        <w:trPr>
          <w:trHeight w:val="173" w:hRule="exact"/>
        </w:trPr>
        <w:tc>
          <w:tcPr>
            <w:tcW w:w="3049" w:type="dxa"/>
            <w:tcBorders>
              <w:top w:val="nil" w:sz="6" w:space="0" w:color="auto"/>
              <w:left w:val="single" w:sz="6" w:space="0" w:color="000000"/>
              <w:bottom w:val="single" w:sz="6" w:space="0" w:color="000000"/>
              <w:right w:val="single" w:sz="6" w:space="0" w:color="000000"/>
            </w:tcBorders>
            <w:shd w:val="clear" w:color="auto" w:fill="D2D2D2"/>
          </w:tcPr>
          <w:p>
            <w:pPr/>
          </w:p>
        </w:tc>
        <w:tc>
          <w:tcPr>
            <w:tcW w:w="6533" w:type="dxa"/>
            <w:vMerge/>
            <w:tcBorders>
              <w:left w:val="single" w:sz="12" w:space="0" w:color="D2D2D2"/>
              <w:bottom w:val="single" w:sz="6" w:space="0" w:color="000000"/>
              <w:right w:val="single" w:sz="6" w:space="0" w:color="000000"/>
            </w:tcBorders>
          </w:tcPr>
          <w:p>
            <w:pPr/>
          </w:p>
        </w:tc>
      </w:tr>
      <w:tr>
        <w:trPr>
          <w:trHeight w:val="7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30" w:right="31"/>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28,150.74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万元，增幅</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36.29%</w:t>
            </w:r>
            <w:r>
              <w:rPr>
                <w:rFonts w:ascii="宋体" w:hAnsi="宋体" w:cs="宋体" w:eastAsia="宋体" w:hint="default"/>
                <w:sz w:val="18"/>
                <w:szCs w:val="18"/>
              </w:rPr>
              <w:t>，主要系随智慧医疗业务销售规模扩 大，应收款相应增加所致。</w:t>
            </w:r>
          </w:p>
        </w:tc>
      </w:tr>
      <w:tr>
        <w:trPr>
          <w:trHeight w:val="405"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较上年期末增加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22,131.36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万元，主要系公司新增购买银行结构性存款所致。</w:t>
            </w:r>
          </w:p>
        </w:tc>
      </w:tr>
      <w:tr>
        <w:trPr>
          <w:trHeight w:val="706" w:hRule="exact"/>
        </w:trPr>
        <w:tc>
          <w:tcPr>
            <w:tcW w:w="3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3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30" w:right="18"/>
              <w:jc w:val="left"/>
              <w:rPr>
                <w:rFonts w:ascii="宋体" w:hAnsi="宋体" w:cs="宋体" w:eastAsia="宋体" w:hint="default"/>
                <w:sz w:val="18"/>
                <w:szCs w:val="18"/>
              </w:rPr>
            </w:pPr>
            <w:r>
              <w:rPr>
                <w:rFonts w:ascii="宋体" w:hAnsi="宋体" w:cs="宋体" w:eastAsia="宋体" w:hint="default"/>
                <w:sz w:val="18"/>
                <w:szCs w:val="18"/>
              </w:rPr>
              <w:t>较上年期末减少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1,664.43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万元，主要系杭州琅玕科技有限公司不再纳入合并范围内 因而相应转出商誉金额所致。</w:t>
            </w:r>
          </w:p>
        </w:tc>
      </w:tr>
    </w:tbl>
    <w:p>
      <w:pPr>
        <w:spacing w:line="240" w:lineRule="auto" w:before="11"/>
        <w:rPr>
          <w:rFonts w:ascii="宋体" w:hAnsi="宋体" w:cs="宋体" w:eastAsia="宋体" w:hint="default"/>
          <w:b/>
          <w:bCs/>
          <w:sz w:val="19"/>
          <w:szCs w:val="19"/>
        </w:rPr>
      </w:pPr>
    </w:p>
    <w:p>
      <w:pPr>
        <w:pStyle w:val="Heading5"/>
        <w:spacing w:line="240" w:lineRule="auto" w:before="35"/>
        <w:ind w:right="1086"/>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086"/>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0"/>
        <w:rPr>
          <w:rFonts w:ascii="宋体" w:hAnsi="宋体" w:cs="宋体" w:eastAsia="宋体" w:hint="default"/>
          <w:b/>
          <w:bCs/>
          <w:sz w:val="24"/>
          <w:szCs w:val="24"/>
        </w:rPr>
      </w:pPr>
    </w:p>
    <w:p>
      <w:pPr>
        <w:pStyle w:val="BodyText"/>
        <w:spacing w:line="458" w:lineRule="auto" w:before="162"/>
        <w:ind w:right="1081" w:firstLine="360"/>
        <w:jc w:val="left"/>
      </w:pPr>
      <w:r>
        <w:rPr>
          <w:spacing w:val="-2"/>
        </w:rPr>
        <w:t>公司作为国内领先的智慧医疗和智慧商业整体解决方案供应商，近年来研发投入规模持续增加，在智慧医疗及商业智能</w:t>
      </w:r>
      <w:r>
        <w:rPr/>
        <w:t> 两大业务领域取得多项研发技术成果。报告期内，公司研发总投入</w:t>
      </w:r>
      <w:r>
        <w:rPr>
          <w:rFonts w:ascii="宋体" w:hAnsi="宋体" w:cs="宋体" w:eastAsia="宋体" w:hint="default"/>
        </w:rPr>
        <w:t>16,119.55</w:t>
      </w:r>
      <w:r>
        <w:rPr>
          <w:rFonts w:ascii="宋体" w:hAnsi="宋体" w:cs="宋体" w:eastAsia="宋体" w:hint="default"/>
          <w:spacing w:val="-52"/>
        </w:rPr>
        <w:t> </w:t>
      </w:r>
      <w:r>
        <w:rPr/>
        <w:t>万元，占营业收入的</w:t>
      </w:r>
      <w:r>
        <w:rPr>
          <w:rFonts w:ascii="宋体" w:hAnsi="宋体" w:cs="宋体" w:eastAsia="宋体" w:hint="default"/>
        </w:rPr>
        <w:t>10.24%</w:t>
      </w:r>
      <w:r>
        <w:rPr/>
        <w:t>。以持续的研发技</w:t>
      </w:r>
    </w:p>
    <w:p>
      <w:pPr>
        <w:spacing w:after="0" w:line="458"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475" w:lineRule="auto"/>
        <w:ind w:left="1221" w:right="0" w:hanging="361"/>
        <w:jc w:val="left"/>
      </w:pPr>
      <w:r>
        <w:rPr/>
        <w:t>术创新为基础，公司进一步形成和加强了自身的核心竞争优势。 </w:t>
      </w:r>
      <w:r>
        <w:rPr>
          <w:rFonts w:ascii="宋体" w:hAnsi="宋体" w:cs="宋体" w:eastAsia="宋体" w:hint="default"/>
          <w:spacing w:val="-2"/>
        </w:rPr>
        <w:t>1</w:t>
      </w:r>
      <w:r>
        <w:rPr>
          <w:spacing w:val="-2"/>
        </w:rPr>
        <w:t>、公司以打造医疗行业的“</w:t>
      </w:r>
      <w:r>
        <w:rPr>
          <w:rFonts w:ascii="宋体" w:hAnsi="宋体" w:cs="宋体" w:eastAsia="宋体" w:hint="default"/>
          <w:spacing w:val="-2"/>
        </w:rPr>
        <w:t>Android</w:t>
      </w:r>
      <w:r>
        <w:rPr>
          <w:spacing w:val="-2"/>
        </w:rPr>
        <w:t>”为目标，在业内率先研发了智能开放平台的技术架构，为开展可及连贯医疗健康</w:t>
      </w:r>
    </w:p>
    <w:p>
      <w:pPr>
        <w:pStyle w:val="BodyText"/>
        <w:spacing w:line="468" w:lineRule="auto" w:before="38"/>
        <w:ind w:left="861" w:right="1046"/>
        <w:jc w:val="both"/>
      </w:pPr>
      <w:r>
        <w:rPr>
          <w:spacing w:val="-2"/>
        </w:rPr>
        <w:t>服务、推动国内医疗信息化建设模式的变革提供了重要平台架构基础。公司持续创新，将开放式架构进一步发展为微服务框</w:t>
      </w:r>
      <w:r>
        <w:rPr>
          <w:spacing w:val="-75"/>
        </w:rPr>
        <w:t> </w:t>
      </w:r>
      <w:r>
        <w:rPr>
          <w:spacing w:val="-75"/>
        </w:rPr>
      </w:r>
      <w:r>
        <w:rPr>
          <w:spacing w:val="-2"/>
        </w:rPr>
        <w:t>架体系，运用微服务框架重构医院业务系统，将功能服务化，实现医院业务的快速部署和重构及一站式生命周期管理，支撑</w:t>
      </w:r>
      <w:r>
        <w:rPr>
          <w:spacing w:val="-40"/>
        </w:rPr>
        <w:t> </w:t>
      </w:r>
      <w:r>
        <w:rPr>
          <w:spacing w:val="-40"/>
        </w:rPr>
      </w:r>
      <w:r>
        <w:rPr>
          <w:spacing w:val="-2"/>
        </w:rPr>
        <w:t>医疗信息化的个性化、专科化应用，提高用户体验。这种新的医疗信息化建设模式，有助于推动我国智慧医疗进入一个以个</w:t>
      </w:r>
      <w:r>
        <w:rPr>
          <w:spacing w:val="-42"/>
        </w:rPr>
        <w:t> </w:t>
      </w:r>
      <w:r>
        <w:rPr>
          <w:spacing w:val="-42"/>
        </w:rPr>
      </w:r>
      <w:r>
        <w:rPr>
          <w:spacing w:val="-4"/>
        </w:rPr>
        <w:t>性化的智能生态服务为核心的新的发展阶段，也有利于政府的分级诊疗、双向转诊以及医养护一体化等医疗改革目标的实现。</w:t>
      </w:r>
    </w:p>
    <w:p>
      <w:pPr>
        <w:pStyle w:val="BodyText"/>
        <w:spacing w:line="470" w:lineRule="auto" w:before="59"/>
        <w:ind w:left="861" w:right="1096" w:firstLine="360"/>
        <w:jc w:val="both"/>
      </w:pPr>
      <w:r>
        <w:rPr>
          <w:rFonts w:ascii="宋体" w:hAnsi="宋体" w:cs="宋体" w:eastAsia="宋体" w:hint="default"/>
          <w:spacing w:val="-3"/>
        </w:rPr>
        <w:t>2</w:t>
      </w:r>
      <w:r>
        <w:rPr>
          <w:spacing w:val="-3"/>
        </w:rPr>
        <w:t>、公司在智慧医疗产品研发上一直对标行业的国际先进水平，注重将国际上先进的医疗服务评审标准（诸如</w:t>
      </w:r>
      <w:r>
        <w:rPr>
          <w:rFonts w:ascii="宋体" w:hAnsi="宋体" w:cs="宋体" w:eastAsia="宋体" w:hint="default"/>
          <w:spacing w:val="-3"/>
        </w:rPr>
        <w:t>JCI</w:t>
      </w:r>
      <w:r>
        <w:rPr>
          <w:spacing w:val="-3"/>
        </w:rPr>
        <w:t>、</w:t>
      </w:r>
      <w:r>
        <w:rPr>
          <w:rFonts w:ascii="宋体" w:hAnsi="宋体" w:cs="宋体" w:eastAsia="宋体" w:hint="default"/>
          <w:spacing w:val="-3"/>
        </w:rPr>
        <w:t>HIMSS</w:t>
      </w:r>
      <w:r>
        <w:rPr>
          <w:rFonts w:ascii="宋体" w:hAnsi="宋体" w:cs="宋体" w:eastAsia="宋体" w:hint="default"/>
        </w:rPr>
        <w:t> </w:t>
      </w:r>
      <w:r>
        <w:rPr>
          <w:spacing w:val="-1"/>
        </w:rPr>
        <w:t>等）的理念融入公司的产品架构设计，使公司产品较好地吻合了国际市场的发展趋势。公司积极拓展海外智慧医疗市场，是</w:t>
      </w:r>
      <w:r>
        <w:rPr>
          <w:spacing w:val="-87"/>
        </w:rPr>
        <w:t> </w:t>
      </w:r>
      <w:r>
        <w:rPr>
          <w:spacing w:val="-87"/>
        </w:rPr>
      </w:r>
      <w:r>
        <w:rPr>
          <w:spacing w:val="-2"/>
        </w:rPr>
        <w:t>国内首家能够给境外医院提供符合国际标准的整体信息化建设服务的企业。公司承建的香港中文大学医院项目，展现了超强</w:t>
      </w:r>
      <w:r>
        <w:rPr>
          <w:spacing w:val="-72"/>
        </w:rPr>
        <w:t> </w:t>
      </w:r>
      <w:r>
        <w:rPr>
          <w:spacing w:val="-72"/>
        </w:rPr>
      </w:r>
      <w:r>
        <w:rPr>
          <w:spacing w:val="-2"/>
        </w:rPr>
        <w:t>的多系统整合能力，在香港其他医院未有先例。公司对海外智慧医疗市场的开拓，反过来又能促进公司更高层次地满足国内</w:t>
      </w:r>
      <w:r>
        <w:rPr>
          <w:spacing w:val="-75"/>
        </w:rPr>
        <w:t> </w:t>
      </w:r>
      <w:r>
        <w:rPr>
          <w:spacing w:val="-75"/>
        </w:rPr>
      </w:r>
      <w:r>
        <w:rPr/>
        <w:t>医院的需求，增强公司在国内市场的竞争力和影响力，引领国内医疗信息化行业向国际高水平发展。</w:t>
      </w:r>
    </w:p>
    <w:p>
      <w:pPr>
        <w:pStyle w:val="BodyText"/>
        <w:spacing w:line="470" w:lineRule="auto" w:before="42"/>
        <w:ind w:left="861" w:right="1096" w:firstLine="360"/>
        <w:jc w:val="both"/>
      </w:pPr>
      <w:r>
        <w:rPr>
          <w:rFonts w:ascii="宋体" w:hAnsi="宋体" w:cs="宋体" w:eastAsia="宋体" w:hint="default"/>
        </w:rPr>
        <w:t>3</w:t>
      </w:r>
      <w:r>
        <w:rPr/>
        <w:t>、公司保持在人工智能技术自主研发上的持续投入，不断巩固在医疗人工智能领域的领先优势。公司以自主研发的医 疗人工智能认知引擎</w:t>
      </w:r>
      <w:r>
        <w:rPr>
          <w:rFonts w:ascii="宋体" w:hAnsi="宋体" w:cs="宋体" w:eastAsia="宋体" w:hint="default"/>
        </w:rPr>
        <w:t>ThinkGo</w:t>
      </w:r>
      <w:r>
        <w:rPr/>
        <w:t>为核心，基于具备自主知识产权的医疗国际标准中文中西医临床术语体系，通过人工智能深度</w:t>
      </w:r>
      <w:r>
        <w:rPr>
          <w:spacing w:val="-82"/>
        </w:rPr>
        <w:t> </w:t>
      </w:r>
      <w:r>
        <w:rPr>
          <w:spacing w:val="-82"/>
        </w:rPr>
      </w:r>
      <w:r>
        <w:rPr>
          <w:spacing w:val="-1"/>
        </w:rPr>
        <w:t>学习，持续打造临床单病种辅助机器人，提升医生临床诊疗水平。公司同时携手百度，在</w:t>
      </w:r>
      <w:r>
        <w:rPr>
          <w:rFonts w:ascii="宋体" w:hAnsi="宋体" w:cs="宋体" w:eastAsia="宋体" w:hint="default"/>
          <w:spacing w:val="-1"/>
        </w:rPr>
        <w:t>AI</w:t>
      </w:r>
      <w:r>
        <w:rPr>
          <w:spacing w:val="-1"/>
        </w:rPr>
        <w:t>医疗创新应用项目领域内开展合</w:t>
      </w:r>
      <w:r>
        <w:rPr>
          <w:spacing w:val="-87"/>
        </w:rPr>
        <w:t> </w:t>
      </w:r>
      <w:r>
        <w:rPr>
          <w:spacing w:val="-1"/>
        </w:rPr>
        <w:t>作，推动人工智能技术与医疗场景的深度结合。未来公司将继续融合人工智能和互联网技术，强化</w:t>
      </w:r>
      <w:r>
        <w:rPr>
          <w:rFonts w:ascii="宋体" w:hAnsi="宋体" w:cs="宋体" w:eastAsia="宋体" w:hint="default"/>
          <w:spacing w:val="-1"/>
        </w:rPr>
        <w:t>AI</w:t>
      </w:r>
      <w:r>
        <w:rPr>
          <w:spacing w:val="-1"/>
        </w:rPr>
        <w:t>核心驱动优势，为医生</w:t>
      </w:r>
      <w:r>
        <w:rPr>
          <w:spacing w:val="-86"/>
        </w:rPr>
        <w:t> </w:t>
      </w:r>
      <w:r>
        <w:rPr>
          <w:spacing w:val="-86"/>
        </w:rPr>
      </w:r>
      <w:r>
        <w:rPr/>
        <w:t>提供辅助决策的同时实现单病种疾病的全程管理，并为解决医疗质控、医保控费等医疗管理问题提供助力。</w:t>
      </w:r>
    </w:p>
    <w:p>
      <w:pPr>
        <w:pStyle w:val="BodyText"/>
        <w:spacing w:line="468" w:lineRule="auto" w:before="57"/>
        <w:ind w:left="861" w:right="1102" w:firstLine="360"/>
        <w:jc w:val="both"/>
      </w:pPr>
      <w:r>
        <w:rPr>
          <w:rFonts w:ascii="宋体" w:hAnsi="宋体" w:cs="宋体" w:eastAsia="宋体" w:hint="default"/>
          <w:spacing w:val="-2"/>
        </w:rPr>
        <w:t>4</w:t>
      </w:r>
      <w:r>
        <w:rPr>
          <w:spacing w:val="-2"/>
        </w:rPr>
        <w:t>、公司拥有行业领先的</w:t>
      </w:r>
      <w:r>
        <w:rPr>
          <w:rFonts w:ascii="宋体" w:hAnsi="宋体" w:cs="宋体" w:eastAsia="宋体" w:hint="default"/>
          <w:spacing w:val="-2"/>
        </w:rPr>
        <w:t>EAS</w:t>
      </w:r>
      <w:r>
        <w:rPr>
          <w:spacing w:val="-2"/>
        </w:rPr>
        <w:t>、</w:t>
      </w:r>
      <w:r>
        <w:rPr>
          <w:rFonts w:ascii="宋体" w:hAnsi="宋体" w:cs="宋体" w:eastAsia="宋体" w:hint="default"/>
          <w:spacing w:val="-2"/>
        </w:rPr>
        <w:t>RFID</w:t>
      </w:r>
      <w:r>
        <w:rPr>
          <w:spacing w:val="-2"/>
        </w:rPr>
        <w:t>开发与应用一体化平台技术，具备从标签的研发制造到系统集成的全产业链优势，行</w:t>
      </w:r>
      <w:r>
        <w:rPr/>
        <w:t> </w:t>
      </w:r>
      <w:r>
        <w:rPr>
          <w:spacing w:val="-2"/>
        </w:rPr>
        <w:t>业应用覆盖了供应链管理、零售业、制造业、智慧城市等领域，特别是在数字化零售和</w:t>
      </w:r>
      <w:r>
        <w:rPr>
          <w:rFonts w:ascii="宋体" w:hAnsi="宋体" w:cs="宋体" w:eastAsia="宋体" w:hint="default"/>
          <w:spacing w:val="-2"/>
        </w:rPr>
        <w:t>RFID</w:t>
      </w:r>
      <w:r>
        <w:rPr>
          <w:spacing w:val="-2"/>
        </w:rPr>
        <w:t>应用领域处于业界领先地位，为</w:t>
      </w:r>
      <w:r>
        <w:rPr>
          <w:spacing w:val="-46"/>
        </w:rPr>
        <w:t> </w:t>
      </w:r>
      <w:r>
        <w:rPr>
          <w:spacing w:val="-46"/>
        </w:rPr>
      </w:r>
      <w:r>
        <w:rPr>
          <w:spacing w:val="-2"/>
        </w:rPr>
        <w:t>客户提供物联防损、无人零售、透明供应链、智慧安保等领先的一站式解决方案，推动零售行业全面数字化转型，帮助客户</w:t>
      </w:r>
      <w:r>
        <w:rPr>
          <w:spacing w:val="-57"/>
        </w:rPr>
        <w:t> </w:t>
      </w:r>
      <w:r>
        <w:rPr>
          <w:spacing w:val="-57"/>
        </w:rPr>
      </w:r>
      <w:r>
        <w:rPr/>
        <w:t>提升运营管理水平，增强可持续发展能力。</w:t>
      </w:r>
    </w:p>
    <w:p>
      <w:pPr>
        <w:pStyle w:val="BodyText"/>
        <w:spacing w:line="475" w:lineRule="auto" w:before="43"/>
        <w:ind w:left="861" w:right="1125" w:firstLine="360"/>
        <w:jc w:val="both"/>
      </w:pPr>
      <w:r>
        <w:rPr/>
        <w:pict>
          <v:shape style="position:absolute;margin-left:19.525pt;margin-top:41.191719pt;width:557.6pt;height:184.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86"/>
                    <w:gridCol w:w="1111"/>
                    <w:gridCol w:w="3575"/>
                    <w:gridCol w:w="2133"/>
                    <w:gridCol w:w="1141"/>
                    <w:gridCol w:w="992"/>
                    <w:gridCol w:w="1592"/>
                  </w:tblGrid>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序号</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专利号</w:t>
                        </w:r>
                        <w:r>
                          <w:rPr>
                            <w:rFonts w:ascii="Times New Roman" w:hAnsi="Times New Roman" w:cs="Times New Roman" w:eastAsia="Times New Roman" w:hint="default"/>
                            <w:sz w:val="18"/>
                            <w:szCs w:val="18"/>
                          </w:rPr>
                          <w:t>/</w:t>
                        </w:r>
                        <w:r>
                          <w:rPr>
                            <w:rFonts w:ascii="宋体" w:hAnsi="宋体" w:cs="宋体" w:eastAsia="宋体" w:hint="default"/>
                            <w:sz w:val="18"/>
                            <w:szCs w:val="18"/>
                          </w:rPr>
                          <w:t>登记号</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登记时间</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取得方式</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著作权人</w:t>
                        </w:r>
                      </w:p>
                    </w:tc>
                  </w:tr>
                  <w:tr>
                    <w:trPr>
                      <w:trHeight w:val="6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22"/>
                          <w:jc w:val="left"/>
                          <w:rPr>
                            <w:rFonts w:ascii="宋体" w:hAnsi="宋体" w:cs="宋体" w:eastAsia="宋体" w:hint="default"/>
                            <w:sz w:val="18"/>
                            <w:szCs w:val="18"/>
                          </w:rPr>
                        </w:pPr>
                        <w:r>
                          <w:rPr>
                            <w:rFonts w:ascii="宋体" w:hAnsi="宋体" w:cs="宋体" w:eastAsia="宋体" w:hint="default"/>
                            <w:sz w:val="18"/>
                            <w:szCs w:val="18"/>
                          </w:rPr>
                          <w:t>一种具有实时响应特点的基于感应的数据识 别系统</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4"/>
                            <w:sz w:val="18"/>
                          </w:rPr>
                          <w:t>ZL </w:t>
                        </w:r>
                        <w:r>
                          <w:rPr>
                            <w:rFonts w:ascii="Times New Roman"/>
                            <w:sz w:val="18"/>
                          </w:rPr>
                          <w:t>2014 1</w:t>
                        </w:r>
                        <w:r>
                          <w:rPr>
                            <w:rFonts w:ascii="Times New Roman"/>
                            <w:spacing w:val="-8"/>
                            <w:sz w:val="18"/>
                          </w:rPr>
                          <w:t> </w:t>
                        </w:r>
                        <w:r>
                          <w:rPr>
                            <w:rFonts w:ascii="Times New Roman"/>
                            <w:sz w:val="18"/>
                          </w:rPr>
                          <w:t>0849456.5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2019/2/1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420" w:right="434"/>
                          <w:jc w:val="left"/>
                          <w:rPr>
                            <w:rFonts w:ascii="宋体" w:hAnsi="宋体" w:cs="宋体" w:eastAsia="宋体" w:hint="default"/>
                            <w:sz w:val="18"/>
                            <w:szCs w:val="18"/>
                          </w:rPr>
                        </w:pPr>
                        <w:r>
                          <w:rPr>
                            <w:rFonts w:ascii="宋体" w:hAnsi="宋体" w:cs="宋体" w:eastAsia="宋体" w:hint="default"/>
                            <w:sz w:val="18"/>
                            <w:szCs w:val="18"/>
                          </w:rPr>
                          <w:t>思创医惠 思创汇联</w:t>
                        </w:r>
                      </w:p>
                    </w:tc>
                  </w:tr>
                  <w:tr>
                    <w:trPr>
                      <w:trHeight w:val="6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 w:right="122"/>
                          <w:jc w:val="left"/>
                          <w:rPr>
                            <w:rFonts w:ascii="宋体" w:hAnsi="宋体" w:cs="宋体" w:eastAsia="宋体" w:hint="default"/>
                            <w:sz w:val="18"/>
                            <w:szCs w:val="18"/>
                          </w:rPr>
                        </w:pPr>
                        <w:r>
                          <w:rPr>
                            <w:rFonts w:ascii="宋体" w:hAnsi="宋体" w:cs="宋体" w:eastAsia="宋体" w:hint="default"/>
                            <w:sz w:val="18"/>
                            <w:szCs w:val="18"/>
                          </w:rPr>
                          <w:t>具备无线充电功能的加速度传感器系统和网 格基站</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pacing w:val="4"/>
                            <w:sz w:val="18"/>
                          </w:rPr>
                          <w:t>ZL </w:t>
                        </w:r>
                        <w:r>
                          <w:rPr>
                            <w:rFonts w:ascii="Times New Roman"/>
                            <w:sz w:val="18"/>
                          </w:rPr>
                          <w:t>2015 1</w:t>
                        </w:r>
                        <w:r>
                          <w:rPr>
                            <w:rFonts w:ascii="Times New Roman"/>
                            <w:spacing w:val="-8"/>
                            <w:sz w:val="18"/>
                          </w:rPr>
                          <w:t> </w:t>
                        </w:r>
                        <w:r>
                          <w:rPr>
                            <w:rFonts w:ascii="Times New Roman"/>
                            <w:sz w:val="18"/>
                          </w:rPr>
                          <w:t>0468597.7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2019/9/20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思创医惠</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7"/>
                          <w:jc w:val="center"/>
                          <w:rPr>
                            <w:rFonts w:ascii="Times New Roman" w:hAnsi="Times New Roman" w:cs="Times New Roman" w:eastAsia="Times New Roman" w:hint="default"/>
                            <w:sz w:val="18"/>
                            <w:szCs w:val="18"/>
                          </w:rPr>
                        </w:pPr>
                        <w:r>
                          <w:rPr>
                            <w:rFonts w:ascii="Times New Roman"/>
                            <w:sz w:val="18"/>
                          </w:rPr>
                          <w:t>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一种商品防盗装置</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8" w:right="0"/>
                          <w:jc w:val="center"/>
                          <w:rPr>
                            <w:rFonts w:ascii="Times New Roman" w:hAnsi="Times New Roman" w:cs="Times New Roman" w:eastAsia="Times New Roman" w:hint="default"/>
                            <w:sz w:val="18"/>
                            <w:szCs w:val="18"/>
                          </w:rPr>
                        </w:pPr>
                        <w:r>
                          <w:rPr>
                            <w:rFonts w:ascii="Times New Roman"/>
                            <w:spacing w:val="4"/>
                            <w:sz w:val="18"/>
                          </w:rPr>
                          <w:t>ZL </w:t>
                        </w:r>
                        <w:r>
                          <w:rPr>
                            <w:rFonts w:ascii="Times New Roman"/>
                            <w:sz w:val="18"/>
                          </w:rPr>
                          <w:t>2015 1</w:t>
                        </w:r>
                        <w:r>
                          <w:rPr>
                            <w:rFonts w:ascii="Times New Roman"/>
                            <w:spacing w:val="-8"/>
                            <w:sz w:val="18"/>
                          </w:rPr>
                          <w:t> </w:t>
                        </w:r>
                        <w:r>
                          <w:rPr>
                            <w:rFonts w:ascii="Times New Roman"/>
                            <w:sz w:val="18"/>
                          </w:rPr>
                          <w:t>0706864.X</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24" w:right="0"/>
                          <w:jc w:val="left"/>
                          <w:rPr>
                            <w:rFonts w:ascii="Times New Roman" w:hAnsi="Times New Roman" w:cs="Times New Roman" w:eastAsia="Times New Roman" w:hint="default"/>
                            <w:sz w:val="18"/>
                            <w:szCs w:val="18"/>
                          </w:rPr>
                        </w:pPr>
                        <w:r>
                          <w:rPr>
                            <w:rFonts w:ascii="Times New Roman"/>
                            <w:sz w:val="18"/>
                          </w:rPr>
                          <w:t>2019/2/1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思创医惠</w:t>
                        </w:r>
                      </w:p>
                    </w:tc>
                  </w:tr>
                  <w:tr>
                    <w:trPr>
                      <w:trHeight w:val="97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7"/>
                          <w:jc w:val="center"/>
                          <w:rPr>
                            <w:rFonts w:ascii="Times New Roman" w:hAnsi="Times New Roman" w:cs="Times New Roman" w:eastAsia="Times New Roman" w:hint="default"/>
                            <w:sz w:val="18"/>
                            <w:szCs w:val="18"/>
                          </w:rPr>
                        </w:pPr>
                        <w:r>
                          <w:rPr>
                            <w:rFonts w:ascii="Times New Roman"/>
                            <w:sz w:val="18"/>
                          </w:rPr>
                          <w:t>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一种片烟包芯温度水份检测仪</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pacing w:val="4"/>
                            <w:sz w:val="18"/>
                          </w:rPr>
                          <w:t>ZL </w:t>
                        </w:r>
                        <w:r>
                          <w:rPr>
                            <w:rFonts w:ascii="Times New Roman"/>
                            <w:sz w:val="18"/>
                          </w:rPr>
                          <w:t>2016 1</w:t>
                        </w:r>
                        <w:r>
                          <w:rPr>
                            <w:rFonts w:ascii="Times New Roman"/>
                            <w:spacing w:val="-8"/>
                            <w:sz w:val="18"/>
                          </w:rPr>
                          <w:t> </w:t>
                        </w:r>
                        <w:r>
                          <w:rPr>
                            <w:rFonts w:ascii="Times New Roman"/>
                            <w:sz w:val="18"/>
                          </w:rPr>
                          <w:t>0211101.2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79" w:right="0"/>
                          <w:jc w:val="left"/>
                          <w:rPr>
                            <w:rFonts w:ascii="Times New Roman" w:hAnsi="Times New Roman" w:cs="Times New Roman" w:eastAsia="Times New Roman" w:hint="default"/>
                            <w:sz w:val="18"/>
                            <w:szCs w:val="18"/>
                          </w:rPr>
                        </w:pPr>
                        <w:r>
                          <w:rPr>
                            <w:rFonts w:ascii="Times New Roman"/>
                            <w:sz w:val="18"/>
                          </w:rPr>
                          <w:t>2019/5/17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420" w:right="434"/>
                          <w:jc w:val="both"/>
                          <w:rPr>
                            <w:rFonts w:ascii="宋体" w:hAnsi="宋体" w:cs="宋体" w:eastAsia="宋体" w:hint="default"/>
                            <w:sz w:val="18"/>
                            <w:szCs w:val="18"/>
                          </w:rPr>
                        </w:pPr>
                        <w:r>
                          <w:rPr>
                            <w:rFonts w:ascii="宋体" w:hAnsi="宋体" w:cs="宋体" w:eastAsia="宋体" w:hint="default"/>
                            <w:sz w:val="18"/>
                            <w:szCs w:val="18"/>
                          </w:rPr>
                          <w:t>思创医惠 思创汇联 思创宣道</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7"/>
                          <w:jc w:val="center"/>
                          <w:rPr>
                            <w:rFonts w:ascii="Times New Roman" w:hAnsi="Times New Roman" w:cs="Times New Roman" w:eastAsia="Times New Roman" w:hint="default"/>
                            <w:sz w:val="18"/>
                            <w:szCs w:val="18"/>
                          </w:rPr>
                        </w:pPr>
                        <w:r>
                          <w:rPr>
                            <w:rFonts w:ascii="Times New Roman"/>
                            <w:sz w:val="18"/>
                          </w:rPr>
                          <w:t>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防盗系统解码器检测装置</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center"/>
                          <w:rPr>
                            <w:rFonts w:ascii="Times New Roman" w:hAnsi="Times New Roman" w:cs="Times New Roman" w:eastAsia="Times New Roman" w:hint="default"/>
                            <w:sz w:val="18"/>
                            <w:szCs w:val="18"/>
                          </w:rPr>
                        </w:pPr>
                        <w:r>
                          <w:rPr>
                            <w:rFonts w:ascii="Times New Roman"/>
                            <w:spacing w:val="4"/>
                            <w:sz w:val="18"/>
                          </w:rPr>
                          <w:t>ZL </w:t>
                        </w:r>
                        <w:r>
                          <w:rPr>
                            <w:rFonts w:ascii="Times New Roman"/>
                            <w:sz w:val="18"/>
                          </w:rPr>
                          <w:t>2016 1</w:t>
                        </w:r>
                        <w:r>
                          <w:rPr>
                            <w:rFonts w:ascii="Times New Roman"/>
                            <w:spacing w:val="-8"/>
                            <w:sz w:val="18"/>
                          </w:rPr>
                          <w:t> </w:t>
                        </w:r>
                        <w:r>
                          <w:rPr>
                            <w:rFonts w:ascii="Times New Roman"/>
                            <w:sz w:val="18"/>
                          </w:rPr>
                          <w:t>1195762.7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2019/4/30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思创医惠</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7"/>
                          <w:jc w:val="center"/>
                          <w:rPr>
                            <w:rFonts w:ascii="Times New Roman" w:hAnsi="Times New Roman" w:cs="Times New Roman" w:eastAsia="Times New Roman" w:hint="default"/>
                            <w:sz w:val="18"/>
                            <w:szCs w:val="18"/>
                          </w:rPr>
                        </w:pPr>
                        <w:r>
                          <w:rPr>
                            <w:rFonts w:ascii="Times New Roman"/>
                            <w:sz w:val="18"/>
                          </w:rPr>
                          <w:t>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w:t>
                        </w:r>
                        <w:r>
                          <w:rPr>
                            <w:rFonts w:ascii="Times New Roman" w:hAnsi="Times New Roman" w:cs="Times New Roman" w:eastAsia="Times New Roman" w:hint="default"/>
                            <w:sz w:val="18"/>
                            <w:szCs w:val="18"/>
                          </w:rPr>
                          <w:t>MQ</w:t>
                        </w:r>
                        <w:r>
                          <w:rPr>
                            <w:rFonts w:ascii="宋体" w:hAnsi="宋体" w:cs="宋体" w:eastAsia="宋体" w:hint="default"/>
                            <w:sz w:val="18"/>
                            <w:szCs w:val="18"/>
                          </w:rPr>
                          <w:t>软件开发工具包软件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2019SR0053858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2019/1/16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bl>
                <w:p>
                  <w:pPr/>
                </w:p>
              </w:txbxContent>
            </v:textbox>
            <w10:wrap type="none"/>
          </v:shape>
        </w:pict>
      </w:r>
      <w:r>
        <w:rPr>
          <w:rFonts w:ascii="宋体" w:hAnsi="宋体" w:cs="宋体" w:eastAsia="宋体" w:hint="default"/>
          <w:spacing w:val="-2"/>
        </w:rPr>
        <w:t>5</w:t>
      </w:r>
      <w:r>
        <w:rPr>
          <w:spacing w:val="-2"/>
        </w:rPr>
        <w:t>、报告期内，公司及子公司共获得软件著作权</w:t>
      </w:r>
      <w:r>
        <w:rPr>
          <w:rFonts w:ascii="宋体" w:hAnsi="宋体" w:cs="宋体" w:eastAsia="宋体" w:hint="default"/>
          <w:spacing w:val="-2"/>
        </w:rPr>
        <w:t>92</w:t>
      </w:r>
      <w:r>
        <w:rPr>
          <w:spacing w:val="-2"/>
        </w:rPr>
        <w:t>项，实用新型专利</w:t>
      </w:r>
      <w:r>
        <w:rPr>
          <w:rFonts w:ascii="宋体" w:hAnsi="宋体" w:cs="宋体" w:eastAsia="宋体" w:hint="default"/>
          <w:spacing w:val="-2"/>
        </w:rPr>
        <w:t>18</w:t>
      </w:r>
      <w:r>
        <w:rPr>
          <w:spacing w:val="-2"/>
        </w:rPr>
        <w:t>项，发明专利</w:t>
      </w:r>
      <w:r>
        <w:rPr>
          <w:rFonts w:ascii="宋体" w:hAnsi="宋体" w:cs="宋体" w:eastAsia="宋体" w:hint="default"/>
          <w:spacing w:val="-2"/>
        </w:rPr>
        <w:t>5</w:t>
      </w:r>
      <w:r>
        <w:rPr>
          <w:spacing w:val="-2"/>
        </w:rPr>
        <w:t>项，外观设计专利</w:t>
      </w:r>
      <w:r>
        <w:rPr>
          <w:rFonts w:ascii="宋体" w:hAnsi="宋体" w:cs="宋体" w:eastAsia="宋体" w:hint="default"/>
          <w:spacing w:val="-2"/>
        </w:rPr>
        <w:t>10</w:t>
      </w:r>
      <w:r>
        <w:rPr>
          <w:spacing w:val="-2"/>
        </w:rPr>
        <w:t>项。其中发明</w:t>
      </w:r>
      <w:r>
        <w:rPr/>
        <w:t> 专利及软件著作权情况如下：</w:t>
      </w:r>
    </w:p>
    <w:p>
      <w:pPr>
        <w:spacing w:after="0" w:line="475" w:lineRule="auto"/>
        <w:jc w:val="both"/>
        <w:sectPr>
          <w:pgSz w:w="11910" w:h="16850"/>
          <w:pgMar w:header="731" w:footer="981" w:top="1040" w:bottom="1180" w:left="2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586"/>
        <w:gridCol w:w="1111"/>
        <w:gridCol w:w="3575"/>
        <w:gridCol w:w="2133"/>
        <w:gridCol w:w="1141"/>
        <w:gridCol w:w="992"/>
        <w:gridCol w:w="1592"/>
      </w:tblGrid>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5" w:right="0"/>
              <w:jc w:val="left"/>
              <w:rPr>
                <w:rFonts w:ascii="Times New Roman" w:hAnsi="Times New Roman" w:cs="Times New Roman" w:eastAsia="Times New Roman" w:hint="default"/>
                <w:sz w:val="18"/>
                <w:szCs w:val="18"/>
              </w:rPr>
            </w:pPr>
            <w:r>
              <w:rPr>
                <w:rFonts w:ascii="Times New Roman"/>
                <w:sz w:val="18"/>
              </w:rPr>
              <w:t>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医惠临床一体化运维平台软件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2019SR0133778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2019/2/12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5" w:right="0"/>
              <w:jc w:val="left"/>
              <w:rPr>
                <w:rFonts w:ascii="Times New Roman" w:hAnsi="Times New Roman" w:cs="Times New Roman" w:eastAsia="Times New Roman" w:hint="default"/>
                <w:sz w:val="18"/>
                <w:szCs w:val="18"/>
              </w:rPr>
            </w:pPr>
            <w:r>
              <w:rPr>
                <w:rFonts w:ascii="Times New Roman"/>
                <w:sz w:val="18"/>
              </w:rPr>
              <w:t>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医惠一体化服务平台软件</w:t>
            </w:r>
            <w:r>
              <w:rPr>
                <w:rFonts w:ascii="Times New Roman" w:hAnsi="Times New Roman" w:cs="Times New Roman" w:eastAsia="Times New Roman" w:hint="default"/>
                <w:sz w:val="18"/>
                <w:szCs w:val="18"/>
              </w:rPr>
              <w:t>V4.1</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2019SR0146933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2019/2/18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5" w:right="0"/>
              <w:jc w:val="left"/>
              <w:rPr>
                <w:rFonts w:ascii="Times New Roman" w:hAnsi="Times New Roman" w:cs="Times New Roman" w:eastAsia="Times New Roman" w:hint="default"/>
                <w:sz w:val="18"/>
                <w:szCs w:val="18"/>
              </w:rPr>
            </w:pPr>
            <w:r>
              <w:rPr>
                <w:rFonts w:ascii="Times New Roman"/>
                <w:sz w:val="18"/>
              </w:rPr>
              <w:t>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医惠临床一体化权限管理系统软件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2019SR0259708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2019/3/19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10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医惠数据中心管理平台软件</w:t>
            </w:r>
            <w:r>
              <w:rPr>
                <w:rFonts w:ascii="Times New Roman" w:hAnsi="Times New Roman" w:cs="Times New Roman" w:eastAsia="Times New Roman" w:hint="default"/>
                <w:sz w:val="18"/>
                <w:szCs w:val="18"/>
              </w:rPr>
              <w:t>V3.2</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2019SR0262101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2019/3/19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11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医惠主数据管理平台系统软件</w:t>
            </w:r>
            <w:r>
              <w:rPr>
                <w:rFonts w:ascii="Times New Roman" w:hAnsi="Times New Roman" w:cs="Times New Roman" w:eastAsia="Times New Roman" w:hint="default"/>
                <w:sz w:val="18"/>
                <w:szCs w:val="18"/>
              </w:rPr>
              <w:t>V2.2</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2019SR0339580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2019/4/16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12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医惠一体化监控平台软件</w:t>
            </w:r>
            <w:r>
              <w:rPr>
                <w:rFonts w:ascii="Times New Roman" w:hAnsi="Times New Roman" w:cs="Times New Roman" w:eastAsia="Times New Roman" w:hint="default"/>
                <w:sz w:val="18"/>
                <w:szCs w:val="18"/>
              </w:rPr>
              <w:t>V5.0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2019SR0339486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2019/4/16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13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医惠一体化服务平台软件</w:t>
            </w:r>
            <w:r>
              <w:rPr>
                <w:rFonts w:ascii="Times New Roman" w:hAnsi="Times New Roman" w:cs="Times New Roman" w:eastAsia="Times New Roman" w:hint="default"/>
                <w:sz w:val="18"/>
                <w:szCs w:val="18"/>
              </w:rPr>
              <w:t>V4.2</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2019SR0506355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2019/5/23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14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医惠住院药房系统软件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2019SR0475480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2019/5/16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15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医惠人工智能疾病辅助系统软件</w:t>
            </w:r>
            <w:r>
              <w:rPr>
                <w:rFonts w:ascii="Times New Roman" w:hAnsi="Times New Roman" w:cs="Times New Roman" w:eastAsia="Times New Roman" w:hint="default"/>
                <w:sz w:val="18"/>
                <w:szCs w:val="18"/>
              </w:rPr>
              <w:t>V2.0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2019SR0635902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2019/6/20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16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医惠临床数据中心系统软件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2019SR0602617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2019/6/12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17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医惠数据统一服务平台软件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2019SR0599978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2019/6/12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18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医惠一体化服务平台软件</w:t>
            </w:r>
            <w:r>
              <w:rPr>
                <w:rFonts w:ascii="Times New Roman" w:hAnsi="Times New Roman" w:cs="Times New Roman" w:eastAsia="Times New Roman" w:hint="default"/>
                <w:sz w:val="18"/>
                <w:szCs w:val="18"/>
              </w:rPr>
              <w:t>V4.3</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2019SR0749109</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2019/7/19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19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w:t>
            </w:r>
            <w:r>
              <w:rPr>
                <w:rFonts w:ascii="Times New Roman" w:hAnsi="Times New Roman" w:cs="Times New Roman" w:eastAsia="Times New Roman" w:hint="default"/>
                <w:sz w:val="18"/>
                <w:szCs w:val="18"/>
              </w:rPr>
              <w:t>SDK</w:t>
            </w:r>
            <w:r>
              <w:rPr>
                <w:rFonts w:ascii="宋体" w:hAnsi="宋体" w:cs="宋体" w:eastAsia="宋体" w:hint="default"/>
                <w:sz w:val="18"/>
                <w:szCs w:val="18"/>
              </w:rPr>
              <w:t>接入包软件</w:t>
            </w:r>
            <w:r>
              <w:rPr>
                <w:rFonts w:ascii="Times New Roman" w:hAnsi="Times New Roman" w:cs="Times New Roman" w:eastAsia="Times New Roman" w:hint="default"/>
                <w:sz w:val="18"/>
                <w:szCs w:val="18"/>
              </w:rPr>
              <w:t>V2.0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2019SR0749105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2019/7/19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6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新生儿病房母乳管理系统软件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2019SR0568422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2019/6/4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50" w:right="76" w:hanging="90"/>
              <w:jc w:val="left"/>
              <w:rPr>
                <w:rFonts w:ascii="宋体" w:hAnsi="宋体" w:cs="宋体" w:eastAsia="宋体" w:hint="default"/>
                <w:sz w:val="18"/>
                <w:szCs w:val="18"/>
              </w:rPr>
            </w:pPr>
            <w:r>
              <w:rPr>
                <w:rFonts w:ascii="宋体" w:hAnsi="宋体" w:cs="宋体" w:eastAsia="宋体" w:hint="default"/>
                <w:sz w:val="18"/>
                <w:szCs w:val="18"/>
              </w:rPr>
              <w:t>复旦大学附属儿科 医院；医惠科技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21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w:t>
            </w:r>
            <w:r>
              <w:rPr>
                <w:rFonts w:ascii="Times New Roman" w:hAnsi="Times New Roman" w:cs="Times New Roman" w:eastAsia="Times New Roman" w:hint="default"/>
                <w:sz w:val="18"/>
                <w:szCs w:val="18"/>
              </w:rPr>
              <w:t>DRGs</w:t>
            </w:r>
            <w:r>
              <w:rPr>
                <w:rFonts w:ascii="宋体" w:hAnsi="宋体" w:cs="宋体" w:eastAsia="宋体" w:hint="default"/>
                <w:sz w:val="18"/>
                <w:szCs w:val="18"/>
              </w:rPr>
              <w:t>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2019SR0964730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2019/9/18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22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医惠共享文档管理系统软件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2019SR0960268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2019/9/17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23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医惠厂商资源管理软件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2019SR1271872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2019/12/3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24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医惠室内外定位云平台</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2019SR1289616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2019/12/5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25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医惠统一门诊号源管理软件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2019SR1290873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2019/12/5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26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医惠医技预约管理软件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2019SR1291127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2019/12/5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27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医惠医院互联网开放平台管理软件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2019SR1291118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2019/12/5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医惠科技</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28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w:t>
            </w:r>
            <w:r>
              <w:rPr>
                <w:rFonts w:ascii="Times New Roman" w:hAnsi="Times New Roman" w:cs="Times New Roman" w:eastAsia="Times New Roman" w:hint="default"/>
                <w:sz w:val="18"/>
                <w:szCs w:val="18"/>
              </w:rPr>
              <w:t>PICC</w:t>
            </w:r>
            <w:r>
              <w:rPr>
                <w:rFonts w:ascii="宋体" w:hAnsi="宋体" w:cs="宋体" w:eastAsia="宋体" w:hint="default"/>
                <w:sz w:val="18"/>
                <w:szCs w:val="18"/>
              </w:rPr>
              <w:t>专科护理系统软件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2019SR0053854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2019/1/16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80" w:right="0"/>
              <w:jc w:val="left"/>
              <w:rPr>
                <w:rFonts w:ascii="Times New Roman" w:hAnsi="Times New Roman" w:cs="Times New Roman" w:eastAsia="Times New Roman" w:hint="default"/>
                <w:sz w:val="18"/>
                <w:szCs w:val="18"/>
              </w:rPr>
            </w:pPr>
            <w:r>
              <w:rPr>
                <w:rFonts w:ascii="Times New Roman"/>
                <w:sz w:val="18"/>
              </w:rPr>
              <w:t>29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医惠医嘱执行闭环管理系统软件</w:t>
            </w:r>
            <w:r>
              <w:rPr>
                <w:rFonts w:ascii="Times New Roman" w:hAnsi="Times New Roman" w:cs="Times New Roman" w:eastAsia="Times New Roman" w:hint="default"/>
                <w:sz w:val="18"/>
                <w:szCs w:val="18"/>
              </w:rPr>
              <w:t>V1.1</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center"/>
              <w:rPr>
                <w:rFonts w:ascii="Times New Roman" w:hAnsi="Times New Roman" w:cs="Times New Roman" w:eastAsia="Times New Roman" w:hint="default"/>
                <w:sz w:val="18"/>
                <w:szCs w:val="18"/>
              </w:rPr>
            </w:pPr>
            <w:r>
              <w:rPr>
                <w:rFonts w:ascii="Times New Roman"/>
                <w:sz w:val="18"/>
              </w:rPr>
              <w:t>2019SR0055124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179" w:right="0"/>
              <w:jc w:val="left"/>
              <w:rPr>
                <w:rFonts w:ascii="Times New Roman" w:hAnsi="Times New Roman" w:cs="Times New Roman" w:eastAsia="Times New Roman" w:hint="default"/>
                <w:sz w:val="18"/>
                <w:szCs w:val="18"/>
              </w:rPr>
            </w:pPr>
            <w:r>
              <w:rPr>
                <w:rFonts w:ascii="Times New Roman"/>
                <w:sz w:val="18"/>
              </w:rPr>
              <w:t>2019/1/16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30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医惠床旁智慧交互系统软件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2019SR0133490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2019/2/12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31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医惠护理电子白板系统软件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2019SR0133140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2019/2/12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32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医惠急诊护理信息系统软件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2019SR0131773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2019/2/11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80" w:right="0"/>
              <w:jc w:val="left"/>
              <w:rPr>
                <w:rFonts w:ascii="Times New Roman" w:hAnsi="Times New Roman" w:cs="Times New Roman" w:eastAsia="Times New Roman" w:hint="default"/>
                <w:sz w:val="18"/>
                <w:szCs w:val="18"/>
              </w:rPr>
            </w:pPr>
            <w:r>
              <w:rPr>
                <w:rFonts w:ascii="Times New Roman"/>
                <w:sz w:val="18"/>
              </w:rPr>
              <w:t>33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医惠急诊预检分诊系统软件</w:t>
            </w:r>
            <w:r>
              <w:rPr>
                <w:rFonts w:ascii="Times New Roman" w:hAnsi="Times New Roman" w:cs="Times New Roman" w:eastAsia="Times New Roman" w:hint="default"/>
                <w:sz w:val="18"/>
                <w:szCs w:val="18"/>
              </w:rPr>
              <w:t>V1.1</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center"/>
              <w:rPr>
                <w:rFonts w:ascii="Times New Roman" w:hAnsi="Times New Roman" w:cs="Times New Roman" w:eastAsia="Times New Roman" w:hint="default"/>
                <w:sz w:val="18"/>
                <w:szCs w:val="18"/>
              </w:rPr>
            </w:pPr>
            <w:r>
              <w:rPr>
                <w:rFonts w:ascii="Times New Roman"/>
                <w:sz w:val="18"/>
              </w:rPr>
              <w:t>2019SR0262150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79" w:right="0"/>
              <w:jc w:val="left"/>
              <w:rPr>
                <w:rFonts w:ascii="Times New Roman" w:hAnsi="Times New Roman" w:cs="Times New Roman" w:eastAsia="Times New Roman" w:hint="default"/>
                <w:sz w:val="18"/>
                <w:szCs w:val="18"/>
              </w:rPr>
            </w:pPr>
            <w:r>
              <w:rPr>
                <w:rFonts w:ascii="Times New Roman"/>
                <w:sz w:val="18"/>
              </w:rPr>
              <w:t>2019/3/19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34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医惠临床护理信息系统软件</w:t>
            </w:r>
            <w:r>
              <w:rPr>
                <w:rFonts w:ascii="Times New Roman" w:hAnsi="Times New Roman" w:cs="Times New Roman" w:eastAsia="Times New Roman" w:hint="default"/>
                <w:sz w:val="18"/>
                <w:szCs w:val="18"/>
              </w:rPr>
              <w:t>V2.0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2019SR0262034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2019/3/19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35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医惠约束具护理系统软件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2019SR0261154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2019/3/19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36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医惠培训考试软件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2019SR0337839</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2019/4/16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37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医惠医院健教平台软件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2019SR0337830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2019/4/16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38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医惠伤口专科护理系统软件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2019SR0474783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2019/5/16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39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医惠造口专科护理系统软件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2019SR0474774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2019/5/16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40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医惠中医护理系统软件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2019SR0474764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2019/5/16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41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医惠急诊预检分诊系统软件</w:t>
            </w:r>
            <w:r>
              <w:rPr>
                <w:rFonts w:ascii="Times New Roman" w:hAnsi="Times New Roman" w:cs="Times New Roman" w:eastAsia="Times New Roman" w:hint="default"/>
                <w:sz w:val="18"/>
                <w:szCs w:val="18"/>
              </w:rPr>
              <w:t>V1.2</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2019SR0612463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2019/6/14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42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医惠临床护理信息系统软件</w:t>
            </w:r>
            <w:r>
              <w:rPr>
                <w:rFonts w:ascii="Times New Roman" w:hAnsi="Times New Roman" w:cs="Times New Roman" w:eastAsia="Times New Roman" w:hint="default"/>
                <w:sz w:val="18"/>
                <w:szCs w:val="18"/>
              </w:rPr>
              <w:t>V3.0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2019SR0623333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2019/6/17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43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医惠住院医师规范化培训软件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2019SR0599755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2019/6/12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80" w:right="0"/>
              <w:jc w:val="left"/>
              <w:rPr>
                <w:rFonts w:ascii="Times New Roman" w:hAnsi="Times New Roman" w:cs="Times New Roman" w:eastAsia="Times New Roman" w:hint="default"/>
                <w:sz w:val="18"/>
                <w:szCs w:val="18"/>
              </w:rPr>
            </w:pPr>
            <w:r>
              <w:rPr>
                <w:rFonts w:ascii="Times New Roman"/>
                <w:sz w:val="18"/>
              </w:rPr>
              <w:t>44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医惠护理质控数据平台软件</w:t>
            </w:r>
            <w:r>
              <w:rPr>
                <w:rFonts w:ascii="Times New Roman" w:hAnsi="Times New Roman" w:cs="Times New Roman" w:eastAsia="Times New Roman" w:hint="default"/>
                <w:sz w:val="18"/>
                <w:szCs w:val="18"/>
              </w:rPr>
              <w:t>V1.1</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2019SR0734771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79" w:right="0"/>
              <w:jc w:val="left"/>
              <w:rPr>
                <w:rFonts w:ascii="Times New Roman" w:hAnsi="Times New Roman" w:cs="Times New Roman" w:eastAsia="Times New Roman" w:hint="default"/>
                <w:sz w:val="18"/>
                <w:szCs w:val="18"/>
              </w:rPr>
            </w:pPr>
            <w:r>
              <w:rPr>
                <w:rFonts w:ascii="Times New Roman"/>
                <w:sz w:val="18"/>
              </w:rPr>
              <w:t>2019/7/16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80" w:right="0"/>
              <w:jc w:val="left"/>
              <w:rPr>
                <w:rFonts w:ascii="Times New Roman" w:hAnsi="Times New Roman" w:cs="Times New Roman" w:eastAsia="Times New Roman" w:hint="default"/>
                <w:sz w:val="18"/>
                <w:szCs w:val="18"/>
              </w:rPr>
            </w:pPr>
            <w:r>
              <w:rPr>
                <w:rFonts w:ascii="Times New Roman"/>
                <w:sz w:val="18"/>
              </w:rPr>
              <w:t>45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医惠护理质控中心门户系统软件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2019SR0716444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79" w:right="0"/>
              <w:jc w:val="left"/>
              <w:rPr>
                <w:rFonts w:ascii="Times New Roman" w:hAnsi="Times New Roman" w:cs="Times New Roman" w:eastAsia="Times New Roman" w:hint="default"/>
                <w:sz w:val="18"/>
                <w:szCs w:val="18"/>
              </w:rPr>
            </w:pPr>
            <w:r>
              <w:rPr>
                <w:rFonts w:ascii="Times New Roman"/>
                <w:sz w:val="18"/>
              </w:rPr>
              <w:t>2019/7/11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434"/>
              <w:jc w:val="right"/>
              <w:rPr>
                <w:rFonts w:ascii="宋体" w:hAnsi="宋体" w:cs="宋体" w:eastAsia="宋体" w:hint="default"/>
                <w:sz w:val="18"/>
                <w:szCs w:val="18"/>
              </w:rPr>
            </w:pPr>
            <w:r>
              <w:rPr>
                <w:rFonts w:ascii="宋体" w:hAnsi="宋体" w:cs="宋体" w:eastAsia="宋体" w:hint="default"/>
                <w:sz w:val="18"/>
                <w:szCs w:val="18"/>
              </w:rPr>
              <w:t>医惠软件</w:t>
            </w:r>
          </w:p>
        </w:tc>
      </w:tr>
    </w:tbl>
    <w:p>
      <w:pPr>
        <w:spacing w:after="0" w:line="240" w:lineRule="auto"/>
        <w:jc w:val="right"/>
        <w:rPr>
          <w:rFonts w:ascii="宋体" w:hAnsi="宋体" w:cs="宋体" w:eastAsia="宋体" w:hint="default"/>
          <w:sz w:val="18"/>
          <w:szCs w:val="18"/>
        </w:rPr>
        <w:sectPr>
          <w:pgSz w:w="11910" w:h="16850"/>
          <w:pgMar w:header="731" w:footer="981" w:top="1040" w:bottom="1180" w:left="2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586"/>
        <w:gridCol w:w="1111"/>
        <w:gridCol w:w="3575"/>
        <w:gridCol w:w="2133"/>
        <w:gridCol w:w="1141"/>
        <w:gridCol w:w="992"/>
        <w:gridCol w:w="1592"/>
      </w:tblGrid>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46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医惠护士健教操作台软件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2019SR0715695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2019/7/11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47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医惠医嘱执行闭环管理系统软件</w:t>
            </w:r>
            <w:r>
              <w:rPr>
                <w:rFonts w:ascii="Times New Roman" w:hAnsi="Times New Roman" w:cs="Times New Roman" w:eastAsia="Times New Roman" w:hint="default"/>
                <w:sz w:val="18"/>
                <w:szCs w:val="18"/>
              </w:rPr>
              <w:t>V2.0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2019SR0726246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2019/7/15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6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48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中医护理电子结构化病历软件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2019SR0407246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25"/>
              <w:jc w:val="right"/>
              <w:rPr>
                <w:rFonts w:ascii="Times New Roman" w:hAnsi="Times New Roman" w:cs="Times New Roman" w:eastAsia="Times New Roman" w:hint="default"/>
                <w:sz w:val="18"/>
                <w:szCs w:val="18"/>
              </w:rPr>
            </w:pPr>
            <w:r>
              <w:rPr>
                <w:rFonts w:ascii="Times New Roman"/>
                <w:spacing w:val="-2"/>
                <w:sz w:val="18"/>
              </w:rPr>
              <w:t>2019/4/28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14" w:firstLine="60"/>
              <w:jc w:val="left"/>
              <w:rPr>
                <w:rFonts w:ascii="宋体" w:hAnsi="宋体" w:cs="宋体" w:eastAsia="宋体" w:hint="default"/>
                <w:sz w:val="18"/>
                <w:szCs w:val="18"/>
              </w:rPr>
            </w:pPr>
            <w:r>
              <w:rPr>
                <w:rFonts w:ascii="宋体" w:hAnsi="宋体" w:cs="宋体" w:eastAsia="宋体" w:hint="default"/>
                <w:sz w:val="18"/>
                <w:szCs w:val="18"/>
              </w:rPr>
              <w:t>中国中医科医院广 </w:t>
            </w:r>
            <w:r>
              <w:rPr>
                <w:rFonts w:ascii="宋体" w:hAnsi="宋体" w:cs="宋体" w:eastAsia="宋体" w:hint="default"/>
                <w:spacing w:val="-7"/>
                <w:sz w:val="18"/>
                <w:szCs w:val="18"/>
              </w:rPr>
              <w:t>安门医院；医惠软件</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49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医惠标准护理术语编码库软件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2019SR0833767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2019/8/12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50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医惠急诊预检分诊系统软件</w:t>
            </w:r>
            <w:r>
              <w:rPr>
                <w:rFonts w:ascii="Times New Roman" w:hAnsi="Times New Roman" w:cs="Times New Roman" w:eastAsia="Times New Roman" w:hint="default"/>
                <w:sz w:val="18"/>
                <w:szCs w:val="18"/>
              </w:rPr>
              <w:t>V1.3</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2019SR0844597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2019/8/14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51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医惠健康教育门户管理系统软件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2019SR0834517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2019/8/12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52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医惠护理文书系统软件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2019SR0960186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25"/>
              <w:jc w:val="right"/>
              <w:rPr>
                <w:rFonts w:ascii="Times New Roman" w:hAnsi="Times New Roman" w:cs="Times New Roman" w:eastAsia="Times New Roman" w:hint="default"/>
                <w:sz w:val="18"/>
                <w:szCs w:val="18"/>
              </w:rPr>
            </w:pPr>
            <w:r>
              <w:rPr>
                <w:rFonts w:ascii="Times New Roman"/>
                <w:spacing w:val="-2"/>
                <w:sz w:val="18"/>
              </w:rPr>
              <w:t>2019/9/17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6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53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医惠基于</w:t>
            </w:r>
            <w:r>
              <w:rPr>
                <w:rFonts w:ascii="Times New Roman" w:hAnsi="Times New Roman" w:cs="Times New Roman" w:eastAsia="Times New Roman" w:hint="default"/>
                <w:sz w:val="18"/>
                <w:szCs w:val="18"/>
              </w:rPr>
              <w:t>SBAR</w:t>
            </w:r>
            <w:r>
              <w:rPr>
                <w:rFonts w:ascii="宋体" w:hAnsi="宋体" w:cs="宋体" w:eastAsia="宋体" w:hint="default"/>
                <w:sz w:val="18"/>
                <w:szCs w:val="18"/>
              </w:rPr>
              <w:t>沟通模式护理交班系统软件</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pacing w:val="-3"/>
                <w:sz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2019SR0961243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25"/>
              <w:jc w:val="right"/>
              <w:rPr>
                <w:rFonts w:ascii="Times New Roman" w:hAnsi="Times New Roman" w:cs="Times New Roman" w:eastAsia="Times New Roman" w:hint="default"/>
                <w:sz w:val="18"/>
                <w:szCs w:val="18"/>
              </w:rPr>
            </w:pPr>
            <w:r>
              <w:rPr>
                <w:rFonts w:ascii="Times New Roman"/>
                <w:spacing w:val="-2"/>
                <w:sz w:val="18"/>
              </w:rPr>
              <w:t>2019/9/17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54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医惠临床护理知识库平台软件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2019SR0961423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25"/>
              <w:jc w:val="right"/>
              <w:rPr>
                <w:rFonts w:ascii="Times New Roman" w:hAnsi="Times New Roman" w:cs="Times New Roman" w:eastAsia="Times New Roman" w:hint="default"/>
                <w:sz w:val="18"/>
                <w:szCs w:val="18"/>
              </w:rPr>
            </w:pPr>
            <w:r>
              <w:rPr>
                <w:rFonts w:ascii="Times New Roman"/>
                <w:spacing w:val="-2"/>
                <w:sz w:val="18"/>
              </w:rPr>
              <w:t>2019/9/17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55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医惠培训考试软件</w:t>
            </w:r>
            <w:r>
              <w:rPr>
                <w:rFonts w:ascii="Times New Roman" w:hAnsi="Times New Roman" w:cs="Times New Roman" w:eastAsia="Times New Roman" w:hint="default"/>
                <w:sz w:val="18"/>
                <w:szCs w:val="18"/>
              </w:rPr>
              <w:t>V2.0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2019SR0965447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25"/>
              <w:jc w:val="right"/>
              <w:rPr>
                <w:rFonts w:ascii="Times New Roman" w:hAnsi="Times New Roman" w:cs="Times New Roman" w:eastAsia="Times New Roman" w:hint="default"/>
                <w:sz w:val="18"/>
                <w:szCs w:val="18"/>
              </w:rPr>
            </w:pPr>
            <w:r>
              <w:rPr>
                <w:rFonts w:ascii="Times New Roman"/>
                <w:spacing w:val="-2"/>
                <w:sz w:val="18"/>
              </w:rPr>
              <w:t>2019/9/18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56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医惠标准护理术语编码库软件</w:t>
            </w:r>
            <w:r>
              <w:rPr>
                <w:rFonts w:ascii="Times New Roman" w:hAnsi="Times New Roman" w:cs="Times New Roman" w:eastAsia="Times New Roman" w:hint="default"/>
                <w:sz w:val="18"/>
                <w:szCs w:val="18"/>
              </w:rPr>
              <w:t>V1.1</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2019SR1089980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80"/>
              <w:jc w:val="right"/>
              <w:rPr>
                <w:rFonts w:ascii="Times New Roman" w:hAnsi="Times New Roman" w:cs="Times New Roman" w:eastAsia="Times New Roman" w:hint="default"/>
                <w:sz w:val="18"/>
                <w:szCs w:val="18"/>
              </w:rPr>
            </w:pPr>
            <w:r>
              <w:rPr>
                <w:rFonts w:ascii="Times New Roman"/>
                <w:spacing w:val="-1"/>
                <w:sz w:val="18"/>
              </w:rPr>
              <w:t>2019/10/28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57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医惠护理临床决策系统软件</w:t>
            </w:r>
            <w:r>
              <w:rPr>
                <w:rFonts w:ascii="Times New Roman" w:hAnsi="Times New Roman" w:cs="Times New Roman" w:eastAsia="Times New Roman" w:hint="default"/>
                <w:sz w:val="18"/>
                <w:szCs w:val="18"/>
              </w:rPr>
              <w:t>V1.1</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2019SR1100291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80"/>
              <w:jc w:val="right"/>
              <w:rPr>
                <w:rFonts w:ascii="Times New Roman" w:hAnsi="Times New Roman" w:cs="Times New Roman" w:eastAsia="Times New Roman" w:hint="default"/>
                <w:sz w:val="18"/>
                <w:szCs w:val="18"/>
              </w:rPr>
            </w:pPr>
            <w:r>
              <w:rPr>
                <w:rFonts w:ascii="Times New Roman"/>
                <w:spacing w:val="-1"/>
                <w:sz w:val="18"/>
              </w:rPr>
              <w:t>2019/10/30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58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医惠健康宣教</w:t>
            </w:r>
            <w:r>
              <w:rPr>
                <w:rFonts w:ascii="Times New Roman" w:hAnsi="Times New Roman" w:cs="Times New Roman" w:eastAsia="Times New Roman" w:hint="default"/>
                <w:sz w:val="18"/>
                <w:szCs w:val="18"/>
              </w:rPr>
              <w:t>APP</w:t>
            </w:r>
            <w:r>
              <w:rPr>
                <w:rFonts w:ascii="宋体" w:hAnsi="宋体" w:cs="宋体" w:eastAsia="宋体" w:hint="default"/>
                <w:sz w:val="18"/>
                <w:szCs w:val="18"/>
              </w:rPr>
              <w:t>（</w:t>
            </w:r>
            <w:r>
              <w:rPr>
                <w:rFonts w:ascii="Times New Roman" w:hAnsi="Times New Roman" w:cs="Times New Roman" w:eastAsia="Times New Roman" w:hint="default"/>
                <w:sz w:val="18"/>
                <w:szCs w:val="18"/>
              </w:rPr>
              <w:t>Android</w:t>
            </w:r>
            <w:r>
              <w:rPr>
                <w:rFonts w:ascii="宋体" w:hAnsi="宋体" w:cs="宋体" w:eastAsia="宋体" w:hint="default"/>
                <w:sz w:val="18"/>
                <w:szCs w:val="18"/>
              </w:rPr>
              <w:t>版）软件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2019SR1074588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80"/>
              <w:jc w:val="right"/>
              <w:rPr>
                <w:rFonts w:ascii="Times New Roman" w:hAnsi="Times New Roman" w:cs="Times New Roman" w:eastAsia="Times New Roman" w:hint="default"/>
                <w:sz w:val="18"/>
                <w:szCs w:val="18"/>
              </w:rPr>
            </w:pPr>
            <w:r>
              <w:rPr>
                <w:rFonts w:ascii="Times New Roman"/>
                <w:spacing w:val="-1"/>
                <w:sz w:val="18"/>
              </w:rPr>
              <w:t>2019/10/23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59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医惠奶库微信小程序软件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2019SR1075945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80"/>
              <w:jc w:val="right"/>
              <w:rPr>
                <w:rFonts w:ascii="Times New Roman" w:hAnsi="Times New Roman" w:cs="Times New Roman" w:eastAsia="Times New Roman" w:hint="default"/>
                <w:sz w:val="18"/>
                <w:szCs w:val="18"/>
              </w:rPr>
            </w:pPr>
            <w:r>
              <w:rPr>
                <w:rFonts w:ascii="Times New Roman"/>
                <w:spacing w:val="-1"/>
                <w:sz w:val="18"/>
              </w:rPr>
              <w:t>2019/10/23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60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医惠互联网护理服务平台软件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2019SR1123383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2019/11/7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61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医惠护患交流系统软件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2019SR1123370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25"/>
              <w:jc w:val="right"/>
              <w:rPr>
                <w:rFonts w:ascii="Times New Roman" w:hAnsi="Times New Roman" w:cs="Times New Roman" w:eastAsia="Times New Roman" w:hint="default"/>
                <w:sz w:val="18"/>
                <w:szCs w:val="18"/>
              </w:rPr>
            </w:pPr>
            <w:r>
              <w:rPr>
                <w:rFonts w:ascii="Times New Roman"/>
                <w:spacing w:val="-2"/>
                <w:sz w:val="18"/>
              </w:rPr>
              <w:t>2019/11/7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62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医惠护理工作待办系统软件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2019SR1123378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25"/>
              <w:jc w:val="right"/>
              <w:rPr>
                <w:rFonts w:ascii="Times New Roman" w:hAnsi="Times New Roman" w:cs="Times New Roman" w:eastAsia="Times New Roman" w:hint="default"/>
                <w:sz w:val="18"/>
                <w:szCs w:val="18"/>
              </w:rPr>
            </w:pPr>
            <w:r>
              <w:rPr>
                <w:rFonts w:ascii="Times New Roman"/>
                <w:spacing w:val="-2"/>
                <w:sz w:val="18"/>
              </w:rPr>
              <w:t>2019/11/7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63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医惠护理质控数据平台软件</w:t>
            </w:r>
            <w:r>
              <w:rPr>
                <w:rFonts w:ascii="Times New Roman" w:hAnsi="Times New Roman" w:cs="Times New Roman" w:eastAsia="Times New Roman" w:hint="default"/>
                <w:sz w:val="18"/>
                <w:szCs w:val="18"/>
              </w:rPr>
              <w:t>V1.2</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2019SR1140716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80"/>
              <w:jc w:val="right"/>
              <w:rPr>
                <w:rFonts w:ascii="Times New Roman" w:hAnsi="Times New Roman" w:cs="Times New Roman" w:eastAsia="Times New Roman" w:hint="default"/>
                <w:sz w:val="18"/>
                <w:szCs w:val="18"/>
              </w:rPr>
            </w:pPr>
            <w:r>
              <w:rPr>
                <w:rFonts w:ascii="Times New Roman"/>
                <w:spacing w:val="-1"/>
                <w:sz w:val="18"/>
              </w:rPr>
              <w:t>2019/11/12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64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医惠护理教育培训系统软件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2019SR1262510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2019/12/3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65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医惠患者满意度调查软件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2019SR1262500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2019/12/3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医惠软件</w:t>
            </w:r>
          </w:p>
        </w:tc>
      </w:tr>
      <w:tr>
        <w:trPr>
          <w:trHeight w:val="6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66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医惠护理质控管理系统软件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2019SR1384819</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pacing w:val="-1"/>
                <w:sz w:val="18"/>
              </w:rPr>
              <w:t>2019/12/17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50" w:right="14" w:hanging="150"/>
              <w:jc w:val="left"/>
              <w:rPr>
                <w:rFonts w:ascii="宋体" w:hAnsi="宋体" w:cs="宋体" w:eastAsia="宋体" w:hint="default"/>
                <w:sz w:val="18"/>
                <w:szCs w:val="18"/>
              </w:rPr>
            </w:pPr>
            <w:r>
              <w:rPr>
                <w:rFonts w:ascii="宋体" w:hAnsi="宋体" w:cs="宋体" w:eastAsia="宋体" w:hint="default"/>
                <w:spacing w:val="-7"/>
                <w:sz w:val="18"/>
                <w:szCs w:val="18"/>
              </w:rPr>
              <w:t>医惠软件；辽宁中医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药大学附属医院</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8"/>
              <w:jc w:val="center"/>
              <w:rPr>
                <w:rFonts w:ascii="Times New Roman" w:hAnsi="Times New Roman" w:cs="Times New Roman" w:eastAsia="Times New Roman" w:hint="default"/>
                <w:sz w:val="18"/>
                <w:szCs w:val="18"/>
              </w:rPr>
            </w:pPr>
            <w:r>
              <w:rPr>
                <w:rFonts w:ascii="Times New Roman"/>
                <w:sz w:val="18"/>
              </w:rPr>
              <w:t>67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药品耗材智能管理系统软件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center"/>
              <w:rPr>
                <w:rFonts w:ascii="Times New Roman" w:hAnsi="Times New Roman" w:cs="Times New Roman" w:eastAsia="Times New Roman" w:hint="default"/>
                <w:sz w:val="18"/>
                <w:szCs w:val="18"/>
              </w:rPr>
            </w:pPr>
            <w:r>
              <w:rPr>
                <w:rFonts w:ascii="Times New Roman"/>
                <w:sz w:val="18"/>
              </w:rPr>
              <w:t>2019SR0045980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225"/>
              <w:jc w:val="right"/>
              <w:rPr>
                <w:rFonts w:ascii="Times New Roman" w:hAnsi="Times New Roman" w:cs="Times New Roman" w:eastAsia="Times New Roman" w:hint="default"/>
                <w:sz w:val="18"/>
                <w:szCs w:val="18"/>
              </w:rPr>
            </w:pPr>
            <w:r>
              <w:rPr>
                <w:rFonts w:ascii="Times New Roman"/>
                <w:spacing w:val="-2"/>
                <w:sz w:val="18"/>
              </w:rPr>
              <w:t>2019/1/15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68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人员定位系统软件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2019SR0045974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2019/1/15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69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资产定位系统软件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2019SR0043494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2019/1/14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28"/>
              <w:jc w:val="center"/>
              <w:rPr>
                <w:rFonts w:ascii="Times New Roman" w:hAnsi="Times New Roman" w:cs="Times New Roman" w:eastAsia="Times New Roman" w:hint="default"/>
                <w:sz w:val="18"/>
                <w:szCs w:val="18"/>
              </w:rPr>
            </w:pPr>
            <w:r>
              <w:rPr>
                <w:rFonts w:ascii="Times New Roman"/>
                <w:sz w:val="18"/>
              </w:rPr>
              <w:t>70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智能清点柜管理软件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right="14"/>
              <w:jc w:val="center"/>
              <w:rPr>
                <w:rFonts w:ascii="Times New Roman" w:hAnsi="Times New Roman" w:cs="Times New Roman" w:eastAsia="Times New Roman" w:hint="default"/>
                <w:sz w:val="18"/>
                <w:szCs w:val="18"/>
              </w:rPr>
            </w:pPr>
            <w:r>
              <w:rPr>
                <w:rFonts w:ascii="Times New Roman"/>
                <w:sz w:val="18"/>
              </w:rPr>
              <w:t>2019SR0315858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6"/>
              <w:ind w:left="224" w:right="0"/>
              <w:jc w:val="left"/>
              <w:rPr>
                <w:rFonts w:ascii="Times New Roman" w:hAnsi="Times New Roman" w:cs="Times New Roman" w:eastAsia="Times New Roman" w:hint="default"/>
                <w:sz w:val="18"/>
                <w:szCs w:val="18"/>
              </w:rPr>
            </w:pPr>
            <w:r>
              <w:rPr>
                <w:rFonts w:ascii="Times New Roman"/>
                <w:sz w:val="18"/>
              </w:rPr>
              <w:t>2019/4/9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71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RFID</w:t>
            </w:r>
            <w:r>
              <w:rPr>
                <w:rFonts w:ascii="宋体" w:hAnsi="宋体" w:cs="宋体" w:eastAsia="宋体" w:hint="default"/>
                <w:sz w:val="18"/>
                <w:szCs w:val="18"/>
              </w:rPr>
              <w:t>移动终端医用织物管理软件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2019SR0316263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24" w:right="0"/>
              <w:jc w:val="left"/>
              <w:rPr>
                <w:rFonts w:ascii="Times New Roman" w:hAnsi="Times New Roman" w:cs="Times New Roman" w:eastAsia="Times New Roman" w:hint="default"/>
                <w:sz w:val="18"/>
                <w:szCs w:val="18"/>
              </w:rPr>
            </w:pPr>
            <w:r>
              <w:rPr>
                <w:rFonts w:ascii="Times New Roman"/>
                <w:sz w:val="18"/>
              </w:rPr>
              <w:t>2019/4/9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72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智能存储柜管理软件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2019SR0315871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4" w:right="0"/>
              <w:jc w:val="left"/>
              <w:rPr>
                <w:rFonts w:ascii="Times New Roman" w:hAnsi="Times New Roman" w:cs="Times New Roman" w:eastAsia="Times New Roman" w:hint="default"/>
                <w:sz w:val="18"/>
                <w:szCs w:val="18"/>
              </w:rPr>
            </w:pPr>
            <w:r>
              <w:rPr>
                <w:rFonts w:ascii="Times New Roman"/>
                <w:sz w:val="18"/>
              </w:rPr>
              <w:t>2019/4/9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73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医院手术室智能更衣管理系统软件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2019SR0316261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4" w:right="0"/>
              <w:jc w:val="left"/>
              <w:rPr>
                <w:rFonts w:ascii="Times New Roman" w:hAnsi="Times New Roman" w:cs="Times New Roman" w:eastAsia="Times New Roman" w:hint="default"/>
                <w:sz w:val="18"/>
                <w:szCs w:val="18"/>
              </w:rPr>
            </w:pPr>
            <w:r>
              <w:rPr>
                <w:rFonts w:ascii="Times New Roman"/>
                <w:sz w:val="18"/>
              </w:rPr>
              <w:t>2019/4/9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74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医院后勤织物交接管理系统软件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2019SR0314940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4" w:right="0"/>
              <w:jc w:val="left"/>
              <w:rPr>
                <w:rFonts w:ascii="Times New Roman" w:hAnsi="Times New Roman" w:cs="Times New Roman" w:eastAsia="Times New Roman" w:hint="default"/>
                <w:sz w:val="18"/>
                <w:szCs w:val="18"/>
              </w:rPr>
            </w:pPr>
            <w:r>
              <w:rPr>
                <w:rFonts w:ascii="Times New Roman"/>
                <w:sz w:val="18"/>
              </w:rPr>
              <w:t>2019/4/9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75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供应室库存管理软件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2019SR0315329</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4" w:right="0"/>
              <w:jc w:val="left"/>
              <w:rPr>
                <w:rFonts w:ascii="Times New Roman" w:hAnsi="Times New Roman" w:cs="Times New Roman" w:eastAsia="Times New Roman" w:hint="default"/>
                <w:sz w:val="18"/>
                <w:szCs w:val="18"/>
              </w:rPr>
            </w:pPr>
            <w:r>
              <w:rPr>
                <w:rFonts w:ascii="Times New Roman"/>
                <w:sz w:val="18"/>
              </w:rPr>
              <w:t>2019/4/9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76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消毒物品病人追溯管理软件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2019SR0315864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24" w:right="0"/>
              <w:jc w:val="left"/>
              <w:rPr>
                <w:rFonts w:ascii="Times New Roman" w:hAnsi="Times New Roman" w:cs="Times New Roman" w:eastAsia="Times New Roman" w:hint="default"/>
                <w:sz w:val="18"/>
                <w:szCs w:val="18"/>
              </w:rPr>
            </w:pPr>
            <w:r>
              <w:rPr>
                <w:rFonts w:ascii="Times New Roman"/>
                <w:sz w:val="18"/>
              </w:rPr>
              <w:t>2019/4/9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77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医院环境监测系统</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2019SR0353542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25"/>
              <w:jc w:val="right"/>
              <w:rPr>
                <w:rFonts w:ascii="Times New Roman" w:hAnsi="Times New Roman" w:cs="Times New Roman" w:eastAsia="Times New Roman" w:hint="default"/>
                <w:sz w:val="18"/>
                <w:szCs w:val="18"/>
              </w:rPr>
            </w:pPr>
            <w:r>
              <w:rPr>
                <w:rFonts w:ascii="Times New Roman"/>
                <w:spacing w:val="-2"/>
                <w:sz w:val="18"/>
              </w:rPr>
              <w:t>2019/4/19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78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智能床健康监测系统</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2019SR0353571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25"/>
              <w:jc w:val="right"/>
              <w:rPr>
                <w:rFonts w:ascii="Times New Roman" w:hAnsi="Times New Roman" w:cs="Times New Roman" w:eastAsia="Times New Roman" w:hint="default"/>
                <w:sz w:val="18"/>
                <w:szCs w:val="18"/>
              </w:rPr>
            </w:pPr>
            <w:r>
              <w:rPr>
                <w:rFonts w:ascii="Times New Roman"/>
                <w:spacing w:val="-2"/>
                <w:sz w:val="18"/>
              </w:rPr>
              <w:t>2019/4/19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79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医疗废物智能采集系统</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2019SR0381817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25"/>
              <w:jc w:val="right"/>
              <w:rPr>
                <w:rFonts w:ascii="Times New Roman" w:hAnsi="Times New Roman" w:cs="Times New Roman" w:eastAsia="Times New Roman" w:hint="default"/>
                <w:sz w:val="18"/>
                <w:szCs w:val="18"/>
              </w:rPr>
            </w:pPr>
            <w:r>
              <w:rPr>
                <w:rFonts w:ascii="Times New Roman"/>
                <w:spacing w:val="-2"/>
                <w:sz w:val="18"/>
              </w:rPr>
              <w:t>2019/4/24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80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医惠物联网婴儿防盗系统软件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2019SR0626453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2019/6/18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81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医院室内导航系统软件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2019SR0624506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25"/>
              <w:jc w:val="right"/>
              <w:rPr>
                <w:rFonts w:ascii="Times New Roman" w:hAnsi="Times New Roman" w:cs="Times New Roman" w:eastAsia="Times New Roman" w:hint="default"/>
                <w:sz w:val="18"/>
                <w:szCs w:val="18"/>
              </w:rPr>
            </w:pPr>
            <w:r>
              <w:rPr>
                <w:rFonts w:ascii="Times New Roman"/>
                <w:spacing w:val="-2"/>
                <w:sz w:val="18"/>
              </w:rPr>
              <w:t>2019/6/18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82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电子价签变价管理系统软件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2019SR1438807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80"/>
              <w:jc w:val="right"/>
              <w:rPr>
                <w:rFonts w:ascii="Times New Roman" w:hAnsi="Times New Roman" w:cs="Times New Roman" w:eastAsia="Times New Roman" w:hint="default"/>
                <w:sz w:val="18"/>
                <w:szCs w:val="18"/>
              </w:rPr>
            </w:pPr>
            <w:r>
              <w:rPr>
                <w:rFonts w:ascii="Times New Roman"/>
                <w:spacing w:val="-1"/>
                <w:sz w:val="18"/>
              </w:rPr>
              <w:t>2019/12/26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bl>
    <w:p>
      <w:pPr>
        <w:spacing w:after="0" w:line="240" w:lineRule="auto"/>
        <w:jc w:val="center"/>
        <w:rPr>
          <w:rFonts w:ascii="宋体" w:hAnsi="宋体" w:cs="宋体" w:eastAsia="宋体" w:hint="default"/>
          <w:sz w:val="18"/>
          <w:szCs w:val="18"/>
        </w:rPr>
        <w:sectPr>
          <w:pgSz w:w="11910" w:h="16850"/>
          <w:pgMar w:header="731" w:footer="981" w:top="1040" w:bottom="1180" w:left="28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586"/>
        <w:gridCol w:w="1111"/>
        <w:gridCol w:w="3575"/>
        <w:gridCol w:w="2133"/>
        <w:gridCol w:w="1141"/>
        <w:gridCol w:w="992"/>
        <w:gridCol w:w="1592"/>
      </w:tblGrid>
      <w:tr>
        <w:trPr>
          <w:trHeight w:val="6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83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9"/>
              <w:ind w:left="15" w:right="62"/>
              <w:jc w:val="left"/>
              <w:rPr>
                <w:rFonts w:ascii="Times New Roman" w:hAnsi="Times New Roman" w:cs="Times New Roman" w:eastAsia="Times New Roman" w:hint="default"/>
                <w:sz w:val="18"/>
                <w:szCs w:val="18"/>
              </w:rPr>
            </w:pPr>
            <w:r>
              <w:rPr>
                <w:rFonts w:ascii="宋体" w:hAnsi="宋体" w:cs="宋体" w:eastAsia="宋体" w:hint="default"/>
                <w:sz w:val="18"/>
                <w:szCs w:val="18"/>
              </w:rPr>
              <w:t>基于</w:t>
            </w:r>
            <w:r>
              <w:rPr>
                <w:rFonts w:ascii="Times New Roman" w:hAnsi="Times New Roman" w:cs="Times New Roman" w:eastAsia="Times New Roman" w:hint="default"/>
                <w:sz w:val="18"/>
                <w:szCs w:val="18"/>
              </w:rPr>
              <w:t>Android</w:t>
            </w:r>
            <w:r>
              <w:rPr>
                <w:rFonts w:ascii="宋体" w:hAnsi="宋体" w:cs="宋体" w:eastAsia="宋体" w:hint="default"/>
                <w:sz w:val="18"/>
                <w:szCs w:val="18"/>
              </w:rPr>
              <w:t>操作系统的移动变价管理系统软</w:t>
            </w:r>
            <w:r>
              <w:rPr>
                <w:rFonts w:ascii="宋体" w:hAnsi="宋体" w:cs="宋体" w:eastAsia="宋体" w:hint="default"/>
                <w:w w:val="99"/>
                <w:sz w:val="18"/>
                <w:szCs w:val="18"/>
              </w:rPr>
              <w:t> </w:t>
            </w:r>
            <w:r>
              <w:rPr>
                <w:rFonts w:ascii="宋体" w:hAnsi="宋体" w:cs="宋体" w:eastAsia="宋体" w:hint="default"/>
                <w:sz w:val="18"/>
                <w:szCs w:val="18"/>
              </w:rPr>
              <w:t>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4"/>
              <w:jc w:val="center"/>
              <w:rPr>
                <w:rFonts w:ascii="Times New Roman" w:hAnsi="Times New Roman" w:cs="Times New Roman" w:eastAsia="Times New Roman" w:hint="default"/>
                <w:sz w:val="18"/>
                <w:szCs w:val="18"/>
              </w:rPr>
            </w:pPr>
            <w:r>
              <w:rPr>
                <w:rFonts w:ascii="Times New Roman"/>
                <w:sz w:val="18"/>
              </w:rPr>
              <w:t>2019SR1430607</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44"/>
              <w:jc w:val="center"/>
              <w:rPr>
                <w:rFonts w:ascii="Times New Roman" w:hAnsi="Times New Roman" w:cs="Times New Roman" w:eastAsia="Times New Roman" w:hint="default"/>
                <w:sz w:val="18"/>
                <w:szCs w:val="18"/>
              </w:rPr>
            </w:pPr>
            <w:r>
              <w:rPr>
                <w:rFonts w:ascii="Times New Roman"/>
                <w:sz w:val="18"/>
              </w:rPr>
              <w:t>2019/12/26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84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智慧工厂电子标牌管理系统软件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2019SR1435881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2019/12/26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医惠物联网</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85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理德</w:t>
            </w:r>
            <w:r>
              <w:rPr>
                <w:rFonts w:ascii="Times New Roman" w:hAnsi="Times New Roman" w:cs="Times New Roman" w:eastAsia="Times New Roman" w:hint="default"/>
                <w:sz w:val="18"/>
                <w:szCs w:val="18"/>
              </w:rPr>
              <w:t>RFID</w:t>
            </w:r>
            <w:r>
              <w:rPr>
                <w:rFonts w:ascii="宋体" w:hAnsi="宋体" w:cs="宋体" w:eastAsia="宋体" w:hint="default"/>
                <w:sz w:val="18"/>
                <w:szCs w:val="18"/>
              </w:rPr>
              <w:t>防盗设备嵌入式软件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2019SR0705802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2019/7/9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86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理德手持数据终端嵌入式软件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2019SR0709206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2019/7/10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87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5" w:right="0"/>
              <w:jc w:val="left"/>
              <w:rPr>
                <w:rFonts w:ascii="Times New Roman" w:hAnsi="Times New Roman" w:cs="Times New Roman" w:eastAsia="Times New Roman" w:hint="default"/>
                <w:sz w:val="16"/>
                <w:szCs w:val="16"/>
              </w:rPr>
            </w:pPr>
            <w:r>
              <w:rPr>
                <w:rFonts w:ascii="宋体" w:hAnsi="宋体" w:cs="宋体" w:eastAsia="宋体" w:hint="default"/>
                <w:spacing w:val="-5"/>
                <w:w w:val="105"/>
                <w:sz w:val="16"/>
                <w:szCs w:val="16"/>
              </w:rPr>
              <w:t>理德</w:t>
            </w:r>
            <w:r>
              <w:rPr>
                <w:rFonts w:ascii="Times New Roman" w:hAnsi="Times New Roman" w:cs="Times New Roman" w:eastAsia="Times New Roman" w:hint="default"/>
                <w:spacing w:val="-5"/>
                <w:w w:val="105"/>
                <w:sz w:val="16"/>
                <w:szCs w:val="16"/>
              </w:rPr>
              <w:t>RFID</w:t>
            </w:r>
            <w:r>
              <w:rPr>
                <w:rFonts w:ascii="宋体" w:hAnsi="宋体" w:cs="宋体" w:eastAsia="宋体" w:hint="default"/>
                <w:spacing w:val="-5"/>
                <w:w w:val="105"/>
                <w:sz w:val="16"/>
                <w:szCs w:val="16"/>
              </w:rPr>
              <w:t>试衣数据采集设备嵌入式软件</w:t>
            </w:r>
            <w:r>
              <w:rPr>
                <w:rFonts w:ascii="Times New Roman" w:hAnsi="Times New Roman" w:cs="Times New Roman" w:eastAsia="Times New Roman" w:hint="default"/>
                <w:spacing w:val="-5"/>
                <w:w w:val="105"/>
                <w:sz w:val="16"/>
                <w:szCs w:val="16"/>
              </w:rPr>
              <w:t>V1.0</w:t>
            </w:r>
            <w:r>
              <w:rPr>
                <w:rFonts w:ascii="Times New Roman" w:hAnsi="Times New Roman" w:cs="Times New Roman" w:eastAsia="Times New Roman" w:hint="default"/>
                <w:spacing w:val="-5"/>
                <w:sz w:val="16"/>
                <w:szCs w:val="16"/>
              </w:rPr>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2019SR0708711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2019/7/10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360"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88</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理德</w:t>
            </w:r>
            <w:r>
              <w:rPr>
                <w:rFonts w:ascii="Times New Roman" w:hAnsi="Times New Roman" w:cs="Times New Roman" w:eastAsia="Times New Roman" w:hint="default"/>
                <w:sz w:val="18"/>
                <w:szCs w:val="18"/>
              </w:rPr>
              <w:t>RFID</w:t>
            </w:r>
            <w:r>
              <w:rPr>
                <w:rFonts w:ascii="宋体" w:hAnsi="宋体" w:cs="宋体" w:eastAsia="宋体" w:hint="default"/>
                <w:sz w:val="18"/>
                <w:szCs w:val="18"/>
              </w:rPr>
              <w:t>管理软件</w:t>
            </w:r>
            <w:r>
              <w:rPr>
                <w:rFonts w:ascii="Times New Roman" w:hAnsi="Times New Roman" w:cs="Times New Roman" w:eastAsia="Times New Roman" w:hint="default"/>
                <w:sz w:val="18"/>
                <w:szCs w:val="18"/>
              </w:rPr>
              <w:t>V2.0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2019SR1411735</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2019/12/23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89</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理德</w:t>
            </w:r>
            <w:r>
              <w:rPr>
                <w:rFonts w:ascii="Times New Roman" w:hAnsi="Times New Roman" w:cs="Times New Roman" w:eastAsia="Times New Roman" w:hint="default"/>
                <w:sz w:val="18"/>
                <w:szCs w:val="18"/>
              </w:rPr>
              <w:t>RFID</w:t>
            </w:r>
            <w:r>
              <w:rPr>
                <w:rFonts w:ascii="宋体" w:hAnsi="宋体" w:cs="宋体" w:eastAsia="宋体" w:hint="default"/>
                <w:sz w:val="18"/>
                <w:szCs w:val="18"/>
              </w:rPr>
              <w:t>中间件软件</w:t>
            </w:r>
            <w:r>
              <w:rPr>
                <w:rFonts w:ascii="Times New Roman" w:hAnsi="Times New Roman" w:cs="Times New Roman" w:eastAsia="Times New Roman" w:hint="default"/>
                <w:sz w:val="18"/>
                <w:szCs w:val="18"/>
              </w:rPr>
              <w:t>V2.0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2019SR1395976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44"/>
              <w:jc w:val="center"/>
              <w:rPr>
                <w:rFonts w:ascii="Times New Roman" w:hAnsi="Times New Roman" w:cs="Times New Roman" w:eastAsia="Times New Roman" w:hint="default"/>
                <w:sz w:val="18"/>
                <w:szCs w:val="18"/>
              </w:rPr>
            </w:pPr>
            <w:r>
              <w:rPr>
                <w:rFonts w:ascii="Times New Roman"/>
                <w:sz w:val="18"/>
              </w:rPr>
              <w:t>2019/12/19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90</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理德预约送货管理软件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2019SR1397788</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44"/>
              <w:jc w:val="center"/>
              <w:rPr>
                <w:rFonts w:ascii="Times New Roman" w:hAnsi="Times New Roman" w:cs="Times New Roman" w:eastAsia="Times New Roman" w:hint="default"/>
                <w:sz w:val="18"/>
                <w:szCs w:val="18"/>
              </w:rPr>
            </w:pPr>
            <w:r>
              <w:rPr>
                <w:rFonts w:ascii="Times New Roman"/>
                <w:sz w:val="18"/>
              </w:rPr>
              <w:t>2019/12/19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91</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理德商品溯源管理软件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2019SR1401970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2019/12/19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92</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理德</w:t>
            </w:r>
            <w:r>
              <w:rPr>
                <w:rFonts w:ascii="Times New Roman" w:hAnsi="Times New Roman" w:cs="Times New Roman" w:eastAsia="Times New Roman" w:hint="default"/>
                <w:sz w:val="18"/>
                <w:szCs w:val="18"/>
              </w:rPr>
              <w:t>RFID</w:t>
            </w:r>
            <w:r>
              <w:rPr>
                <w:rFonts w:ascii="宋体" w:hAnsi="宋体" w:cs="宋体" w:eastAsia="宋体" w:hint="default"/>
                <w:sz w:val="18"/>
                <w:szCs w:val="18"/>
              </w:rPr>
              <w:t>自动分拣软件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2019SR1400589</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2019/12/19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346"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93</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理德</w:t>
            </w:r>
            <w:r>
              <w:rPr>
                <w:rFonts w:ascii="Times New Roman" w:hAnsi="Times New Roman" w:cs="Times New Roman" w:eastAsia="Times New Roman" w:hint="default"/>
                <w:sz w:val="18"/>
                <w:szCs w:val="18"/>
              </w:rPr>
              <w:t>RFID</w:t>
            </w:r>
            <w:r>
              <w:rPr>
                <w:rFonts w:ascii="宋体" w:hAnsi="宋体" w:cs="宋体" w:eastAsia="宋体" w:hint="default"/>
                <w:sz w:val="18"/>
                <w:szCs w:val="18"/>
              </w:rPr>
              <w:t>标签打印软件</w:t>
            </w:r>
            <w:r>
              <w:rPr>
                <w:rFonts w:ascii="Times New Roman" w:hAnsi="Times New Roman" w:cs="Times New Roman" w:eastAsia="Times New Roman" w:hint="default"/>
                <w:sz w:val="18"/>
                <w:szCs w:val="18"/>
              </w:rPr>
              <w:t>V1.0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2019SR1396532</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2019/12/19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广州理德</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94</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5" w:right="0"/>
              <w:jc w:val="left"/>
              <w:rPr>
                <w:rFonts w:ascii="Times New Roman" w:hAnsi="Times New Roman" w:cs="Times New Roman" w:eastAsia="Times New Roman" w:hint="default"/>
                <w:sz w:val="16"/>
                <w:szCs w:val="16"/>
              </w:rPr>
            </w:pPr>
            <w:r>
              <w:rPr>
                <w:rFonts w:ascii="宋体" w:hAnsi="宋体" w:cs="宋体" w:eastAsia="宋体" w:hint="default"/>
                <w:spacing w:val="-5"/>
                <w:sz w:val="16"/>
                <w:szCs w:val="16"/>
              </w:rPr>
              <w:t>琅玕</w:t>
            </w:r>
            <w:r>
              <w:rPr>
                <w:rFonts w:ascii="Times New Roman" w:hAnsi="Times New Roman" w:cs="Times New Roman" w:eastAsia="Times New Roman" w:hint="default"/>
                <w:spacing w:val="-5"/>
                <w:sz w:val="16"/>
                <w:szCs w:val="16"/>
              </w:rPr>
              <w:t>“  </w:t>
            </w:r>
            <w:r>
              <w:rPr>
                <w:rFonts w:ascii="Times New Roman" w:hAnsi="Times New Roman" w:cs="Times New Roman" w:eastAsia="Times New Roman" w:hint="default"/>
                <w:spacing w:val="6"/>
                <w:sz w:val="16"/>
                <w:szCs w:val="16"/>
              </w:rPr>
              <w:t> </w:t>
            </w:r>
            <w:r>
              <w:rPr>
                <w:rFonts w:ascii="宋体" w:hAnsi="宋体" w:cs="宋体" w:eastAsia="宋体" w:hint="default"/>
                <w:spacing w:val="-5"/>
                <w:sz w:val="16"/>
                <w:szCs w:val="16"/>
              </w:rPr>
              <w:t>小睡</w:t>
            </w:r>
            <w:r>
              <w:rPr>
                <w:rFonts w:ascii="Times New Roman" w:hAnsi="Times New Roman" w:cs="Times New Roman" w:eastAsia="Times New Roman" w:hint="default"/>
                <w:spacing w:val="-5"/>
                <w:sz w:val="16"/>
                <w:szCs w:val="16"/>
              </w:rPr>
              <w:t>”</w:t>
            </w:r>
            <w:r>
              <w:rPr>
                <w:rFonts w:ascii="宋体" w:hAnsi="宋体" w:cs="宋体" w:eastAsia="宋体" w:hint="default"/>
                <w:spacing w:val="-5"/>
                <w:sz w:val="16"/>
                <w:szCs w:val="16"/>
              </w:rPr>
              <w:t>睡眠障碍辅助诊疗系统</w:t>
            </w:r>
            <w:r>
              <w:rPr>
                <w:rFonts w:ascii="Times New Roman" w:hAnsi="Times New Roman" w:cs="Times New Roman" w:eastAsia="Times New Roman" w:hint="default"/>
                <w:spacing w:val="-5"/>
                <w:sz w:val="16"/>
                <w:szCs w:val="16"/>
              </w:rPr>
              <w:t>V1.0.0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2019SR0027809</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琅玕科技</w:t>
            </w:r>
          </w:p>
        </w:tc>
      </w:tr>
      <w:tr>
        <w:trPr>
          <w:trHeight w:val="361"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28"/>
              <w:jc w:val="center"/>
              <w:rPr>
                <w:rFonts w:ascii="Times New Roman" w:hAnsi="Times New Roman" w:cs="Times New Roman" w:eastAsia="Times New Roman" w:hint="default"/>
                <w:sz w:val="18"/>
                <w:szCs w:val="18"/>
              </w:rPr>
            </w:pPr>
            <w:r>
              <w:rPr>
                <w:rFonts w:ascii="Times New Roman"/>
                <w:sz w:val="18"/>
              </w:rPr>
              <w:t>95</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琅玕药物研究平台</w:t>
            </w:r>
            <w:r>
              <w:rPr>
                <w:rFonts w:ascii="Times New Roman" w:hAnsi="Times New Roman" w:cs="Times New Roman" w:eastAsia="Times New Roman" w:hint="default"/>
                <w:sz w:val="18"/>
                <w:szCs w:val="18"/>
              </w:rPr>
              <w:t>V1.0.0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center"/>
              <w:rPr>
                <w:rFonts w:ascii="Times New Roman" w:hAnsi="Times New Roman" w:cs="Times New Roman" w:eastAsia="Times New Roman" w:hint="default"/>
                <w:sz w:val="18"/>
                <w:szCs w:val="18"/>
              </w:rPr>
            </w:pPr>
            <w:r>
              <w:rPr>
                <w:rFonts w:ascii="Times New Roman"/>
                <w:sz w:val="18"/>
              </w:rPr>
              <w:t>2019SR0263219</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44"/>
              <w:jc w:val="center"/>
              <w:rPr>
                <w:rFonts w:ascii="Times New Roman" w:hAnsi="Times New Roman" w:cs="Times New Roman" w:eastAsia="Times New Roman" w:hint="default"/>
                <w:sz w:val="18"/>
                <w:szCs w:val="18"/>
              </w:rPr>
            </w:pPr>
            <w:r>
              <w:rPr>
                <w:rFonts w:ascii="Times New Roman"/>
                <w:sz w:val="18"/>
              </w:rPr>
              <w:t>2019/3/19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琅玕科技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96</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琅玕住院部心理评估平台</w:t>
            </w:r>
            <w:r>
              <w:rPr>
                <w:rFonts w:ascii="Times New Roman" w:hAnsi="Times New Roman" w:cs="Times New Roman" w:eastAsia="Times New Roman" w:hint="default"/>
                <w:sz w:val="18"/>
                <w:szCs w:val="18"/>
              </w:rPr>
              <w:t>V1.0.0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2019SR0263216</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44"/>
              <w:jc w:val="center"/>
              <w:rPr>
                <w:rFonts w:ascii="Times New Roman" w:hAnsi="Times New Roman" w:cs="Times New Roman" w:eastAsia="Times New Roman" w:hint="default"/>
                <w:sz w:val="18"/>
                <w:szCs w:val="18"/>
              </w:rPr>
            </w:pPr>
            <w:r>
              <w:rPr>
                <w:rFonts w:ascii="Times New Roman"/>
                <w:sz w:val="18"/>
              </w:rPr>
              <w:t>2019/3/19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琅玕科技</w:t>
            </w:r>
          </w:p>
        </w:tc>
      </w:tr>
      <w:tr>
        <w:trPr>
          <w:trHeight w:val="345" w:hRule="exact"/>
        </w:trPr>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center"/>
              <w:rPr>
                <w:rFonts w:ascii="Times New Roman" w:hAnsi="Times New Roman" w:cs="Times New Roman" w:eastAsia="Times New Roman" w:hint="default"/>
                <w:sz w:val="18"/>
                <w:szCs w:val="18"/>
              </w:rPr>
            </w:pPr>
            <w:r>
              <w:rPr>
                <w:rFonts w:ascii="Times New Roman"/>
                <w:sz w:val="18"/>
              </w:rPr>
              <w:t>97</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z w:val="18"/>
                <w:szCs w:val="18"/>
              </w:rPr>
              <w:t>软件著作权</w:t>
            </w:r>
          </w:p>
        </w:tc>
        <w:tc>
          <w:tcPr>
            <w:tcW w:w="35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琅玕睡眠中心临床决策支持平台</w:t>
            </w:r>
            <w:r>
              <w:rPr>
                <w:rFonts w:ascii="Times New Roman" w:hAnsi="Times New Roman" w:cs="Times New Roman" w:eastAsia="Times New Roman" w:hint="default"/>
                <w:sz w:val="18"/>
                <w:szCs w:val="18"/>
              </w:rPr>
              <w:t>V1.0.0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center"/>
              <w:rPr>
                <w:rFonts w:ascii="Times New Roman" w:hAnsi="Times New Roman" w:cs="Times New Roman" w:eastAsia="Times New Roman" w:hint="default"/>
                <w:sz w:val="18"/>
                <w:szCs w:val="18"/>
              </w:rPr>
            </w:pPr>
            <w:r>
              <w:rPr>
                <w:rFonts w:ascii="Times New Roman"/>
                <w:sz w:val="18"/>
              </w:rPr>
              <w:t>2019SR0262470</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44"/>
              <w:jc w:val="center"/>
              <w:rPr>
                <w:rFonts w:ascii="Times New Roman" w:hAnsi="Times New Roman" w:cs="Times New Roman" w:eastAsia="Times New Roman" w:hint="default"/>
                <w:sz w:val="18"/>
                <w:szCs w:val="18"/>
              </w:rPr>
            </w:pPr>
            <w:r>
              <w:rPr>
                <w:rFonts w:ascii="Times New Roman"/>
                <w:sz w:val="18"/>
              </w:rPr>
              <w:t>2019/3/19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原始取得</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琅玕科技</w:t>
            </w:r>
          </w:p>
        </w:tc>
      </w:tr>
    </w:tbl>
    <w:p>
      <w:pPr>
        <w:spacing w:after="0" w:line="235" w:lineRule="exact"/>
        <w:jc w:val="center"/>
        <w:rPr>
          <w:rFonts w:ascii="宋体" w:hAnsi="宋体" w:cs="宋体" w:eastAsia="宋体" w:hint="default"/>
          <w:sz w:val="18"/>
          <w:szCs w:val="18"/>
        </w:rPr>
        <w:sectPr>
          <w:pgSz w:w="11910" w:h="16850"/>
          <w:pgMar w:header="731" w:footer="981" w:top="1040" w:bottom="1180" w:left="2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59"/>
        <w:ind w:left="3040" w:right="1086"/>
        <w:jc w:val="left"/>
        <w:rPr>
          <w:b w:val="0"/>
          <w:bCs w:val="0"/>
        </w:rPr>
      </w:pPr>
      <w:bookmarkStart w:name="_TOC_250009" w:id="22"/>
      <w:bookmarkStart w:name="第四节经营情况讨论与分析" w:id="23"/>
      <w:r>
        <w:rPr>
          <w:b w:val="0"/>
          <w:bCs w:val="0"/>
        </w:rPr>
      </w:r>
      <w:r>
        <w:rPr>
          <w:spacing w:val="5"/>
        </w:rPr>
        <w:t>第四节经营情况讨论与分析</w:t>
      </w:r>
      <w:bookmarkEnd w:id="22"/>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1086"/>
        <w:jc w:val="left"/>
        <w:rPr>
          <w:b w:val="0"/>
          <w:bCs w:val="0"/>
        </w:rPr>
      </w:pPr>
      <w:bookmarkStart w:name="一、概述" w:id="24"/>
      <w:bookmarkEnd w:id="24"/>
      <w:r>
        <w:rPr>
          <w:b w:val="0"/>
          <w:bCs w:val="0"/>
        </w:rPr>
      </w:r>
      <w:r>
        <w:rPr/>
        <w:t>一、概述</w:t>
      </w:r>
      <w:r>
        <w:rPr>
          <w:b w:val="0"/>
          <w:bCs w:val="0"/>
        </w:rPr>
      </w:r>
    </w:p>
    <w:p>
      <w:pPr>
        <w:spacing w:line="240" w:lineRule="auto" w:before="0"/>
        <w:rPr>
          <w:rFonts w:ascii="宋体" w:hAnsi="宋体" w:cs="宋体" w:eastAsia="宋体" w:hint="default"/>
          <w:b/>
          <w:bCs/>
          <w:sz w:val="33"/>
          <w:szCs w:val="33"/>
        </w:rPr>
      </w:pPr>
    </w:p>
    <w:p>
      <w:pPr>
        <w:pStyle w:val="BodyText"/>
        <w:spacing w:line="475" w:lineRule="auto" w:before="0"/>
        <w:ind w:right="0" w:firstLine="360"/>
        <w:jc w:val="left"/>
      </w:pPr>
      <w:r>
        <w:rPr>
          <w:rFonts w:ascii="宋体" w:hAnsi="宋体" w:cs="宋体" w:eastAsia="宋体" w:hint="default"/>
        </w:rPr>
        <w:t>2019</w:t>
      </w:r>
      <w:r>
        <w:rPr/>
        <w:t>年度，公司经营管理层在董事会的领导下审时度势，结合产业发展趋势和行业需求，继续坚持“以智慧医疗产业为 </w:t>
      </w:r>
      <w:r>
        <w:rPr>
          <w:spacing w:val="-3"/>
        </w:rPr>
        <w:t>核心，带动物联网相关产业稳步发展”的经营方针，通过全体员工的一致努力，业务发展态势良好。公司的可持续发展能力、</w:t>
      </w:r>
      <w:r>
        <w:rPr>
          <w:spacing w:val="-76"/>
        </w:rPr>
        <w:t> </w:t>
      </w:r>
      <w:r>
        <w:rPr>
          <w:spacing w:val="-76"/>
        </w:rPr>
      </w:r>
      <w:r>
        <w:rPr/>
        <w:t>产业协同能力都有较大提升，为公司未来快速发展打下了坚实的基础。</w:t>
      </w:r>
    </w:p>
    <w:p>
      <w:pPr>
        <w:pStyle w:val="BodyText"/>
        <w:spacing w:line="480" w:lineRule="auto" w:before="53"/>
        <w:ind w:right="0" w:firstLine="360"/>
        <w:jc w:val="left"/>
      </w:pPr>
      <w:r>
        <w:rPr>
          <w:spacing w:val="-2"/>
        </w:rPr>
        <w:t>报告期内，公司紧抓行业发展机遇，着眼医疗健康的发展方向，加快产业协同与融合，着力打造创新型智慧医疗服务生</w:t>
      </w:r>
      <w:r>
        <w:rPr/>
        <w:t> </w:t>
      </w:r>
      <w:r>
        <w:rPr>
          <w:spacing w:val="-4"/>
        </w:rPr>
        <w:t>态体系，不断增强医院信息化顶层设计能力，夯实公司智能开放平台等核心产品的竞争优势，通过产品竞争力的巩固和提升，</w:t>
      </w:r>
      <w:r>
        <w:rPr>
          <w:spacing w:val="-41"/>
        </w:rPr>
        <w:t> </w:t>
      </w:r>
      <w:r>
        <w:rPr>
          <w:spacing w:val="-41"/>
        </w:rPr>
      </w:r>
      <w:r>
        <w:rPr>
          <w:spacing w:val="-2"/>
        </w:rPr>
        <w:t>将行业政策利好转化为公司业绩，促进智慧医疗业务的进一步增长。同时，公司立足于商业智能的技术研发、制造管理和产</w:t>
      </w:r>
      <w:r>
        <w:rPr>
          <w:spacing w:val="-42"/>
        </w:rPr>
        <w:t> </w:t>
      </w:r>
      <w:r>
        <w:rPr>
          <w:spacing w:val="-42"/>
        </w:rPr>
      </w:r>
      <w:r>
        <w:rPr/>
        <w:t>业链优势，及时调整产品及市场推广策略，快速响应市场需求变化，推进智慧商业开放平台解决方案的落地及创新升级。</w:t>
      </w:r>
    </w:p>
    <w:p>
      <w:pPr>
        <w:pStyle w:val="BodyText"/>
        <w:spacing w:line="480" w:lineRule="auto" w:before="49"/>
        <w:ind w:right="1029" w:firstLine="360"/>
        <w:jc w:val="left"/>
      </w:pPr>
      <w:r>
        <w:rPr/>
        <w:t>报告期内，公司实现营业收入</w:t>
      </w:r>
      <w:r>
        <w:rPr>
          <w:rFonts w:ascii="宋体" w:hAnsi="宋体" w:cs="宋体" w:eastAsia="宋体" w:hint="default"/>
        </w:rPr>
        <w:t>157,399.36</w:t>
      </w:r>
      <w:r>
        <w:rPr/>
        <w:t>万元，较上年同期增长</w:t>
      </w:r>
      <w:r>
        <w:rPr>
          <w:rFonts w:ascii="宋体" w:hAnsi="宋体" w:cs="宋体" w:eastAsia="宋体" w:hint="default"/>
        </w:rPr>
        <w:t>21.58%</w:t>
      </w:r>
      <w:r>
        <w:rPr/>
        <w:t>；实现营业利润</w:t>
      </w:r>
      <w:r>
        <w:rPr>
          <w:rFonts w:ascii="宋体" w:hAnsi="宋体" w:cs="宋体" w:eastAsia="宋体" w:hint="default"/>
        </w:rPr>
        <w:t>16,462.69</w:t>
      </w:r>
      <w:r>
        <w:rPr/>
        <w:t>万元，较上年同期增 长</w:t>
      </w:r>
      <w:r>
        <w:rPr>
          <w:rFonts w:ascii="宋体" w:hAnsi="宋体" w:cs="宋体" w:eastAsia="宋体" w:hint="default"/>
        </w:rPr>
        <w:t>1.04%</w:t>
      </w:r>
      <w:r>
        <w:rPr/>
        <w:t>；归属于上市公司股东的净利润</w:t>
      </w:r>
      <w:r>
        <w:rPr>
          <w:rFonts w:ascii="宋体" w:hAnsi="宋体" w:cs="宋体" w:eastAsia="宋体" w:hint="default"/>
        </w:rPr>
        <w:t>14,760.79</w:t>
      </w:r>
      <w:r>
        <w:rPr/>
        <w:t>万元，较上年同期增长</w:t>
      </w:r>
      <w:r>
        <w:rPr>
          <w:rFonts w:ascii="宋体" w:hAnsi="宋体" w:cs="宋体" w:eastAsia="宋体" w:hint="default"/>
        </w:rPr>
        <w:t>2.88%</w:t>
      </w:r>
      <w:r>
        <w:rPr/>
        <w:t>；实现基本每股收益</w:t>
      </w:r>
      <w:r>
        <w:rPr>
          <w:rFonts w:ascii="宋体" w:hAnsi="宋体" w:cs="宋体" w:eastAsia="宋体" w:hint="default"/>
        </w:rPr>
        <w:t>0.18</w:t>
      </w:r>
      <w:r>
        <w:rPr/>
        <w:t>元。主要系报告期</w:t>
      </w:r>
      <w:r>
        <w:rPr>
          <w:spacing w:val="-84"/>
        </w:rPr>
        <w:t> </w:t>
      </w:r>
      <w:r>
        <w:rPr/>
        <w:t>内，公司按照既定的战略目标和经营规划稳步推进各项工作，各项业务有序开展。其中，智慧医疗业务持续保持增长态势，</w:t>
      </w:r>
      <w:r>
        <w:rPr/>
        <w:t> 商业智能业务经营状况稳定。</w:t>
      </w:r>
    </w:p>
    <w:p>
      <w:pPr>
        <w:pStyle w:val="BodyText"/>
        <w:spacing w:line="240" w:lineRule="auto" w:before="50"/>
        <w:ind w:left="501" w:right="1086"/>
        <w:jc w:val="left"/>
      </w:pPr>
      <w:r>
        <w:rPr/>
        <w:t>报告期内，具体经营情况回顾如下：</w:t>
      </w:r>
    </w:p>
    <w:p>
      <w:pPr>
        <w:spacing w:line="240" w:lineRule="auto" w:before="7"/>
        <w:rPr>
          <w:rFonts w:ascii="宋体" w:hAnsi="宋体" w:cs="宋体" w:eastAsia="宋体" w:hint="default"/>
          <w:sz w:val="17"/>
          <w:szCs w:val="17"/>
        </w:rPr>
      </w:pPr>
    </w:p>
    <w:p>
      <w:pPr>
        <w:pStyle w:val="BodyText"/>
        <w:spacing w:line="472" w:lineRule="auto" w:before="0"/>
        <w:ind w:left="501" w:right="1086"/>
        <w:jc w:val="left"/>
      </w:pPr>
      <w:r>
        <w:rPr/>
        <w:t>（一）技术研发方面 </w:t>
      </w:r>
      <w:r>
        <w:rPr>
          <w:spacing w:val="-2"/>
        </w:rPr>
        <w:t>公司聚焦人工智能、物联网、微服务框架等关键核心技术的研发，推动先进技术在医疗领域的深度创新应用，不断提升</w:t>
      </w:r>
    </w:p>
    <w:p>
      <w:pPr>
        <w:pStyle w:val="BodyText"/>
        <w:spacing w:line="489" w:lineRule="auto" w:before="55"/>
        <w:ind w:right="1086"/>
        <w:jc w:val="left"/>
      </w:pPr>
      <w:r>
        <w:rPr>
          <w:spacing w:val="-2"/>
        </w:rPr>
        <w:t>以临床数据为中心的智能开放平台顶层设计理念和医疗信息服务的个性化服务体验，打造从家庭、社区到医院的可及连贯的</w:t>
      </w:r>
      <w:r>
        <w:rPr>
          <w:spacing w:val="-72"/>
        </w:rPr>
        <w:t> </w:t>
      </w:r>
      <w:r>
        <w:rPr>
          <w:spacing w:val="-72"/>
        </w:rPr>
      </w:r>
      <w:r>
        <w:rPr/>
        <w:t>健康医疗服务生态体系，为居民提供“全人全程、可及连贯”的医疗服务方面开启发展新格局。</w:t>
      </w:r>
    </w:p>
    <w:p>
      <w:pPr>
        <w:pStyle w:val="BodyText"/>
        <w:spacing w:line="475" w:lineRule="auto" w:before="43"/>
        <w:ind w:right="0" w:firstLine="360"/>
        <w:jc w:val="left"/>
      </w:pPr>
      <w:r>
        <w:rPr/>
        <w:t>报告期内，医惠科技主导编制的《中文中西医结合临床术语分类框架》、《健康信息学</w:t>
      </w:r>
      <w:r>
        <w:rPr>
          <w:rFonts w:ascii="宋体" w:hAnsi="宋体" w:cs="宋体" w:eastAsia="宋体" w:hint="default"/>
        </w:rPr>
        <w:t>-</w:t>
      </w:r>
      <w:r>
        <w:rPr/>
        <w:t>中药配伍信息模型》两项国际 </w:t>
      </w:r>
      <w:r>
        <w:rPr>
          <w:rFonts w:ascii="宋体" w:hAnsi="宋体" w:cs="宋体" w:eastAsia="宋体" w:hint="default"/>
          <w:spacing w:val="-2"/>
        </w:rPr>
        <w:t>ISO</w:t>
      </w:r>
      <w:r>
        <w:rPr>
          <w:spacing w:val="-2"/>
        </w:rPr>
        <w:t>标准正式发布，填补了我国在该领域的空白，充分体现了公司在行业中的领先地位。其中中西医结合临床术语分类框架，</w:t>
      </w:r>
      <w:r>
        <w:rPr>
          <w:spacing w:val="-71"/>
        </w:rPr>
        <w:t> </w:t>
      </w:r>
      <w:r>
        <w:rPr>
          <w:spacing w:val="-71"/>
        </w:rPr>
      </w:r>
      <w:r>
        <w:rPr/>
        <w:t>是涵盖中医与西医的临床术语体系的顶层架构，也是实现医疗大数据标准化的必备条件。该</w:t>
      </w:r>
      <w:r>
        <w:rPr>
          <w:rFonts w:ascii="宋体" w:hAnsi="宋体" w:cs="宋体" w:eastAsia="宋体" w:hint="default"/>
        </w:rPr>
        <w:t>ISO</w:t>
      </w:r>
      <w:r>
        <w:rPr/>
        <w:t>标准，是国内首个中西医结</w:t>
      </w:r>
      <w:r>
        <w:rPr>
          <w:spacing w:val="-82"/>
        </w:rPr>
        <w:t> </w:t>
      </w:r>
      <w:r>
        <w:rPr/>
        <w:t>合术语领域的国际标准。</w:t>
      </w:r>
    </w:p>
    <w:p>
      <w:pPr>
        <w:pStyle w:val="BodyText"/>
        <w:spacing w:line="475" w:lineRule="auto" w:before="68"/>
        <w:ind w:right="1045" w:firstLine="360"/>
        <w:jc w:val="both"/>
      </w:pPr>
      <w:r>
        <w:rPr>
          <w:spacing w:val="-2"/>
        </w:rPr>
        <w:t>在医疗人工智能方面，公司“面向医联体和医共体的医疗人工智能融合创新应用”正在积极研发中，该项目通过智慧健</w:t>
      </w:r>
      <w:r>
        <w:rPr/>
        <w:t> </w:t>
      </w:r>
      <w:r>
        <w:rPr>
          <w:spacing w:val="-2"/>
        </w:rPr>
        <w:t>康数据大脑，串联医共体各个环节，将智慧健康云平台的健康服务通过物联网和互联网部署在基层医疗服务机构，力争构建</w:t>
      </w:r>
      <w:r>
        <w:rPr>
          <w:spacing w:val="-65"/>
        </w:rPr>
        <w:t> </w:t>
      </w:r>
      <w:r>
        <w:rPr>
          <w:spacing w:val="-65"/>
        </w:rPr>
      </w:r>
      <w:r>
        <w:rPr>
          <w:spacing w:val="-1"/>
        </w:rPr>
        <w:t>一个具有自生产能力、开放性的智慧健康管理服务生态圈。报告期内，公司承担了浙江省重点研发计划项目“智能医疗开放</w:t>
      </w:r>
      <w:r>
        <w:rPr>
          <w:spacing w:val="-86"/>
        </w:rPr>
        <w:t> </w:t>
      </w:r>
      <w:r>
        <w:rPr>
          <w:spacing w:val="-86"/>
        </w:rPr>
      </w:r>
      <w:r>
        <w:rPr/>
        <w:t>创新平台开发及应用示范”，该项目将构建医疗新一代人工智能开放创新的生态体系，整合目前医疗人工智能的行业业态，</w:t>
      </w:r>
      <w:r>
        <w:rPr/>
        <w:t> </w:t>
      </w:r>
      <w:r>
        <w:rPr>
          <w:spacing w:val="-1"/>
        </w:rPr>
        <w:t>推动相关产业链的发展。报告期内，公司牵头的杭州市重大科技创新项目“基于知识图谱的医学人工智能示范应用”获得立</w:t>
      </w:r>
    </w:p>
    <w:p>
      <w:pPr>
        <w:spacing w:after="0" w:line="475"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5" w:lineRule="auto" w:before="0"/>
        <w:ind w:right="1086"/>
        <w:jc w:val="left"/>
      </w:pPr>
      <w:r>
        <w:rPr>
          <w:spacing w:val="-2"/>
        </w:rPr>
        <w:t>项，该项目通过数据驱动对医学知识图谱不断进行增量式构建，形成医学知识更新的完整闭环，将大幅提高医疗机构对疾病</w:t>
      </w:r>
      <w:r>
        <w:rPr>
          <w:spacing w:val="-75"/>
        </w:rPr>
        <w:t> </w:t>
      </w:r>
      <w:r>
        <w:rPr>
          <w:spacing w:val="-75"/>
        </w:rPr>
      </w:r>
      <w:r>
        <w:rPr/>
        <w:t>的诊疗能力和科研探索能力。</w:t>
      </w:r>
    </w:p>
    <w:p>
      <w:pPr>
        <w:pStyle w:val="BodyText"/>
        <w:spacing w:line="477" w:lineRule="auto" w:before="53"/>
        <w:ind w:right="1106" w:firstLine="360"/>
        <w:jc w:val="both"/>
      </w:pPr>
      <w:r>
        <w:rPr>
          <w:spacing w:val="-2"/>
        </w:rPr>
        <w:t>报告期内，公司参与的两个战略性、前瞻性的国家重点研发计划项目均获得国家科技部立项，其中国家重点研发计划生</w:t>
      </w:r>
      <w:r>
        <w:rPr/>
        <w:t> </w:t>
      </w:r>
      <w:r>
        <w:rPr>
          <w:spacing w:val="-2"/>
        </w:rPr>
        <w:t>殖健康及重大出生缺陷防控研究专项：规范化、全周期重大出生缺陷大数据平台建设项目，将应用公司的智能开放平台、大</w:t>
      </w:r>
      <w:r>
        <w:rPr>
          <w:spacing w:val="-42"/>
        </w:rPr>
        <w:t> </w:t>
      </w:r>
      <w:r>
        <w:rPr>
          <w:spacing w:val="-42"/>
        </w:rPr>
      </w:r>
      <w:r>
        <w:rPr>
          <w:spacing w:val="-2"/>
        </w:rPr>
        <w:t>数据与人工智能技术，为构建跨区域立体化出生缺陷综合防控网络提供重要支撑；国家重点研发计划主动健康和老龄化科技</w:t>
      </w:r>
      <w:r>
        <w:rPr>
          <w:spacing w:val="-72"/>
        </w:rPr>
        <w:t> </w:t>
      </w:r>
      <w:r>
        <w:rPr>
          <w:spacing w:val="-72"/>
        </w:rPr>
      </w:r>
      <w:r>
        <w:rPr>
          <w:spacing w:val="-2"/>
        </w:rPr>
        <w:t>应对专项：西部地区智能化健康辅具系统研发和标准化应用示范项目，将深度融合应用公司的智能开放平台、人工智能和物</w:t>
      </w:r>
      <w:r>
        <w:rPr>
          <w:spacing w:val="-75"/>
        </w:rPr>
        <w:t> </w:t>
      </w:r>
      <w:r>
        <w:rPr>
          <w:spacing w:val="-75"/>
        </w:rPr>
      </w:r>
      <w:r>
        <w:rPr/>
        <w:t>联网技术，打造智慧型主动健康的全新应用模式。</w:t>
      </w:r>
    </w:p>
    <w:p>
      <w:pPr>
        <w:pStyle w:val="BodyText"/>
        <w:spacing w:line="480" w:lineRule="auto" w:before="51"/>
        <w:ind w:right="1029" w:firstLine="360"/>
        <w:jc w:val="left"/>
      </w:pPr>
      <w:r>
        <w:rPr/>
        <w:t>此外，面对中国日益庞大的健康养老服务市场需求，报告期内公司推进了“医养结合智能信息技术研究及系统开发”， </w:t>
      </w:r>
      <w:r>
        <w:rPr>
          <w:spacing w:val="-2"/>
        </w:rPr>
        <w:t>通过智慧养老应用开发及示范验证可有效提升公司在养老服务市场的影响力与竞争力，进一步为公司拓展新兴市场。报告期</w:t>
      </w:r>
      <w:r>
        <w:rPr>
          <w:spacing w:val="-72"/>
        </w:rPr>
        <w:t> </w:t>
      </w:r>
      <w:r>
        <w:rPr>
          <w:spacing w:val="-72"/>
        </w:rPr>
      </w:r>
      <w:r>
        <w:rPr>
          <w:spacing w:val="-2"/>
        </w:rPr>
        <w:t>内公司</w:t>
      </w:r>
      <w:r>
        <w:rPr>
          <w:rFonts w:ascii="宋体" w:hAnsi="宋体" w:cs="宋体" w:eastAsia="宋体" w:hint="default"/>
          <w:spacing w:val="-2"/>
        </w:rPr>
        <w:t>02</w:t>
      </w:r>
      <w:r>
        <w:rPr>
          <w:spacing w:val="-2"/>
        </w:rPr>
        <w:t>专项智能识别传感器产品设计集成一体化技术项目成功获得国家科技专项验收，同时</w:t>
      </w:r>
      <w:r>
        <w:rPr>
          <w:rFonts w:ascii="宋体" w:hAnsi="宋体" w:cs="宋体" w:eastAsia="宋体" w:hint="default"/>
          <w:spacing w:val="-2"/>
        </w:rPr>
        <w:t>RFID</w:t>
      </w:r>
      <w:r>
        <w:rPr>
          <w:spacing w:val="-2"/>
        </w:rPr>
        <w:t>智慧门店管理项目也成功</w:t>
      </w:r>
      <w:r>
        <w:rPr>
          <w:spacing w:val="-45"/>
        </w:rPr>
        <w:t> </w:t>
      </w:r>
      <w:r>
        <w:rPr/>
        <w:t>获市重大科技专项验收，标志着公司自身技术优势在商业智能领域得到进一步成功应用，有助于公司行业竞争力的提升。</w:t>
      </w:r>
    </w:p>
    <w:p>
      <w:pPr>
        <w:pStyle w:val="BodyText"/>
        <w:spacing w:line="240" w:lineRule="auto" w:before="50"/>
        <w:ind w:left="501" w:right="1086"/>
        <w:jc w:val="left"/>
      </w:pPr>
      <w:r>
        <w:rPr/>
        <w:t>报告期内，公司研发费用支出为</w:t>
      </w:r>
      <w:r>
        <w:rPr>
          <w:rFonts w:ascii="宋体" w:hAnsi="宋体" w:cs="宋体" w:eastAsia="宋体" w:hint="default"/>
        </w:rPr>
        <w:t>13,808.08</w:t>
      </w:r>
      <w:r>
        <w:rPr/>
        <w:t>万元，占营业收入的</w:t>
      </w:r>
      <w:r>
        <w:rPr>
          <w:rFonts w:ascii="宋体" w:hAnsi="宋体" w:cs="宋体" w:eastAsia="宋体" w:hint="default"/>
        </w:rPr>
        <w:t>8.77%</w:t>
      </w:r>
      <w:r>
        <w:rPr/>
        <w:t>，公司核心竞争力得到持续提升。</w:t>
      </w:r>
    </w:p>
    <w:p>
      <w:pPr>
        <w:spacing w:line="240" w:lineRule="auto" w:before="8"/>
        <w:rPr>
          <w:rFonts w:ascii="宋体" w:hAnsi="宋体" w:cs="宋体" w:eastAsia="宋体" w:hint="default"/>
          <w:sz w:val="17"/>
          <w:szCs w:val="17"/>
        </w:rPr>
      </w:pPr>
    </w:p>
    <w:p>
      <w:pPr>
        <w:pStyle w:val="BodyText"/>
        <w:spacing w:line="489" w:lineRule="auto" w:before="0"/>
        <w:ind w:left="501" w:right="1086"/>
        <w:jc w:val="left"/>
      </w:pPr>
      <w:r>
        <w:rPr/>
        <w:t>（二）产品创新方面 </w:t>
      </w:r>
      <w:r>
        <w:rPr>
          <w:spacing w:val="-2"/>
        </w:rPr>
        <w:t>报告期内，公司凭借平台大数据交互、物联网、人工智能、微服务框架、区块链五大核心技术，着眼于打造创新型智慧</w:t>
      </w:r>
    </w:p>
    <w:p>
      <w:pPr>
        <w:pStyle w:val="BodyText"/>
        <w:spacing w:line="472" w:lineRule="auto" w:before="42"/>
        <w:ind w:right="1086"/>
        <w:jc w:val="left"/>
      </w:pPr>
      <w:r>
        <w:rPr>
          <w:spacing w:val="-2"/>
        </w:rPr>
        <w:t>医疗服务生态体系，继续提升医院信息化顶层设计能力和整体解决方案提供交付能力，在产品种类和数量都得到进一步增加</w:t>
      </w:r>
      <w:r>
        <w:rPr>
          <w:spacing w:val="-72"/>
        </w:rPr>
        <w:t> </w:t>
      </w:r>
      <w:r>
        <w:rPr>
          <w:spacing w:val="-72"/>
        </w:rPr>
      </w:r>
      <w:r>
        <w:rPr/>
        <w:t>的同时实现软硬件协同发展。</w:t>
      </w:r>
    </w:p>
    <w:p>
      <w:pPr>
        <w:pStyle w:val="BodyText"/>
        <w:spacing w:line="477" w:lineRule="auto" w:before="55"/>
        <w:ind w:right="1121" w:firstLine="360"/>
        <w:jc w:val="both"/>
      </w:pPr>
      <w:r>
        <w:rPr>
          <w:spacing w:val="-2"/>
        </w:rPr>
        <w:t>报告期内，公司基于自身领先的医疗整体解决方案与</w:t>
      </w:r>
      <w:r>
        <w:rPr>
          <w:rFonts w:ascii="宋体" w:hAnsi="宋体" w:cs="宋体" w:eastAsia="宋体" w:hint="default"/>
          <w:spacing w:val="-2"/>
        </w:rPr>
        <w:t>RFID</w:t>
      </w:r>
      <w:r>
        <w:rPr>
          <w:spacing w:val="-2"/>
        </w:rPr>
        <w:t>物联网标签生产研发能力，进一步打造具有创新性的物联网智</w:t>
      </w:r>
      <w:r>
        <w:rPr/>
        <w:t> </w:t>
      </w:r>
      <w:r>
        <w:rPr>
          <w:spacing w:val="-2"/>
        </w:rPr>
        <w:t>慧医疗溯源管理产品，包括医疗被服智能管理系统、医疗废弃物管理系统、危化品管理平台、警医联动平台等。物联网智慧</w:t>
      </w:r>
      <w:r>
        <w:rPr>
          <w:spacing w:val="-57"/>
        </w:rPr>
        <w:t> </w:t>
      </w:r>
      <w:r>
        <w:rPr>
          <w:spacing w:val="-57"/>
        </w:rPr>
      </w:r>
      <w:r>
        <w:rPr>
          <w:spacing w:val="-2"/>
        </w:rPr>
        <w:t>医疗溯源管理产品利用</w:t>
      </w:r>
      <w:r>
        <w:rPr>
          <w:rFonts w:ascii="宋体" w:hAnsi="宋体" w:cs="宋体" w:eastAsia="宋体" w:hint="default"/>
          <w:spacing w:val="-2"/>
        </w:rPr>
        <w:t>RFID</w:t>
      </w:r>
      <w:r>
        <w:rPr>
          <w:spacing w:val="-2"/>
        </w:rPr>
        <w:t>技术对医用物资进行自动管控和全程跟踪，大大节省了医院的人力成本；同时依托物联网共性开</w:t>
      </w:r>
      <w:r>
        <w:rPr>
          <w:spacing w:val="-60"/>
        </w:rPr>
        <w:t> </w:t>
      </w:r>
      <w:r>
        <w:rPr>
          <w:spacing w:val="-60"/>
        </w:rPr>
      </w:r>
      <w:r>
        <w:rPr>
          <w:spacing w:val="-2"/>
        </w:rPr>
        <w:t>放平台将人员信息、设备信息等纳入数据平台，为实现快速搜索、精准定位、迅速反应提供技术支持，使医用物资管理更加</w:t>
      </w:r>
      <w:r>
        <w:rPr>
          <w:spacing w:val="-57"/>
        </w:rPr>
        <w:t> </w:t>
      </w:r>
      <w:r>
        <w:rPr>
          <w:spacing w:val="-57"/>
        </w:rPr>
      </w:r>
      <w:r>
        <w:rPr>
          <w:spacing w:val="-2"/>
        </w:rPr>
        <w:t>智能化与精细化，为医院构建了更加科学高效的全新的后勤管理模式，有利于提升医疗行业的服务品质和服务水平。对公司</w:t>
      </w:r>
      <w:r>
        <w:rPr>
          <w:spacing w:val="-75"/>
        </w:rPr>
        <w:t> </w:t>
      </w:r>
      <w:r>
        <w:rPr>
          <w:spacing w:val="-75"/>
        </w:rPr>
      </w:r>
      <w:r>
        <w:rPr>
          <w:spacing w:val="-2"/>
        </w:rPr>
        <w:t>而言，物联网智慧医疗溯源管理产品有助于打造公司新的业绩增长点，并为公司智慧医疗业务从系统销售模式向运营服务模</w:t>
      </w:r>
      <w:r>
        <w:rPr>
          <w:spacing w:val="-72"/>
        </w:rPr>
        <w:t> </w:t>
      </w:r>
      <w:r>
        <w:rPr>
          <w:spacing w:val="-72"/>
        </w:rPr>
      </w:r>
      <w:r>
        <w:rPr/>
        <w:t>式转型、从一次性的销售收入向持续稳定的服务收入转型提供良好的契机。</w:t>
      </w:r>
    </w:p>
    <w:p>
      <w:pPr>
        <w:pStyle w:val="BodyText"/>
        <w:spacing w:line="477" w:lineRule="auto" w:before="66"/>
        <w:ind w:right="1119" w:firstLine="360"/>
        <w:jc w:val="left"/>
      </w:pPr>
      <w:r>
        <w:rPr/>
        <w:t>在医疗人工智能领域，公司基于医疗专科大数据中心，以中西医融合本体库为支撑，以公司自主研发的人工智能引擎 </w:t>
      </w:r>
      <w:r>
        <w:rPr>
          <w:rFonts w:ascii="宋体" w:hAnsi="宋体" w:cs="宋体" w:eastAsia="宋体" w:hint="default"/>
        </w:rPr>
        <w:t>ThinkGo</w:t>
      </w:r>
      <w:r>
        <w:rPr/>
        <w:t>为依托，大力打造以人工智能为核心的国内领先的专科服务平台，不断推出专科人工智能诊疗机器人，为医院专科 建设提供强大的临床辅助诊断、科研和质控支持。报告期内，公司“</w:t>
      </w:r>
      <w:r>
        <w:rPr>
          <w:rFonts w:ascii="宋体" w:hAnsi="宋体" w:cs="宋体" w:eastAsia="宋体" w:hint="default"/>
        </w:rPr>
        <w:t>ThinkGo</w:t>
      </w:r>
      <w:r>
        <w:rPr/>
        <w:t>人工智能开放平台应用”作为实现医学产学研</w:t>
      </w:r>
      <w:r>
        <w:rPr>
          <w:spacing w:val="-81"/>
        </w:rPr>
        <w:t> </w:t>
      </w:r>
      <w:r>
        <w:rPr>
          <w:spacing w:val="-81"/>
        </w:rPr>
      </w:r>
      <w:r>
        <w:rPr>
          <w:spacing w:val="-2"/>
        </w:rPr>
        <w:t>为一体的人工智能落地典型应用案例，入选了人工智能蓝皮书《中国医疗人工智能发展报告（</w:t>
      </w:r>
      <w:r>
        <w:rPr>
          <w:rFonts w:ascii="宋体" w:hAnsi="宋体" w:cs="宋体" w:eastAsia="宋体" w:hint="default"/>
          <w:spacing w:val="-2"/>
        </w:rPr>
        <w:t>2019</w:t>
      </w:r>
      <w:r>
        <w:rPr>
          <w:spacing w:val="-2"/>
        </w:rPr>
        <w:t>）》。公司的</w:t>
      </w:r>
      <w:r>
        <w:rPr>
          <w:rFonts w:ascii="宋体" w:hAnsi="宋体" w:cs="宋体" w:eastAsia="宋体" w:hint="default"/>
          <w:spacing w:val="-2"/>
        </w:rPr>
        <w:t>AI</w:t>
      </w:r>
      <w:r>
        <w:rPr>
          <w:spacing w:val="-2"/>
        </w:rPr>
        <w:t>影像识别</w:t>
      </w:r>
      <w:r>
        <w:rPr>
          <w:spacing w:val="-57"/>
        </w:rPr>
        <w:t> </w:t>
      </w:r>
      <w:r>
        <w:rPr/>
        <w:t>赋能</w:t>
      </w:r>
      <w:r>
        <w:rPr>
          <w:rFonts w:ascii="宋体" w:hAnsi="宋体" w:cs="宋体" w:eastAsia="宋体" w:hint="default"/>
        </w:rPr>
        <w:t>MDT</w:t>
      </w:r>
      <w:r>
        <w:rPr/>
        <w:t>食道癌影像辅助识别，作为专科人工智能诊疗机器人的经典案例，入选了国家卫健委统计中心《中国医疗健康人工 智能应用与发展报告》。</w:t>
      </w:r>
    </w:p>
    <w:p>
      <w:pPr>
        <w:pStyle w:val="BodyText"/>
        <w:spacing w:line="240" w:lineRule="auto" w:before="51"/>
        <w:ind w:left="501" w:right="1086"/>
        <w:jc w:val="left"/>
      </w:pPr>
      <w:r>
        <w:rPr>
          <w:spacing w:val="-5"/>
        </w:rPr>
        <w:t>在互联网医疗领域，公司全面对标医院智慧服务五级标准，依托公司研发的互联网连贯就医服务平台，为医院打造以“服</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7" w:lineRule="auto" w:before="0"/>
        <w:ind w:right="0"/>
        <w:jc w:val="left"/>
      </w:pPr>
      <w:r>
        <w:rPr/>
        <w:t>务闭环”为核心的互联网医疗，实现线上到线下、院内到院外的连贯就医服务，真正提升医生工作效率、医院运营效率以及 </w:t>
      </w:r>
      <w:r>
        <w:rPr>
          <w:spacing w:val="-3"/>
        </w:rPr>
        <w:t>患者就医体验。报告期内，公司响应国家卫健委《关于开展“互联网</w:t>
      </w:r>
      <w:r>
        <w:rPr>
          <w:rFonts w:ascii="宋体" w:hAnsi="宋体" w:cs="宋体" w:eastAsia="宋体" w:hint="default"/>
          <w:spacing w:val="-3"/>
        </w:rPr>
        <w:t>+</w:t>
      </w:r>
      <w:r>
        <w:rPr>
          <w:spacing w:val="-3"/>
        </w:rPr>
        <w:t>护士上门”试点工作通知》，打造“互联网</w:t>
      </w:r>
      <w:r>
        <w:rPr>
          <w:rFonts w:ascii="宋体" w:hAnsi="宋体" w:cs="宋体" w:eastAsia="宋体" w:hint="default"/>
          <w:spacing w:val="-3"/>
        </w:rPr>
        <w:t>+</w:t>
      </w:r>
      <w:r>
        <w:rPr>
          <w:spacing w:val="-3"/>
        </w:rPr>
        <w:t>护理服务”</w:t>
      </w:r>
      <w:r>
        <w:rPr>
          <w:spacing w:val="-64"/>
        </w:rPr>
        <w:t> </w:t>
      </w:r>
      <w:r>
        <w:rPr>
          <w:spacing w:val="-2"/>
        </w:rPr>
        <w:t>平台，利用互联网技术实现移动护理范式的转换和院内到院外患者服务的延伸，得到行业高度认可，报告期内通过南京鼓楼</w:t>
      </w:r>
      <w:r>
        <w:rPr>
          <w:spacing w:val="-75"/>
        </w:rPr>
        <w:t> </w:t>
      </w:r>
      <w:r>
        <w:rPr>
          <w:spacing w:val="-75"/>
        </w:rPr>
      </w:r>
      <w:r>
        <w:rPr/>
        <w:t>医院标杆效应，迅速覆盖国家卫健委核定的</w:t>
      </w:r>
      <w:r>
        <w:rPr>
          <w:rFonts w:ascii="宋体" w:hAnsi="宋体" w:cs="宋体" w:eastAsia="宋体" w:hint="default"/>
        </w:rPr>
        <w:t>6</w:t>
      </w:r>
      <w:r>
        <w:rPr/>
        <w:t>大试点省市重点医院及其他自主建设医院。同时公司基于“互联网</w:t>
      </w:r>
      <w:r>
        <w:rPr>
          <w:rFonts w:ascii="宋体" w:hAnsi="宋体" w:cs="宋体" w:eastAsia="宋体" w:hint="default"/>
        </w:rPr>
        <w:t>+</w:t>
      </w:r>
      <w:r>
        <w:rPr/>
        <w:t>护理服务”</w:t>
      </w:r>
      <w:r>
        <w:rPr>
          <w:spacing w:val="-81"/>
        </w:rPr>
        <w:t> </w:t>
      </w:r>
      <w:r>
        <w:rPr/>
        <w:t>的专科护理信息管理平台荣获中华护理学会全国信息护理大会优秀案例奖，并在由中国医院协会信息专业委员会（</w:t>
      </w:r>
      <w:r>
        <w:rPr>
          <w:rFonts w:ascii="宋体" w:hAnsi="宋体" w:cs="宋体" w:eastAsia="宋体" w:hint="default"/>
        </w:rPr>
        <w:t>CHIMA</w:t>
      </w:r>
      <w:r>
        <w:rPr/>
        <w:t>）</w:t>
      </w:r>
      <w:r>
        <w:rPr>
          <w:spacing w:val="-79"/>
        </w:rPr>
        <w:t> </w:t>
      </w:r>
      <w:r>
        <w:rPr/>
        <w:t>等主办的“</w:t>
      </w:r>
      <w:r>
        <w:rPr>
          <w:rFonts w:ascii="宋体" w:hAnsi="宋体" w:cs="宋体" w:eastAsia="宋体" w:hint="default"/>
        </w:rPr>
        <w:t>2019</w:t>
      </w:r>
      <w:r>
        <w:rPr/>
        <w:t>智慧医疗创新大赛总决赛”中获得二等奖。</w:t>
      </w:r>
    </w:p>
    <w:p>
      <w:pPr>
        <w:pStyle w:val="BodyText"/>
        <w:spacing w:line="477" w:lineRule="auto" w:before="52"/>
        <w:ind w:right="1106" w:firstLine="360"/>
        <w:jc w:val="both"/>
      </w:pPr>
      <w:r>
        <w:rPr>
          <w:spacing w:val="-2"/>
        </w:rPr>
        <w:t>在医疗物联网智能传感器应用领域，报告期内公司将物联网技术应用于智能医疗领域取得了多项技术突破，自主研发的</w:t>
      </w:r>
      <w:r>
        <w:rPr/>
        <w:t> </w:t>
      </w:r>
      <w:r>
        <w:rPr>
          <w:spacing w:val="-2"/>
        </w:rPr>
        <w:t>体温监控、人工智能出药系统、人体步态监控等数据算法先后获得医疗系统认可，其中公司研发的“人工智能听诊器”，将</w:t>
      </w:r>
      <w:r>
        <w:rPr>
          <w:spacing w:val="-77"/>
        </w:rPr>
        <w:t> </w:t>
      </w:r>
      <w:r>
        <w:rPr>
          <w:spacing w:val="-77"/>
        </w:rPr>
      </w:r>
      <w:r>
        <w:rPr/>
        <w:t>传统的机械式听诊器升级成人工智能听诊器，是公司在人工智能传感器识别领域取得突破的代表性产品。公司在人工智能</w:t>
      </w:r>
      <w:r>
        <w:rPr>
          <w:rFonts w:ascii="宋体" w:hAnsi="宋体" w:cs="宋体" w:eastAsia="宋体" w:hint="default"/>
        </w:rPr>
        <w:t>+</w:t>
      </w:r>
      <w:r>
        <w:rPr>
          <w:rFonts w:ascii="宋体" w:hAnsi="宋体" w:cs="宋体" w:eastAsia="宋体" w:hint="default"/>
          <w:spacing w:val="-79"/>
        </w:rPr>
        <w:t> </w:t>
      </w:r>
      <w:r>
        <w:rPr>
          <w:spacing w:val="-2"/>
        </w:rPr>
        <w:t>物联网技术应用上良好的技术基础，有助于推动医疗服务走向真正意义上的物联网智能。为加速公司医疗与物联网业务的融</w:t>
      </w:r>
      <w:r>
        <w:rPr>
          <w:spacing w:val="-70"/>
        </w:rPr>
        <w:t> </w:t>
      </w:r>
      <w:r>
        <w:rPr>
          <w:spacing w:val="-70"/>
        </w:rPr>
      </w:r>
      <w:r>
        <w:rPr>
          <w:spacing w:val="-2"/>
        </w:rPr>
        <w:t>合，报告期内公司还正式设立了专业级医疗车间。医疗车间的建设完成，为公司提供了专业的物联网医疗生产基地，使公司</w:t>
      </w:r>
      <w:r>
        <w:rPr>
          <w:spacing w:val="-42"/>
        </w:rPr>
        <w:t> </w:t>
      </w:r>
      <w:r>
        <w:rPr>
          <w:spacing w:val="-42"/>
        </w:rPr>
      </w:r>
      <w:r>
        <w:rPr/>
        <w:t>物联网技术在智能医疗领域的发展又迈出了坚实的一步。</w:t>
      </w:r>
    </w:p>
    <w:p>
      <w:pPr>
        <w:pStyle w:val="BodyText"/>
        <w:spacing w:line="477" w:lineRule="auto" w:before="52"/>
        <w:ind w:right="996" w:firstLine="360"/>
        <w:jc w:val="left"/>
      </w:pPr>
      <w:r>
        <w:rPr/>
        <w:t>在商业智能领域，公司推出的</w:t>
      </w:r>
      <w:r>
        <w:rPr>
          <w:rFonts w:ascii="宋体" w:hAnsi="宋体" w:cs="宋体" w:eastAsia="宋体" w:hint="default"/>
        </w:rPr>
        <w:t>AIoT</w:t>
      </w:r>
      <w:r>
        <w:rPr/>
        <w:t>驱动的商业智能平台——</w:t>
      </w:r>
      <w:r>
        <w:rPr>
          <w:rFonts w:ascii="宋体" w:hAnsi="宋体" w:cs="宋体" w:eastAsia="宋体" w:hint="default"/>
        </w:rPr>
        <w:t>V-Prime</w:t>
      </w:r>
      <w:r>
        <w:rPr/>
        <w:t>™作为门店的“智慧大脑”，以数据为核心，通过面 </w:t>
      </w:r>
      <w:r>
        <w:rPr>
          <w:spacing w:val="-3"/>
        </w:rPr>
        <w:t>向</w:t>
      </w:r>
      <w:r>
        <w:rPr>
          <w:rFonts w:ascii="宋体" w:hAnsi="宋体" w:cs="宋体" w:eastAsia="宋体" w:hint="default"/>
          <w:spacing w:val="-3"/>
        </w:rPr>
        <w:t>API</w:t>
      </w:r>
      <w:r>
        <w:rPr>
          <w:spacing w:val="-3"/>
        </w:rPr>
        <w:t>、消息驱动、大数据高并发的“大平台</w:t>
      </w:r>
      <w:r>
        <w:rPr>
          <w:rFonts w:ascii="宋体" w:hAnsi="宋体" w:cs="宋体" w:eastAsia="宋体" w:hint="default"/>
          <w:spacing w:val="-3"/>
        </w:rPr>
        <w:t>+</w:t>
      </w:r>
      <w:r>
        <w:rPr>
          <w:spacing w:val="-3"/>
        </w:rPr>
        <w:t>小前台”微服务架构将智能渗入到整个门店业务流程中，推动门店数字化变革，</w:t>
      </w:r>
      <w:r>
        <w:rPr>
          <w:spacing w:val="-69"/>
        </w:rPr>
        <w:t> </w:t>
      </w:r>
      <w:r>
        <w:rPr>
          <w:spacing w:val="-69"/>
        </w:rPr>
      </w:r>
      <w:r>
        <w:rPr>
          <w:spacing w:val="-2"/>
        </w:rPr>
        <w:t>能够帮助实现门店“数字化价值链”，提升运营效率并降低运营成本，进一步驱动行业全面数字化的发展。针对前置仓、首</w:t>
      </w:r>
      <w:r>
        <w:rPr>
          <w:spacing w:val="-70"/>
        </w:rPr>
        <w:t> </w:t>
      </w:r>
      <w:r>
        <w:rPr>
          <w:spacing w:val="-70"/>
        </w:rPr>
      </w:r>
      <w:r>
        <w:rPr>
          <w:spacing w:val="-2"/>
        </w:rPr>
        <w:t>店经济的持续升温，报告期内公司研发了</w:t>
      </w:r>
      <w:r>
        <w:rPr>
          <w:rFonts w:ascii="宋体" w:hAnsi="宋体" w:cs="宋体" w:eastAsia="宋体" w:hint="default"/>
          <w:spacing w:val="-2"/>
        </w:rPr>
        <w:t>RFID</w:t>
      </w:r>
      <w:r>
        <w:rPr>
          <w:spacing w:val="-2"/>
        </w:rPr>
        <w:t>智慧生鲜仓储及物流配送解决方案，解决前置仓配送中的痛点，为生鲜电商赋</w:t>
      </w:r>
      <w:r>
        <w:rPr>
          <w:spacing w:val="-68"/>
        </w:rPr>
        <w:t> </w:t>
      </w:r>
      <w:r>
        <w:rPr>
          <w:spacing w:val="-68"/>
        </w:rPr>
      </w:r>
      <w:r>
        <w:rPr>
          <w:spacing w:val="-2"/>
        </w:rPr>
        <w:t>能。同时不断为线下门店提供技术装备，以电子价签、智能支付等技术为消费者营造舒适、便捷、良好的购物体验，助力其</w:t>
      </w:r>
      <w:r>
        <w:rPr>
          <w:spacing w:val="-72"/>
        </w:rPr>
        <w:t> </w:t>
      </w:r>
      <w:r>
        <w:rPr>
          <w:spacing w:val="-72"/>
        </w:rPr>
      </w:r>
      <w:r>
        <w:rPr/>
        <w:t>更好地发展。</w:t>
      </w:r>
    </w:p>
    <w:p>
      <w:pPr>
        <w:pStyle w:val="BodyText"/>
        <w:spacing w:line="475" w:lineRule="auto" w:before="67"/>
        <w:ind w:left="501" w:right="1133"/>
        <w:jc w:val="left"/>
      </w:pPr>
      <w:r>
        <w:rPr/>
        <w:t>（三）市场拓展方面 </w:t>
      </w:r>
      <w:r>
        <w:rPr>
          <w:spacing w:val="-2"/>
        </w:rPr>
        <w:t>公司在业内领先开发的智能开放平台在实现高质量的医疗信息互通共享上具有非常突出的竞争优势。报告期内，公司进</w:t>
      </w:r>
    </w:p>
    <w:p>
      <w:pPr>
        <w:pStyle w:val="BodyText"/>
        <w:spacing w:line="475" w:lineRule="auto" w:before="53"/>
        <w:ind w:right="1106"/>
        <w:jc w:val="both"/>
      </w:pPr>
      <w:r>
        <w:rPr>
          <w:spacing w:val="-2"/>
        </w:rPr>
        <w:t>一步夯实智能开放平台的竞争力，发挥公司在智慧医院整体解决方案上的优势，抓住电子病历等级评审、医疗健康信息互联</w:t>
      </w:r>
      <w:r>
        <w:rPr>
          <w:spacing w:val="-67"/>
        </w:rPr>
        <w:t> </w:t>
      </w:r>
      <w:r>
        <w:rPr>
          <w:spacing w:val="-67"/>
        </w:rPr>
      </w:r>
      <w:r>
        <w:rPr>
          <w:spacing w:val="-2"/>
        </w:rPr>
        <w:t>互通测评、医院智慧服务分级评估等市场机遇，凭借丰富的行业经验和顶层的设计理念，进一步加大市场拓展力度，在订单</w:t>
      </w:r>
      <w:r>
        <w:rPr>
          <w:spacing w:val="-42"/>
        </w:rPr>
        <w:t> </w:t>
      </w:r>
      <w:r>
        <w:rPr>
          <w:spacing w:val="-42"/>
        </w:rPr>
      </w:r>
      <w:r>
        <w:rPr/>
        <w:t>的总金额以及平均金额上均有较为明显的提升。</w:t>
      </w:r>
    </w:p>
    <w:p>
      <w:pPr>
        <w:pStyle w:val="BodyText"/>
        <w:spacing w:line="475" w:lineRule="auto" w:before="68"/>
        <w:ind w:right="1105" w:firstLine="360"/>
        <w:jc w:val="both"/>
      </w:pPr>
      <w:r>
        <w:rPr>
          <w:spacing w:val="-2"/>
        </w:rPr>
        <w:t>报告期内，在以智能开放平台为核心的智慧医院整体解决方案项目上，公司中标、实施了重庆市肿瘤研究所、广东省中</w:t>
      </w:r>
      <w:r>
        <w:rPr/>
        <w:t> </w:t>
      </w:r>
      <w:r>
        <w:rPr>
          <w:spacing w:val="-2"/>
        </w:rPr>
        <w:t>医院、山东中医药大学附属医院、南京鼓楼医院、广州市妇女儿童医疗中心、长春中医药大学附属第三临床医院、汕头大学</w:t>
      </w:r>
      <w:r>
        <w:rPr>
          <w:spacing w:val="-57"/>
        </w:rPr>
        <w:t> </w:t>
      </w:r>
      <w:r>
        <w:rPr>
          <w:spacing w:val="-57"/>
        </w:rPr>
      </w:r>
      <w:r>
        <w:rPr>
          <w:spacing w:val="-2"/>
        </w:rPr>
        <w:t>医学院第一附属医院、上海交通大学医学院附属新华医院、内蒙古林业总医院、上海市闵行区中心医院、济宁医学院附属医</w:t>
      </w:r>
      <w:r>
        <w:rPr>
          <w:spacing w:val="-42"/>
        </w:rPr>
        <w:t> </w:t>
      </w:r>
      <w:r>
        <w:rPr>
          <w:spacing w:val="-42"/>
        </w:rPr>
      </w:r>
      <w:r>
        <w:rPr/>
        <w:t>院等一批单体金额在千万元级别以上的典型项目。</w:t>
      </w:r>
    </w:p>
    <w:p>
      <w:pPr>
        <w:pStyle w:val="BodyText"/>
        <w:spacing w:line="482" w:lineRule="auto" w:before="53"/>
        <w:ind w:right="1133" w:firstLine="360"/>
        <w:jc w:val="both"/>
      </w:pPr>
      <w:r>
        <w:rPr>
          <w:spacing w:val="-2"/>
        </w:rPr>
        <w:t>在医疗服务评审方面，公司中标了以广州市妇女儿童医疗中心国家电子病历七级信息系统升级改造、内蒙古林业总医院</w:t>
      </w:r>
      <w:r>
        <w:rPr/>
        <w:t> 电子病历系统应用水平分级评价</w:t>
      </w:r>
      <w:r>
        <w:rPr>
          <w:rFonts w:ascii="宋体" w:hAnsi="宋体" w:cs="宋体" w:eastAsia="宋体" w:hint="default"/>
        </w:rPr>
        <w:t>5</w:t>
      </w:r>
      <w:r>
        <w:rPr/>
        <w:t>级医院信息化建设项目为代表的一批电子病历评级项目。上述项目的中标和实施不但为公</w:t>
      </w:r>
      <w:r>
        <w:rPr>
          <w:spacing w:val="-87"/>
        </w:rPr>
        <w:t> </w:t>
      </w:r>
      <w:r>
        <w:rPr/>
        <w:t>司今年业绩的增长打下了坚实的基础，同时也让公司品牌赢得了市场更为广泛的好评。</w:t>
      </w:r>
    </w:p>
    <w:p>
      <w:pPr>
        <w:spacing w:after="0" w:line="482"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80" w:lineRule="auto" w:before="0"/>
        <w:ind w:right="1029" w:firstLine="360"/>
        <w:jc w:val="left"/>
      </w:pPr>
      <w:r>
        <w:rPr>
          <w:spacing w:val="-2"/>
        </w:rPr>
        <w:t>公司在中标、实施大量医疗信息化主流项目的同时，持续提升产品标准化程度和产品快速交付能力，减少定制和二次开</w:t>
      </w:r>
      <w:r>
        <w:rPr/>
        <w:t> 发。在一些有代表性的智慧医院整体解决方案项目上，继仅用</w:t>
      </w:r>
      <w:r>
        <w:rPr>
          <w:rFonts w:ascii="宋体" w:hAnsi="宋体" w:cs="宋体" w:eastAsia="宋体" w:hint="default"/>
        </w:rPr>
        <w:t>18</w:t>
      </w:r>
      <w:r>
        <w:rPr/>
        <w:t>个月完成广州市妇女儿童医疗中心的整体信息化改造之后，</w:t>
      </w:r>
      <w:r>
        <w:rPr>
          <w:spacing w:val="-82"/>
        </w:rPr>
        <w:t> </w:t>
      </w:r>
      <w:r>
        <w:rPr>
          <w:spacing w:val="-82"/>
        </w:rPr>
      </w:r>
      <w:r>
        <w:rPr>
          <w:spacing w:val="-2"/>
        </w:rPr>
        <w:t>又在</w:t>
      </w:r>
      <w:r>
        <w:rPr>
          <w:rFonts w:ascii="宋体" w:hAnsi="宋体" w:cs="宋体" w:eastAsia="宋体" w:hint="default"/>
          <w:spacing w:val="-2"/>
        </w:rPr>
        <w:t>20</w:t>
      </w:r>
      <w:r>
        <w:rPr>
          <w:spacing w:val="-2"/>
        </w:rPr>
        <w:t>个月之内完成南京鼓楼医院的全院</w:t>
      </w:r>
      <w:r>
        <w:rPr>
          <w:rFonts w:ascii="宋体" w:hAnsi="宋体" w:cs="宋体" w:eastAsia="宋体" w:hint="default"/>
          <w:spacing w:val="-2"/>
        </w:rPr>
        <w:t>IT</w:t>
      </w:r>
      <w:r>
        <w:rPr>
          <w:spacing w:val="-2"/>
        </w:rPr>
        <w:t>顶层设计和建设，两个项目都打造了行业大型项目快速交付的标杆，充分展现了</w:t>
      </w:r>
      <w:r>
        <w:rPr>
          <w:spacing w:val="-65"/>
        </w:rPr>
        <w:t> </w:t>
      </w:r>
      <w:r>
        <w:rPr>
          <w:spacing w:val="-65"/>
        </w:rPr>
      </w:r>
      <w:r>
        <w:rPr/>
        <w:t>公司一流的医院信息化服务能力。</w:t>
      </w:r>
    </w:p>
    <w:p>
      <w:pPr>
        <w:pStyle w:val="BodyText"/>
        <w:spacing w:line="477" w:lineRule="auto" w:before="49"/>
        <w:ind w:right="0" w:firstLine="360"/>
        <w:jc w:val="left"/>
      </w:pPr>
      <w:r>
        <w:rPr>
          <w:spacing w:val="-2"/>
        </w:rPr>
        <w:t>作为新零售技术的领军企业，报告期内公司在“平台赋能、方案领先、深耕渠道”的战略指引下，围绕智能制造、供应</w:t>
      </w:r>
      <w:r>
        <w:rPr/>
        <w:t> </w:t>
      </w:r>
      <w:r>
        <w:rPr>
          <w:spacing w:val="-4"/>
        </w:rPr>
        <w:t>链数字化、智慧门店、智慧城市多方位深挖市场潜力，谋求差异化战略积极抢占市场，渠道开拓与内部协作能力进一步提升。</w:t>
      </w:r>
      <w:r>
        <w:rPr>
          <w:spacing w:val="-50"/>
        </w:rPr>
        <w:t> </w:t>
      </w:r>
      <w:r>
        <w:rPr>
          <w:spacing w:val="-50"/>
        </w:rPr>
      </w:r>
      <w:r>
        <w:rPr>
          <w:spacing w:val="-2"/>
        </w:rPr>
        <w:t>同时，在服装行业</w:t>
      </w:r>
      <w:r>
        <w:rPr>
          <w:rFonts w:ascii="宋体" w:hAnsi="宋体" w:cs="宋体" w:eastAsia="宋体" w:hint="default"/>
          <w:spacing w:val="-2"/>
        </w:rPr>
        <w:t>RFID</w:t>
      </w:r>
      <w:r>
        <w:rPr>
          <w:spacing w:val="-2"/>
        </w:rPr>
        <w:t>全供应链解决方案领域，公司重点协助线上品牌企业大力拓展线下业务，持续精耕数字化门店，开拓</w:t>
      </w:r>
      <w:r>
        <w:rPr>
          <w:spacing w:val="-37"/>
        </w:rPr>
        <w:t> </w:t>
      </w:r>
      <w:r>
        <w:rPr>
          <w:spacing w:val="-37"/>
        </w:rPr>
      </w:r>
      <w:r>
        <w:rPr>
          <w:spacing w:val="-2"/>
        </w:rPr>
        <w:t>物联网的深层次应用，助力时尚零售行业转型升级，推动产业智能化发展。报告期内，公司携手美的集团共同打造了行业首</w:t>
      </w:r>
      <w:r>
        <w:rPr>
          <w:spacing w:val="-41"/>
        </w:rPr>
        <w:t> </w:t>
      </w:r>
      <w:r>
        <w:rPr>
          <w:spacing w:val="-41"/>
        </w:rPr>
      </w:r>
      <w:r>
        <w:rPr>
          <w:spacing w:val="-2"/>
        </w:rPr>
        <w:t>创的</w:t>
      </w:r>
      <w:r>
        <w:rPr>
          <w:rFonts w:ascii="宋体" w:hAnsi="宋体" w:cs="宋体" w:eastAsia="宋体" w:hint="default"/>
          <w:spacing w:val="-2"/>
        </w:rPr>
        <w:t>RFID+ESL</w:t>
      </w:r>
      <w:r>
        <w:rPr>
          <w:spacing w:val="-2"/>
        </w:rPr>
        <w:t>智能仓库管理解决方案，为物联网整体解决方案在工业领域的应用创造了良好的示范效应。此外，报告期内公</w:t>
      </w:r>
      <w:r>
        <w:rPr>
          <w:spacing w:val="-66"/>
        </w:rPr>
        <w:t> </w:t>
      </w:r>
      <w:r>
        <w:rPr>
          <w:spacing w:val="-66"/>
        </w:rPr>
      </w:r>
      <w:r>
        <w:rPr>
          <w:spacing w:val="-2"/>
        </w:rPr>
        <w:t>司</w:t>
      </w:r>
      <w:r>
        <w:rPr>
          <w:rFonts w:ascii="宋体" w:hAnsi="宋体" w:cs="宋体" w:eastAsia="宋体" w:hint="default"/>
          <w:spacing w:val="-2"/>
        </w:rPr>
        <w:t>RFID</w:t>
      </w:r>
      <w:r>
        <w:rPr>
          <w:spacing w:val="-2"/>
        </w:rPr>
        <w:t>智慧生鲜仓储及物流配送解决方案成功上线；公司电子价签业务板块积极探索工业智能制造领域的新突破，已与知名</w:t>
      </w:r>
      <w:r>
        <w:rPr>
          <w:spacing w:val="-68"/>
        </w:rPr>
        <w:t> </w:t>
      </w:r>
      <w:r>
        <w:rPr>
          <w:spacing w:val="-68"/>
        </w:rPr>
      </w:r>
      <w:r>
        <w:rPr/>
        <w:t>家电品牌达成战略合作意向；在</w:t>
      </w:r>
      <w:r>
        <w:rPr>
          <w:rFonts w:ascii="宋体" w:hAnsi="宋体" w:cs="宋体" w:eastAsia="宋体" w:hint="default"/>
        </w:rPr>
        <w:t>3C</w:t>
      </w:r>
      <w:r>
        <w:rPr/>
        <w:t>领域，与国内多家手机品牌商的合作也在稳步推进中。</w:t>
      </w:r>
    </w:p>
    <w:p>
      <w:pPr>
        <w:pStyle w:val="BodyText"/>
        <w:spacing w:line="475" w:lineRule="auto" w:before="51"/>
        <w:ind w:left="501" w:right="1086"/>
        <w:jc w:val="left"/>
      </w:pPr>
      <w:r>
        <w:rPr/>
        <w:t>（四）品牌建设方面 </w:t>
      </w:r>
      <w:r>
        <w:rPr>
          <w:spacing w:val="-2"/>
        </w:rPr>
        <w:t>公司始终将品牌建设作为一项长期、系统性工程，充分发挥并挖掘品牌潜力和内涵，强化品牌认知，深化品牌认同，不</w:t>
      </w:r>
    </w:p>
    <w:p>
      <w:pPr>
        <w:pStyle w:val="BodyText"/>
        <w:spacing w:line="475" w:lineRule="auto" w:before="68"/>
        <w:ind w:right="1106"/>
        <w:jc w:val="both"/>
      </w:pPr>
      <w:r>
        <w:rPr>
          <w:spacing w:val="-2"/>
        </w:rPr>
        <w:t>断提升品牌价值。近年来，公司凭借专业的智慧医疗等级评审项目实施经验、先进的信息化规划设计理念，支持多家医院高</w:t>
      </w:r>
      <w:r>
        <w:rPr>
          <w:spacing w:val="-42"/>
        </w:rPr>
        <w:t> </w:t>
      </w:r>
      <w:r>
        <w:rPr>
          <w:spacing w:val="-42"/>
        </w:rPr>
      </w:r>
      <w:r>
        <w:rPr>
          <w:spacing w:val="-2"/>
        </w:rPr>
        <w:t>质量完成智慧医疗等级评审工作，其中通过国家医疗健康信息互联互通标准化成熟度等级测评的客户医院已达数十家，特别</w:t>
      </w:r>
      <w:r>
        <w:rPr>
          <w:spacing w:val="-72"/>
        </w:rPr>
        <w:t> </w:t>
      </w:r>
      <w:r>
        <w:rPr>
          <w:spacing w:val="-72"/>
        </w:rPr>
      </w:r>
      <w:r>
        <w:rPr>
          <w:spacing w:val="-2"/>
        </w:rPr>
        <w:t>是在“五级乙等”等高等级测评通过案例数量上，公司保持了领先地位。报告期内，在互联互通评审项目上，公司助力中国</w:t>
      </w:r>
      <w:r>
        <w:rPr>
          <w:spacing w:val="-71"/>
        </w:rPr>
        <w:t> </w:t>
      </w:r>
      <w:r>
        <w:rPr>
          <w:spacing w:val="-71"/>
        </w:rPr>
      </w:r>
      <w:r>
        <w:rPr>
          <w:spacing w:val="-2"/>
        </w:rPr>
        <w:t>中医科学院广安门医院、南京鼓楼医院、厦门大学附属中山医院等分别通过五级乙等测评，助力上海交通大学医学院附属新</w:t>
      </w:r>
      <w:r>
        <w:rPr>
          <w:spacing w:val="-75"/>
        </w:rPr>
        <w:t> </w:t>
      </w:r>
      <w:r>
        <w:rPr>
          <w:spacing w:val="-75"/>
        </w:rPr>
      </w:r>
      <w:r>
        <w:rPr>
          <w:spacing w:val="-2"/>
        </w:rPr>
        <w:t>华医院、北京市垂杨柳医院、广州市番禺区何贤纪念医院、浙江大学医学院附属儿童医院、济南市妇幼保健院、菏泽市立医</w:t>
      </w:r>
      <w:r>
        <w:rPr>
          <w:spacing w:val="-51"/>
        </w:rPr>
        <w:t> </w:t>
      </w:r>
      <w:r>
        <w:rPr>
          <w:spacing w:val="-51"/>
        </w:rPr>
      </w:r>
      <w:r>
        <w:rPr>
          <w:spacing w:val="-2"/>
        </w:rPr>
        <w:t>院、新疆医科大学第一附属医院、深圳市儿童医院、江苏省苏北人民医院、首都医科大学宣武医院、淄博市妇幼保健院等分</w:t>
      </w:r>
      <w:r>
        <w:rPr>
          <w:spacing w:val="-57"/>
        </w:rPr>
        <w:t> </w:t>
      </w:r>
      <w:r>
        <w:rPr>
          <w:spacing w:val="-57"/>
        </w:rPr>
      </w:r>
      <w:r>
        <w:rPr>
          <w:spacing w:val="-2"/>
        </w:rPr>
        <w:t>别通过四级甲等测评；在电子病历评审项目上，公司助力南京鼓楼医院通过了五级评审，助力广东省中医院、广州市番禺中</w:t>
      </w:r>
      <w:r>
        <w:rPr>
          <w:spacing w:val="-42"/>
        </w:rPr>
        <w:t> </w:t>
      </w:r>
      <w:r>
        <w:rPr>
          <w:spacing w:val="-42"/>
        </w:rPr>
      </w:r>
      <w:r>
        <w:rPr>
          <w:spacing w:val="-2"/>
        </w:rPr>
        <w:t>心医院、山东省中医院、巴彦淖尔市医院、哈密中心医院等十余家客户通过了四级评审。上述评审项目的成功实施，进一步</w:t>
      </w:r>
      <w:r>
        <w:rPr>
          <w:spacing w:val="-57"/>
        </w:rPr>
        <w:t> </w:t>
      </w:r>
      <w:r>
        <w:rPr>
          <w:spacing w:val="-57"/>
        </w:rPr>
      </w:r>
      <w:r>
        <w:rPr/>
        <w:t>为公司树立了良好的品牌优势。</w:t>
      </w:r>
    </w:p>
    <w:p>
      <w:pPr>
        <w:pStyle w:val="BodyText"/>
        <w:spacing w:line="482" w:lineRule="auto" w:before="53"/>
        <w:ind w:right="0" w:firstLine="360"/>
        <w:jc w:val="left"/>
      </w:pPr>
      <w:r>
        <w:rPr/>
        <w:t>报告期内，公司与全球</w:t>
      </w:r>
      <w:r>
        <w:rPr>
          <w:rFonts w:ascii="宋体" w:hAnsi="宋体" w:cs="宋体" w:eastAsia="宋体" w:hint="default"/>
        </w:rPr>
        <w:t>500</w:t>
      </w:r>
      <w:r>
        <w:rPr/>
        <w:t>强的高科技企业霍尼韦尔在第二届中国国际进口博览会上签署战略合作协议，双方携手在互 </w:t>
      </w:r>
      <w:r>
        <w:rPr>
          <w:spacing w:val="-4"/>
        </w:rPr>
        <w:t>联网医疗、智慧医疗领域进行布局。公司全资子公司医惠科技有限公司与北京百度网讯科技有限公司签署《深度合作协议》，</w:t>
      </w:r>
      <w:r>
        <w:rPr>
          <w:spacing w:val="-49"/>
        </w:rPr>
        <w:t> </w:t>
      </w:r>
      <w:r>
        <w:rPr>
          <w:spacing w:val="-49"/>
        </w:rPr>
      </w:r>
      <w:r>
        <w:rPr/>
        <w:t>在</w:t>
      </w:r>
      <w:r>
        <w:rPr>
          <w:rFonts w:ascii="宋体" w:hAnsi="宋体" w:cs="宋体" w:eastAsia="宋体" w:hint="default"/>
        </w:rPr>
        <w:t>AI</w:t>
      </w:r>
      <w:r>
        <w:rPr/>
        <w:t>医疗创新应用项目领域内开展合作，整合双方优势资源，推动人工智能技术与医疗场景的深度结合。</w:t>
      </w:r>
    </w:p>
    <w:p>
      <w:pPr>
        <w:pStyle w:val="BodyText"/>
        <w:spacing w:line="477" w:lineRule="auto" w:before="48"/>
        <w:ind w:right="1105" w:firstLine="360"/>
        <w:jc w:val="both"/>
      </w:pPr>
      <w:r>
        <w:rPr>
          <w:spacing w:val="-2"/>
        </w:rPr>
        <w:t>报告期内，公司及子公司在智慧医疗、物联网、人工智能等领域获得的主要荣誉如下：公司全资子公司医惠科技有限公</w:t>
      </w:r>
      <w:r>
        <w:rPr/>
        <w:t> </w:t>
      </w:r>
      <w:r>
        <w:rPr>
          <w:spacing w:val="-2"/>
        </w:rPr>
        <w:t>司“基于人工智能技术的数字化医院建设及应用推广”项目荣获浙江省科学技术进步奖二等奖；凭借领先的</w:t>
      </w:r>
      <w:r>
        <w:rPr>
          <w:rFonts w:ascii="宋体" w:hAnsi="宋体" w:cs="宋体" w:eastAsia="宋体" w:hint="default"/>
          <w:spacing w:val="-2"/>
        </w:rPr>
        <w:t>RFID</w:t>
      </w:r>
      <w:r>
        <w:rPr>
          <w:spacing w:val="-2"/>
        </w:rPr>
        <w:t>全供应链管</w:t>
      </w:r>
      <w:r>
        <w:rPr>
          <w:spacing w:val="-60"/>
        </w:rPr>
        <w:t> </w:t>
      </w:r>
      <w:r>
        <w:rPr/>
        <w:t>理解决方案，公司控股子公司广州理德物联网科技有限公司被中国时尚行业</w:t>
      </w:r>
      <w:r>
        <w:rPr>
          <w:rFonts w:ascii="宋体" w:hAnsi="宋体" w:cs="宋体" w:eastAsia="宋体" w:hint="default"/>
        </w:rPr>
        <w:t>CIO</w:t>
      </w:r>
      <w:r>
        <w:rPr/>
        <w:t>协会授予“中国时尚行业信息化优秀解决方</w:t>
      </w:r>
      <w:r>
        <w:rPr>
          <w:spacing w:val="-81"/>
        </w:rPr>
        <w:t> </w:t>
      </w:r>
      <w:r>
        <w:rPr>
          <w:spacing w:val="-81"/>
        </w:rPr>
      </w:r>
      <w:r>
        <w:rPr/>
        <w:t>案奖”，这是广州理德公司连续第三年获得时尚行业</w:t>
      </w:r>
      <w:r>
        <w:rPr>
          <w:rFonts w:ascii="宋体" w:hAnsi="宋体" w:cs="宋体" w:eastAsia="宋体" w:hint="default"/>
        </w:rPr>
        <w:t>CIO</w:t>
      </w:r>
      <w:r>
        <w:rPr/>
        <w:t>全国联盟的表彰。中国物联网产业应用联盟授予公司“2018‘物联</w:t>
      </w:r>
      <w:r>
        <w:rPr>
          <w:spacing w:val="-81"/>
        </w:rPr>
        <w:t> </w:t>
      </w:r>
      <w:r>
        <w:rPr>
          <w:spacing w:val="-81"/>
        </w:rPr>
      </w:r>
      <w:r>
        <w:rPr>
          <w:spacing w:val="-2"/>
        </w:rPr>
        <w:t>之星’中国</w:t>
      </w:r>
      <w:r>
        <w:rPr>
          <w:rFonts w:ascii="宋体" w:hAnsi="宋体" w:cs="宋体" w:eastAsia="宋体" w:hint="default"/>
          <w:spacing w:val="-2"/>
        </w:rPr>
        <w:t>RFID</w:t>
      </w:r>
      <w:r>
        <w:rPr>
          <w:spacing w:val="-2"/>
        </w:rPr>
        <w:t>行业年度最有影响力成功应用奖”；中国连锁经营协会授予公司“</w:t>
      </w:r>
      <w:r>
        <w:rPr>
          <w:rFonts w:ascii="宋体" w:hAnsi="宋体" w:cs="宋体" w:eastAsia="宋体" w:hint="default"/>
          <w:spacing w:val="-2"/>
        </w:rPr>
        <w:t>2019CCFA</w:t>
      </w:r>
      <w:r>
        <w:rPr>
          <w:spacing w:val="-2"/>
        </w:rPr>
        <w:t>零售业风险管理优秀案例”；中</w:t>
      </w:r>
      <w:r>
        <w:rPr/>
      </w:r>
    </w:p>
    <w:p>
      <w:pPr>
        <w:spacing w:after="0" w:line="477"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80" w:lineRule="auto" w:before="0"/>
        <w:ind w:right="1128"/>
        <w:jc w:val="left"/>
      </w:pPr>
      <w:r>
        <w:rPr>
          <w:spacing w:val="-2"/>
        </w:rPr>
        <w:t>国国际人工智能零售产业博览会组委会授予公司“智慧零售</w:t>
      </w:r>
      <w:r>
        <w:rPr>
          <w:rFonts w:ascii="宋体" w:hAnsi="宋体" w:cs="宋体" w:eastAsia="宋体" w:hint="default"/>
          <w:spacing w:val="-2"/>
        </w:rPr>
        <w:t>--</w:t>
      </w:r>
      <w:r>
        <w:rPr>
          <w:spacing w:val="-2"/>
        </w:rPr>
        <w:t>十年领军品牌”；中国国际人工智能零售产业博览会组委会授</w:t>
      </w:r>
      <w:r>
        <w:rPr>
          <w:spacing w:val="-66"/>
        </w:rPr>
        <w:t> </w:t>
      </w:r>
      <w:r>
        <w:rPr>
          <w:spacing w:val="-66"/>
        </w:rPr>
      </w:r>
      <w:r>
        <w:rPr/>
        <w:t>予公司“智慧零售</w:t>
      </w:r>
      <w:r>
        <w:rPr>
          <w:rFonts w:ascii="宋体" w:hAnsi="宋体" w:cs="宋体" w:eastAsia="宋体" w:hint="default"/>
        </w:rPr>
        <w:t>-</w:t>
      </w:r>
      <w:r>
        <w:rPr/>
        <w:t>最受欢迎无人零售解决方案”；中国物联网产业应用联盟</w:t>
      </w:r>
      <w:r>
        <w:rPr>
          <w:rFonts w:ascii="宋体" w:hAnsi="宋体" w:cs="宋体" w:eastAsia="宋体" w:hint="default"/>
        </w:rPr>
        <w:t>IOTE2019</w:t>
      </w:r>
      <w:r>
        <w:rPr/>
        <w:t>国际物联网博览会组委会授予公司</w:t>
      </w:r>
      <w:r>
        <w:rPr>
          <w:spacing w:val="-85"/>
        </w:rPr>
        <w:t> </w:t>
      </w:r>
      <w:r>
        <w:rPr>
          <w:spacing w:val="-2"/>
        </w:rPr>
        <w:t>“</w:t>
      </w:r>
      <w:r>
        <w:rPr>
          <w:rFonts w:ascii="宋体" w:hAnsi="宋体" w:cs="宋体" w:eastAsia="宋体" w:hint="default"/>
          <w:spacing w:val="-2"/>
        </w:rPr>
        <w:t>2019(</w:t>
      </w:r>
      <w:r>
        <w:rPr>
          <w:spacing w:val="-2"/>
        </w:rPr>
        <w:t>第一届</w:t>
      </w:r>
      <w:r>
        <w:rPr>
          <w:rFonts w:ascii="宋体" w:hAnsi="宋体" w:cs="宋体" w:eastAsia="宋体" w:hint="default"/>
          <w:spacing w:val="-2"/>
        </w:rPr>
        <w:t>)</w:t>
      </w:r>
      <w:r>
        <w:rPr>
          <w:spacing w:val="-2"/>
        </w:rPr>
        <w:t>中国物联网系统集成商</w:t>
      </w:r>
      <w:r>
        <w:rPr>
          <w:rFonts w:ascii="宋体" w:hAnsi="宋体" w:cs="宋体" w:eastAsia="宋体" w:hint="default"/>
          <w:spacing w:val="-2"/>
        </w:rPr>
        <w:t>50</w:t>
      </w:r>
      <w:r>
        <w:rPr>
          <w:spacing w:val="-2"/>
        </w:rPr>
        <w:t>强”；中国卫生信息与健康医疗大数据学会授予公司“中国卫生信息与健康医疗大</w:t>
      </w:r>
      <w:r>
        <w:rPr>
          <w:spacing w:val="-58"/>
        </w:rPr>
        <w:t> </w:t>
      </w:r>
      <w:r>
        <w:rPr>
          <w:spacing w:val="-58"/>
        </w:rPr>
      </w:r>
      <w:r>
        <w:rPr/>
        <w:t>数据学会健康卡应用与管理专业委员会第二届委员单位”等。</w:t>
      </w:r>
    </w:p>
    <w:p>
      <w:pPr>
        <w:pStyle w:val="BodyText"/>
        <w:spacing w:line="475" w:lineRule="auto" w:before="49"/>
        <w:ind w:left="501" w:right="1119"/>
        <w:jc w:val="left"/>
      </w:pPr>
      <w:r>
        <w:rPr/>
        <w:t>（五）资本运作方面 报告期内，公司非公开发行</w:t>
      </w:r>
      <w:r>
        <w:rPr>
          <w:rFonts w:ascii="宋体" w:hAnsi="宋体" w:cs="宋体" w:eastAsia="宋体" w:hint="default"/>
        </w:rPr>
        <w:t>A</w:t>
      </w:r>
      <w:r>
        <w:rPr/>
        <w:t>股股票顺利完成并在深圳证券交易所上市。本次非公开发行新增股份</w:t>
      </w:r>
      <w:r>
        <w:rPr>
          <w:rFonts w:ascii="宋体" w:hAnsi="宋体" w:cs="宋体" w:eastAsia="宋体" w:hint="default"/>
        </w:rPr>
        <w:t>51,390,132</w:t>
      </w:r>
      <w:r>
        <w:rPr/>
        <w:t>股，募集</w:t>
      </w:r>
    </w:p>
    <w:p>
      <w:pPr>
        <w:pStyle w:val="BodyText"/>
        <w:spacing w:line="475" w:lineRule="auto" w:before="53"/>
        <w:ind w:right="1086"/>
        <w:jc w:val="left"/>
      </w:pPr>
      <w:r>
        <w:rPr>
          <w:spacing w:val="-2"/>
        </w:rPr>
        <w:t>资金总额为</w:t>
      </w:r>
      <w:r>
        <w:rPr>
          <w:rFonts w:ascii="宋体" w:hAnsi="宋体" w:cs="宋体" w:eastAsia="宋体" w:hint="default"/>
          <w:spacing w:val="-2"/>
        </w:rPr>
        <w:t>572,999,971.80</w:t>
      </w:r>
      <w:r>
        <w:rPr>
          <w:spacing w:val="-2"/>
        </w:rPr>
        <w:t>元，扣除发行费用后，募集资金净额为</w:t>
      </w:r>
      <w:r>
        <w:rPr>
          <w:rFonts w:ascii="宋体" w:hAnsi="宋体" w:cs="宋体" w:eastAsia="宋体" w:hint="default"/>
          <w:spacing w:val="-2"/>
        </w:rPr>
        <w:t>565,402,802.27</w:t>
      </w:r>
      <w:r>
        <w:rPr>
          <w:spacing w:val="-2"/>
        </w:rPr>
        <w:t>元。募集资金将投入于物联网智慧医疗溯</w:t>
      </w:r>
      <w:r>
        <w:rPr>
          <w:spacing w:val="-41"/>
        </w:rPr>
        <w:t> </w:t>
      </w:r>
      <w:r>
        <w:rPr>
          <w:spacing w:val="-41"/>
        </w:rPr>
      </w:r>
      <w:r>
        <w:rPr/>
        <w:t>源管理项目、医疗大数据应用研发中心和补充流动资金。</w:t>
      </w:r>
    </w:p>
    <w:p>
      <w:pPr>
        <w:pStyle w:val="BodyText"/>
        <w:spacing w:line="475" w:lineRule="auto" w:before="68"/>
        <w:ind w:right="0" w:firstLine="360"/>
        <w:jc w:val="left"/>
      </w:pPr>
      <w:r>
        <w:rPr>
          <w:spacing w:val="-4"/>
        </w:rPr>
        <w:t>本次成功发行，将助力公司创新业务更快推进。其中物联网智慧医疗溯源管理项目旨在构建完整的医院物联网解决方案，</w:t>
      </w:r>
      <w:r>
        <w:rPr/>
        <w:t> </w:t>
      </w:r>
      <w:r>
        <w:rPr>
          <w:spacing w:val="-2"/>
        </w:rPr>
        <w:t>实现医用物资在医院流转过程中的追溯管理规范化、科学化、实时化，帮助医院降低运营成本，加强精细化管理；医疗大数</w:t>
      </w:r>
      <w:r>
        <w:rPr>
          <w:spacing w:val="-57"/>
        </w:rPr>
        <w:t> </w:t>
      </w:r>
      <w:r>
        <w:rPr>
          <w:spacing w:val="-57"/>
        </w:rPr>
      </w:r>
      <w:r>
        <w:rPr>
          <w:spacing w:val="-2"/>
        </w:rPr>
        <w:t>据应用研发项目将着重研究医疗大数据的三大关键技术即智能感知技术、深度认知技术和精准决策技术，在此基础上推动医</w:t>
      </w:r>
      <w:r>
        <w:rPr>
          <w:spacing w:val="-72"/>
        </w:rPr>
        <w:t> </w:t>
      </w:r>
      <w:r>
        <w:rPr>
          <w:spacing w:val="-72"/>
        </w:rPr>
      </w:r>
      <w:r>
        <w:rPr/>
        <w:t>疗大数据在临床辅助诊疗方面的应用。</w:t>
      </w:r>
    </w:p>
    <w:p>
      <w:pPr>
        <w:pStyle w:val="BodyText"/>
        <w:spacing w:line="482" w:lineRule="auto" w:before="53"/>
        <w:ind w:right="1106" w:firstLine="360"/>
        <w:jc w:val="both"/>
      </w:pPr>
      <w:r>
        <w:rPr>
          <w:spacing w:val="-2"/>
        </w:rPr>
        <w:t>公司本次非公开发行股票募集资金到位后，公司的资产规模、业务范围、资金实力、抗风险能力都得到显著提高，可有</w:t>
      </w:r>
      <w:r>
        <w:rPr/>
        <w:t> </w:t>
      </w:r>
      <w:r>
        <w:rPr>
          <w:spacing w:val="-2"/>
        </w:rPr>
        <w:t>效提高公司主营业务能力及巩固公司的市场地位，为公司的长期发展奠定基础。同时，此次募集资金投资项目建成，将有利</w:t>
      </w:r>
      <w:r>
        <w:rPr>
          <w:spacing w:val="-42"/>
        </w:rPr>
        <w:t> </w:t>
      </w:r>
      <w:r>
        <w:rPr>
          <w:spacing w:val="-42"/>
        </w:rPr>
      </w:r>
      <w:r>
        <w:rPr/>
        <w:t>于提升公司的综合研发能力和创新能力，优化公司产品技术结构，进而带动公司盈利能力和经营业绩的提升。</w:t>
      </w:r>
    </w:p>
    <w:p>
      <w:pPr>
        <w:pStyle w:val="BodyText"/>
        <w:spacing w:line="475" w:lineRule="auto" w:before="47"/>
        <w:ind w:left="501" w:right="1133"/>
        <w:jc w:val="left"/>
      </w:pPr>
      <w:r>
        <w:rPr/>
        <w:t>（六）公司治理及管理方面 </w:t>
      </w:r>
      <w:r>
        <w:rPr>
          <w:spacing w:val="-2"/>
        </w:rPr>
        <w:t>报告期内，公司稳步推进治理结构的优化，公司股权结构及治理结构得到进一步改善。公司严格按照相关法律法规及监</w:t>
      </w:r>
    </w:p>
    <w:p>
      <w:pPr>
        <w:pStyle w:val="BodyText"/>
        <w:spacing w:line="480" w:lineRule="auto" w:before="53"/>
        <w:ind w:right="0"/>
        <w:jc w:val="left"/>
      </w:pPr>
      <w:r>
        <w:rPr>
          <w:spacing w:val="-2"/>
        </w:rPr>
        <w:t>管要求，并结合自身发展情况，建立健全公司内部控制制度。公司股东大会、董事会及董事会专门委员会、监事会均按照相</w:t>
      </w:r>
      <w:r>
        <w:rPr>
          <w:spacing w:val="-57"/>
        </w:rPr>
        <w:t> </w:t>
      </w:r>
      <w:r>
        <w:rPr>
          <w:spacing w:val="-57"/>
        </w:rPr>
      </w:r>
      <w:r>
        <w:rPr>
          <w:spacing w:val="-4"/>
        </w:rPr>
        <w:t>关法律法规和《公司章程》规范、有效运行，重点加强风险控制及内部管理。通过年度网上业绩说明会、深交所互动易平台、</w:t>
      </w:r>
      <w:r>
        <w:rPr>
          <w:spacing w:val="-56"/>
        </w:rPr>
        <w:t> </w:t>
      </w:r>
      <w:r>
        <w:rPr>
          <w:spacing w:val="-56"/>
        </w:rPr>
      </w:r>
      <w:r>
        <w:rPr>
          <w:spacing w:val="-2"/>
        </w:rPr>
        <w:t>投资者调研等多渠道与投资者互动交流，增强公司运作透明度与规范性，加深投资者对公司的了解与认同，维系公司与投资</w:t>
      </w:r>
      <w:r>
        <w:rPr>
          <w:spacing w:val="-68"/>
        </w:rPr>
        <w:t> </w:t>
      </w:r>
      <w:r>
        <w:rPr>
          <w:spacing w:val="-68"/>
        </w:rPr>
      </w:r>
      <w:r>
        <w:rPr/>
        <w:t>者之间长期、健康、稳定的关系。</w:t>
      </w:r>
    </w:p>
    <w:p>
      <w:pPr>
        <w:pStyle w:val="BodyText"/>
        <w:spacing w:line="480" w:lineRule="auto" w:before="49"/>
        <w:ind w:right="1015" w:firstLine="360"/>
        <w:jc w:val="both"/>
      </w:pPr>
      <w:r>
        <w:rPr>
          <w:spacing w:val="-3"/>
        </w:rPr>
        <w:t>为规范公司管理流程、业务数据及人员协同，提升公司的管理水平。报告期内，公司通过与相关软件公司合作，开展</w:t>
      </w:r>
      <w:r>
        <w:rPr>
          <w:rFonts w:ascii="宋体" w:hAnsi="宋体" w:cs="宋体" w:eastAsia="宋体" w:hint="default"/>
          <w:spacing w:val="-3"/>
        </w:rPr>
        <w:t>ERP</w:t>
      </w:r>
      <w:r>
        <w:rPr>
          <w:rFonts w:ascii="宋体" w:hAnsi="宋体" w:cs="宋体" w:eastAsia="宋体" w:hint="default"/>
        </w:rPr>
        <w:t> </w:t>
      </w:r>
      <w:r>
        <w:rPr>
          <w:spacing w:val="-4"/>
        </w:rPr>
        <w:t>信息化项目建设，历经百日成功上线，比标准上线时间快了一倍。该项目的实施使公司信息化管理水平迈上了一个新的台阶，</w:t>
      </w:r>
      <w:r>
        <w:rPr>
          <w:spacing w:val="-50"/>
        </w:rPr>
        <w:t> </w:t>
      </w:r>
      <w:r>
        <w:rPr>
          <w:spacing w:val="-50"/>
        </w:rPr>
      </w:r>
      <w:r>
        <w:rPr>
          <w:spacing w:val="-3"/>
        </w:rPr>
        <w:t>有助于优化公司内部管理体系，实现购、存、产、销、人、财、物等资源的合理配置与高效利用，持续提高公司的经营效率，</w:t>
      </w:r>
      <w:r>
        <w:rPr>
          <w:spacing w:val="-75"/>
        </w:rPr>
        <w:t> </w:t>
      </w:r>
      <w:r>
        <w:rPr>
          <w:spacing w:val="-75"/>
        </w:rPr>
      </w:r>
      <w:r>
        <w:rPr/>
        <w:t>推动企业持续、健康、快速发展。</w:t>
      </w:r>
    </w:p>
    <w:p>
      <w:pPr>
        <w:pStyle w:val="BodyText"/>
        <w:spacing w:line="472" w:lineRule="auto" w:before="50"/>
        <w:ind w:left="501" w:right="1086"/>
        <w:jc w:val="left"/>
      </w:pPr>
      <w:r>
        <w:rPr/>
        <w:t>（七）人才建设方面 </w:t>
      </w:r>
      <w:r>
        <w:rPr>
          <w:spacing w:val="-2"/>
        </w:rPr>
        <w:t>报告期内，公司按照战略发展要求，在人才建设上坚持精细化管理，通过建立具有竞争力的薪酬绩效体系和完备的职级</w:t>
      </w:r>
    </w:p>
    <w:p>
      <w:pPr>
        <w:pStyle w:val="BodyText"/>
        <w:spacing w:line="489" w:lineRule="auto" w:before="55"/>
        <w:ind w:left="501" w:right="1086" w:hanging="361"/>
        <w:jc w:val="left"/>
      </w:pPr>
      <w:r>
        <w:rPr/>
        <w:t>晋升发展通道，促进公司组织与人才架构的不断完善，确保各类人才持续供给。 </w:t>
      </w:r>
      <w:r>
        <w:rPr>
          <w:spacing w:val="-2"/>
        </w:rPr>
        <w:t>为进一步建立、健全公司长效激励机制，吸引和留住优秀人才，激发公司核心骨干的积极性、主动性和创造性，公司于</w:t>
      </w:r>
    </w:p>
    <w:p>
      <w:pPr>
        <w:pStyle w:val="BodyText"/>
        <w:spacing w:line="240" w:lineRule="auto" w:before="42"/>
        <w:ind w:right="0"/>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16</w:t>
      </w:r>
      <w:r>
        <w:rPr/>
        <w:t>日发布了</w:t>
      </w:r>
      <w:r>
        <w:rPr>
          <w:rFonts w:ascii="宋体" w:hAnsi="宋体" w:cs="宋体" w:eastAsia="宋体" w:hint="default"/>
        </w:rPr>
        <w:t>2019</w:t>
      </w:r>
      <w:r>
        <w:rPr/>
        <w:t>年股票期权与限制性股票激励计划（草案），股权激励计划涉及的激励对象共计</w:t>
      </w:r>
      <w:r>
        <w:rPr>
          <w:rFonts w:ascii="宋体" w:hAnsi="宋体" w:cs="宋体" w:eastAsia="宋体" w:hint="default"/>
        </w:rPr>
        <w:t>66</w:t>
      </w:r>
      <w:r>
        <w:rPr/>
        <w:t>人，全部为核</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75" w:lineRule="auto" w:before="0"/>
        <w:ind w:right="1086"/>
        <w:jc w:val="left"/>
      </w:pPr>
      <w:r>
        <w:rPr>
          <w:spacing w:val="-2"/>
        </w:rPr>
        <w:t>心技术人员和核心业务人员。这是公司上市以来首次推出股权激励计划，激励力度较大。股权激励计划的实施，使核心团队</w:t>
      </w:r>
      <w:r>
        <w:rPr>
          <w:spacing w:val="-42"/>
        </w:rPr>
        <w:t> </w:t>
      </w:r>
      <w:r>
        <w:rPr>
          <w:spacing w:val="-42"/>
        </w:rPr>
      </w:r>
      <w:r>
        <w:rPr/>
        <w:t>的利益与公司发展深度绑定，将有助于充分释放公司业务活力，有利于公司的长期持续发展。</w:t>
      </w:r>
    </w:p>
    <w:p>
      <w:pPr>
        <w:spacing w:line="240" w:lineRule="auto" w:before="1"/>
        <w:rPr>
          <w:rFonts w:ascii="宋体" w:hAnsi="宋体" w:cs="宋体" w:eastAsia="宋体" w:hint="default"/>
          <w:sz w:val="17"/>
          <w:szCs w:val="17"/>
        </w:rPr>
      </w:pPr>
    </w:p>
    <w:p>
      <w:pPr>
        <w:pStyle w:val="Heading2"/>
        <w:spacing w:line="240" w:lineRule="auto"/>
        <w:ind w:right="1086"/>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1086"/>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0"/>
        <w:rPr>
          <w:rFonts w:ascii="宋体" w:hAnsi="宋体" w:cs="宋体" w:eastAsia="宋体" w:hint="default"/>
          <w:sz w:val="18"/>
          <w:szCs w:val="18"/>
        </w:rPr>
      </w:pPr>
    </w:p>
    <w:p>
      <w:pPr>
        <w:pStyle w:val="Heading5"/>
        <w:spacing w:line="240" w:lineRule="auto" w:before="126"/>
        <w:ind w:right="1086"/>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1086"/>
        <w:jc w:val="left"/>
      </w:pPr>
      <w:r>
        <w:rPr/>
        <w:t>营业收入整体情况</w:t>
      </w:r>
    </w:p>
    <w:p>
      <w:pPr>
        <w:pStyle w:val="BodyText"/>
        <w:spacing w:line="240" w:lineRule="auto" w:before="110"/>
        <w:ind w:left="0" w:right="129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4"/>
        <w:gridCol w:w="1607"/>
        <w:gridCol w:w="1590"/>
        <w:gridCol w:w="1596"/>
        <w:gridCol w:w="1590"/>
        <w:gridCol w:w="1605"/>
      </w:tblGrid>
      <w:tr>
        <w:trPr>
          <w:trHeight w:val="203" w:hRule="exact"/>
        </w:trPr>
        <w:tc>
          <w:tcPr>
            <w:tcW w:w="15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2"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318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05"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8" w:hRule="exact"/>
        </w:trPr>
        <w:tc>
          <w:tcPr>
            <w:tcW w:w="1594" w:type="dxa"/>
            <w:vMerge w:val="restart"/>
            <w:tcBorders>
              <w:top w:val="nil" w:sz="6" w:space="0" w:color="auto"/>
              <w:left w:val="single" w:sz="6" w:space="0" w:color="000000"/>
              <w:right w:val="single" w:sz="6" w:space="0" w:color="000000"/>
            </w:tcBorders>
            <w:shd w:val="clear" w:color="auto" w:fill="D2D2D2"/>
          </w:tcPr>
          <w:p>
            <w:pPr/>
          </w:p>
        </w:tc>
        <w:tc>
          <w:tcPr>
            <w:tcW w:w="3197" w:type="dxa"/>
            <w:gridSpan w:val="2"/>
            <w:vMerge/>
            <w:tcBorders>
              <w:left w:val="single" w:sz="6" w:space="0" w:color="000000"/>
              <w:bottom w:val="single" w:sz="6" w:space="0" w:color="000000"/>
              <w:right w:val="single" w:sz="6" w:space="0" w:color="000000"/>
            </w:tcBorders>
            <w:shd w:val="clear" w:color="auto" w:fill="D2D2D2"/>
          </w:tcPr>
          <w:p>
            <w:pPr/>
          </w:p>
        </w:tc>
        <w:tc>
          <w:tcPr>
            <w:tcW w:w="3186" w:type="dxa"/>
            <w:gridSpan w:val="2"/>
            <w:vMerge/>
            <w:tcBorders>
              <w:left w:val="single" w:sz="6" w:space="0" w:color="000000"/>
              <w:bottom w:val="single" w:sz="6" w:space="0" w:color="000000"/>
              <w:right w:val="single" w:sz="6" w:space="0" w:color="000000"/>
            </w:tcBorders>
            <w:shd w:val="clear" w:color="auto" w:fill="D2D2D2"/>
          </w:tcPr>
          <w:p>
            <w:pPr/>
          </w:p>
        </w:tc>
        <w:tc>
          <w:tcPr>
            <w:tcW w:w="16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3" w:hRule="exact"/>
        </w:trPr>
        <w:tc>
          <w:tcPr>
            <w:tcW w:w="1594"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7"/>
              <w:jc w:val="center"/>
              <w:rPr>
                <w:rFonts w:ascii="宋体" w:hAnsi="宋体" w:cs="宋体" w:eastAsia="宋体" w:hint="default"/>
                <w:sz w:val="18"/>
                <w:szCs w:val="18"/>
              </w:rPr>
            </w:pPr>
            <w:r>
              <w:rPr>
                <w:rFonts w:ascii="宋体" w:hAnsi="宋体" w:cs="宋体" w:eastAsia="宋体" w:hint="default"/>
                <w:sz w:val="18"/>
                <w:szCs w:val="18"/>
              </w:rPr>
              <w:t>金额</w:t>
            </w:r>
          </w:p>
        </w:tc>
        <w:tc>
          <w:tcPr>
            <w:tcW w:w="15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6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5"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5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596" w:type="dxa"/>
            <w:vMerge/>
            <w:tcBorders>
              <w:left w:val="single" w:sz="6" w:space="0" w:color="000000"/>
              <w:bottom w:val="single" w:sz="6" w:space="0" w:color="000000"/>
              <w:right w:val="single" w:sz="6" w:space="0" w:color="000000"/>
            </w:tcBorders>
            <w:shd w:val="clear" w:color="auto" w:fill="D2D2D2"/>
          </w:tcPr>
          <w:p>
            <w:pPr/>
          </w:p>
        </w:tc>
        <w:tc>
          <w:tcPr>
            <w:tcW w:w="1590" w:type="dxa"/>
            <w:vMerge/>
            <w:tcBorders>
              <w:left w:val="single" w:sz="6" w:space="0" w:color="000000"/>
              <w:bottom w:val="single" w:sz="6" w:space="0" w:color="000000"/>
              <w:right w:val="single" w:sz="6" w:space="0" w:color="000000"/>
            </w:tcBorders>
            <w:shd w:val="clear" w:color="auto" w:fill="D2D2D2"/>
          </w:tcPr>
          <w:p>
            <w:pPr/>
          </w:p>
        </w:tc>
        <w:tc>
          <w:tcPr>
            <w:tcW w:w="1605"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12" w:hRule="exact"/>
        </w:trPr>
        <w:tc>
          <w:tcPr>
            <w:tcW w:w="15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44"/>
              <w:ind w:right="9"/>
              <w:jc w:val="right"/>
              <w:rPr>
                <w:rFonts w:ascii="宋体" w:hAnsi="宋体" w:cs="宋体" w:eastAsia="宋体" w:hint="default"/>
                <w:sz w:val="18"/>
                <w:szCs w:val="18"/>
              </w:rPr>
            </w:pPr>
            <w:r>
              <w:rPr>
                <w:rFonts w:ascii="宋体"/>
                <w:sz w:val="18"/>
              </w:rPr>
              <w:t>1,573,993,606.47</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right"/>
              <w:rPr>
                <w:rFonts w:ascii="宋体" w:hAnsi="宋体" w:cs="宋体" w:eastAsia="宋体" w:hint="default"/>
                <w:sz w:val="18"/>
                <w:szCs w:val="18"/>
              </w:rPr>
            </w:pPr>
            <w:r>
              <w:rPr>
                <w:rFonts w:ascii="宋体"/>
                <w:sz w:val="18"/>
              </w:rPr>
              <w:t>100%</w:t>
            </w:r>
          </w:p>
        </w:tc>
        <w:tc>
          <w:tcPr>
            <w:tcW w:w="1596"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44"/>
              <w:ind w:right="3"/>
              <w:jc w:val="right"/>
              <w:rPr>
                <w:rFonts w:ascii="宋体" w:hAnsi="宋体" w:cs="宋体" w:eastAsia="宋体" w:hint="default"/>
                <w:sz w:val="18"/>
                <w:szCs w:val="18"/>
              </w:rPr>
            </w:pPr>
            <w:r>
              <w:rPr>
                <w:rFonts w:ascii="宋体"/>
                <w:sz w:val="18"/>
              </w:rPr>
              <w:t>1,294,633,555.55</w:t>
            </w:r>
          </w:p>
        </w:tc>
        <w:tc>
          <w:tcPr>
            <w:tcW w:w="15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right"/>
              <w:rPr>
                <w:rFonts w:ascii="宋体" w:hAnsi="宋体" w:cs="宋体" w:eastAsia="宋体" w:hint="default"/>
                <w:sz w:val="18"/>
                <w:szCs w:val="18"/>
              </w:rPr>
            </w:pPr>
            <w:r>
              <w:rPr>
                <w:rFonts w:ascii="宋体"/>
                <w:sz w:val="18"/>
              </w:rPr>
              <w:t>100%</w:t>
            </w:r>
          </w:p>
        </w:tc>
        <w:tc>
          <w:tcPr>
            <w:tcW w:w="160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21.58%</w:t>
            </w:r>
          </w:p>
        </w:tc>
      </w:tr>
      <w:tr>
        <w:trPr>
          <w:trHeight w:val="398"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840,632,123.70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53.41%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8"/>
              <w:jc w:val="right"/>
              <w:rPr>
                <w:rFonts w:ascii="宋体" w:hAnsi="宋体" w:cs="宋体" w:eastAsia="宋体" w:hint="default"/>
                <w:sz w:val="18"/>
                <w:szCs w:val="18"/>
              </w:rPr>
            </w:pPr>
            <w:r>
              <w:rPr>
                <w:rFonts w:ascii="宋体"/>
                <w:sz w:val="18"/>
              </w:rPr>
              <w:t>731,613,625.90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56.51%</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14.90%</w:t>
            </w:r>
          </w:p>
        </w:tc>
      </w:tr>
      <w:tr>
        <w:trPr>
          <w:trHeight w:val="391"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sz w:val="18"/>
              </w:rPr>
              <w:t>733,361,482.77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5"/>
              <w:jc w:val="right"/>
              <w:rPr>
                <w:rFonts w:ascii="宋体" w:hAnsi="宋体" w:cs="宋体" w:eastAsia="宋体" w:hint="default"/>
                <w:sz w:val="18"/>
                <w:szCs w:val="18"/>
              </w:rPr>
            </w:pPr>
            <w:r>
              <w:rPr>
                <w:rFonts w:ascii="宋体"/>
                <w:sz w:val="18"/>
              </w:rPr>
              <w:t>46.59%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8"/>
              <w:jc w:val="right"/>
              <w:rPr>
                <w:rFonts w:ascii="宋体" w:hAnsi="宋体" w:cs="宋体" w:eastAsia="宋体" w:hint="default"/>
                <w:sz w:val="18"/>
                <w:szCs w:val="18"/>
              </w:rPr>
            </w:pPr>
            <w:r>
              <w:rPr>
                <w:rFonts w:ascii="宋体"/>
                <w:sz w:val="18"/>
              </w:rPr>
              <w:t>563,019,929.65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43.49%</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30.25%</w:t>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840,632,123.70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53.41%</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8"/>
              <w:jc w:val="right"/>
              <w:rPr>
                <w:rFonts w:ascii="宋体" w:hAnsi="宋体" w:cs="宋体" w:eastAsia="宋体" w:hint="default"/>
                <w:sz w:val="18"/>
                <w:szCs w:val="18"/>
              </w:rPr>
            </w:pPr>
            <w:r>
              <w:rPr>
                <w:rFonts w:ascii="宋体"/>
                <w:sz w:val="18"/>
              </w:rPr>
              <w:t>731,613,625.90</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56.51%</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14.90%</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733,361,482.77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46.59%</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8"/>
              <w:jc w:val="right"/>
              <w:rPr>
                <w:rFonts w:ascii="宋体" w:hAnsi="宋体" w:cs="宋体" w:eastAsia="宋体" w:hint="default"/>
                <w:sz w:val="18"/>
                <w:szCs w:val="18"/>
              </w:rPr>
            </w:pPr>
            <w:r>
              <w:rPr>
                <w:rFonts w:ascii="宋体"/>
                <w:sz w:val="18"/>
              </w:rPr>
              <w:t>563,019,929.65</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43.49%</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30.25%</w:t>
            </w:r>
          </w:p>
        </w:tc>
      </w:tr>
      <w:tr>
        <w:trPr>
          <w:trHeight w:val="405"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391"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460,721,326.01</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29.27%</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8"/>
              <w:jc w:val="right"/>
              <w:rPr>
                <w:rFonts w:ascii="宋体" w:hAnsi="宋体" w:cs="宋体" w:eastAsia="宋体" w:hint="default"/>
                <w:sz w:val="18"/>
                <w:szCs w:val="18"/>
              </w:rPr>
            </w:pPr>
            <w:r>
              <w:rPr>
                <w:rFonts w:ascii="宋体"/>
                <w:sz w:val="18"/>
              </w:rPr>
              <w:t>422,969,662.37</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宋体" w:hAnsi="宋体" w:cs="宋体" w:eastAsia="宋体" w:hint="default"/>
                <w:sz w:val="18"/>
                <w:szCs w:val="18"/>
              </w:rPr>
            </w:pPr>
            <w:r>
              <w:rPr>
                <w:rFonts w:ascii="宋体"/>
                <w:sz w:val="18"/>
              </w:rPr>
              <w:t>32.67%</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8.93%</w:t>
            </w:r>
          </w:p>
        </w:tc>
      </w:tr>
      <w:tr>
        <w:trPr>
          <w:trHeight w:val="405"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1,113,272,280.46</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
              <w:jc w:val="right"/>
              <w:rPr>
                <w:rFonts w:ascii="宋体" w:hAnsi="宋体" w:cs="宋体" w:eastAsia="宋体" w:hint="default"/>
                <w:sz w:val="18"/>
                <w:szCs w:val="18"/>
              </w:rPr>
            </w:pPr>
            <w:r>
              <w:rPr>
                <w:rFonts w:ascii="宋体"/>
                <w:sz w:val="18"/>
              </w:rPr>
              <w:t>70.73%</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8"/>
              <w:jc w:val="right"/>
              <w:rPr>
                <w:rFonts w:ascii="宋体" w:hAnsi="宋体" w:cs="宋体" w:eastAsia="宋体" w:hint="default"/>
                <w:sz w:val="18"/>
                <w:szCs w:val="18"/>
              </w:rPr>
            </w:pPr>
            <w:r>
              <w:rPr>
                <w:rFonts w:ascii="宋体"/>
                <w:sz w:val="18"/>
              </w:rPr>
              <w:t>871,663,893.18</w:t>
            </w:r>
          </w:p>
        </w:tc>
        <w:tc>
          <w:tcPr>
            <w:tcW w:w="1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67.33%</w:t>
            </w:r>
          </w:p>
        </w:tc>
        <w:tc>
          <w:tcPr>
            <w:tcW w:w="16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27.72%</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29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8" w:right="0"/>
              <w:jc w:val="center"/>
              <w:rPr>
                <w:rFonts w:ascii="宋体" w:hAnsi="宋体" w:cs="宋体" w:eastAsia="宋体" w:hint="default"/>
                <w:sz w:val="18"/>
                <w:szCs w:val="18"/>
              </w:rPr>
            </w:pPr>
            <w:r>
              <w:rPr>
                <w:rFonts w:ascii="宋体"/>
                <w:sz w:val="18"/>
              </w:rPr>
              <w:t>840,632,123.70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8" w:right="0"/>
              <w:jc w:val="center"/>
              <w:rPr>
                <w:rFonts w:ascii="宋体" w:hAnsi="宋体" w:cs="宋体" w:eastAsia="宋体" w:hint="default"/>
                <w:sz w:val="18"/>
                <w:szCs w:val="18"/>
              </w:rPr>
            </w:pPr>
            <w:r>
              <w:rPr>
                <w:rFonts w:ascii="宋体"/>
                <w:sz w:val="18"/>
              </w:rPr>
              <w:t>599,068,031.88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28.74%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14.90%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19.22%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-2.58%</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8" w:right="0"/>
              <w:jc w:val="center"/>
              <w:rPr>
                <w:rFonts w:ascii="宋体" w:hAnsi="宋体" w:cs="宋体" w:eastAsia="宋体" w:hint="default"/>
                <w:sz w:val="18"/>
                <w:szCs w:val="18"/>
              </w:rPr>
            </w:pPr>
            <w:r>
              <w:rPr>
                <w:rFonts w:ascii="宋体"/>
                <w:sz w:val="18"/>
              </w:rPr>
              <w:t>733,361,482.77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58" w:right="0"/>
              <w:jc w:val="center"/>
              <w:rPr>
                <w:rFonts w:ascii="宋体" w:hAnsi="宋体" w:cs="宋体" w:eastAsia="宋体" w:hint="default"/>
                <w:sz w:val="18"/>
                <w:szCs w:val="18"/>
              </w:rPr>
            </w:pPr>
            <w:r>
              <w:rPr>
                <w:rFonts w:ascii="宋体"/>
                <w:sz w:val="18"/>
              </w:rPr>
              <w:t>330,243,675.09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54.97%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30.25%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38.05%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-2.54%</w:t>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840,632,123.70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599,068,031.88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28.74%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14.90%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19.22%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-2.58%</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733,361,482.77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330,243,675.09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54.97%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30.25%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38.05%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-2.54%</w:t>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国外销售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460,721,326.01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307,762,951.68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33.20%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8.93%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13.53%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-2.71%</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1,113,272,280.</w:t>
            </w:r>
          </w:p>
          <w:p>
            <w:pPr>
              <w:pStyle w:val="TableParagraph"/>
              <w:spacing w:line="240" w:lineRule="auto" w:before="64"/>
              <w:ind w:right="13"/>
              <w:jc w:val="right"/>
              <w:rPr>
                <w:rFonts w:ascii="宋体" w:hAnsi="宋体" w:cs="宋体" w:eastAsia="宋体" w:hint="default"/>
                <w:sz w:val="18"/>
                <w:szCs w:val="18"/>
              </w:rPr>
            </w:pPr>
            <w:r>
              <w:rPr>
                <w:rFonts w:ascii="宋体"/>
                <w:sz w:val="18"/>
              </w:rPr>
              <w:t>46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621,548,755.29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44.17%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27.72%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32.07%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-1.84%</w:t>
            </w:r>
          </w:p>
        </w:tc>
      </w:tr>
    </w:tbl>
    <w:p>
      <w:pPr>
        <w:pStyle w:val="BodyText"/>
        <w:spacing w:line="240" w:lineRule="auto" w:before="59"/>
        <w:ind w:right="1086"/>
        <w:jc w:val="left"/>
      </w:pPr>
      <w:r>
        <w:rPr/>
        <w:t>公司主营业务数据统计口径在报告期发生调整的情况下，公司最近</w:t>
      </w:r>
      <w:r>
        <w:rPr>
          <w:spacing w:val="-39"/>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11"/>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607"/>
        <w:gridCol w:w="1577"/>
        <w:gridCol w:w="1607"/>
        <w:gridCol w:w="1592"/>
        <w:gridCol w:w="1592"/>
        <w:gridCol w:w="1607"/>
      </w:tblGrid>
      <w:tr>
        <w:trPr>
          <w:trHeight w:val="406" w:hRule="exact"/>
        </w:trPr>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9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1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0"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308,548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
              <w:jc w:val="right"/>
              <w:rPr>
                <w:rFonts w:ascii="宋体" w:hAnsi="宋体" w:cs="宋体" w:eastAsia="宋体" w:hint="default"/>
                <w:sz w:val="18"/>
                <w:szCs w:val="18"/>
              </w:rPr>
            </w:pPr>
            <w:r>
              <w:rPr>
                <w:rFonts w:ascii="宋体"/>
                <w:sz w:val="18"/>
              </w:rPr>
              <w:t>284,345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8.51%</w:t>
            </w:r>
          </w:p>
        </w:tc>
      </w:tr>
      <w:tr>
        <w:trPr>
          <w:trHeight w:val="405" w:hRule="exact"/>
        </w:trPr>
        <w:tc>
          <w:tcPr>
            <w:tcW w:w="1607" w:type="dxa"/>
            <w:vMerge/>
            <w:tcBorders>
              <w:left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308,530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宋体" w:hAnsi="宋体" w:cs="宋体" w:eastAsia="宋体" w:hint="default"/>
                <w:sz w:val="18"/>
                <w:szCs w:val="18"/>
              </w:rPr>
            </w:pPr>
            <w:r>
              <w:rPr>
                <w:rFonts w:ascii="宋体"/>
                <w:sz w:val="18"/>
              </w:rPr>
              <w:t>280,846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9.86%</w:t>
            </w:r>
          </w:p>
        </w:tc>
      </w:tr>
      <w:tr>
        <w:trPr>
          <w:trHeight w:val="406"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万只</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41,631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41,649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-0.04%</w:t>
            </w:r>
          </w:p>
        </w:tc>
      </w:tr>
    </w:tbl>
    <w:p>
      <w:pPr>
        <w:pStyle w:val="BodyText"/>
        <w:spacing w:line="240" w:lineRule="auto" w:before="59"/>
        <w:ind w:right="1086"/>
        <w:jc w:val="left"/>
      </w:pPr>
      <w:r>
        <w:rPr/>
        <w:t>相关数据同比发生变动</w:t>
      </w:r>
      <w:r>
        <w:rPr>
          <w:spacing w:val="-43"/>
        </w:rPr>
        <w:t> </w:t>
      </w:r>
      <w:r>
        <w:rPr>
          <w:rFonts w:ascii="Times New Roman" w:hAnsi="Times New Roman" w:cs="Times New Roman" w:eastAsia="Times New Roman" w:hint="default"/>
        </w:rPr>
        <w:t>30%</w:t>
      </w:r>
      <w:r>
        <w:rPr/>
        <w:t>以上的原因说明</w:t>
      </w:r>
    </w:p>
    <w:p>
      <w:pPr>
        <w:pStyle w:val="BodyText"/>
        <w:spacing w:line="240" w:lineRule="auto" w:before="96"/>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1086"/>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行业分类</w:t>
      </w:r>
    </w:p>
    <w:p>
      <w:pPr>
        <w:pStyle w:val="BodyText"/>
        <w:spacing w:line="240" w:lineRule="auto" w:before="125"/>
        <w:ind w:left="0" w:right="129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3" w:right="0"/>
              <w:jc w:val="center"/>
              <w:rPr>
                <w:rFonts w:ascii="宋体" w:hAnsi="宋体" w:cs="宋体" w:eastAsia="宋体" w:hint="default"/>
                <w:sz w:val="18"/>
                <w:szCs w:val="18"/>
              </w:rPr>
            </w:pPr>
            <w:r>
              <w:rPr>
                <w:rFonts w:ascii="宋体"/>
                <w:sz w:val="18"/>
              </w:rPr>
              <w:t>469,231,795.89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30"/>
              <w:jc w:val="right"/>
              <w:rPr>
                <w:rFonts w:ascii="宋体" w:hAnsi="宋体" w:cs="宋体" w:eastAsia="宋体" w:hint="default"/>
                <w:sz w:val="18"/>
                <w:szCs w:val="18"/>
              </w:rPr>
            </w:pPr>
            <w:r>
              <w:rPr>
                <w:rFonts w:ascii="宋体"/>
                <w:sz w:val="18"/>
              </w:rPr>
              <w:t>78.33%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8" w:right="0"/>
              <w:jc w:val="center"/>
              <w:rPr>
                <w:rFonts w:ascii="宋体" w:hAnsi="宋体" w:cs="宋体" w:eastAsia="宋体" w:hint="default"/>
                <w:sz w:val="18"/>
                <w:szCs w:val="18"/>
              </w:rPr>
            </w:pPr>
            <w:r>
              <w:rPr>
                <w:rFonts w:ascii="宋体"/>
                <w:sz w:val="18"/>
              </w:rPr>
              <w:t>387,502,551.85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77.12%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1.21%</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3" w:right="0"/>
              <w:jc w:val="center"/>
              <w:rPr>
                <w:rFonts w:ascii="宋体" w:hAnsi="宋体" w:cs="宋体" w:eastAsia="宋体" w:hint="default"/>
                <w:sz w:val="18"/>
                <w:szCs w:val="18"/>
              </w:rPr>
            </w:pPr>
            <w:r>
              <w:rPr>
                <w:rFonts w:ascii="宋体"/>
                <w:sz w:val="18"/>
              </w:rPr>
              <w:t>46,265,455.22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7.72%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18" w:right="0"/>
              <w:jc w:val="center"/>
              <w:rPr>
                <w:rFonts w:ascii="宋体" w:hAnsi="宋体" w:cs="宋体" w:eastAsia="宋体" w:hint="default"/>
                <w:sz w:val="18"/>
                <w:szCs w:val="18"/>
              </w:rPr>
            </w:pPr>
            <w:r>
              <w:rPr>
                <w:rFonts w:ascii="宋体"/>
                <w:sz w:val="18"/>
              </w:rPr>
              <w:t>44,464,051.58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8.85%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-1.13%</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3" w:right="0"/>
              <w:jc w:val="center"/>
              <w:rPr>
                <w:rFonts w:ascii="宋体" w:hAnsi="宋体" w:cs="宋体" w:eastAsia="宋体" w:hint="default"/>
                <w:sz w:val="18"/>
                <w:szCs w:val="18"/>
              </w:rPr>
            </w:pPr>
            <w:r>
              <w:rPr>
                <w:rFonts w:ascii="宋体"/>
                <w:sz w:val="18"/>
              </w:rPr>
              <w:t>83,570,780.77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13.95%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18" w:right="0"/>
              <w:jc w:val="center"/>
              <w:rPr>
                <w:rFonts w:ascii="宋体" w:hAnsi="宋体" w:cs="宋体" w:eastAsia="宋体" w:hint="default"/>
                <w:sz w:val="18"/>
                <w:szCs w:val="18"/>
              </w:rPr>
            </w:pPr>
            <w:r>
              <w:rPr>
                <w:rFonts w:ascii="宋体"/>
                <w:sz w:val="18"/>
              </w:rPr>
              <w:t>70,510,055.16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14.03%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-0.08%</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商业智能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3" w:right="0"/>
              <w:jc w:val="center"/>
              <w:rPr>
                <w:rFonts w:ascii="宋体" w:hAnsi="宋体" w:cs="宋体" w:eastAsia="宋体" w:hint="default"/>
                <w:sz w:val="18"/>
                <w:szCs w:val="18"/>
              </w:rPr>
            </w:pPr>
            <w:r>
              <w:rPr>
                <w:rFonts w:ascii="宋体"/>
                <w:sz w:val="18"/>
              </w:rPr>
              <w:t>599,068,031.88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100.00%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 w:right="0"/>
              <w:jc w:val="center"/>
              <w:rPr>
                <w:rFonts w:ascii="宋体" w:hAnsi="宋体" w:cs="宋体" w:eastAsia="宋体" w:hint="default"/>
                <w:sz w:val="18"/>
                <w:szCs w:val="18"/>
              </w:rPr>
            </w:pPr>
            <w:r>
              <w:rPr>
                <w:rFonts w:ascii="宋体"/>
                <w:sz w:val="18"/>
              </w:rPr>
              <w:t>502,476,658.59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硬件及外包服务</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43" w:right="0"/>
              <w:jc w:val="center"/>
              <w:rPr>
                <w:rFonts w:ascii="宋体" w:hAnsi="宋体" w:cs="宋体" w:eastAsia="宋体" w:hint="default"/>
                <w:sz w:val="18"/>
                <w:szCs w:val="18"/>
              </w:rPr>
            </w:pPr>
            <w:r>
              <w:rPr>
                <w:rFonts w:ascii="宋体"/>
                <w:sz w:val="18"/>
              </w:rPr>
              <w:t>217,519,368.01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74.72%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 w:right="0"/>
              <w:jc w:val="center"/>
              <w:rPr>
                <w:rFonts w:ascii="宋体" w:hAnsi="宋体" w:cs="宋体" w:eastAsia="宋体" w:hint="default"/>
                <w:sz w:val="18"/>
                <w:szCs w:val="18"/>
              </w:rPr>
            </w:pPr>
            <w:r>
              <w:rPr>
                <w:rFonts w:ascii="宋体"/>
                <w:sz w:val="18"/>
              </w:rPr>
              <w:t>159,305,483.08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73.74%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0.98%</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项目实施人工</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33" w:right="0"/>
              <w:jc w:val="center"/>
              <w:rPr>
                <w:rFonts w:ascii="宋体" w:hAnsi="宋体" w:cs="宋体" w:eastAsia="宋体" w:hint="default"/>
                <w:sz w:val="18"/>
                <w:szCs w:val="18"/>
              </w:rPr>
            </w:pPr>
            <w:r>
              <w:rPr>
                <w:rFonts w:ascii="宋体"/>
                <w:sz w:val="18"/>
              </w:rPr>
              <w:t>57,475,755.80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30"/>
              <w:jc w:val="right"/>
              <w:rPr>
                <w:rFonts w:ascii="宋体" w:hAnsi="宋体" w:cs="宋体" w:eastAsia="宋体" w:hint="default"/>
                <w:sz w:val="18"/>
                <w:szCs w:val="18"/>
              </w:rPr>
            </w:pPr>
            <w:r>
              <w:rPr>
                <w:rFonts w:ascii="宋体"/>
                <w:sz w:val="18"/>
              </w:rPr>
              <w:t>19.74%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18" w:right="0"/>
              <w:jc w:val="center"/>
              <w:rPr>
                <w:rFonts w:ascii="宋体" w:hAnsi="宋体" w:cs="宋体" w:eastAsia="宋体" w:hint="default"/>
                <w:sz w:val="18"/>
                <w:szCs w:val="18"/>
              </w:rPr>
            </w:pPr>
            <w:r>
              <w:rPr>
                <w:rFonts w:ascii="宋体"/>
                <w:sz w:val="18"/>
              </w:rPr>
              <w:t>44,999,086.08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20.83%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-1.09%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项目实施费用</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33" w:right="0"/>
              <w:jc w:val="center"/>
              <w:rPr>
                <w:rFonts w:ascii="宋体" w:hAnsi="宋体" w:cs="宋体" w:eastAsia="宋体" w:hint="default"/>
                <w:sz w:val="18"/>
                <w:szCs w:val="18"/>
              </w:rPr>
            </w:pPr>
            <w:r>
              <w:rPr>
                <w:rFonts w:ascii="宋体"/>
                <w:sz w:val="18"/>
              </w:rPr>
              <w:t>16,134,712.53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0"/>
              <w:jc w:val="right"/>
              <w:rPr>
                <w:rFonts w:ascii="宋体" w:hAnsi="宋体" w:cs="宋体" w:eastAsia="宋体" w:hint="default"/>
                <w:sz w:val="18"/>
                <w:szCs w:val="18"/>
              </w:rPr>
            </w:pPr>
            <w:r>
              <w:rPr>
                <w:rFonts w:ascii="宋体"/>
                <w:sz w:val="18"/>
              </w:rPr>
              <w:t>5.54%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18" w:right="0"/>
              <w:jc w:val="center"/>
              <w:rPr>
                <w:rFonts w:ascii="宋体" w:hAnsi="宋体" w:cs="宋体" w:eastAsia="宋体" w:hint="default"/>
                <w:sz w:val="18"/>
                <w:szCs w:val="18"/>
              </w:rPr>
            </w:pPr>
            <w:r>
              <w:rPr>
                <w:rFonts w:ascii="宋体"/>
                <w:sz w:val="18"/>
              </w:rPr>
              <w:t>11,745,168.77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5.44%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0.11%</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3" w:right="0"/>
              <w:jc w:val="center"/>
              <w:rPr>
                <w:rFonts w:ascii="宋体" w:hAnsi="宋体" w:cs="宋体" w:eastAsia="宋体" w:hint="default"/>
                <w:sz w:val="18"/>
                <w:szCs w:val="18"/>
              </w:rPr>
            </w:pPr>
            <w:r>
              <w:rPr>
                <w:rFonts w:ascii="宋体"/>
                <w:sz w:val="18"/>
              </w:rPr>
              <w:t>291,129,836.34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0"/>
              <w:jc w:val="right"/>
              <w:rPr>
                <w:rFonts w:ascii="宋体" w:hAnsi="宋体" w:cs="宋体" w:eastAsia="宋体" w:hint="default"/>
                <w:sz w:val="18"/>
                <w:szCs w:val="18"/>
              </w:rPr>
            </w:pPr>
            <w:r>
              <w:rPr>
                <w:rFonts w:ascii="宋体"/>
                <w:sz w:val="18"/>
              </w:rPr>
              <w:t>100.00%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 w:right="0"/>
              <w:jc w:val="center"/>
              <w:rPr>
                <w:rFonts w:ascii="宋体" w:hAnsi="宋体" w:cs="宋体" w:eastAsia="宋体" w:hint="default"/>
                <w:sz w:val="18"/>
                <w:szCs w:val="18"/>
              </w:rPr>
            </w:pPr>
            <w:r>
              <w:rPr>
                <w:rFonts w:ascii="宋体"/>
                <w:sz w:val="18"/>
              </w:rPr>
              <w:t>216,049,737.93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1086"/>
        <w:jc w:val="left"/>
      </w:pPr>
      <w:r>
        <w:rPr/>
        <w:t>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1086"/>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7"/>
        <w:rPr>
          <w:rFonts w:ascii="宋体" w:hAnsi="宋体" w:cs="宋体" w:eastAsia="宋体" w:hint="default"/>
          <w:sz w:val="16"/>
          <w:szCs w:val="16"/>
        </w:rPr>
      </w:pPr>
    </w:p>
    <w:p>
      <w:pPr>
        <w:pStyle w:val="BodyText"/>
        <w:spacing w:line="429" w:lineRule="auto" w:before="0"/>
        <w:ind w:left="501" w:right="1119"/>
        <w:jc w:val="left"/>
      </w:pPr>
      <w:r>
        <w:rPr/>
        <w:t>一、合并报表范围增加 </w:t>
      </w:r>
      <w:r>
        <w:rPr>
          <w:rFonts w:ascii="宋体" w:hAnsi="宋体" w:cs="宋体" w:eastAsia="宋体" w:hint="default"/>
        </w:rPr>
        <w:t>1</w:t>
      </w:r>
      <w:r>
        <w:rPr/>
        <w:t>、新昌医惠数字科技有限公司注册资本为</w:t>
      </w:r>
      <w:r>
        <w:rPr>
          <w:rFonts w:ascii="宋体" w:hAnsi="宋体" w:cs="宋体" w:eastAsia="宋体" w:hint="default"/>
        </w:rPr>
        <w:t>1,800</w:t>
      </w:r>
      <w:r>
        <w:rPr/>
        <w:t>万元，全部由本公司认缴，本公司已于</w:t>
      </w:r>
      <w:r>
        <w:rPr>
          <w:rFonts w:ascii="宋体" w:hAnsi="宋体" w:cs="宋体" w:eastAsia="宋体" w:hint="default"/>
        </w:rPr>
        <w:t>2019</w:t>
      </w:r>
      <w:r>
        <w:rPr/>
        <w:t>年</w:t>
      </w:r>
      <w:r>
        <w:rPr>
          <w:rFonts w:ascii="宋体" w:hAnsi="宋体" w:cs="宋体" w:eastAsia="宋体" w:hint="default"/>
        </w:rPr>
        <w:t>10</w:t>
      </w:r>
      <w:r>
        <w:rPr/>
        <w:t>月实缴注册资本</w:t>
      </w:r>
      <w:r>
        <w:rPr>
          <w:rFonts w:ascii="宋体" w:hAnsi="宋体" w:cs="宋体" w:eastAsia="宋体" w:hint="default"/>
        </w:rPr>
        <w:t>200</w:t>
      </w:r>
      <w:r>
        <w:rPr/>
        <w:t>万</w:t>
      </w:r>
    </w:p>
    <w:p>
      <w:pPr>
        <w:pStyle w:val="BodyText"/>
        <w:spacing w:line="240" w:lineRule="auto" w:before="42"/>
        <w:ind w:right="1086"/>
        <w:jc w:val="left"/>
      </w:pPr>
      <w:r>
        <w:rPr/>
        <w:t>元。</w:t>
      </w:r>
    </w:p>
    <w:p>
      <w:pPr>
        <w:spacing w:line="240" w:lineRule="auto" w:before="2"/>
        <w:rPr>
          <w:rFonts w:ascii="宋体" w:hAnsi="宋体" w:cs="宋体" w:eastAsia="宋体" w:hint="default"/>
          <w:sz w:val="14"/>
          <w:szCs w:val="14"/>
        </w:rPr>
      </w:pPr>
    </w:p>
    <w:p>
      <w:pPr>
        <w:pStyle w:val="BodyText"/>
        <w:spacing w:line="429" w:lineRule="auto" w:before="0"/>
        <w:ind w:left="501" w:right="1086"/>
        <w:jc w:val="left"/>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3</w:t>
      </w:r>
      <w:r>
        <w:rPr/>
        <w:t>月，由杭州医惠医疗智能科技有限公司更名为杭州医惠织物智能科技有限公司。 </w:t>
      </w:r>
      <w:r>
        <w:rPr>
          <w:spacing w:val="-2"/>
        </w:rPr>
        <w:t>杭州医惠织物智能科技有限公司注册资本为</w:t>
      </w:r>
      <w:r>
        <w:rPr>
          <w:rFonts w:ascii="宋体" w:hAnsi="宋体" w:cs="宋体" w:eastAsia="宋体" w:hint="default"/>
          <w:spacing w:val="-2"/>
        </w:rPr>
        <w:t>300</w:t>
      </w:r>
      <w:r>
        <w:rPr>
          <w:spacing w:val="-2"/>
        </w:rPr>
        <w:t>万元，子公司医惠科技公司认缴</w:t>
      </w:r>
      <w:r>
        <w:rPr>
          <w:rFonts w:ascii="宋体" w:hAnsi="宋体" w:cs="宋体" w:eastAsia="宋体" w:hint="default"/>
          <w:spacing w:val="-2"/>
        </w:rPr>
        <w:t>153</w:t>
      </w:r>
      <w:r>
        <w:rPr>
          <w:spacing w:val="-2"/>
        </w:rPr>
        <w:t>万元，子公司杭州思创医惠孵化器有</w:t>
      </w:r>
    </w:p>
    <w:p>
      <w:pPr>
        <w:pStyle w:val="BodyText"/>
        <w:spacing w:line="427" w:lineRule="auto" w:before="42"/>
        <w:ind w:right="1086"/>
        <w:jc w:val="left"/>
      </w:pPr>
      <w:r>
        <w:rPr/>
        <w:t>限公司认缴</w:t>
      </w:r>
      <w:r>
        <w:rPr>
          <w:rFonts w:ascii="宋体" w:hAnsi="宋体" w:cs="宋体" w:eastAsia="宋体" w:hint="default"/>
        </w:rPr>
        <w:t>12</w:t>
      </w:r>
      <w:r>
        <w:rPr/>
        <w:t>万元。子公司医惠科技公司已于</w:t>
      </w:r>
      <w:r>
        <w:rPr>
          <w:rFonts w:ascii="宋体" w:hAnsi="宋体" w:cs="宋体" w:eastAsia="宋体" w:hint="default"/>
        </w:rPr>
        <w:t>2019</w:t>
      </w:r>
      <w:r>
        <w:rPr/>
        <w:t>年</w:t>
      </w:r>
      <w:r>
        <w:rPr>
          <w:rFonts w:ascii="宋体" w:hAnsi="宋体" w:cs="宋体" w:eastAsia="宋体" w:hint="default"/>
        </w:rPr>
        <w:t>11</w:t>
      </w:r>
      <w:r>
        <w:rPr/>
        <w:t>月实缴注册资本</w:t>
      </w:r>
      <w:r>
        <w:rPr>
          <w:rFonts w:ascii="宋体" w:hAnsi="宋体" w:cs="宋体" w:eastAsia="宋体" w:hint="default"/>
        </w:rPr>
        <w:t>50</w:t>
      </w:r>
      <w:r>
        <w:rPr/>
        <w:t>万元，子公司杭州思创医惠孵化器有限公司已于</w:t>
      </w:r>
      <w:r>
        <w:rPr>
          <w:spacing w:val="-86"/>
        </w:rPr>
        <w:t> </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月实缴注册资本</w:t>
      </w:r>
      <w:r>
        <w:rPr>
          <w:rFonts w:ascii="宋体" w:hAnsi="宋体" w:cs="宋体" w:eastAsia="宋体" w:hint="default"/>
          <w:spacing w:val="-2"/>
        </w:rPr>
        <w:t>6</w:t>
      </w:r>
      <w:r>
        <w:rPr>
          <w:spacing w:val="-2"/>
        </w:rPr>
        <w:t>万元。由于杭州医惠织物智能科技有限公司于</w:t>
      </w:r>
      <w:r>
        <w:rPr>
          <w:rFonts w:ascii="宋体" w:hAnsi="宋体" w:cs="宋体" w:eastAsia="宋体" w:hint="default"/>
          <w:spacing w:val="-2"/>
        </w:rPr>
        <w:t>2019</w:t>
      </w:r>
      <w:r>
        <w:rPr>
          <w:spacing w:val="-2"/>
        </w:rPr>
        <w:t>年开始开展业务，因而</w:t>
      </w:r>
      <w:r>
        <w:rPr>
          <w:rFonts w:ascii="宋体" w:hAnsi="宋体" w:cs="宋体" w:eastAsia="宋体" w:hint="default"/>
          <w:spacing w:val="-2"/>
        </w:rPr>
        <w:t>2019</w:t>
      </w:r>
      <w:r>
        <w:rPr>
          <w:spacing w:val="-2"/>
        </w:rPr>
        <w:t>年开始纳入合并范围</w:t>
      </w:r>
      <w:r>
        <w:rPr>
          <w:spacing w:val="-51"/>
        </w:rPr>
        <w:t> </w:t>
      </w:r>
      <w:r>
        <w:rPr/>
        <w:t>内。</w:t>
      </w:r>
    </w:p>
    <w:p>
      <w:pPr>
        <w:pStyle w:val="BodyText"/>
        <w:spacing w:line="427" w:lineRule="auto"/>
        <w:ind w:right="1126" w:firstLine="360"/>
        <w:jc w:val="both"/>
      </w:pPr>
      <w:r>
        <w:rPr>
          <w:rFonts w:ascii="宋体" w:hAnsi="宋体" w:cs="宋体" w:eastAsia="宋体" w:hint="default"/>
        </w:rPr>
        <w:t>3</w:t>
      </w:r>
      <w:r>
        <w:rPr/>
        <w:t>、上海惠沪信息技术有限公司注册资本为</w:t>
      </w:r>
      <w:r>
        <w:rPr>
          <w:rFonts w:ascii="宋体" w:hAnsi="宋体" w:cs="宋体" w:eastAsia="宋体" w:hint="default"/>
        </w:rPr>
        <w:t>500</w:t>
      </w:r>
      <w:r>
        <w:rPr/>
        <w:t>万元，子公司医惠科技公司认缴</w:t>
      </w:r>
      <w:r>
        <w:rPr>
          <w:rFonts w:ascii="宋体" w:hAnsi="宋体" w:cs="宋体" w:eastAsia="宋体" w:hint="default"/>
        </w:rPr>
        <w:t>300</w:t>
      </w:r>
      <w:r>
        <w:rPr/>
        <w:t>万元，子公司医惠科技公司已于</w:t>
      </w:r>
      <w:r>
        <w:rPr>
          <w:rFonts w:ascii="宋体" w:hAnsi="宋体" w:cs="宋体" w:eastAsia="宋体" w:hint="default"/>
        </w:rPr>
        <w:t>2019 </w:t>
      </w:r>
      <w:r>
        <w:rPr/>
        <w:t>年</w:t>
      </w:r>
      <w:r>
        <w:rPr>
          <w:rFonts w:ascii="宋体" w:hAnsi="宋体" w:cs="宋体" w:eastAsia="宋体" w:hint="default"/>
        </w:rPr>
        <w:t>1</w:t>
      </w:r>
      <w:r>
        <w:rPr/>
        <w:t>月实缴注册资本</w:t>
      </w:r>
      <w:r>
        <w:rPr>
          <w:rFonts w:ascii="宋体" w:hAnsi="宋体" w:cs="宋体" w:eastAsia="宋体" w:hint="default"/>
        </w:rPr>
        <w:t>0.5</w:t>
      </w:r>
      <w:r>
        <w:rPr/>
        <w:t>万元。由于上海惠沪信息技术有限公司于</w:t>
      </w:r>
      <w:r>
        <w:rPr>
          <w:rFonts w:ascii="宋体" w:hAnsi="宋体" w:cs="宋体" w:eastAsia="宋体" w:hint="default"/>
        </w:rPr>
        <w:t>2019</w:t>
      </w:r>
      <w:r>
        <w:rPr/>
        <w:t>年开始开展业务，因而</w:t>
      </w:r>
      <w:r>
        <w:rPr>
          <w:rFonts w:ascii="宋体" w:hAnsi="宋体" w:cs="宋体" w:eastAsia="宋体" w:hint="default"/>
        </w:rPr>
        <w:t>2019</w:t>
      </w:r>
      <w:r>
        <w:rPr/>
        <w:t>年开始纳入合并范围内。</w:t>
      </w:r>
    </w:p>
    <w:p>
      <w:pPr>
        <w:pStyle w:val="BodyText"/>
        <w:spacing w:line="429" w:lineRule="auto"/>
        <w:ind w:left="501" w:right="0"/>
        <w:jc w:val="left"/>
      </w:pP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8</w:t>
      </w:r>
      <w:r>
        <w:rPr/>
        <w:t>月，由福建医惠医疗信息服务有限公司更名为医惠科技（福建）有限公司。 </w:t>
      </w:r>
      <w:r>
        <w:rPr>
          <w:spacing w:val="-3"/>
        </w:rPr>
        <w:t>医惠科技（福建）有限公司注册资本为</w:t>
      </w:r>
      <w:r>
        <w:rPr>
          <w:rFonts w:ascii="宋体" w:hAnsi="宋体" w:cs="宋体" w:eastAsia="宋体" w:hint="default"/>
          <w:spacing w:val="-3"/>
        </w:rPr>
        <w:t>1,000</w:t>
      </w:r>
      <w:r>
        <w:rPr>
          <w:spacing w:val="-3"/>
        </w:rPr>
        <w:t>万元，子公司医惠科技公司认缴</w:t>
      </w:r>
      <w:r>
        <w:rPr>
          <w:rFonts w:ascii="宋体" w:hAnsi="宋体" w:cs="宋体" w:eastAsia="宋体" w:hint="default"/>
          <w:spacing w:val="-3"/>
        </w:rPr>
        <w:t>550</w:t>
      </w:r>
      <w:r>
        <w:rPr>
          <w:spacing w:val="-3"/>
        </w:rPr>
        <w:t>万元，截至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日，尚未出资。</w:t>
      </w:r>
    </w:p>
    <w:p>
      <w:pPr>
        <w:pStyle w:val="BodyText"/>
        <w:spacing w:line="427" w:lineRule="auto" w:before="42"/>
        <w:ind w:left="501" w:right="3550" w:hanging="361"/>
        <w:jc w:val="left"/>
      </w:pPr>
      <w:r>
        <w:rPr/>
        <w:t>由于医惠科技（福建）有限公司于</w:t>
      </w:r>
      <w:r>
        <w:rPr>
          <w:rFonts w:ascii="宋体" w:hAnsi="宋体" w:cs="宋体" w:eastAsia="宋体" w:hint="default"/>
        </w:rPr>
        <w:t>2019</w:t>
      </w:r>
      <w:r>
        <w:rPr/>
        <w:t>年开始开展业务，因而</w:t>
      </w:r>
      <w:r>
        <w:rPr>
          <w:rFonts w:ascii="宋体" w:hAnsi="宋体" w:cs="宋体" w:eastAsia="宋体" w:hint="default"/>
        </w:rPr>
        <w:t>2019</w:t>
      </w:r>
      <w:r>
        <w:rPr/>
        <w:t>年开始纳入合并范围内。</w:t>
      </w:r>
      <w:r>
        <w:rPr>
          <w:spacing w:val="-85"/>
        </w:rPr>
        <w:t> </w:t>
      </w:r>
      <w:r>
        <w:rPr/>
        <w:t>二、合并报表范围减少</w:t>
      </w:r>
    </w:p>
    <w:p>
      <w:pPr>
        <w:pStyle w:val="BodyText"/>
        <w:spacing w:line="427" w:lineRule="auto"/>
        <w:ind w:right="0" w:firstLine="360"/>
        <w:jc w:val="left"/>
      </w:pP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12</w:t>
      </w:r>
      <w:r>
        <w:rPr/>
        <w:t>月，本公司、周日军和杭州琅玕科技有限公司签订了《杭州琅玕科技有限公司股权转让协议》，本公司将 </w:t>
      </w:r>
      <w:r>
        <w:rPr>
          <w:spacing w:val="-2"/>
        </w:rPr>
        <w:t>持有的杭州琅玕科技有限公司</w:t>
      </w:r>
      <w:r>
        <w:rPr>
          <w:rFonts w:ascii="宋体" w:hAnsi="宋体" w:cs="宋体" w:eastAsia="宋体" w:hint="default"/>
          <w:spacing w:val="-2"/>
        </w:rPr>
        <w:t>5%</w:t>
      </w:r>
      <w:r>
        <w:rPr>
          <w:spacing w:val="-2"/>
        </w:rPr>
        <w:t>的股权</w:t>
      </w:r>
      <w:r>
        <w:rPr>
          <w:rFonts w:ascii="宋体" w:hAnsi="宋体" w:cs="宋体" w:eastAsia="宋体" w:hint="default"/>
          <w:spacing w:val="-2"/>
        </w:rPr>
        <w:t>(</w:t>
      </w:r>
      <w:r>
        <w:rPr>
          <w:spacing w:val="-2"/>
        </w:rPr>
        <w:t>对应注册资本</w:t>
      </w:r>
      <w:r>
        <w:rPr>
          <w:rFonts w:ascii="宋体" w:hAnsi="宋体" w:cs="宋体" w:eastAsia="宋体" w:hint="default"/>
          <w:spacing w:val="-2"/>
        </w:rPr>
        <w:t>59.2222</w:t>
      </w:r>
      <w:r>
        <w:rPr>
          <w:spacing w:val="-2"/>
        </w:rPr>
        <w:t>万元</w:t>
      </w:r>
      <w:r>
        <w:rPr>
          <w:rFonts w:ascii="宋体" w:hAnsi="宋体" w:cs="宋体" w:eastAsia="宋体" w:hint="default"/>
          <w:spacing w:val="-2"/>
        </w:rPr>
        <w:t>)</w:t>
      </w:r>
      <w:r>
        <w:rPr>
          <w:spacing w:val="-2"/>
        </w:rPr>
        <w:t>以股权激励方式以</w:t>
      </w:r>
      <w:r>
        <w:rPr>
          <w:rFonts w:ascii="宋体" w:hAnsi="宋体" w:cs="宋体" w:eastAsia="宋体" w:hint="default"/>
          <w:spacing w:val="-2"/>
        </w:rPr>
        <w:t>160</w:t>
      </w:r>
      <w:r>
        <w:rPr>
          <w:spacing w:val="-2"/>
        </w:rPr>
        <w:t>万元的价格转让给周日军，股权转</w:t>
      </w:r>
      <w:r>
        <w:rPr>
          <w:spacing w:val="-38"/>
        </w:rPr>
        <w:t> </w:t>
      </w:r>
      <w:r>
        <w:rPr>
          <w:spacing w:val="-38"/>
        </w:rPr>
      </w:r>
      <w:r>
        <w:rPr/>
        <w:t>让后，本公司持股比例变更为</w:t>
      </w:r>
      <w:r>
        <w:rPr>
          <w:rFonts w:ascii="宋体" w:hAnsi="宋体" w:cs="宋体" w:eastAsia="宋体" w:hint="default"/>
        </w:rPr>
        <w:t>47%</w:t>
      </w:r>
      <w:r>
        <w:rPr/>
        <w:t>。同时，杭州琅玕科技有限公司董事会由本公司委派</w:t>
      </w:r>
      <w:r>
        <w:rPr>
          <w:rFonts w:ascii="宋体" w:hAnsi="宋体" w:cs="宋体" w:eastAsia="宋体" w:hint="default"/>
        </w:rPr>
        <w:t>2</w:t>
      </w:r>
      <w:r>
        <w:rPr/>
        <w:t>名，由周日军委派</w:t>
      </w:r>
      <w:r>
        <w:rPr>
          <w:rFonts w:ascii="宋体" w:hAnsi="宋体" w:cs="宋体" w:eastAsia="宋体" w:hint="default"/>
        </w:rPr>
        <w:t>3</w:t>
      </w:r>
      <w:r>
        <w:rPr/>
        <w:t>名，本公司无法</w:t>
      </w:r>
      <w:r>
        <w:rPr>
          <w:spacing w:val="-80"/>
        </w:rPr>
        <w:t> </w:t>
      </w:r>
      <w:r>
        <w:rPr>
          <w:spacing w:val="-4"/>
        </w:rPr>
        <w:t>控制杭州琅玕科技有限公司，故自</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月起，杭州琅玕科技有限公司及其下属子公司杭州好睡眠医疗投资管理有限公司、</w:t>
      </w:r>
      <w:r>
        <w:rPr>
          <w:spacing w:val="-35"/>
        </w:rPr>
        <w:t> </w:t>
      </w:r>
      <w:r>
        <w:rPr>
          <w:spacing w:val="-35"/>
        </w:rPr>
      </w:r>
      <w:r>
        <w:rPr/>
        <w:t>杭州思力普诊所有限公司不再纳入合并范围内。</w:t>
      </w:r>
    </w:p>
    <w:p>
      <w:pPr>
        <w:pStyle w:val="BodyText"/>
        <w:spacing w:line="427" w:lineRule="auto"/>
        <w:ind w:right="1118" w:firstLine="360"/>
        <w:jc w:val="both"/>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12</w:t>
      </w:r>
      <w:r>
        <w:rPr/>
        <w:t>月，江苏瑞康医惠医疗投资管理有限公司召开了股东会决议，经股东会决议通过，江苏瑞康医惠医疗投资 </w:t>
      </w:r>
      <w:r>
        <w:rPr>
          <w:spacing w:val="-2"/>
        </w:rPr>
        <w:t>管理有限公司董事会由子公司医惠科技公司推荐三人、西藏瑞华资本管理有限公司推荐两人变更为由子公司医惠科技公司推</w:t>
      </w:r>
      <w:r>
        <w:rPr>
          <w:spacing w:val="-55"/>
        </w:rPr>
        <w:t> </w:t>
      </w:r>
      <w:r>
        <w:rPr>
          <w:spacing w:val="-55"/>
        </w:rPr>
      </w:r>
      <w:r>
        <w:rPr>
          <w:spacing w:val="-2"/>
        </w:rPr>
        <w:t>荐两人、西藏瑞华资本管理有限公司推荐两人、刘名章推荐一人，医惠科技公司无法控制江苏瑞康医惠医疗投资管理有限公</w:t>
      </w:r>
      <w:r>
        <w:rPr>
          <w:spacing w:val="-75"/>
        </w:rPr>
        <w:t> </w:t>
      </w:r>
      <w:r>
        <w:rPr>
          <w:spacing w:val="-75"/>
        </w:rPr>
      </w:r>
      <w:r>
        <w:rPr/>
        <w:t>司，故自</w:t>
      </w:r>
      <w:r>
        <w:rPr>
          <w:rFonts w:ascii="宋体" w:hAnsi="宋体" w:cs="宋体" w:eastAsia="宋体" w:hint="default"/>
        </w:rPr>
        <w:t>2019</w:t>
      </w:r>
      <w:r>
        <w:rPr/>
        <w:t>年</w:t>
      </w:r>
      <w:r>
        <w:rPr>
          <w:rFonts w:ascii="宋体" w:hAnsi="宋体" w:cs="宋体" w:eastAsia="宋体" w:hint="default"/>
        </w:rPr>
        <w:t>12</w:t>
      </w:r>
      <w:r>
        <w:rPr/>
        <w:t>月起，江苏瑞康医惠医疗投资管理有限公司不再纳入合并范围内。</w:t>
      </w:r>
    </w:p>
    <w:p>
      <w:pPr>
        <w:pStyle w:val="BodyText"/>
        <w:spacing w:line="429" w:lineRule="auto"/>
        <w:ind w:right="1128" w:firstLine="360"/>
        <w:jc w:val="both"/>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11</w:t>
      </w:r>
      <w:r>
        <w:rPr/>
        <w:t>月，杭州思创宣道信息技术有限公司更名为杭州集嘉科技有限公司；</w:t>
      </w:r>
      <w:r>
        <w:rPr>
          <w:rFonts w:ascii="宋体" w:hAnsi="宋体" w:cs="宋体" w:eastAsia="宋体" w:hint="default"/>
        </w:rPr>
        <w:t>2019</w:t>
      </w:r>
      <w:r>
        <w:rPr/>
        <w:t>年</w:t>
      </w:r>
      <w:r>
        <w:rPr>
          <w:rFonts w:ascii="宋体" w:hAnsi="宋体" w:cs="宋体" w:eastAsia="宋体" w:hint="default"/>
        </w:rPr>
        <w:t>12</w:t>
      </w:r>
      <w:r>
        <w:rPr/>
        <w:t>月，思创医惠科技股份有限 公司将</w:t>
      </w:r>
      <w:r>
        <w:rPr>
          <w:rFonts w:ascii="宋体" w:hAnsi="宋体" w:cs="宋体" w:eastAsia="宋体" w:hint="default"/>
        </w:rPr>
        <w:t>70%</w:t>
      </w:r>
      <w:r>
        <w:rPr/>
        <w:t>的股权转让给赵哲，故自</w:t>
      </w:r>
      <w:r>
        <w:rPr>
          <w:rFonts w:ascii="宋体" w:hAnsi="宋体" w:cs="宋体" w:eastAsia="宋体" w:hint="default"/>
        </w:rPr>
        <w:t>2019</w:t>
      </w:r>
      <w:r>
        <w:rPr/>
        <w:t>年</w:t>
      </w:r>
      <w:r>
        <w:rPr>
          <w:rFonts w:ascii="宋体" w:hAnsi="宋体" w:cs="宋体" w:eastAsia="宋体" w:hint="default"/>
        </w:rPr>
        <w:t>12</w:t>
      </w:r>
      <w:r>
        <w:rPr/>
        <w:t>月起，思创医惠科技股份有限公司不再将其纳入合并范围。</w:t>
      </w:r>
    </w:p>
    <w:p>
      <w:pPr>
        <w:pStyle w:val="BodyText"/>
        <w:spacing w:line="427" w:lineRule="auto" w:before="72"/>
        <w:ind w:right="1098" w:firstLine="360"/>
        <w:jc w:val="both"/>
      </w:pPr>
      <w:r>
        <w:rPr>
          <w:rFonts w:ascii="宋体" w:hAnsi="宋体" w:cs="宋体" w:eastAsia="宋体" w:hint="default"/>
          <w:spacing w:val="-2"/>
        </w:rPr>
        <w:t>4</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月，子公司医惠科技公司与杨生鹏签订《出资协议》，协议约定，杭州睿杰信息技术有限公司于经营期限内</w:t>
      </w:r>
      <w:r>
        <w:rPr/>
        <w:t> </w:t>
      </w:r>
      <w:r>
        <w:rPr>
          <w:spacing w:val="-2"/>
        </w:rPr>
        <w:t>实现第二阶段工作目标且经医惠科技公司验收确实合格的前提下，将新增注册资本</w:t>
      </w:r>
      <w:r>
        <w:rPr>
          <w:rFonts w:ascii="宋体" w:hAnsi="宋体" w:cs="宋体" w:eastAsia="宋体" w:hint="default"/>
          <w:spacing w:val="-2"/>
        </w:rPr>
        <w:t>750</w:t>
      </w:r>
      <w:r>
        <w:rPr>
          <w:spacing w:val="-2"/>
        </w:rPr>
        <w:t>万元，其中医惠科技公司以</w:t>
      </w:r>
      <w:r>
        <w:rPr>
          <w:rFonts w:ascii="宋体" w:hAnsi="宋体" w:cs="宋体" w:eastAsia="宋体" w:hint="default"/>
          <w:spacing w:val="-2"/>
        </w:rPr>
        <w:t>200</w:t>
      </w:r>
      <w:r>
        <w:rPr>
          <w:spacing w:val="-2"/>
        </w:rPr>
        <w:t>万元认</w:t>
      </w:r>
      <w:r>
        <w:rPr>
          <w:spacing w:val="-56"/>
        </w:rPr>
        <w:t> </w:t>
      </w:r>
      <w:r>
        <w:rPr>
          <w:spacing w:val="-2"/>
        </w:rPr>
        <w:t>缴新增注册资本</w:t>
      </w:r>
      <w:r>
        <w:rPr>
          <w:rFonts w:ascii="宋体" w:hAnsi="宋体" w:cs="宋体" w:eastAsia="宋体" w:hint="default"/>
          <w:spacing w:val="-2"/>
        </w:rPr>
        <w:t>200</w:t>
      </w:r>
      <w:r>
        <w:rPr>
          <w:spacing w:val="-2"/>
        </w:rPr>
        <w:t>万元，杨生鹏以</w:t>
      </w:r>
      <w:r>
        <w:rPr>
          <w:rFonts w:ascii="宋体" w:hAnsi="宋体" w:cs="宋体" w:eastAsia="宋体" w:hint="default"/>
          <w:spacing w:val="-2"/>
        </w:rPr>
        <w:t>550</w:t>
      </w:r>
      <w:r>
        <w:rPr>
          <w:spacing w:val="-2"/>
        </w:rPr>
        <w:t>万元认缴新增注册资本</w:t>
      </w:r>
      <w:r>
        <w:rPr>
          <w:rFonts w:ascii="宋体" w:hAnsi="宋体" w:cs="宋体" w:eastAsia="宋体" w:hint="default"/>
          <w:spacing w:val="-2"/>
        </w:rPr>
        <w:t>550</w:t>
      </w:r>
      <w:r>
        <w:rPr>
          <w:spacing w:val="-2"/>
        </w:rPr>
        <w:t>万元。</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月，杭州睿杰信息技术有限公司已实现第二</w:t>
      </w:r>
      <w:r>
        <w:rPr>
          <w:spacing w:val="-56"/>
        </w:rPr>
        <w:t> </w:t>
      </w:r>
      <w:r>
        <w:rPr>
          <w:spacing w:val="-56"/>
        </w:rPr>
      </w:r>
      <w:r>
        <w:rPr>
          <w:spacing w:val="-1"/>
        </w:rPr>
        <w:t>阶段工作目标，双方增资后，医惠科技公司持股比例变更为</w:t>
      </w:r>
      <w:r>
        <w:rPr>
          <w:rFonts w:ascii="宋体" w:hAnsi="宋体" w:cs="宋体" w:eastAsia="宋体" w:hint="default"/>
          <w:spacing w:val="-1"/>
        </w:rPr>
        <w:t>40%</w:t>
      </w:r>
      <w:r>
        <w:rPr>
          <w:spacing w:val="-1"/>
        </w:rPr>
        <w:t>，故自</w:t>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月起，杭州睿杰信息技术有限公司不再纳入合</w:t>
      </w:r>
      <w:r>
        <w:rPr>
          <w:spacing w:val="-87"/>
        </w:rPr>
        <w:t> </w:t>
      </w:r>
      <w:r>
        <w:rPr>
          <w:spacing w:val="-87"/>
        </w:rPr>
      </w:r>
      <w:r>
        <w:rPr/>
        <w:t>并范围内。</w:t>
      </w:r>
    </w:p>
    <w:p>
      <w:pPr>
        <w:spacing w:after="0" w:line="427" w:lineRule="auto"/>
        <w:jc w:val="both"/>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1086"/>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408,944,808.83</w:t>
            </w:r>
          </w:p>
        </w:tc>
      </w:tr>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25.76%</w:t>
            </w:r>
          </w:p>
        </w:tc>
      </w:tr>
      <w:tr>
        <w:trPr>
          <w:trHeight w:val="7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0.00%</w:t>
            </w:r>
          </w:p>
        </w:tc>
      </w:tr>
    </w:tbl>
    <w:p>
      <w:pPr>
        <w:pStyle w:val="BodyText"/>
        <w:spacing w:line="240" w:lineRule="auto" w:before="60"/>
        <w:ind w:right="1086"/>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264,209,025.21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16.64%</w:t>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56,931,786.54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3.59%</w:t>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30,973,451.33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1.95%</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30,094,115.04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1.90%</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26,736,430.71</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1.68%</w:t>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408,944,808.83</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25.76%</w:t>
            </w:r>
          </w:p>
        </w:tc>
      </w:tr>
    </w:tbl>
    <w:p>
      <w:pPr>
        <w:pStyle w:val="BodyText"/>
        <w:spacing w:line="240" w:lineRule="auto"/>
        <w:ind w:right="1086"/>
        <w:jc w:val="left"/>
      </w:pPr>
      <w:r>
        <w:rPr/>
        <w:t>主要客户其他情况说明</w:t>
      </w:r>
    </w:p>
    <w:p>
      <w:pPr>
        <w:pStyle w:val="BodyText"/>
        <w:spacing w:line="331"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p>
      <w:pPr>
        <w:spacing w:line="240" w:lineRule="auto" w:before="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305,295,616.84</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20.93%</w:t>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0.00%</w:t>
            </w:r>
          </w:p>
        </w:tc>
      </w:tr>
    </w:tbl>
    <w:p>
      <w:pPr>
        <w:pStyle w:val="BodyText"/>
        <w:spacing w:line="240" w:lineRule="auto" w:before="45"/>
        <w:ind w:right="1086"/>
        <w:jc w:val="left"/>
      </w:pPr>
      <w:r>
        <w:rPr/>
        <w:t>公司前</w:t>
      </w:r>
      <w:r>
        <w:rPr>
          <w:spacing w:val="-45"/>
        </w:rPr>
        <w:t> </w:t>
      </w:r>
      <w:r>
        <w:rPr>
          <w:rFonts w:ascii="宋体" w:hAnsi="宋体" w:cs="宋体" w:eastAsia="宋体" w:hint="default"/>
        </w:rPr>
        <w:t>5</w:t>
      </w:r>
      <w:r>
        <w:rPr>
          <w:rFonts w:ascii="宋体" w:hAnsi="宋体" w:cs="宋体" w:eastAsia="宋体" w:hint="default"/>
          <w:spacing w:val="-45"/>
        </w:rPr>
        <w:t> </w:t>
      </w:r>
      <w:r>
        <w:rPr/>
        <w:t>名供应商资料</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94,953,870.10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6.51%</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90,785,597.29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6.22%</w:t>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43,470,264.54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2.98%</w:t>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39,947,301.42</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2.74%</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36,138,583.49</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2.48%</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
              <w:jc w:val="center"/>
              <w:rPr>
                <w:rFonts w:ascii="宋体" w:hAnsi="宋体" w:cs="宋体" w:eastAsia="宋体" w:hint="default"/>
                <w:sz w:val="18"/>
                <w:szCs w:val="18"/>
              </w:rPr>
            </w:pPr>
            <w:r>
              <w:rPr>
                <w:rFonts w:ascii="宋体"/>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305,295,616.84</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20.93%</w:t>
            </w:r>
          </w:p>
        </w:tc>
      </w:tr>
    </w:tbl>
    <w:p>
      <w:pPr>
        <w:pStyle w:val="BodyText"/>
        <w:spacing w:line="240" w:lineRule="auto" w:before="45"/>
        <w:ind w:right="1086"/>
        <w:jc w:val="left"/>
      </w:pPr>
      <w:r>
        <w:rPr/>
        <w:t>主要供应商其他情况说明</w:t>
      </w:r>
    </w:p>
    <w:p>
      <w:pPr>
        <w:pStyle w:val="BodyText"/>
        <w:spacing w:line="240" w:lineRule="auto" w:before="125"/>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1086"/>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29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62"/>
        <w:gridCol w:w="1435"/>
        <w:gridCol w:w="1562"/>
        <w:gridCol w:w="841"/>
        <w:gridCol w:w="4475"/>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43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8"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0"/>
              <w:jc w:val="right"/>
              <w:rPr>
                <w:rFonts w:ascii="宋体" w:hAnsi="宋体" w:cs="宋体" w:eastAsia="宋体" w:hint="default"/>
                <w:sz w:val="18"/>
                <w:szCs w:val="18"/>
              </w:rPr>
            </w:pPr>
            <w:r>
              <w:rPr>
                <w:rFonts w:ascii="宋体" w:hAnsi="宋体" w:cs="宋体" w:eastAsia="宋体" w:hint="default"/>
                <w:sz w:val="18"/>
                <w:szCs w:val="18"/>
              </w:rPr>
              <w:t>同比增减</w:t>
            </w:r>
          </w:p>
        </w:tc>
        <w:tc>
          <w:tcPr>
            <w:tcW w:w="44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128,313,322.23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86,377,596.51</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48.55%</w:t>
            </w:r>
          </w:p>
        </w:tc>
        <w:tc>
          <w:tcPr>
            <w:tcW w:w="4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主要系销售规模扩大，市场推广费增加所致。</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152,597,375.93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144,970,049.16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5.26%</w:t>
            </w:r>
          </w:p>
        </w:tc>
        <w:tc>
          <w:tcPr>
            <w:tcW w:w="4475"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34,118,702.43</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39,000,372.10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-12.52%</w:t>
            </w:r>
          </w:p>
        </w:tc>
        <w:tc>
          <w:tcPr>
            <w:tcW w:w="4475"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138,080,781.60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9"/>
              <w:jc w:val="right"/>
              <w:rPr>
                <w:rFonts w:ascii="宋体" w:hAnsi="宋体" w:cs="宋体" w:eastAsia="宋体" w:hint="default"/>
                <w:sz w:val="18"/>
                <w:szCs w:val="18"/>
              </w:rPr>
            </w:pPr>
            <w:r>
              <w:rPr>
                <w:rFonts w:ascii="宋体"/>
                <w:sz w:val="18"/>
              </w:rPr>
              <w:t>106,214,943.06</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30.00%</w:t>
            </w:r>
          </w:p>
        </w:tc>
        <w:tc>
          <w:tcPr>
            <w:tcW w:w="44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主要系公司增大研发投入所致。</w:t>
            </w:r>
          </w:p>
        </w:tc>
      </w:tr>
    </w:tbl>
    <w:p>
      <w:pPr>
        <w:spacing w:line="240" w:lineRule="auto" w:before="9"/>
        <w:rPr>
          <w:rFonts w:ascii="宋体" w:hAnsi="宋体" w:cs="宋体" w:eastAsia="宋体" w:hint="default"/>
          <w:sz w:val="18"/>
          <w:szCs w:val="18"/>
        </w:rPr>
      </w:pPr>
    </w:p>
    <w:p>
      <w:pPr>
        <w:pStyle w:val="Heading5"/>
        <w:spacing w:line="240" w:lineRule="auto" w:before="35"/>
        <w:ind w:right="1086"/>
        <w:jc w:val="left"/>
        <w:rPr>
          <w:b w:val="0"/>
          <w:bCs w:val="0"/>
        </w:rPr>
      </w:pPr>
      <w:bookmarkStart w:name="4、研发投入" w:id="37"/>
      <w:bookmarkEnd w:id="37"/>
      <w:r>
        <w:rPr>
          <w:b w:val="0"/>
          <w:bCs w:val="0"/>
        </w:rPr>
      </w:r>
      <w:r>
        <w:rPr>
          <w:rFonts w:ascii="宋体" w:hAnsi="宋体" w:cs="宋体" w:eastAsia="宋体" w:hint="default"/>
        </w:rPr>
        <w:t>4</w:t>
      </w:r>
      <w:r>
        <w:rPr/>
        <w:t>、研发投入</w:t>
      </w:r>
      <w:r>
        <w:rPr>
          <w:b w:val="0"/>
          <w:bCs w:val="0"/>
        </w:rPr>
      </w:r>
    </w:p>
    <w:p>
      <w:pPr>
        <w:spacing w:line="240" w:lineRule="auto" w:before="8"/>
        <w:rPr>
          <w:rFonts w:ascii="宋体" w:hAnsi="宋体" w:cs="宋体" w:eastAsia="宋体" w:hint="default"/>
          <w:b/>
          <w:bCs/>
          <w:sz w:val="27"/>
          <w:szCs w:val="27"/>
        </w:rPr>
      </w:pPr>
    </w:p>
    <w:p>
      <w:pPr>
        <w:pStyle w:val="BodyText"/>
        <w:spacing w:line="240" w:lineRule="auto" w:before="0"/>
        <w:ind w:right="1086"/>
        <w:jc w:val="left"/>
      </w:pPr>
      <w:r>
        <w:rPr/>
        <w:t>√ 适用 □</w:t>
      </w:r>
      <w:r>
        <w:rPr>
          <w:spacing w:val="-1"/>
        </w:rPr>
        <w:t> </w:t>
      </w:r>
      <w:r>
        <w:rPr/>
        <w:t>不适用</w:t>
      </w:r>
    </w:p>
    <w:p>
      <w:pPr>
        <w:pStyle w:val="BodyText"/>
        <w:spacing w:line="321" w:lineRule="auto" w:before="109"/>
        <w:ind w:right="1034" w:firstLine="540"/>
        <w:jc w:val="both"/>
      </w:pPr>
      <w:r>
        <w:rPr>
          <w:spacing w:val="-4"/>
        </w:rPr>
        <w:t>公司持续注重产品研发的投入和自身产业技术的积累，针对行业发展趋势，积极布局新产品的研发和技术的储备工作。</w:t>
      </w:r>
      <w:r>
        <w:rPr/>
        <w:t> </w:t>
      </w:r>
      <w:r>
        <w:rPr>
          <w:spacing w:val="-3"/>
        </w:rPr>
        <w:t>报告期内，公司研发总投入</w:t>
      </w:r>
      <w:r>
        <w:rPr>
          <w:rFonts w:ascii="宋体" w:hAnsi="宋体" w:cs="宋体" w:eastAsia="宋体" w:hint="default"/>
          <w:spacing w:val="-3"/>
        </w:rPr>
        <w:t>16,119.55</w:t>
      </w:r>
      <w:r>
        <w:rPr>
          <w:spacing w:val="-3"/>
        </w:rPr>
        <w:t>万元，占营业收入的</w:t>
      </w:r>
      <w:r>
        <w:rPr>
          <w:rFonts w:ascii="宋体" w:hAnsi="宋体" w:cs="宋体" w:eastAsia="宋体" w:hint="default"/>
          <w:spacing w:val="-3"/>
        </w:rPr>
        <w:t>10.24%</w:t>
      </w:r>
      <w:r>
        <w:rPr>
          <w:spacing w:val="-3"/>
        </w:rPr>
        <w:t>，研发支出资本化金额</w:t>
      </w:r>
      <w:r>
        <w:rPr>
          <w:rFonts w:ascii="宋体" w:hAnsi="宋体" w:cs="宋体" w:eastAsia="宋体" w:hint="default"/>
          <w:spacing w:val="-3"/>
        </w:rPr>
        <w:t>2311</w:t>
      </w:r>
      <w:r>
        <w:rPr>
          <w:spacing w:val="-3"/>
        </w:rPr>
        <w:t>万元，占研发总投入的</w:t>
      </w:r>
      <w:r>
        <w:rPr>
          <w:spacing w:val="7"/>
        </w:rPr>
        <w:t> </w:t>
      </w:r>
      <w:r>
        <w:rPr>
          <w:rFonts w:ascii="宋体" w:hAnsi="宋体" w:cs="宋体" w:eastAsia="宋体" w:hint="default"/>
        </w:rPr>
        <w:t>14.34%</w:t>
      </w:r>
      <w:r>
        <w:rPr/>
        <w:t>。 报告期内公司进行的主要研发项目如下：</w:t>
      </w:r>
    </w:p>
    <w:tbl>
      <w:tblPr>
        <w:tblW w:w="0" w:type="auto"/>
        <w:jc w:val="left"/>
        <w:tblInd w:w="126" w:type="dxa"/>
        <w:tblLayout w:type="fixed"/>
        <w:tblCellMar>
          <w:top w:w="0" w:type="dxa"/>
          <w:left w:w="0" w:type="dxa"/>
          <w:bottom w:w="0" w:type="dxa"/>
          <w:right w:w="0" w:type="dxa"/>
        </w:tblCellMar>
        <w:tblLook w:val="01E0"/>
      </w:tblPr>
      <w:tblGrid>
        <w:gridCol w:w="706"/>
        <w:gridCol w:w="1922"/>
        <w:gridCol w:w="3469"/>
        <w:gridCol w:w="1186"/>
        <w:gridCol w:w="2944"/>
      </w:tblGrid>
      <w:tr>
        <w:trPr>
          <w:trHeight w:val="66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b/>
                <w:bCs/>
                <w:sz w:val="18"/>
                <w:szCs w:val="18"/>
              </w:rPr>
              <w:t>研发项目名称</w:t>
            </w:r>
            <w:r>
              <w:rPr>
                <w:rFonts w:ascii="宋体" w:hAnsi="宋体" w:cs="宋体" w:eastAsia="宋体" w:hint="default"/>
                <w:sz w:val="18"/>
                <w:szCs w:val="18"/>
              </w:rPr>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096" w:right="0"/>
              <w:jc w:val="left"/>
              <w:rPr>
                <w:rFonts w:ascii="宋体" w:hAnsi="宋体" w:cs="宋体" w:eastAsia="宋体" w:hint="default"/>
                <w:sz w:val="18"/>
                <w:szCs w:val="18"/>
              </w:rPr>
            </w:pPr>
            <w:r>
              <w:rPr>
                <w:rFonts w:ascii="宋体" w:hAnsi="宋体" w:cs="宋体" w:eastAsia="宋体" w:hint="default"/>
                <w:b/>
                <w:bCs/>
                <w:sz w:val="18"/>
                <w:szCs w:val="18"/>
              </w:rPr>
              <w:t>研发项目的目的</w:t>
            </w:r>
            <w:r>
              <w:rPr>
                <w:rFonts w:ascii="宋体" w:hAnsi="宋体" w:cs="宋体" w:eastAsia="宋体" w:hint="default"/>
                <w:sz w:val="18"/>
                <w:szCs w:val="18"/>
              </w:rPr>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05" w:right="74"/>
              <w:jc w:val="left"/>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b/>
                <w:bCs/>
                <w:sz w:val="18"/>
                <w:szCs w:val="18"/>
              </w:rPr>
              <w:t>(</w:t>
            </w:r>
            <w:r>
              <w:rPr>
                <w:rFonts w:ascii="宋体" w:hAnsi="宋体" w:cs="宋体" w:eastAsia="宋体" w:hint="default"/>
                <w:b/>
                <w:bCs/>
                <w:sz w:val="18"/>
                <w:szCs w:val="18"/>
              </w:rPr>
              <w:t>已</w:t>
            </w:r>
            <w:r>
              <w:rPr>
                <w:rFonts w:ascii="宋体" w:hAnsi="宋体" w:cs="宋体" w:eastAsia="宋体" w:hint="default"/>
                <w:b/>
                <w:bCs/>
                <w:w w:val="99"/>
                <w:sz w:val="18"/>
                <w:szCs w:val="18"/>
              </w:rPr>
              <w:t> </w:t>
            </w:r>
            <w:r>
              <w:rPr>
                <w:rFonts w:ascii="宋体" w:hAnsi="宋体" w:cs="宋体" w:eastAsia="宋体" w:hint="default"/>
                <w:b/>
                <w:bCs/>
                <w:sz w:val="18"/>
                <w:szCs w:val="18"/>
              </w:rPr>
              <w:t>达到的状态</w:t>
            </w:r>
            <w:r>
              <w:rPr>
                <w:rFonts w:ascii="宋体" w:hAnsi="宋体" w:cs="宋体" w:eastAsia="宋体" w:hint="default"/>
                <w:b/>
                <w:bCs/>
                <w:sz w:val="18"/>
                <w:szCs w:val="18"/>
              </w:rPr>
              <w:t>)</w:t>
            </w:r>
            <w:r>
              <w:rPr>
                <w:rFonts w:ascii="宋体" w:hAnsi="宋体" w:cs="宋体" w:eastAsia="宋体" w:hint="default"/>
                <w:sz w:val="18"/>
                <w:szCs w:val="18"/>
              </w:rPr>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b/>
                <w:bCs/>
                <w:sz w:val="18"/>
                <w:szCs w:val="18"/>
              </w:rPr>
              <w:t>预计对公司未来发展的影响</w:t>
            </w:r>
            <w:r>
              <w:rPr>
                <w:rFonts w:ascii="宋体" w:hAnsi="宋体" w:cs="宋体" w:eastAsia="宋体" w:hint="default"/>
                <w:sz w:val="18"/>
                <w:szCs w:val="18"/>
              </w:rPr>
            </w:r>
          </w:p>
        </w:tc>
      </w:tr>
      <w:tr>
        <w:trPr>
          <w:trHeight w:val="166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307" w:lineRule="auto"/>
              <w:ind w:left="239" w:right="45" w:hanging="180"/>
              <w:jc w:val="left"/>
              <w:rPr>
                <w:rFonts w:ascii="宋体" w:hAnsi="宋体" w:cs="宋体" w:eastAsia="宋体" w:hint="default"/>
                <w:sz w:val="18"/>
                <w:szCs w:val="18"/>
              </w:rPr>
            </w:pPr>
            <w:r>
              <w:rPr>
                <w:rFonts w:ascii="宋体" w:hAnsi="宋体" w:cs="宋体" w:eastAsia="宋体" w:hint="default"/>
                <w:sz w:val="18"/>
                <w:szCs w:val="18"/>
              </w:rPr>
              <w:t>穿戴式人体生理参数监 测技术和设备研发</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right="17"/>
              <w:jc w:val="both"/>
              <w:rPr>
                <w:rFonts w:ascii="宋体" w:hAnsi="宋体" w:cs="宋体" w:eastAsia="宋体" w:hint="default"/>
                <w:sz w:val="18"/>
                <w:szCs w:val="18"/>
              </w:rPr>
            </w:pPr>
            <w:r>
              <w:rPr>
                <w:rFonts w:ascii="宋体" w:hAnsi="宋体" w:cs="宋体" w:eastAsia="宋体" w:hint="default"/>
                <w:sz w:val="18"/>
                <w:szCs w:val="18"/>
              </w:rPr>
              <w:t>针对穿戴式人体生理参数监测要求，研发一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套多参数监测的人体体域网系统，包括专用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传感器、信号处理、集成芯片技术、移动终</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端</w:t>
            </w:r>
            <w:r>
              <w:rPr>
                <w:rFonts w:ascii="宋体" w:hAnsi="宋体" w:cs="宋体" w:eastAsia="宋体" w:hint="default"/>
                <w:sz w:val="18"/>
                <w:szCs w:val="18"/>
              </w:rPr>
              <w:t>APP</w:t>
            </w:r>
            <w:r>
              <w:rPr>
                <w:rFonts w:ascii="宋体" w:hAnsi="宋体" w:cs="宋体" w:eastAsia="宋体" w:hint="default"/>
                <w:sz w:val="18"/>
                <w:szCs w:val="18"/>
              </w:rPr>
              <w:t>和数据处理服务云平台</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388"/>
              <w:jc w:val="right"/>
              <w:rPr>
                <w:rFonts w:ascii="宋体" w:hAnsi="宋体" w:cs="宋体" w:eastAsia="宋体" w:hint="default"/>
                <w:sz w:val="18"/>
                <w:szCs w:val="18"/>
              </w:rPr>
            </w:pPr>
            <w:r>
              <w:rPr>
                <w:rFonts w:ascii="宋体"/>
                <w:sz w:val="18"/>
              </w:rPr>
              <w:t>100%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
              <w:jc w:val="both"/>
              <w:rPr>
                <w:rFonts w:ascii="宋体" w:hAnsi="宋体" w:cs="宋体" w:eastAsia="宋体" w:hint="default"/>
                <w:sz w:val="18"/>
                <w:szCs w:val="18"/>
              </w:rPr>
            </w:pPr>
            <w:r>
              <w:rPr>
                <w:rFonts w:ascii="宋体" w:hAnsi="宋体" w:cs="宋体" w:eastAsia="宋体" w:hint="default"/>
                <w:sz w:val="18"/>
                <w:szCs w:val="18"/>
              </w:rPr>
              <w:t>有效地促进可穿戴医疗健康设备的普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3"/>
                <w:sz w:val="18"/>
                <w:szCs w:val="18"/>
              </w:rPr>
              <w:t>及，随着“互联网</w:t>
            </w:r>
            <w:r>
              <w:rPr>
                <w:rFonts w:ascii="宋体" w:hAnsi="宋体" w:cs="宋体" w:eastAsia="宋体" w:hint="default"/>
                <w:spacing w:val="-3"/>
                <w:sz w:val="18"/>
                <w:szCs w:val="18"/>
              </w:rPr>
              <w:t>+</w:t>
            </w:r>
            <w:r>
              <w:rPr>
                <w:rFonts w:ascii="宋体" w:hAnsi="宋体" w:cs="宋体" w:eastAsia="宋体" w:hint="default"/>
                <w:spacing w:val="-3"/>
                <w:sz w:val="18"/>
                <w:szCs w:val="18"/>
              </w:rPr>
              <w:t>医疗”深入推进信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息化，以及“健康中国”建设的全面</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提速，可穿戴医疗设备有望步入快速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发展期，市场规模将不断扩大</w:t>
            </w:r>
          </w:p>
        </w:tc>
      </w:tr>
      <w:tr>
        <w:trPr>
          <w:trHeight w:val="136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39"/>
              <w:ind w:left="420" w:right="45" w:hanging="361"/>
              <w:jc w:val="left"/>
              <w:rPr>
                <w:rFonts w:ascii="宋体" w:hAnsi="宋体" w:cs="宋体" w:eastAsia="宋体" w:hint="default"/>
                <w:sz w:val="18"/>
                <w:szCs w:val="18"/>
              </w:rPr>
            </w:pPr>
            <w:r>
              <w:rPr>
                <w:rFonts w:ascii="宋体" w:hAnsi="宋体" w:cs="宋体" w:eastAsia="宋体" w:hint="default"/>
                <w:sz w:val="18"/>
                <w:szCs w:val="18"/>
              </w:rPr>
              <w:t>人工智能技术在医疗健 康领域的应用</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21" w:lineRule="auto"/>
              <w:ind w:right="17"/>
              <w:jc w:val="both"/>
              <w:rPr>
                <w:rFonts w:ascii="宋体" w:hAnsi="宋体" w:cs="宋体" w:eastAsia="宋体" w:hint="default"/>
                <w:sz w:val="18"/>
                <w:szCs w:val="18"/>
              </w:rPr>
            </w:pPr>
            <w:r>
              <w:rPr>
                <w:rFonts w:ascii="宋体" w:hAnsi="宋体" w:cs="宋体" w:eastAsia="宋体" w:hint="default"/>
                <w:sz w:val="18"/>
                <w:szCs w:val="18"/>
              </w:rPr>
              <w:t>研究医疗人工智能关键技术及服务健康中国</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战略，开展人工智能技术在医疗健康领域的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应用研发</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388"/>
              <w:jc w:val="right"/>
              <w:rPr>
                <w:rFonts w:ascii="宋体" w:hAnsi="宋体" w:cs="宋体" w:eastAsia="宋体" w:hint="default"/>
                <w:sz w:val="18"/>
                <w:szCs w:val="18"/>
              </w:rPr>
            </w:pPr>
            <w:r>
              <w:rPr>
                <w:rFonts w:ascii="宋体"/>
                <w:sz w:val="18"/>
              </w:rPr>
              <w:t>100%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15" w:right="-12"/>
              <w:jc w:val="both"/>
              <w:rPr>
                <w:rFonts w:ascii="宋体" w:hAnsi="宋体" w:cs="宋体" w:eastAsia="宋体" w:hint="default"/>
                <w:sz w:val="18"/>
                <w:szCs w:val="18"/>
              </w:rPr>
            </w:pPr>
            <w:r>
              <w:rPr>
                <w:rFonts w:ascii="宋体" w:hAnsi="宋体" w:cs="宋体" w:eastAsia="宋体" w:hint="default"/>
                <w:spacing w:val="15"/>
                <w:sz w:val="18"/>
                <w:szCs w:val="18"/>
              </w:rPr>
              <w:t>通过在医疗人工智能领域的应用开 </w:t>
            </w:r>
            <w:r>
              <w:rPr>
                <w:rFonts w:ascii="宋体" w:hAnsi="宋体" w:cs="宋体" w:eastAsia="宋体" w:hint="default"/>
                <w:sz w:val="18"/>
                <w:szCs w:val="18"/>
              </w:rPr>
              <w:t>发，积极运用新一代信息技术对产品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进行创新升级，可有效提升公司核心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竞争力</w:t>
            </w:r>
          </w:p>
        </w:tc>
      </w:tr>
      <w:tr>
        <w:trPr>
          <w:trHeight w:val="1367"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智慧工厂机器人</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0"/>
              <w:ind w:right="1"/>
              <w:jc w:val="both"/>
              <w:rPr>
                <w:rFonts w:ascii="宋体" w:hAnsi="宋体" w:cs="宋体" w:eastAsia="宋体" w:hint="default"/>
                <w:sz w:val="18"/>
                <w:szCs w:val="18"/>
              </w:rPr>
            </w:pPr>
            <w:r>
              <w:rPr>
                <w:rFonts w:ascii="宋体" w:hAnsi="宋体" w:cs="宋体" w:eastAsia="宋体" w:hint="default"/>
                <w:spacing w:val="-3"/>
                <w:sz w:val="18"/>
                <w:szCs w:val="18"/>
              </w:rPr>
              <w:t>工业</w:t>
            </w:r>
            <w:r>
              <w:rPr>
                <w:rFonts w:ascii="宋体" w:hAnsi="宋体" w:cs="宋体" w:eastAsia="宋体" w:hint="default"/>
                <w:spacing w:val="-3"/>
                <w:sz w:val="18"/>
                <w:szCs w:val="18"/>
              </w:rPr>
              <w:t>4.0</w:t>
            </w:r>
            <w:r>
              <w:rPr>
                <w:rFonts w:ascii="宋体" w:hAnsi="宋体" w:cs="宋体" w:eastAsia="宋体" w:hint="default"/>
                <w:spacing w:val="-3"/>
                <w:sz w:val="18"/>
                <w:szCs w:val="18"/>
              </w:rPr>
              <w:t>的实现不光是机械手和机器人，重点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在于所有的工业制造节点有一个数据自动获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取并自动上传自动下达后一道命令的过程，</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这样才能严格管控生产流水线和异常统计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388"/>
              <w:jc w:val="right"/>
              <w:rPr>
                <w:rFonts w:ascii="宋体" w:hAnsi="宋体" w:cs="宋体" w:eastAsia="宋体" w:hint="default"/>
                <w:sz w:val="18"/>
                <w:szCs w:val="18"/>
              </w:rPr>
            </w:pPr>
            <w:r>
              <w:rPr>
                <w:rFonts w:ascii="宋体"/>
                <w:sz w:val="18"/>
              </w:rPr>
              <w:t>100%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21" w:lineRule="auto"/>
              <w:ind w:left="15" w:right="16"/>
              <w:jc w:val="both"/>
              <w:rPr>
                <w:rFonts w:ascii="宋体" w:hAnsi="宋体" w:cs="宋体" w:eastAsia="宋体" w:hint="default"/>
                <w:sz w:val="18"/>
                <w:szCs w:val="18"/>
              </w:rPr>
            </w:pPr>
            <w:r>
              <w:rPr>
                <w:rFonts w:ascii="宋体" w:hAnsi="宋体" w:cs="宋体" w:eastAsia="宋体" w:hint="default"/>
                <w:sz w:val="18"/>
                <w:szCs w:val="18"/>
              </w:rPr>
              <w:t>此项目的开发，将使我们真正应用于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工业物联网，使我们的物联网技术进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入国家重点领域</w:t>
            </w:r>
          </w:p>
        </w:tc>
      </w:tr>
      <w:tr>
        <w:trPr>
          <w:trHeight w:val="735"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600" w:right="0" w:hanging="586"/>
              <w:jc w:val="left"/>
              <w:rPr>
                <w:rFonts w:ascii="宋体" w:hAnsi="宋体" w:cs="宋体" w:eastAsia="宋体" w:hint="default"/>
                <w:sz w:val="18"/>
                <w:szCs w:val="18"/>
              </w:rPr>
            </w:pPr>
            <w:r>
              <w:rPr>
                <w:rFonts w:ascii="宋体" w:hAnsi="宋体" w:cs="宋体" w:eastAsia="宋体" w:hint="default"/>
                <w:sz w:val="18"/>
                <w:szCs w:val="18"/>
              </w:rPr>
              <w:t>老年人步态监控鞋</w:t>
            </w:r>
            <w:r>
              <w:rPr>
                <w:rFonts w:ascii="宋体" w:hAnsi="宋体" w:cs="宋体" w:eastAsia="宋体" w:hint="default"/>
                <w:sz w:val="18"/>
                <w:szCs w:val="18"/>
              </w:rPr>
              <w:t>-</w:t>
            </w:r>
            <w:r>
              <w:rPr>
                <w:rFonts w:ascii="宋体" w:hAnsi="宋体" w:cs="宋体" w:eastAsia="宋体" w:hint="default"/>
                <w:sz w:val="18"/>
                <w:szCs w:val="18"/>
              </w:rPr>
              <w:t>二代 加智能鞋</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智能鞋的升级产品，主要是为了降低成本</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88"/>
              <w:jc w:val="right"/>
              <w:rPr>
                <w:rFonts w:ascii="宋体" w:hAnsi="宋体" w:cs="宋体" w:eastAsia="宋体" w:hint="default"/>
                <w:sz w:val="18"/>
                <w:szCs w:val="18"/>
              </w:rPr>
            </w:pPr>
            <w:r>
              <w:rPr>
                <w:rFonts w:ascii="宋体"/>
                <w:sz w:val="18"/>
              </w:rPr>
              <w:t>100%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15" w:right="16"/>
              <w:jc w:val="left"/>
              <w:rPr>
                <w:rFonts w:ascii="宋体" w:hAnsi="宋体" w:cs="宋体" w:eastAsia="宋体" w:hint="default"/>
                <w:sz w:val="18"/>
                <w:szCs w:val="18"/>
              </w:rPr>
            </w:pPr>
            <w:r>
              <w:rPr>
                <w:rFonts w:ascii="宋体" w:hAnsi="宋体" w:cs="宋体" w:eastAsia="宋体" w:hint="default"/>
                <w:sz w:val="18"/>
                <w:szCs w:val="18"/>
              </w:rPr>
              <w:t>此项目是为了增加我们的智能鞋模块</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规格，更适合于市场需求</w:t>
            </w:r>
          </w:p>
        </w:tc>
      </w:tr>
      <w:tr>
        <w:trPr>
          <w:trHeight w:val="105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0"/>
              <w:jc w:val="center"/>
              <w:rPr>
                <w:rFonts w:ascii="宋体" w:hAnsi="宋体" w:cs="宋体" w:eastAsia="宋体" w:hint="default"/>
                <w:sz w:val="18"/>
                <w:szCs w:val="18"/>
              </w:rPr>
            </w:pPr>
            <w:r>
              <w:rPr>
                <w:rFonts w:ascii="宋体"/>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12" w:right="0"/>
              <w:jc w:val="center"/>
              <w:rPr>
                <w:rFonts w:ascii="宋体" w:hAnsi="宋体" w:cs="宋体" w:eastAsia="宋体" w:hint="default"/>
                <w:sz w:val="18"/>
                <w:szCs w:val="18"/>
              </w:rPr>
            </w:pPr>
            <w:r>
              <w:rPr>
                <w:rFonts w:ascii="宋体" w:hAnsi="宋体" w:cs="宋体" w:eastAsia="宋体" w:hint="default"/>
                <w:sz w:val="18"/>
                <w:szCs w:val="18"/>
              </w:rPr>
              <w:t>射频旋转结账开锁器</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21" w:lineRule="auto"/>
              <w:ind w:right="1"/>
              <w:jc w:val="left"/>
              <w:rPr>
                <w:rFonts w:ascii="宋体" w:hAnsi="宋体" w:cs="宋体" w:eastAsia="宋体" w:hint="default"/>
                <w:sz w:val="18"/>
                <w:szCs w:val="18"/>
              </w:rPr>
            </w:pPr>
            <w:r>
              <w:rPr>
                <w:rFonts w:ascii="宋体" w:hAnsi="宋体" w:cs="宋体" w:eastAsia="宋体" w:hint="default"/>
                <w:spacing w:val="-3"/>
                <w:sz w:val="18"/>
                <w:szCs w:val="18"/>
              </w:rPr>
              <w:t>EAS</w:t>
            </w:r>
            <w:r>
              <w:rPr>
                <w:rFonts w:ascii="宋体" w:hAnsi="宋体" w:cs="宋体" w:eastAsia="宋体" w:hint="default"/>
                <w:spacing w:val="-3"/>
                <w:sz w:val="18"/>
                <w:szCs w:val="18"/>
              </w:rPr>
              <w:t>全新的开锁方式与</w:t>
            </w:r>
            <w:r>
              <w:rPr>
                <w:rFonts w:ascii="宋体" w:hAnsi="宋体" w:cs="宋体" w:eastAsia="宋体" w:hint="default"/>
                <w:spacing w:val="-3"/>
                <w:sz w:val="18"/>
                <w:szCs w:val="18"/>
              </w:rPr>
              <w:t>RFID</w:t>
            </w:r>
            <w:r>
              <w:rPr>
                <w:rFonts w:ascii="宋体" w:hAnsi="宋体" w:cs="宋体" w:eastAsia="宋体" w:hint="default"/>
                <w:spacing w:val="-3"/>
                <w:sz w:val="18"/>
                <w:szCs w:val="18"/>
              </w:rPr>
              <w:t>的结合，是我们对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EAS</w:t>
            </w:r>
            <w:r>
              <w:rPr>
                <w:rFonts w:ascii="宋体" w:hAnsi="宋体" w:cs="宋体" w:eastAsia="宋体" w:hint="default"/>
                <w:sz w:val="18"/>
                <w:szCs w:val="18"/>
              </w:rPr>
              <w:t>产品升级的一种创新</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right="388"/>
              <w:jc w:val="right"/>
              <w:rPr>
                <w:rFonts w:ascii="宋体" w:hAnsi="宋体" w:cs="宋体" w:eastAsia="宋体" w:hint="default"/>
                <w:sz w:val="18"/>
                <w:szCs w:val="18"/>
              </w:rPr>
            </w:pPr>
            <w:r>
              <w:rPr>
                <w:rFonts w:ascii="宋体"/>
                <w:sz w:val="18"/>
              </w:rPr>
              <w:t>100%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left="15" w:right="16"/>
              <w:jc w:val="both"/>
              <w:rPr>
                <w:rFonts w:ascii="宋体" w:hAnsi="宋体" w:cs="宋体" w:eastAsia="宋体" w:hint="default"/>
                <w:sz w:val="18"/>
                <w:szCs w:val="18"/>
              </w:rPr>
            </w:pPr>
            <w:r>
              <w:rPr>
                <w:rFonts w:ascii="宋体" w:hAnsi="宋体" w:cs="宋体" w:eastAsia="宋体" w:hint="default"/>
                <w:sz w:val="18"/>
                <w:szCs w:val="18"/>
              </w:rPr>
              <w:t>此种产品可以与自助收银绑定，实现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自助收银结账后的自助开锁，我们认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为对于新零售门店来说意义重大</w:t>
            </w:r>
          </w:p>
        </w:tc>
      </w:tr>
      <w:tr>
        <w:trPr>
          <w:trHeight w:val="105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sz w:val="18"/>
              </w:rPr>
              <w:t>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4" w:right="0"/>
              <w:jc w:val="center"/>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z w:val="18"/>
                <w:szCs w:val="18"/>
              </w:rPr>
              <w:t>防盗</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right="15"/>
              <w:jc w:val="both"/>
              <w:rPr>
                <w:rFonts w:ascii="宋体" w:hAnsi="宋体" w:cs="宋体" w:eastAsia="宋体" w:hint="default"/>
                <w:sz w:val="18"/>
                <w:szCs w:val="18"/>
              </w:rPr>
            </w:pPr>
            <w:r>
              <w:rPr>
                <w:rFonts w:ascii="宋体" w:hAnsi="宋体" w:cs="宋体" w:eastAsia="宋体" w:hint="default"/>
                <w:sz w:val="18"/>
                <w:szCs w:val="18"/>
              </w:rPr>
              <w:t>RFID</w:t>
            </w:r>
            <w:r>
              <w:rPr>
                <w:rFonts w:ascii="宋体" w:hAnsi="宋体" w:cs="宋体" w:eastAsia="宋体" w:hint="default"/>
                <w:sz w:val="18"/>
                <w:szCs w:val="18"/>
              </w:rPr>
              <w:t>一体机的技术是我们公司服装行业成功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的关键，我们需要开发满足整体方案的不同</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设备来保证我们在行业内的老大地位</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388"/>
              <w:jc w:val="right"/>
              <w:rPr>
                <w:rFonts w:ascii="宋体" w:hAnsi="宋体" w:cs="宋体" w:eastAsia="宋体" w:hint="default"/>
                <w:sz w:val="18"/>
                <w:szCs w:val="18"/>
              </w:rPr>
            </w:pPr>
            <w:r>
              <w:rPr>
                <w:rFonts w:ascii="宋体"/>
                <w:sz w:val="18"/>
              </w:rPr>
              <w:t>100%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left="15" w:right="-12"/>
              <w:jc w:val="both"/>
              <w:rPr>
                <w:rFonts w:ascii="宋体" w:hAnsi="宋体" w:cs="宋体" w:eastAsia="宋体" w:hint="default"/>
                <w:sz w:val="18"/>
                <w:szCs w:val="18"/>
              </w:rPr>
            </w:pPr>
            <w:r>
              <w:rPr>
                <w:rFonts w:ascii="宋体" w:hAnsi="宋体" w:cs="宋体" w:eastAsia="宋体" w:hint="default"/>
                <w:spacing w:val="15"/>
                <w:sz w:val="18"/>
                <w:szCs w:val="18"/>
              </w:rPr>
              <w:t>此项目将是我们核心优势的一款产 </w:t>
            </w:r>
            <w:r>
              <w:rPr>
                <w:rFonts w:ascii="宋体" w:hAnsi="宋体" w:cs="宋体" w:eastAsia="宋体" w:hint="default"/>
                <w:sz w:val="18"/>
                <w:szCs w:val="18"/>
              </w:rPr>
              <w:t>品，打造行业方案能力优势，打造行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业第一的服装解决方案</w:t>
            </w:r>
          </w:p>
        </w:tc>
      </w:tr>
      <w:tr>
        <w:trPr>
          <w:trHeight w:val="750"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2" w:right="0"/>
              <w:jc w:val="center"/>
              <w:rPr>
                <w:rFonts w:ascii="宋体" w:hAnsi="宋体" w:cs="宋体" w:eastAsia="宋体" w:hint="default"/>
                <w:sz w:val="18"/>
                <w:szCs w:val="18"/>
              </w:rPr>
            </w:pPr>
            <w:r>
              <w:rPr>
                <w:rFonts w:ascii="宋体" w:hAnsi="宋体" w:cs="宋体" w:eastAsia="宋体" w:hint="default"/>
                <w:sz w:val="18"/>
                <w:szCs w:val="18"/>
              </w:rPr>
              <w:t>多线程价格显示系统</w:t>
            </w:r>
          </w:p>
          <w:p>
            <w:pPr>
              <w:pStyle w:val="TableParagraph"/>
              <w:spacing w:line="240" w:lineRule="auto" w:before="80"/>
              <w:ind w:left="14"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z w:val="18"/>
                <w:szCs w:val="18"/>
              </w:rPr>
              <w:t>基站</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4"/>
              <w:ind w:right="17"/>
              <w:jc w:val="left"/>
              <w:rPr>
                <w:rFonts w:ascii="宋体" w:hAnsi="宋体" w:cs="宋体" w:eastAsia="宋体" w:hint="default"/>
                <w:sz w:val="18"/>
                <w:szCs w:val="18"/>
              </w:rPr>
            </w:pPr>
            <w:r>
              <w:rPr>
                <w:rFonts w:ascii="宋体" w:hAnsi="宋体" w:cs="宋体" w:eastAsia="宋体" w:hint="default"/>
                <w:sz w:val="18"/>
                <w:szCs w:val="18"/>
              </w:rPr>
              <w:t>基站的开发，是可以形成行业上的核心优势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的，研发必须有核心优势才能在整体方案应</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433"/>
              <w:jc w:val="right"/>
              <w:rPr>
                <w:rFonts w:ascii="宋体" w:hAnsi="宋体" w:cs="宋体" w:eastAsia="宋体" w:hint="default"/>
                <w:sz w:val="18"/>
                <w:szCs w:val="18"/>
              </w:rPr>
            </w:pPr>
            <w:r>
              <w:rPr>
                <w:rFonts w:ascii="宋体"/>
                <w:sz w:val="18"/>
              </w:rPr>
              <w:t>80%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74"/>
              <w:ind w:left="15" w:right="16"/>
              <w:jc w:val="left"/>
              <w:rPr>
                <w:rFonts w:ascii="宋体" w:hAnsi="宋体" w:cs="宋体" w:eastAsia="宋体" w:hint="default"/>
                <w:sz w:val="18"/>
                <w:szCs w:val="18"/>
              </w:rPr>
            </w:pPr>
            <w:r>
              <w:rPr>
                <w:rFonts w:ascii="宋体" w:hAnsi="宋体" w:cs="宋体" w:eastAsia="宋体" w:hint="default"/>
                <w:sz w:val="18"/>
                <w:szCs w:val="18"/>
              </w:rPr>
              <w:t>此项目的成功，意味着我们真正拥有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了我们的核心优势技术，对我们公司</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706"/>
        <w:gridCol w:w="1922"/>
        <w:gridCol w:w="3469"/>
        <w:gridCol w:w="1186"/>
        <w:gridCol w:w="2944"/>
      </w:tblGrid>
      <w:tr>
        <w:trPr>
          <w:trHeight w:val="390" w:hRule="exact"/>
        </w:trPr>
        <w:tc>
          <w:tcPr>
            <w:tcW w:w="706"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用和市场上胜出</w:t>
            </w:r>
          </w:p>
        </w:tc>
        <w:tc>
          <w:tcPr>
            <w:tcW w:w="1186" w:type="dxa"/>
            <w:tcBorders>
              <w:top w:val="single" w:sz="6" w:space="0" w:color="000000"/>
              <w:left w:val="single" w:sz="6" w:space="0" w:color="000000"/>
              <w:bottom w:val="single" w:sz="6" w:space="0" w:color="000000"/>
              <w:right w:val="single" w:sz="6" w:space="0" w:color="000000"/>
            </w:tcBorders>
          </w:tcPr>
          <w:p>
            <w:pP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z w:val="18"/>
                <w:szCs w:val="18"/>
              </w:rPr>
              <w:t>的定位和发展起到决定性作用</w:t>
            </w:r>
          </w:p>
        </w:tc>
      </w:tr>
      <w:tr>
        <w:trPr>
          <w:trHeight w:val="2927"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98"/>
              <w:jc w:val="right"/>
              <w:rPr>
                <w:rFonts w:ascii="宋体" w:hAnsi="宋体" w:cs="宋体" w:eastAsia="宋体" w:hint="default"/>
                <w:sz w:val="18"/>
                <w:szCs w:val="18"/>
              </w:rPr>
            </w:pPr>
            <w:r>
              <w:rPr>
                <w:rFonts w:ascii="宋体"/>
                <w:sz w:val="18"/>
              </w:rPr>
              <w:t>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left="60" w:right="45"/>
              <w:jc w:val="center"/>
              <w:rPr>
                <w:rFonts w:ascii="宋体" w:hAnsi="宋体" w:cs="宋体" w:eastAsia="宋体" w:hint="default"/>
                <w:sz w:val="18"/>
                <w:szCs w:val="18"/>
              </w:rPr>
            </w:pPr>
            <w:r>
              <w:rPr>
                <w:rFonts w:ascii="宋体" w:hAnsi="宋体" w:cs="宋体" w:eastAsia="宋体" w:hint="default"/>
                <w:sz w:val="18"/>
                <w:szCs w:val="18"/>
              </w:rPr>
              <w:t>基于立体化网络建设出 生缺陷综合防控示范应 用体系</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4" w:lineRule="auto"/>
              <w:ind w:right="17"/>
              <w:jc w:val="both"/>
              <w:rPr>
                <w:rFonts w:ascii="宋体" w:hAnsi="宋体" w:cs="宋体" w:eastAsia="宋体" w:hint="default"/>
                <w:sz w:val="18"/>
                <w:szCs w:val="18"/>
              </w:rPr>
            </w:pPr>
            <w:r>
              <w:rPr>
                <w:rFonts w:ascii="宋体" w:hAnsi="宋体" w:cs="宋体" w:eastAsia="宋体" w:hint="default"/>
                <w:sz w:val="18"/>
                <w:szCs w:val="18"/>
              </w:rPr>
              <w:t>架设出生缺陷防控的在线工具，实现检测数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据存取、报告存取发放、信息录入存储的完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全均一化和系统化</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433"/>
              <w:jc w:val="right"/>
              <w:rPr>
                <w:rFonts w:ascii="宋体" w:hAnsi="宋体" w:cs="宋体" w:eastAsia="宋体" w:hint="default"/>
                <w:sz w:val="18"/>
                <w:szCs w:val="18"/>
              </w:rPr>
            </w:pPr>
            <w:r>
              <w:rPr>
                <w:rFonts w:ascii="宋体"/>
                <w:sz w:val="18"/>
              </w:rPr>
              <w:t>75%</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5"/>
              <w:ind w:left="15" w:right="16"/>
              <w:jc w:val="both"/>
              <w:rPr>
                <w:rFonts w:ascii="宋体" w:hAnsi="宋体" w:cs="宋体" w:eastAsia="宋体" w:hint="default"/>
                <w:sz w:val="18"/>
                <w:szCs w:val="18"/>
              </w:rPr>
            </w:pPr>
            <w:r>
              <w:rPr>
                <w:rFonts w:ascii="宋体" w:hAnsi="宋体" w:cs="宋体" w:eastAsia="宋体" w:hint="default"/>
                <w:sz w:val="18"/>
                <w:szCs w:val="18"/>
              </w:rPr>
              <w:t>通过立体化网络出生缺陷防控系统建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设，形成三级预防，从防止出生缺陷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发生、减少严重出生缺陷发生、早期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筛查与诊疗等方面对出生缺陷进行全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方位防治，从而有效降低我国新生儿</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出生缺陷率，提升人口质量。项目在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提高公司的社会责任感同时也进一步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提升我司的影响力，有助于公司长久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发展</w:t>
            </w:r>
          </w:p>
        </w:tc>
      </w:tr>
      <w:tr>
        <w:trPr>
          <w:trHeight w:val="73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8"/>
              <w:jc w:val="right"/>
              <w:rPr>
                <w:rFonts w:ascii="宋体" w:hAnsi="宋体" w:cs="宋体" w:eastAsia="宋体" w:hint="default"/>
                <w:sz w:val="18"/>
                <w:szCs w:val="18"/>
              </w:rPr>
            </w:pPr>
            <w:r>
              <w:rPr>
                <w:rFonts w:ascii="宋体"/>
                <w:sz w:val="18"/>
              </w:rPr>
              <w:t>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690" w:right="-1" w:hanging="676"/>
              <w:jc w:val="left"/>
              <w:rPr>
                <w:rFonts w:ascii="宋体" w:hAnsi="宋体" w:cs="宋体" w:eastAsia="宋体" w:hint="default"/>
                <w:sz w:val="18"/>
                <w:szCs w:val="18"/>
              </w:rPr>
            </w:pPr>
            <w:r>
              <w:rPr>
                <w:rFonts w:ascii="宋体" w:hAnsi="宋体" w:cs="宋体" w:eastAsia="宋体" w:hint="default"/>
                <w:sz w:val="18"/>
                <w:szCs w:val="18"/>
              </w:rPr>
              <w:t>定时定量智能服药器</w:t>
            </w:r>
            <w:r>
              <w:rPr>
                <w:rFonts w:ascii="宋体" w:hAnsi="宋体" w:cs="宋体" w:eastAsia="宋体" w:hint="default"/>
                <w:sz w:val="18"/>
                <w:szCs w:val="18"/>
              </w:rPr>
              <w:t>-</w:t>
            </w:r>
            <w:r>
              <w:rPr>
                <w:rFonts w:ascii="宋体" w:hAnsi="宋体" w:cs="宋体" w:eastAsia="宋体" w:hint="default"/>
                <w:sz w:val="18"/>
                <w:szCs w:val="18"/>
              </w:rPr>
              <w:t>智 能药盒</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right="17"/>
              <w:jc w:val="left"/>
              <w:rPr>
                <w:rFonts w:ascii="宋体" w:hAnsi="宋体" w:cs="宋体" w:eastAsia="宋体" w:hint="default"/>
                <w:sz w:val="18"/>
                <w:szCs w:val="18"/>
              </w:rPr>
            </w:pPr>
            <w:r>
              <w:rPr>
                <w:rFonts w:ascii="宋体" w:hAnsi="宋体" w:cs="宋体" w:eastAsia="宋体" w:hint="default"/>
                <w:sz w:val="18"/>
                <w:szCs w:val="18"/>
              </w:rPr>
              <w:t>智能药盒是我们的一款全自动出药系统，解</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决老年人吃药服务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33"/>
              <w:jc w:val="right"/>
              <w:rPr>
                <w:rFonts w:ascii="宋体" w:hAnsi="宋体" w:cs="宋体" w:eastAsia="宋体" w:hint="default"/>
                <w:sz w:val="18"/>
                <w:szCs w:val="18"/>
              </w:rPr>
            </w:pPr>
            <w:r>
              <w:rPr>
                <w:rFonts w:ascii="宋体"/>
                <w:sz w:val="18"/>
              </w:rPr>
              <w:t>70%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6"/>
              <w:jc w:val="left"/>
              <w:rPr>
                <w:rFonts w:ascii="宋体" w:hAnsi="宋体" w:cs="宋体" w:eastAsia="宋体" w:hint="default"/>
                <w:sz w:val="18"/>
                <w:szCs w:val="18"/>
              </w:rPr>
            </w:pPr>
            <w:r>
              <w:rPr>
                <w:rFonts w:ascii="宋体" w:hAnsi="宋体" w:cs="宋体" w:eastAsia="宋体" w:hint="default"/>
                <w:sz w:val="18"/>
                <w:szCs w:val="18"/>
              </w:rPr>
              <w:t>智能药盒是我们在人工智能领域的敲</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门砖，是我们未来的方向</w:t>
            </w:r>
          </w:p>
        </w:tc>
      </w:tr>
      <w:tr>
        <w:trPr>
          <w:trHeight w:val="1682"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55"/>
              <w:jc w:val="right"/>
              <w:rPr>
                <w:rFonts w:ascii="宋体" w:hAnsi="宋体" w:cs="宋体" w:eastAsia="宋体" w:hint="default"/>
                <w:sz w:val="18"/>
                <w:szCs w:val="18"/>
              </w:rPr>
            </w:pPr>
            <w:r>
              <w:rPr>
                <w:rFonts w:ascii="宋体"/>
                <w:sz w:val="18"/>
              </w:rPr>
              <w:t>10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1"/>
              <w:ind w:left="329" w:right="45" w:hanging="270"/>
              <w:jc w:val="left"/>
              <w:rPr>
                <w:rFonts w:ascii="宋体" w:hAnsi="宋体" w:cs="宋体" w:eastAsia="宋体" w:hint="default"/>
                <w:sz w:val="18"/>
                <w:szCs w:val="18"/>
              </w:rPr>
            </w:pPr>
            <w:r>
              <w:rPr>
                <w:rFonts w:ascii="宋体" w:hAnsi="宋体" w:cs="宋体" w:eastAsia="宋体" w:hint="default"/>
                <w:sz w:val="18"/>
                <w:szCs w:val="18"/>
              </w:rPr>
              <w:t>医养结合智能信息技术 研究及系统开发</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11"/>
              <w:ind w:right="15"/>
              <w:jc w:val="left"/>
              <w:rPr>
                <w:rFonts w:ascii="宋体" w:hAnsi="宋体" w:cs="宋体" w:eastAsia="宋体" w:hint="default"/>
                <w:sz w:val="18"/>
                <w:szCs w:val="18"/>
              </w:rPr>
            </w:pPr>
            <w:r>
              <w:rPr>
                <w:rFonts w:ascii="宋体" w:hAnsi="宋体" w:cs="宋体" w:eastAsia="宋体" w:hint="default"/>
                <w:sz w:val="18"/>
                <w:szCs w:val="18"/>
              </w:rPr>
              <w:t>建立医养护融合智慧养老服务平台，打造智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慧健康养老“护联网”生态圈</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33"/>
              <w:jc w:val="right"/>
              <w:rPr>
                <w:rFonts w:ascii="宋体" w:hAnsi="宋体" w:cs="宋体" w:eastAsia="宋体" w:hint="default"/>
                <w:sz w:val="18"/>
                <w:szCs w:val="18"/>
              </w:rPr>
            </w:pPr>
            <w:r>
              <w:rPr>
                <w:rFonts w:ascii="宋体"/>
                <w:sz w:val="18"/>
              </w:rPr>
              <w:t>60%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59"/>
              <w:ind w:left="15" w:right="16"/>
              <w:jc w:val="both"/>
              <w:rPr>
                <w:rFonts w:ascii="宋体" w:hAnsi="宋体" w:cs="宋体" w:eastAsia="宋体" w:hint="default"/>
                <w:sz w:val="18"/>
                <w:szCs w:val="18"/>
              </w:rPr>
            </w:pPr>
            <w:r>
              <w:rPr>
                <w:rFonts w:ascii="宋体" w:hAnsi="宋体" w:cs="宋体" w:eastAsia="宋体" w:hint="default"/>
                <w:sz w:val="18"/>
                <w:szCs w:val="18"/>
              </w:rPr>
              <w:t>面对中国日益庞大的健康养老服务市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场需求，通过智慧养老应用开发及示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范验证可有效提升公司在养老服务市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场的影响力与竞争力，进一步为公司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拓展新兴市场</w:t>
            </w:r>
          </w:p>
        </w:tc>
      </w:tr>
      <w:tr>
        <w:trPr>
          <w:trHeight w:val="2612"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55"/>
              <w:jc w:val="right"/>
              <w:rPr>
                <w:rFonts w:ascii="宋体" w:hAnsi="宋体" w:cs="宋体" w:eastAsia="宋体" w:hint="default"/>
                <w:sz w:val="18"/>
                <w:szCs w:val="18"/>
              </w:rPr>
            </w:pPr>
            <w:r>
              <w:rPr>
                <w:rFonts w:ascii="宋体"/>
                <w:sz w:val="18"/>
              </w:rPr>
              <w:t>11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04" w:lineRule="auto"/>
              <w:ind w:left="329" w:right="45" w:hanging="270"/>
              <w:jc w:val="left"/>
              <w:rPr>
                <w:rFonts w:ascii="宋体" w:hAnsi="宋体" w:cs="宋体" w:eastAsia="宋体" w:hint="default"/>
                <w:sz w:val="18"/>
                <w:szCs w:val="18"/>
              </w:rPr>
            </w:pPr>
            <w:r>
              <w:rPr>
                <w:rFonts w:ascii="宋体" w:hAnsi="宋体" w:cs="宋体" w:eastAsia="宋体" w:hint="default"/>
                <w:sz w:val="18"/>
                <w:szCs w:val="18"/>
              </w:rPr>
              <w:t>基于知识图谱的医学人 工智能示范应用</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44"/>
              <w:ind w:right="-16"/>
              <w:jc w:val="both"/>
              <w:rPr>
                <w:rFonts w:ascii="宋体" w:hAnsi="宋体" w:cs="宋体" w:eastAsia="宋体" w:hint="default"/>
                <w:sz w:val="18"/>
                <w:szCs w:val="18"/>
              </w:rPr>
            </w:pPr>
            <w:r>
              <w:rPr>
                <w:rFonts w:ascii="宋体" w:hAnsi="宋体" w:cs="宋体" w:eastAsia="宋体" w:hint="default"/>
                <w:sz w:val="18"/>
                <w:szCs w:val="18"/>
              </w:rPr>
              <w:t>构建可泛化、可扩展的医学知识图谱，对医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学字典、知识库、</w:t>
            </w:r>
            <w:r>
              <w:rPr>
                <w:rFonts w:ascii="宋体" w:hAnsi="宋体" w:cs="宋体" w:eastAsia="宋体" w:hint="default"/>
                <w:spacing w:val="-38"/>
                <w:sz w:val="18"/>
                <w:szCs w:val="18"/>
              </w:rPr>
              <w:t> </w:t>
            </w:r>
            <w:r>
              <w:rPr>
                <w:rFonts w:ascii="宋体" w:hAnsi="宋体" w:cs="宋体" w:eastAsia="宋体" w:hint="default"/>
                <w:sz w:val="18"/>
                <w:szCs w:val="18"/>
              </w:rPr>
              <w:t>指南、电子病历等不同来</w:t>
            </w:r>
            <w:r>
              <w:rPr>
                <w:rFonts w:ascii="宋体" w:hAnsi="宋体" w:cs="宋体" w:eastAsia="宋体" w:hint="default"/>
                <w:sz w:val="18"/>
                <w:szCs w:val="18"/>
              </w:rPr>
              <w:t> </w:t>
            </w:r>
            <w:r>
              <w:rPr>
                <w:rFonts w:ascii="宋体" w:hAnsi="宋体" w:cs="宋体" w:eastAsia="宋体" w:hint="default"/>
                <w:spacing w:val="-8"/>
                <w:sz w:val="18"/>
                <w:szCs w:val="18"/>
              </w:rPr>
              <w:t>源医学数据进行抽取、融合、存储和应用，</w:t>
            </w:r>
            <w:r>
              <w:rPr>
                <w:rFonts w:ascii="宋体" w:hAnsi="宋体" w:cs="宋体" w:eastAsia="宋体" w:hint="default"/>
                <w:spacing w:val="-71"/>
                <w:sz w:val="18"/>
                <w:szCs w:val="18"/>
              </w:rPr>
              <w:t> </w:t>
            </w:r>
            <w:r>
              <w:rPr>
                <w:rFonts w:ascii="宋体" w:hAnsi="宋体" w:cs="宋体" w:eastAsia="宋体" w:hint="default"/>
                <w:sz w:val="18"/>
                <w:szCs w:val="18"/>
              </w:rPr>
              <w:t>促</w:t>
            </w:r>
            <w:r>
              <w:rPr>
                <w:rFonts w:ascii="宋体" w:hAnsi="宋体" w:cs="宋体" w:eastAsia="宋体" w:hint="default"/>
                <w:sz w:val="18"/>
                <w:szCs w:val="18"/>
              </w:rPr>
              <w:t> 进医学知识图谱通过数据驱动不断增量式构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建，形成医学知识更新闭环，以元数据为最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小单元建立语义本体模型，从疾病诊断学角</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度在知识图谱中关联展现，实现对部分病种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的临床辅助诊断及医学科研领域应用</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33"/>
              <w:jc w:val="right"/>
              <w:rPr>
                <w:rFonts w:ascii="宋体" w:hAnsi="宋体" w:cs="宋体" w:eastAsia="宋体" w:hint="default"/>
                <w:sz w:val="18"/>
                <w:szCs w:val="18"/>
              </w:rPr>
            </w:pPr>
            <w:r>
              <w:rPr>
                <w:rFonts w:ascii="宋体"/>
                <w:sz w:val="18"/>
              </w:rPr>
              <w:t>60%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15" w:right="16"/>
              <w:jc w:val="both"/>
              <w:rPr>
                <w:rFonts w:ascii="宋体" w:hAnsi="宋体" w:cs="宋体" w:eastAsia="宋体" w:hint="default"/>
                <w:sz w:val="18"/>
                <w:szCs w:val="18"/>
              </w:rPr>
            </w:pPr>
            <w:r>
              <w:rPr>
                <w:rFonts w:ascii="宋体" w:hAnsi="宋体" w:cs="宋体" w:eastAsia="宋体" w:hint="default"/>
                <w:sz w:val="18"/>
                <w:szCs w:val="18"/>
              </w:rPr>
              <w:t>通过医学知识图谱的概要模式，打造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国内医学知识图谱的语义网络结构，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实现临床术语归一化与全结构化单病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种数据库构建和基于循证医学规则的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临床辅助决策及医疗科研服务，为公</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司在人工智能领域内应用的探索与进</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步赋能</w:t>
            </w:r>
          </w:p>
        </w:tc>
      </w:tr>
      <w:tr>
        <w:trPr>
          <w:trHeight w:val="1366"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255"/>
              <w:jc w:val="right"/>
              <w:rPr>
                <w:rFonts w:ascii="宋体" w:hAnsi="宋体" w:cs="宋体" w:eastAsia="宋体" w:hint="default"/>
                <w:sz w:val="18"/>
                <w:szCs w:val="18"/>
              </w:rPr>
            </w:pPr>
            <w:r>
              <w:rPr>
                <w:rFonts w:ascii="宋体"/>
                <w:sz w:val="18"/>
              </w:rPr>
              <w:t>12</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3"/>
              <w:ind w:left="194" w:right="1" w:hanging="180"/>
              <w:jc w:val="left"/>
              <w:rPr>
                <w:rFonts w:ascii="宋体" w:hAnsi="宋体" w:cs="宋体" w:eastAsia="宋体" w:hint="default"/>
                <w:sz w:val="18"/>
                <w:szCs w:val="18"/>
              </w:rPr>
            </w:pPr>
            <w:r>
              <w:rPr>
                <w:rFonts w:ascii="宋体" w:hAnsi="宋体" w:cs="宋体" w:eastAsia="宋体" w:hint="default"/>
                <w:sz w:val="18"/>
                <w:szCs w:val="18"/>
              </w:rPr>
              <w:t>省重大</w:t>
            </w:r>
            <w:r>
              <w:rPr>
                <w:rFonts w:ascii="宋体" w:hAnsi="宋体" w:cs="宋体" w:eastAsia="宋体" w:hint="default"/>
                <w:sz w:val="18"/>
                <w:szCs w:val="18"/>
              </w:rPr>
              <w:t>-</w:t>
            </w:r>
            <w:r>
              <w:rPr>
                <w:rFonts w:ascii="宋体" w:hAnsi="宋体" w:cs="宋体" w:eastAsia="宋体" w:hint="default"/>
                <w:sz w:val="18"/>
                <w:szCs w:val="18"/>
              </w:rPr>
              <w:t>物联网智能传感 识别芯片研究</w:t>
            </w:r>
            <w:r>
              <w:rPr>
                <w:rFonts w:ascii="宋体" w:hAnsi="宋体" w:cs="宋体" w:eastAsia="宋体" w:hint="default"/>
                <w:sz w:val="18"/>
                <w:szCs w:val="18"/>
              </w:rPr>
              <w:t>-</w:t>
            </w:r>
            <w:r>
              <w:rPr>
                <w:rFonts w:ascii="宋体" w:hAnsi="宋体" w:cs="宋体" w:eastAsia="宋体" w:hint="default"/>
                <w:sz w:val="18"/>
                <w:szCs w:val="18"/>
              </w:rPr>
              <w:t>专项</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3"/>
              <w:ind w:right="17"/>
              <w:jc w:val="left"/>
              <w:rPr>
                <w:rFonts w:ascii="宋体" w:hAnsi="宋体" w:cs="宋体" w:eastAsia="宋体" w:hint="default"/>
                <w:sz w:val="18"/>
                <w:szCs w:val="18"/>
              </w:rPr>
            </w:pPr>
            <w:r>
              <w:rPr>
                <w:rFonts w:ascii="宋体" w:hAnsi="宋体" w:cs="宋体" w:eastAsia="宋体" w:hint="default"/>
                <w:sz w:val="18"/>
                <w:szCs w:val="18"/>
              </w:rPr>
              <w:t>物联网应用芯片是我们的薄弱项，我们拟以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省重大形式拥有一款我们核心技术的芯片</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433"/>
              <w:jc w:val="right"/>
              <w:rPr>
                <w:rFonts w:ascii="宋体" w:hAnsi="宋体" w:cs="宋体" w:eastAsia="宋体" w:hint="default"/>
                <w:sz w:val="18"/>
                <w:szCs w:val="18"/>
              </w:rPr>
            </w:pPr>
            <w:r>
              <w:rPr>
                <w:rFonts w:ascii="宋体"/>
                <w:sz w:val="18"/>
              </w:rPr>
              <w:t>50%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6"/>
              <w:jc w:val="both"/>
              <w:rPr>
                <w:rFonts w:ascii="宋体" w:hAnsi="宋体" w:cs="宋体" w:eastAsia="宋体" w:hint="default"/>
                <w:sz w:val="18"/>
                <w:szCs w:val="18"/>
              </w:rPr>
            </w:pPr>
            <w:r>
              <w:rPr>
                <w:rFonts w:ascii="宋体" w:hAnsi="宋体" w:cs="宋体" w:eastAsia="宋体" w:hint="default"/>
                <w:sz w:val="18"/>
                <w:szCs w:val="18"/>
              </w:rPr>
              <w:t>芯片是国家自主技术核心，也是所有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硬件产品里面的核心，通过此产品的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开发应用，我们在物联网行业里面的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形象将得到提升</w:t>
            </w:r>
          </w:p>
        </w:tc>
      </w:tr>
      <w:tr>
        <w:trPr>
          <w:trHeight w:val="1051"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55"/>
              <w:jc w:val="right"/>
              <w:rPr>
                <w:rFonts w:ascii="宋体" w:hAnsi="宋体" w:cs="宋体" w:eastAsia="宋体" w:hint="default"/>
                <w:sz w:val="18"/>
                <w:szCs w:val="18"/>
              </w:rPr>
            </w:pPr>
            <w:r>
              <w:rPr>
                <w:rFonts w:ascii="宋体"/>
                <w:sz w:val="18"/>
              </w:rPr>
              <w:t>13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0" w:right="0"/>
              <w:jc w:val="left"/>
              <w:rPr>
                <w:rFonts w:ascii="宋体" w:hAnsi="宋体" w:cs="宋体" w:eastAsia="宋体" w:hint="default"/>
                <w:sz w:val="18"/>
                <w:szCs w:val="18"/>
              </w:rPr>
            </w:pPr>
            <w:r>
              <w:rPr>
                <w:rFonts w:ascii="宋体" w:hAnsi="宋体" w:cs="宋体" w:eastAsia="宋体" w:hint="default"/>
                <w:sz w:val="18"/>
                <w:szCs w:val="18"/>
              </w:rPr>
              <w:t>人工智能听诊器项目</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7" w:lineRule="auto"/>
              <w:ind w:right="17"/>
              <w:jc w:val="left"/>
              <w:rPr>
                <w:rFonts w:ascii="宋体" w:hAnsi="宋体" w:cs="宋体" w:eastAsia="宋体" w:hint="default"/>
                <w:sz w:val="18"/>
                <w:szCs w:val="18"/>
              </w:rPr>
            </w:pPr>
            <w:r>
              <w:rPr>
                <w:rFonts w:ascii="宋体" w:hAnsi="宋体" w:cs="宋体" w:eastAsia="宋体" w:hint="default"/>
                <w:sz w:val="18"/>
                <w:szCs w:val="18"/>
              </w:rPr>
              <w:t>医院院长提出的需求，将机械式听诊器升级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成人工智能听诊器</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433"/>
              <w:jc w:val="right"/>
              <w:rPr>
                <w:rFonts w:ascii="宋体" w:hAnsi="宋体" w:cs="宋体" w:eastAsia="宋体" w:hint="default"/>
                <w:sz w:val="18"/>
                <w:szCs w:val="18"/>
              </w:rPr>
            </w:pPr>
            <w:r>
              <w:rPr>
                <w:rFonts w:ascii="宋体"/>
                <w:sz w:val="18"/>
              </w:rPr>
              <w:t>50%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6"/>
              <w:jc w:val="both"/>
              <w:rPr>
                <w:rFonts w:ascii="宋体" w:hAnsi="宋体" w:cs="宋体" w:eastAsia="宋体" w:hint="default"/>
                <w:sz w:val="18"/>
                <w:szCs w:val="18"/>
              </w:rPr>
            </w:pPr>
            <w:r>
              <w:rPr>
                <w:rFonts w:ascii="宋体" w:hAnsi="宋体" w:cs="宋体" w:eastAsia="宋体" w:hint="default"/>
                <w:sz w:val="18"/>
                <w:szCs w:val="18"/>
              </w:rPr>
              <w:t>此项目的成功，是我们在人工智能传</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感器识别领域的一大突破，为我们在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智慧医疗行业的大力推广打下基础</w:t>
            </w:r>
          </w:p>
        </w:tc>
      </w:tr>
      <w:tr>
        <w:trPr>
          <w:trHeight w:val="2913"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55"/>
              <w:jc w:val="right"/>
              <w:rPr>
                <w:rFonts w:ascii="宋体" w:hAnsi="宋体" w:cs="宋体" w:eastAsia="宋体" w:hint="default"/>
                <w:sz w:val="18"/>
                <w:szCs w:val="18"/>
              </w:rPr>
            </w:pPr>
            <w:r>
              <w:rPr>
                <w:rFonts w:ascii="宋体"/>
                <w:sz w:val="18"/>
              </w:rPr>
              <w:t>14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06"/>
              <w:ind w:left="150" w:right="45" w:hanging="90"/>
              <w:jc w:val="left"/>
              <w:rPr>
                <w:rFonts w:ascii="宋体" w:hAnsi="宋体" w:cs="宋体" w:eastAsia="宋体" w:hint="default"/>
                <w:sz w:val="18"/>
                <w:szCs w:val="18"/>
              </w:rPr>
            </w:pPr>
            <w:r>
              <w:rPr>
                <w:rFonts w:ascii="宋体" w:hAnsi="宋体" w:cs="宋体" w:eastAsia="宋体" w:hint="default"/>
                <w:sz w:val="18"/>
                <w:szCs w:val="18"/>
              </w:rPr>
              <w:t>基于人工智能的临床辅 助决策支持系统研发</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9" w:lineRule="auto"/>
              <w:ind w:right="17"/>
              <w:jc w:val="both"/>
              <w:rPr>
                <w:rFonts w:ascii="宋体" w:hAnsi="宋体" w:cs="宋体" w:eastAsia="宋体" w:hint="default"/>
                <w:sz w:val="18"/>
                <w:szCs w:val="18"/>
              </w:rPr>
            </w:pPr>
            <w:r>
              <w:rPr>
                <w:rFonts w:ascii="宋体" w:hAnsi="宋体" w:cs="宋体" w:eastAsia="宋体" w:hint="default"/>
                <w:sz w:val="18"/>
                <w:szCs w:val="18"/>
              </w:rPr>
              <w:t>开展智能辅助诊断、智能辅助问诊、智能辅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助分诊、智能辅助治疗等人工智能辅助应用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功能开发，形成基于人工智能的临床辅助决</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策支持系统，并不断通过自学习训练优化疾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病模型结构，调整疾病诊断规则，为患者提</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供基于人工智能的临床辅助决策支持服务</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433"/>
              <w:jc w:val="right"/>
              <w:rPr>
                <w:rFonts w:ascii="宋体" w:hAnsi="宋体" w:cs="宋体" w:eastAsia="宋体" w:hint="default"/>
                <w:sz w:val="18"/>
                <w:szCs w:val="18"/>
              </w:rPr>
            </w:pPr>
            <w:r>
              <w:rPr>
                <w:rFonts w:ascii="宋体"/>
                <w:sz w:val="18"/>
              </w:rPr>
              <w:t>40%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4"/>
              <w:jc w:val="both"/>
              <w:rPr>
                <w:rFonts w:ascii="宋体" w:hAnsi="宋体" w:cs="宋体" w:eastAsia="宋体" w:hint="default"/>
                <w:sz w:val="18"/>
                <w:szCs w:val="18"/>
              </w:rPr>
            </w:pPr>
            <w:r>
              <w:rPr>
                <w:rFonts w:ascii="宋体" w:hAnsi="宋体" w:cs="宋体" w:eastAsia="宋体" w:hint="default"/>
                <w:sz w:val="18"/>
                <w:szCs w:val="18"/>
              </w:rPr>
              <w:t>基于人工智能的临床辅助决策支持系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统具备开放式服务</w:t>
            </w:r>
            <w:r>
              <w:rPr>
                <w:rFonts w:ascii="宋体" w:hAnsi="宋体" w:cs="宋体" w:eastAsia="宋体" w:hint="default"/>
                <w:spacing w:val="-67"/>
                <w:sz w:val="18"/>
                <w:szCs w:val="18"/>
              </w:rPr>
              <w:t> </w:t>
            </w:r>
            <w:r>
              <w:rPr>
                <w:rFonts w:ascii="宋体" w:hAnsi="宋体" w:cs="宋体" w:eastAsia="宋体" w:hint="default"/>
                <w:spacing w:val="4"/>
                <w:sz w:val="18"/>
                <w:szCs w:val="18"/>
              </w:rPr>
              <w:t>API</w:t>
            </w:r>
            <w:r>
              <w:rPr>
                <w:rFonts w:ascii="宋体" w:hAnsi="宋体" w:cs="宋体" w:eastAsia="宋体" w:hint="default"/>
                <w:spacing w:val="4"/>
                <w:sz w:val="18"/>
                <w:szCs w:val="18"/>
              </w:rPr>
              <w:t>接口，可与肺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癌、冠心病、肺结节疾病相关功能引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擎实现联通，通过完成三种疾病辅助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诊疗引擎的智能化和科学化，形成基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于人工智能的临床辅助决策支持的更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多服务与产品，在逐步解决三类疾病</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诊疗痛点的同时创造着更多市场需求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和新增突破</w:t>
            </w:r>
          </w:p>
        </w:tc>
      </w:tr>
    </w:tbl>
    <w:p>
      <w:pPr>
        <w:spacing w:after="0" w:line="316" w:lineRule="auto"/>
        <w:jc w:val="both"/>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BodyText"/>
        <w:spacing w:line="240" w:lineRule="auto"/>
        <w:ind w:left="0" w:right="467"/>
        <w:jc w:val="right"/>
      </w:pPr>
      <w:r>
        <w:rPr/>
        <w:pict>
          <v:shape style="position:absolute;margin-left:56.325001pt;margin-top:-16.558256pt;width:512.5pt;height:324.3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6"/>
                    <w:gridCol w:w="1922"/>
                    <w:gridCol w:w="3469"/>
                    <w:gridCol w:w="1186"/>
                    <w:gridCol w:w="2944"/>
                  </w:tblGrid>
                  <w:tr>
                    <w:trPr>
                      <w:trHeight w:val="2297"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21" w:lineRule="auto"/>
                          <w:ind w:left="60" w:right="45"/>
                          <w:jc w:val="center"/>
                          <w:rPr>
                            <w:rFonts w:ascii="宋体" w:hAnsi="宋体" w:cs="宋体" w:eastAsia="宋体" w:hint="default"/>
                            <w:sz w:val="18"/>
                            <w:szCs w:val="18"/>
                          </w:rPr>
                        </w:pPr>
                        <w:r>
                          <w:rPr>
                            <w:rFonts w:ascii="宋体" w:hAnsi="宋体" w:cs="宋体" w:eastAsia="宋体" w:hint="default"/>
                            <w:sz w:val="18"/>
                            <w:szCs w:val="18"/>
                          </w:rPr>
                          <w:t>面向医联体和医共体的 医疗人工智能融合创新 应用</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right="17"/>
                          <w:jc w:val="both"/>
                          <w:rPr>
                            <w:rFonts w:ascii="宋体" w:hAnsi="宋体" w:cs="宋体" w:eastAsia="宋体" w:hint="default"/>
                            <w:sz w:val="18"/>
                            <w:szCs w:val="18"/>
                          </w:rPr>
                        </w:pPr>
                        <w:r>
                          <w:rPr>
                            <w:rFonts w:ascii="宋体" w:hAnsi="宋体" w:cs="宋体" w:eastAsia="宋体" w:hint="default"/>
                            <w:sz w:val="18"/>
                            <w:szCs w:val="18"/>
                          </w:rPr>
                          <w:t>项目通过智慧健康数据大脑，串联医共体各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个环节，构建一个具有自生产能力、开放性</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的智慧健康管理服务生态圈。将智慧健康云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平台的健康服务通过物联网和互联网部署在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基层医疗服务机构，优化服务流程</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33"/>
                          <w:jc w:val="right"/>
                          <w:rPr>
                            <w:rFonts w:ascii="宋体" w:hAnsi="宋体" w:cs="宋体" w:eastAsia="宋体" w:hint="default"/>
                            <w:sz w:val="18"/>
                            <w:szCs w:val="18"/>
                          </w:rPr>
                        </w:pPr>
                        <w:r>
                          <w:rPr>
                            <w:rFonts w:ascii="宋体"/>
                            <w:sz w:val="18"/>
                          </w:rPr>
                          <w:t>30%</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15" w:right="16"/>
                          <w:jc w:val="left"/>
                          <w:rPr>
                            <w:rFonts w:ascii="宋体" w:hAnsi="宋体" w:cs="宋体" w:eastAsia="宋体" w:hint="default"/>
                            <w:sz w:val="18"/>
                            <w:szCs w:val="18"/>
                          </w:rPr>
                        </w:pPr>
                        <w:r>
                          <w:rPr>
                            <w:rFonts w:ascii="宋体" w:hAnsi="宋体" w:cs="宋体" w:eastAsia="宋体" w:hint="default"/>
                            <w:sz w:val="18"/>
                            <w:szCs w:val="18"/>
                          </w:rPr>
                          <w:t>建成人工智能研发创新平台（脑）与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人工智能应用与服务平台（智能体）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具备为多种常见病及罕见病开展人工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智能辅助诊断服务的能力，使人工智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能应用服务覆盖全国多家等级医院、</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社区医院、乡镇卫生院（所），进一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步提升公司在该领域的领军地位</w:t>
                        </w:r>
                      </w:p>
                    </w:tc>
                  </w:tr>
                  <w:tr>
                    <w:trPr>
                      <w:trHeight w:val="4174" w:hRule="exact"/>
                    </w:trPr>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22"/>
                          <w:ind w:left="150" w:right="45" w:hanging="90"/>
                          <w:jc w:val="left"/>
                          <w:rPr>
                            <w:rFonts w:ascii="宋体" w:hAnsi="宋体" w:cs="宋体" w:eastAsia="宋体" w:hint="default"/>
                            <w:sz w:val="18"/>
                            <w:szCs w:val="18"/>
                          </w:rPr>
                        </w:pPr>
                        <w:r>
                          <w:rPr>
                            <w:rFonts w:ascii="宋体" w:hAnsi="宋体" w:cs="宋体" w:eastAsia="宋体" w:hint="default"/>
                            <w:sz w:val="18"/>
                            <w:szCs w:val="18"/>
                          </w:rPr>
                          <w:t>心脑血管疾病健康管理 模式及效果评价研究</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0"/>
                          <w:ind w:right="17"/>
                          <w:jc w:val="both"/>
                          <w:rPr>
                            <w:rFonts w:ascii="宋体" w:hAnsi="宋体" w:cs="宋体" w:eastAsia="宋体" w:hint="default"/>
                            <w:sz w:val="18"/>
                            <w:szCs w:val="18"/>
                          </w:rPr>
                        </w:pPr>
                        <w:r>
                          <w:rPr>
                            <w:rFonts w:ascii="宋体" w:hAnsi="宋体" w:cs="宋体" w:eastAsia="宋体" w:hint="default"/>
                            <w:sz w:val="18"/>
                            <w:szCs w:val="18"/>
                          </w:rPr>
                          <w:t>项目围绕心脑血管性重大疾病的健康管理及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效果评价的关键环节，确认冠心病与脑卒中</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两个重大而又相关联的动脉粥样硬化性心脑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血管疾病为重点研究内容。首先对国内现有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冠心病与脑卒中高危人群的管理模式进行系</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统评价并优化，应用前瞻性队列进行验证；</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在上述研究基础上建立符合中国国情的规范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的心脑血管慢性病管理网络，并在不同地区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进行优化；利用人工智能等新技术提高心脑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血管疾病健康管理效率，最终达到降低冠心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病与脑卒中发生率和病死率的目的</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433"/>
                          <w:jc w:val="right"/>
                          <w:rPr>
                            <w:rFonts w:ascii="宋体" w:hAnsi="宋体" w:cs="宋体" w:eastAsia="宋体" w:hint="default"/>
                            <w:sz w:val="18"/>
                            <w:szCs w:val="18"/>
                          </w:rPr>
                        </w:pPr>
                        <w:r>
                          <w:rPr>
                            <w:rFonts w:ascii="宋体"/>
                            <w:sz w:val="18"/>
                          </w:rPr>
                          <w:t>15%</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9"/>
                          <w:ind w:left="15" w:right="16"/>
                          <w:jc w:val="both"/>
                          <w:rPr>
                            <w:rFonts w:ascii="宋体" w:hAnsi="宋体" w:cs="宋体" w:eastAsia="宋体" w:hint="default"/>
                            <w:sz w:val="18"/>
                            <w:szCs w:val="18"/>
                          </w:rPr>
                        </w:pPr>
                        <w:r>
                          <w:rPr>
                            <w:rFonts w:ascii="宋体" w:hAnsi="宋体" w:cs="宋体" w:eastAsia="宋体" w:hint="default"/>
                            <w:sz w:val="18"/>
                            <w:szCs w:val="18"/>
                          </w:rPr>
                          <w:t>紧密结合国家重大心血管防控和科技</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创新需求，聚焦冠心病、脑卒中等重</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大心脑血管疾病健康管理模式及效果</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评价研究的关键科学问题，突出管理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创新、技术创新和理论创新，构建适</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合中国人群的心脑血管疾病的新型健</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康管理模式与评价策略体系，为国家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心脑血管疾病卫生政策制定提供理论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依据，从系统评价、临床转化与示范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推广等多维、全方位探索心脑血管疾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病健康管理的综合优化方案，建立和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完善符合中国国情的规范的心脑血管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慢性病管理网络</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right="1086"/>
        <w:jc w:val="left"/>
      </w:pPr>
      <w:r>
        <w:rPr/>
        <w:t>近三年公司研发投入金额及占营业收入的比例</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5"/>
                <w:sz w:val="18"/>
                <w:szCs w:val="18"/>
              </w:rPr>
              <w:t> </w:t>
            </w:r>
            <w:r>
              <w:rPr>
                <w:rFonts w:ascii="宋体" w:hAnsi="宋体" w:cs="宋体" w:eastAsia="宋体" w:hint="default"/>
                <w:sz w:val="18"/>
                <w:szCs w:val="18"/>
              </w:rPr>
              <w:t>年</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1,176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764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667</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right="15"/>
              <w:jc w:val="right"/>
              <w:rPr>
                <w:rFonts w:ascii="宋体" w:hAnsi="宋体" w:cs="宋体" w:eastAsia="宋体" w:hint="default"/>
                <w:sz w:val="18"/>
                <w:szCs w:val="18"/>
              </w:rPr>
            </w:pPr>
            <w:r>
              <w:rPr>
                <w:rFonts w:ascii="宋体"/>
                <w:sz w:val="18"/>
              </w:rPr>
              <w:t>52.36%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38.47%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39.75%</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161,195,529.67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119,804,253.79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104,930,575.85</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5"/>
              <w:jc w:val="right"/>
              <w:rPr>
                <w:rFonts w:ascii="宋体" w:hAnsi="宋体" w:cs="宋体" w:eastAsia="宋体" w:hint="default"/>
                <w:sz w:val="18"/>
                <w:szCs w:val="18"/>
              </w:rPr>
            </w:pPr>
            <w:r>
              <w:rPr>
                <w:rFonts w:ascii="宋体"/>
                <w:sz w:val="18"/>
              </w:rPr>
              <w:t>10.24%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9.25%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9.43%</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23,114,748.07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13,589,310.73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9,340,635.67</w:t>
            </w:r>
          </w:p>
        </w:tc>
      </w:tr>
      <w:tr>
        <w:trPr>
          <w:trHeight w:val="7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right"/>
              <w:rPr>
                <w:rFonts w:ascii="宋体" w:hAnsi="宋体" w:cs="宋体" w:eastAsia="宋体" w:hint="default"/>
                <w:sz w:val="18"/>
                <w:szCs w:val="18"/>
              </w:rPr>
            </w:pPr>
            <w:r>
              <w:rPr>
                <w:rFonts w:ascii="宋体"/>
                <w:sz w:val="18"/>
              </w:rPr>
              <w:t>14.34%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11.34%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right"/>
              <w:rPr>
                <w:rFonts w:ascii="宋体" w:hAnsi="宋体" w:cs="宋体" w:eastAsia="宋体" w:hint="default"/>
                <w:sz w:val="18"/>
                <w:szCs w:val="18"/>
              </w:rPr>
            </w:pPr>
            <w:r>
              <w:rPr>
                <w:rFonts w:ascii="宋体"/>
                <w:sz w:val="18"/>
              </w:rPr>
              <w:t>8.90%</w:t>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188"/>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5"/>
              <w:jc w:val="right"/>
              <w:rPr>
                <w:rFonts w:ascii="宋体" w:hAnsi="宋体" w:cs="宋体" w:eastAsia="宋体" w:hint="default"/>
                <w:sz w:val="18"/>
                <w:szCs w:val="18"/>
              </w:rPr>
            </w:pPr>
            <w:r>
              <w:rPr>
                <w:rFonts w:ascii="宋体"/>
                <w:sz w:val="18"/>
              </w:rPr>
              <w:t>15.81%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9.64%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3"/>
              <w:jc w:val="right"/>
              <w:rPr>
                <w:rFonts w:ascii="宋体" w:hAnsi="宋体" w:cs="宋体" w:eastAsia="宋体" w:hint="default"/>
                <w:sz w:val="18"/>
                <w:szCs w:val="18"/>
              </w:rPr>
            </w:pPr>
            <w:r>
              <w:rPr>
                <w:rFonts w:ascii="宋体"/>
                <w:sz w:val="18"/>
              </w:rPr>
              <w:t>7.12%</w:t>
            </w:r>
          </w:p>
        </w:tc>
      </w:tr>
    </w:tbl>
    <w:p>
      <w:pPr>
        <w:pStyle w:val="BodyText"/>
        <w:spacing w:line="240" w:lineRule="auto"/>
        <w:ind w:right="1086"/>
        <w:jc w:val="left"/>
      </w:pPr>
      <w:r>
        <w:rPr/>
        <w:t>研发投入总额占营业收入的比重较上年发生显著变化的原因</w:t>
      </w:r>
    </w:p>
    <w:p>
      <w:pPr>
        <w:pStyle w:val="BodyText"/>
        <w:spacing w:line="316"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研发投入资本化率大幅变动的原因及其合理性说明</w:t>
      </w:r>
    </w:p>
    <w:p>
      <w:pPr>
        <w:pStyle w:val="BodyText"/>
        <w:spacing w:line="240" w:lineRule="auto" w:before="82"/>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5"/>
        <w:spacing w:line="240" w:lineRule="auto" w:before="35"/>
        <w:ind w:right="1086"/>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29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538"/>
        <w:gridCol w:w="2561"/>
        <w:gridCol w:w="2072"/>
        <w:gridCol w:w="2403"/>
      </w:tblGrid>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5"/>
                <w:sz w:val="18"/>
                <w:szCs w:val="18"/>
              </w:rPr>
              <w:t>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1,466,226,523.95</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1,271,383,739.52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15.33%</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1,462,210,471.74</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1,273,634,216.03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14.81%</w:t>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4,016,052.21</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-2,250,476.51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278.45%</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170,041,058.93</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101,312,012.99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67.84%</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16"/>
              <w:jc w:val="right"/>
              <w:rPr>
                <w:rFonts w:ascii="宋体" w:hAnsi="宋体" w:cs="宋体" w:eastAsia="宋体" w:hint="default"/>
                <w:sz w:val="18"/>
                <w:szCs w:val="18"/>
              </w:rPr>
            </w:pPr>
            <w:r>
              <w:rPr>
                <w:rFonts w:ascii="宋体"/>
                <w:sz w:val="18"/>
              </w:rPr>
              <w:t>660,379,616.53</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4"/>
              <w:jc w:val="right"/>
              <w:rPr>
                <w:rFonts w:ascii="宋体" w:hAnsi="宋体" w:cs="宋体" w:eastAsia="宋体" w:hint="default"/>
                <w:sz w:val="18"/>
                <w:szCs w:val="18"/>
              </w:rPr>
            </w:pPr>
            <w:r>
              <w:rPr>
                <w:rFonts w:ascii="宋体"/>
                <w:sz w:val="18"/>
              </w:rPr>
              <w:t>363,118,740.89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3"/>
              <w:jc w:val="right"/>
              <w:rPr>
                <w:rFonts w:ascii="宋体" w:hAnsi="宋体" w:cs="宋体" w:eastAsia="宋体" w:hint="default"/>
                <w:sz w:val="18"/>
                <w:szCs w:val="18"/>
              </w:rPr>
            </w:pPr>
            <w:r>
              <w:rPr>
                <w:rFonts w:ascii="宋体"/>
                <w:sz w:val="18"/>
              </w:rPr>
              <w:t>81.86%</w:t>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-490,338,557.60</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-261,806,727.90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-87.29%</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16"/>
              <w:jc w:val="right"/>
              <w:rPr>
                <w:rFonts w:ascii="宋体" w:hAnsi="宋体" w:cs="宋体" w:eastAsia="宋体" w:hint="default"/>
                <w:sz w:val="18"/>
                <w:szCs w:val="18"/>
              </w:rPr>
            </w:pPr>
            <w:r>
              <w:rPr>
                <w:rFonts w:ascii="宋体"/>
                <w:sz w:val="18"/>
              </w:rPr>
              <w:t>1,292,385,757.56</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sz w:val="18"/>
              </w:rPr>
              <w:t>717,044,639.40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宋体" w:hAnsi="宋体" w:cs="宋体" w:eastAsia="宋体" w:hint="default"/>
                <w:sz w:val="18"/>
                <w:szCs w:val="18"/>
              </w:rPr>
            </w:pPr>
            <w:r>
              <w:rPr>
                <w:rFonts w:ascii="宋体"/>
                <w:sz w:val="18"/>
              </w:rPr>
              <w:t>80.24%</w:t>
            </w:r>
          </w:p>
        </w:tc>
      </w:tr>
      <w:tr>
        <w:trPr>
          <w:trHeight w:val="406"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768,852,709.72</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409,392,555.52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87.80%</w:t>
            </w:r>
          </w:p>
        </w:tc>
      </w:tr>
      <w:tr>
        <w:trPr>
          <w:trHeight w:val="405"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523,533,047.84</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right"/>
              <w:rPr>
                <w:rFonts w:ascii="宋体" w:hAnsi="宋体" w:cs="宋体" w:eastAsia="宋体" w:hint="default"/>
                <w:sz w:val="18"/>
                <w:szCs w:val="18"/>
              </w:rPr>
            </w:pPr>
            <w:r>
              <w:rPr>
                <w:rFonts w:ascii="宋体"/>
                <w:sz w:val="18"/>
              </w:rPr>
              <w:t>307,652,083.88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70.17%</w:t>
            </w:r>
          </w:p>
        </w:tc>
      </w:tr>
      <w:tr>
        <w:trPr>
          <w:trHeight w:val="390" w:hRule="exact"/>
        </w:trPr>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36,845,190.82</w:t>
            </w:r>
          </w:p>
        </w:tc>
        <w:tc>
          <w:tcPr>
            <w:tcW w:w="20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4"/>
              <w:jc w:val="right"/>
              <w:rPr>
                <w:rFonts w:ascii="宋体" w:hAnsi="宋体" w:cs="宋体" w:eastAsia="宋体" w:hint="default"/>
                <w:sz w:val="18"/>
                <w:szCs w:val="18"/>
              </w:rPr>
            </w:pPr>
            <w:r>
              <w:rPr>
                <w:rFonts w:ascii="宋体"/>
                <w:sz w:val="18"/>
              </w:rPr>
              <w:t>42,401,223.15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right"/>
              <w:rPr>
                <w:rFonts w:ascii="宋体" w:hAnsi="宋体" w:cs="宋体" w:eastAsia="宋体" w:hint="default"/>
                <w:sz w:val="18"/>
                <w:szCs w:val="18"/>
              </w:rPr>
            </w:pPr>
            <w:r>
              <w:rPr>
                <w:rFonts w:ascii="宋体"/>
                <w:sz w:val="18"/>
              </w:rPr>
              <w:t>-13.10%</w:t>
            </w:r>
          </w:p>
        </w:tc>
      </w:tr>
    </w:tbl>
    <w:p>
      <w:pPr>
        <w:spacing w:line="240" w:lineRule="auto" w:before="10"/>
        <w:rPr>
          <w:rFonts w:ascii="宋体" w:hAnsi="宋体" w:cs="宋体" w:eastAsia="宋体" w:hint="default"/>
          <w:sz w:val="5"/>
          <w:szCs w:val="5"/>
        </w:rPr>
      </w:pPr>
    </w:p>
    <w:p>
      <w:pPr>
        <w:pStyle w:val="BodyText"/>
        <w:spacing w:line="240" w:lineRule="auto"/>
        <w:ind w:right="1086"/>
        <w:jc w:val="left"/>
      </w:pPr>
      <w:r>
        <w:rPr/>
        <w:t>相关数据同比发生重大变动的主要影响因素说明</w:t>
      </w:r>
    </w:p>
    <w:p>
      <w:pPr>
        <w:spacing w:line="240" w:lineRule="auto" w:before="0"/>
        <w:rPr>
          <w:rFonts w:ascii="宋体" w:hAnsi="宋体" w:cs="宋体" w:eastAsia="宋体" w:hint="default"/>
          <w:sz w:val="21"/>
          <w:szCs w:val="21"/>
        </w:rPr>
      </w:pPr>
    </w:p>
    <w:p>
      <w:pPr>
        <w:pStyle w:val="BodyText"/>
        <w:spacing w:line="482"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投资活动产生的现金流量净额较去年减少</w:t>
      </w:r>
      <w:r>
        <w:rPr>
          <w:rFonts w:ascii="宋体" w:hAnsi="宋体" w:cs="宋体" w:eastAsia="宋体" w:hint="default"/>
          <w:spacing w:val="-2"/>
        </w:rPr>
        <w:t>22,853</w:t>
      </w:r>
      <w:r>
        <w:rPr>
          <w:spacing w:val="-2"/>
        </w:rPr>
        <w:t>万元，主要系公司智慧医疗产业化基地项目持续投入建设以及公司购买结构</w:t>
      </w:r>
      <w:r>
        <w:rPr>
          <w:spacing w:val="-44"/>
        </w:rPr>
        <w:t> </w:t>
      </w:r>
      <w:r>
        <w:rPr>
          <w:spacing w:val="-44"/>
        </w:rPr>
      </w:r>
      <w:r>
        <w:rPr/>
        <w:t>性存款影响；</w:t>
      </w:r>
    </w:p>
    <w:p>
      <w:pPr>
        <w:pStyle w:val="BodyText"/>
        <w:spacing w:line="504" w:lineRule="auto" w:before="93"/>
        <w:ind w:right="2289"/>
        <w:jc w:val="left"/>
      </w:pPr>
      <w:r>
        <w:rPr/>
        <w:t>筹资活动产生的现金流量净额较去年增加</w:t>
      </w:r>
      <w:r>
        <w:rPr>
          <w:rFonts w:ascii="宋体" w:hAnsi="宋体" w:cs="宋体" w:eastAsia="宋体" w:hint="default"/>
        </w:rPr>
        <w:t>21,588</w:t>
      </w:r>
      <w:r>
        <w:rPr/>
        <w:t>万元，主要系公司本期收到非公开发行股票募集资金影响。</w:t>
      </w:r>
      <w:r>
        <w:rPr>
          <w:spacing w:val="-87"/>
        </w:rPr>
        <w:t> </w:t>
      </w:r>
      <w:r>
        <w:rPr/>
        <w:t>报告期内公司经营活动产生的现金净流量与本年度净利润存在重大差异的原因说明</w:t>
      </w:r>
    </w:p>
    <w:p>
      <w:pPr>
        <w:pStyle w:val="BodyText"/>
        <w:spacing w:line="240" w:lineRule="auto" w:before="77"/>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
        <w:rPr>
          <w:rFonts w:ascii="宋体" w:hAnsi="宋体" w:cs="宋体" w:eastAsia="宋体" w:hint="default"/>
          <w:sz w:val="21"/>
          <w:szCs w:val="21"/>
        </w:rPr>
      </w:pPr>
    </w:p>
    <w:p>
      <w:pPr>
        <w:pStyle w:val="BodyText"/>
        <w:spacing w:line="470" w:lineRule="auto" w:before="0"/>
        <w:ind w:right="1086"/>
        <w:jc w:val="left"/>
      </w:pPr>
      <w:r>
        <w:rPr/>
        <w:t>本期经营活动产生的现金净流量</w:t>
      </w:r>
      <w:r>
        <w:rPr>
          <w:rFonts w:ascii="Times New Roman" w:hAnsi="Times New Roman" w:cs="Times New Roman" w:eastAsia="Times New Roman" w:hint="default"/>
        </w:rPr>
        <w:t>402</w:t>
      </w:r>
      <w:r>
        <w:rPr/>
        <w:t>万元，本年度净利润</w:t>
      </w:r>
      <w:r>
        <w:rPr>
          <w:rFonts w:ascii="Times New Roman" w:hAnsi="Times New Roman" w:cs="Times New Roman" w:eastAsia="Times New Roman" w:hint="default"/>
        </w:rPr>
        <w:t>14,624</w:t>
      </w:r>
      <w:r>
        <w:rPr/>
        <w:t>万元，本年度经营活动产生的现金净流量与净利润差异较大</w:t>
      </w:r>
      <w:r>
        <w:rPr>
          <w:spacing w:val="-85"/>
        </w:rPr>
        <w:t> </w:t>
      </w:r>
      <w:r>
        <w:rPr/>
        <w:t>的原因主要如下： </w:t>
      </w:r>
      <w:r>
        <w:rPr>
          <w:spacing w:val="-2"/>
        </w:rPr>
        <w:t>公司目前处于业务规模快速扩张阶段，收入的增长主要来自智慧医疗业务板块。相比公司传统商业智能业务，智慧医疗主要</w:t>
      </w:r>
      <w:r>
        <w:rPr>
          <w:spacing w:val="-75"/>
        </w:rPr>
        <w:t> </w:t>
      </w:r>
      <w:r>
        <w:rPr>
          <w:spacing w:val="-75"/>
        </w:rPr>
      </w:r>
      <w:r>
        <w:rPr/>
        <w:t>为和医院合作且以工程实施类项目为主，公司为提升大型智慧医疗项目的竞争力，在财务付款条件上做出一定调整。</w:t>
      </w:r>
    </w:p>
    <w:p>
      <w:pPr>
        <w:spacing w:line="240" w:lineRule="auto" w:before="5"/>
        <w:rPr>
          <w:rFonts w:ascii="宋体" w:hAnsi="宋体" w:cs="宋体" w:eastAsia="宋体" w:hint="default"/>
          <w:sz w:val="17"/>
          <w:szCs w:val="17"/>
        </w:rPr>
      </w:pPr>
    </w:p>
    <w:p>
      <w:pPr>
        <w:pStyle w:val="Heading2"/>
        <w:spacing w:line="240" w:lineRule="auto"/>
        <w:ind w:right="1086"/>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left="441"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441"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700" w:right="0"/>
        </w:sectPr>
      </w:pPr>
    </w:p>
    <w:p>
      <w:pPr>
        <w:pStyle w:val="BodyText"/>
        <w:spacing w:line="240" w:lineRule="auto"/>
        <w:ind w:left="441" w:right="-19"/>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96"/>
        <w:ind w:left="441"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left="345" w:right="0"/>
        <w:jc w:val="left"/>
      </w:pPr>
      <w:r>
        <w:rPr/>
        <w:t>单位：元</w:t>
      </w:r>
    </w:p>
    <w:p>
      <w:pPr>
        <w:spacing w:after="0" w:line="240" w:lineRule="auto"/>
        <w:jc w:val="left"/>
        <w:sectPr>
          <w:type w:val="continuous"/>
          <w:pgSz w:w="11910" w:h="16850"/>
          <w:pgMar w:top="1040" w:bottom="1180" w:left="700" w:right="0"/>
          <w:cols w:num="2" w:equalWidth="0">
            <w:col w:w="8813" w:space="40"/>
            <w:col w:w="2357"/>
          </w:cols>
        </w:sectPr>
      </w:pPr>
    </w:p>
    <w:p>
      <w:pPr>
        <w:spacing w:line="240" w:lineRule="auto" w:before="5"/>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412"/>
        <w:gridCol w:w="1832"/>
        <w:gridCol w:w="1067"/>
        <w:gridCol w:w="1186"/>
        <w:gridCol w:w="1066"/>
        <w:gridCol w:w="796"/>
        <w:gridCol w:w="2929"/>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
        </w:tc>
        <w:tc>
          <w:tcPr>
            <w:tcW w:w="28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年末</w:t>
            </w:r>
          </w:p>
        </w:tc>
        <w:tc>
          <w:tcPr>
            <w:tcW w:w="225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5"/>
                <w:sz w:val="18"/>
                <w:szCs w:val="18"/>
              </w:rPr>
              <w:t> </w:t>
            </w:r>
            <w:r>
              <w:rPr>
                <w:rFonts w:ascii="宋体" w:hAnsi="宋体" w:cs="宋体" w:eastAsia="宋体" w:hint="default"/>
                <w:sz w:val="18"/>
                <w:szCs w:val="18"/>
              </w:rPr>
              <w:t>年初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73" w:hRule="exact"/>
        </w:trPr>
        <w:tc>
          <w:tcPr>
            <w:tcW w:w="1412" w:type="dxa"/>
            <w:vMerge/>
            <w:tcBorders>
              <w:left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50" w:lineRule="auto" w:before="45"/>
              <w:ind w:left="330" w:right="1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50" w:lineRule="auto" w:before="45"/>
              <w:ind w:left="345" w:right="165" w:hanging="181"/>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405" w:hRule="exact"/>
        </w:trPr>
        <w:tc>
          <w:tcPr>
            <w:tcW w:w="1412" w:type="dxa"/>
            <w:vMerge/>
            <w:tcBorders>
              <w:left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7" w:type="dxa"/>
            <w:vMerge/>
            <w:tcBorders>
              <w:left w:val="single" w:sz="6" w:space="0" w:color="000000"/>
              <w:right w:val="single" w:sz="6" w:space="0" w:color="000000"/>
            </w:tcBorders>
            <w:shd w:val="clear" w:color="auto" w:fill="D2D2D2"/>
          </w:tcPr>
          <w:p>
            <w:pPr/>
          </w:p>
        </w:tc>
        <w:tc>
          <w:tcPr>
            <w:tcW w:w="1186"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73"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6"/>
                <w:szCs w:val="16"/>
              </w:rPr>
            </w:pPr>
            <w:r>
              <w:rPr>
                <w:rFonts w:ascii="宋体"/>
                <w:spacing w:val="-3"/>
                <w:w w:val="105"/>
                <w:sz w:val="16"/>
              </w:rPr>
              <w:t>532,074,102.60</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40" w:right="0"/>
              <w:jc w:val="left"/>
              <w:rPr>
                <w:rFonts w:ascii="宋体" w:hAnsi="宋体" w:cs="宋体" w:eastAsia="宋体" w:hint="default"/>
                <w:sz w:val="18"/>
                <w:szCs w:val="18"/>
              </w:rPr>
            </w:pPr>
            <w:r>
              <w:rPr>
                <w:rFonts w:ascii="宋体"/>
                <w:sz w:val="18"/>
              </w:rPr>
              <w:t>12.59%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7"/>
              <w:jc w:val="center"/>
              <w:rPr>
                <w:rFonts w:ascii="宋体" w:hAnsi="宋体" w:cs="宋体" w:eastAsia="宋体" w:hint="default"/>
                <w:sz w:val="16"/>
                <w:szCs w:val="16"/>
              </w:rPr>
            </w:pPr>
            <w:r>
              <w:rPr>
                <w:rFonts w:ascii="宋体"/>
                <w:spacing w:val="-3"/>
                <w:w w:val="105"/>
                <w:sz w:val="16"/>
              </w:rPr>
              <w:t>482,794,143.90</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55" w:right="0"/>
              <w:jc w:val="left"/>
              <w:rPr>
                <w:rFonts w:ascii="宋体" w:hAnsi="宋体" w:cs="宋体" w:eastAsia="宋体" w:hint="default"/>
                <w:sz w:val="18"/>
                <w:szCs w:val="18"/>
              </w:rPr>
            </w:pPr>
            <w:r>
              <w:rPr>
                <w:rFonts w:ascii="宋体"/>
                <w:sz w:val="18"/>
              </w:rPr>
              <w:t>14.10%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-1.51%</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spacing w:val="-4"/>
                <w:w w:val="105"/>
                <w:sz w:val="16"/>
              </w:rPr>
              <w:t>1,057,208,363.26</w:t>
            </w:r>
            <w:r>
              <w:rPr>
                <w:rFonts w:ascii="宋体"/>
                <w:spacing w:val="-4"/>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sz w:val="18"/>
              </w:rPr>
              <w:t>25.02%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6"/>
                <w:szCs w:val="16"/>
              </w:rPr>
            </w:pPr>
            <w:r>
              <w:rPr>
                <w:rFonts w:ascii="宋体"/>
                <w:spacing w:val="-3"/>
                <w:w w:val="105"/>
                <w:sz w:val="16"/>
              </w:rPr>
              <w:t>775,700,936.92</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sz w:val="18"/>
              </w:rPr>
              <w:t>22.65%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2.37%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主要系随智慧医疗业务销售规模扩 大，应收款相应增加所致。</w:t>
            </w:r>
          </w:p>
        </w:tc>
      </w:tr>
      <w:tr>
        <w:trPr>
          <w:trHeight w:val="390"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存货</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0"/>
              <w:jc w:val="center"/>
              <w:rPr>
                <w:rFonts w:ascii="宋体" w:hAnsi="宋体" w:cs="宋体" w:eastAsia="宋体" w:hint="default"/>
                <w:sz w:val="16"/>
                <w:szCs w:val="16"/>
              </w:rPr>
            </w:pPr>
            <w:r>
              <w:rPr>
                <w:rFonts w:ascii="宋体"/>
                <w:spacing w:val="-3"/>
                <w:w w:val="105"/>
                <w:sz w:val="16"/>
              </w:rPr>
              <w:t>245,294,442.02</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85" w:right="0"/>
              <w:jc w:val="left"/>
              <w:rPr>
                <w:rFonts w:ascii="宋体" w:hAnsi="宋体" w:cs="宋体" w:eastAsia="宋体" w:hint="default"/>
                <w:sz w:val="18"/>
                <w:szCs w:val="18"/>
              </w:rPr>
            </w:pPr>
            <w:r>
              <w:rPr>
                <w:rFonts w:ascii="宋体"/>
                <w:sz w:val="18"/>
              </w:rPr>
              <w:t>5.81%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7"/>
              <w:jc w:val="center"/>
              <w:rPr>
                <w:rFonts w:ascii="宋体" w:hAnsi="宋体" w:cs="宋体" w:eastAsia="宋体" w:hint="default"/>
                <w:sz w:val="16"/>
                <w:szCs w:val="16"/>
              </w:rPr>
            </w:pPr>
            <w:r>
              <w:rPr>
                <w:rFonts w:ascii="宋体"/>
                <w:spacing w:val="-3"/>
                <w:w w:val="105"/>
                <w:sz w:val="16"/>
              </w:rPr>
              <w:t>246,776,678.36</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0" w:right="0"/>
              <w:jc w:val="left"/>
              <w:rPr>
                <w:rFonts w:ascii="宋体" w:hAnsi="宋体" w:cs="宋体" w:eastAsia="宋体" w:hint="default"/>
                <w:sz w:val="18"/>
                <w:szCs w:val="18"/>
              </w:rPr>
            </w:pPr>
            <w:r>
              <w:rPr>
                <w:rFonts w:ascii="宋体"/>
                <w:sz w:val="18"/>
              </w:rPr>
              <w:t>7.21%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-1.40%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6"/>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1"/>
              <w:jc w:val="center"/>
              <w:rPr>
                <w:rFonts w:ascii="宋体" w:hAnsi="宋体" w:cs="宋体" w:eastAsia="宋体" w:hint="default"/>
                <w:sz w:val="16"/>
                <w:szCs w:val="16"/>
              </w:rPr>
            </w:pPr>
            <w:r>
              <w:rPr>
                <w:rFonts w:ascii="宋体"/>
                <w:spacing w:val="-4"/>
                <w:w w:val="105"/>
                <w:sz w:val="16"/>
              </w:rPr>
              <w:t>60,524,295.60</w:t>
            </w:r>
            <w:r>
              <w:rPr>
                <w:rFonts w:ascii="宋体"/>
                <w:spacing w:val="-4"/>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5" w:right="0"/>
              <w:jc w:val="left"/>
              <w:rPr>
                <w:rFonts w:ascii="宋体" w:hAnsi="宋体" w:cs="宋体" w:eastAsia="宋体" w:hint="default"/>
                <w:sz w:val="18"/>
                <w:szCs w:val="18"/>
              </w:rPr>
            </w:pPr>
            <w:r>
              <w:rPr>
                <w:rFonts w:ascii="宋体"/>
                <w:sz w:val="18"/>
              </w:rPr>
              <w:t>1.43%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7"/>
              <w:jc w:val="center"/>
              <w:rPr>
                <w:rFonts w:ascii="宋体" w:hAnsi="宋体" w:cs="宋体" w:eastAsia="宋体" w:hint="default"/>
                <w:sz w:val="16"/>
                <w:szCs w:val="16"/>
              </w:rPr>
            </w:pPr>
            <w:r>
              <w:rPr>
                <w:rFonts w:ascii="宋体"/>
                <w:spacing w:val="-4"/>
                <w:w w:val="105"/>
                <w:sz w:val="16"/>
              </w:rPr>
              <w:t>64,326,422.31</w:t>
            </w:r>
            <w:r>
              <w:rPr>
                <w:rFonts w:ascii="宋体"/>
                <w:spacing w:val="-4"/>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0" w:right="0"/>
              <w:jc w:val="left"/>
              <w:rPr>
                <w:rFonts w:ascii="宋体" w:hAnsi="宋体" w:cs="宋体" w:eastAsia="宋体" w:hint="default"/>
                <w:sz w:val="18"/>
                <w:szCs w:val="18"/>
              </w:rPr>
            </w:pPr>
            <w:r>
              <w:rPr>
                <w:rFonts w:ascii="宋体"/>
                <w:sz w:val="18"/>
              </w:rPr>
              <w:t>1.88%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-0.45%</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6"/>
              <w:jc w:val="center"/>
              <w:rPr>
                <w:rFonts w:ascii="宋体" w:hAnsi="宋体" w:cs="宋体" w:eastAsia="宋体" w:hint="default"/>
                <w:sz w:val="18"/>
                <w:szCs w:val="18"/>
              </w:rPr>
            </w:pPr>
            <w:r>
              <w:rPr>
                <w:rFonts w:ascii="宋体" w:hAnsi="宋体" w:cs="宋体" w:eastAsia="宋体" w:hint="default"/>
                <w:sz w:val="18"/>
                <w:szCs w:val="18"/>
              </w:rPr>
              <w:t>长期股权投资</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6"/>
                <w:szCs w:val="16"/>
              </w:rPr>
            </w:pPr>
            <w:r>
              <w:rPr>
                <w:rFonts w:ascii="宋体"/>
                <w:spacing w:val="-3"/>
                <w:w w:val="105"/>
                <w:sz w:val="16"/>
              </w:rPr>
              <w:t>373,887,709.34</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5" w:right="0"/>
              <w:jc w:val="left"/>
              <w:rPr>
                <w:rFonts w:ascii="宋体" w:hAnsi="宋体" w:cs="宋体" w:eastAsia="宋体" w:hint="default"/>
                <w:sz w:val="18"/>
                <w:szCs w:val="18"/>
              </w:rPr>
            </w:pPr>
            <w:r>
              <w:rPr>
                <w:rFonts w:ascii="宋体"/>
                <w:sz w:val="18"/>
              </w:rPr>
              <w:t>8.85%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7"/>
              <w:jc w:val="center"/>
              <w:rPr>
                <w:rFonts w:ascii="宋体" w:hAnsi="宋体" w:cs="宋体" w:eastAsia="宋体" w:hint="default"/>
                <w:sz w:val="16"/>
                <w:szCs w:val="16"/>
              </w:rPr>
            </w:pPr>
            <w:r>
              <w:rPr>
                <w:rFonts w:ascii="宋体"/>
                <w:spacing w:val="-3"/>
                <w:w w:val="105"/>
                <w:sz w:val="16"/>
              </w:rPr>
              <w:t>324,840,817.49</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0" w:right="0"/>
              <w:jc w:val="left"/>
              <w:rPr>
                <w:rFonts w:ascii="宋体" w:hAnsi="宋体" w:cs="宋体" w:eastAsia="宋体" w:hint="default"/>
                <w:sz w:val="18"/>
                <w:szCs w:val="18"/>
              </w:rPr>
            </w:pPr>
            <w:r>
              <w:rPr>
                <w:rFonts w:ascii="宋体"/>
                <w:sz w:val="18"/>
              </w:rPr>
              <w:t>9.49%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-0.64%</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6"/>
                <w:szCs w:val="16"/>
              </w:rPr>
            </w:pPr>
            <w:r>
              <w:rPr>
                <w:rFonts w:ascii="宋体"/>
                <w:spacing w:val="-3"/>
                <w:w w:val="105"/>
                <w:sz w:val="16"/>
              </w:rPr>
              <w:t>349,602,866.28</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5" w:right="0"/>
              <w:jc w:val="left"/>
              <w:rPr>
                <w:rFonts w:ascii="宋体" w:hAnsi="宋体" w:cs="宋体" w:eastAsia="宋体" w:hint="default"/>
                <w:sz w:val="18"/>
                <w:szCs w:val="18"/>
              </w:rPr>
            </w:pPr>
            <w:r>
              <w:rPr>
                <w:rFonts w:ascii="宋体"/>
                <w:sz w:val="18"/>
              </w:rPr>
              <w:t>8.28%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7"/>
              <w:jc w:val="center"/>
              <w:rPr>
                <w:rFonts w:ascii="宋体" w:hAnsi="宋体" w:cs="宋体" w:eastAsia="宋体" w:hint="default"/>
                <w:sz w:val="16"/>
                <w:szCs w:val="16"/>
              </w:rPr>
            </w:pPr>
            <w:r>
              <w:rPr>
                <w:rFonts w:ascii="宋体"/>
                <w:spacing w:val="-3"/>
                <w:w w:val="105"/>
                <w:sz w:val="16"/>
              </w:rPr>
              <w:t>300,292,739.88</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0" w:right="0"/>
              <w:jc w:val="left"/>
              <w:rPr>
                <w:rFonts w:ascii="宋体" w:hAnsi="宋体" w:cs="宋体" w:eastAsia="宋体" w:hint="default"/>
                <w:sz w:val="18"/>
                <w:szCs w:val="18"/>
              </w:rPr>
            </w:pPr>
            <w:r>
              <w:rPr>
                <w:rFonts w:ascii="宋体"/>
                <w:sz w:val="18"/>
              </w:rPr>
              <w:t>8.77%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-0.49%</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6"/>
                <w:szCs w:val="16"/>
              </w:rPr>
            </w:pPr>
            <w:r>
              <w:rPr>
                <w:rFonts w:ascii="宋体"/>
                <w:spacing w:val="-3"/>
                <w:w w:val="105"/>
                <w:sz w:val="16"/>
              </w:rPr>
              <w:t>106,826,286.64</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sz w:val="18"/>
              </w:rPr>
              <w:t>2.53%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6"/>
                <w:szCs w:val="16"/>
              </w:rPr>
            </w:pPr>
            <w:r>
              <w:rPr>
                <w:rFonts w:ascii="宋体"/>
                <w:spacing w:val="-4"/>
                <w:w w:val="105"/>
                <w:sz w:val="16"/>
              </w:rPr>
              <w:t>20,133,141.32</w:t>
            </w:r>
            <w:r>
              <w:rPr>
                <w:rFonts w:ascii="宋体"/>
                <w:spacing w:val="-4"/>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sz w:val="18"/>
              </w:rPr>
              <w:t>0.59%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1.94%</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主要系本公司智慧医疗产业化基地 项目持续投入建设所致。</w:t>
            </w:r>
          </w:p>
        </w:tc>
      </w:tr>
      <w:tr>
        <w:trPr>
          <w:trHeight w:val="79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6"/>
                <w:szCs w:val="16"/>
              </w:rPr>
            </w:pPr>
            <w:r>
              <w:rPr>
                <w:rFonts w:ascii="宋体"/>
                <w:spacing w:val="-3"/>
                <w:w w:val="105"/>
                <w:sz w:val="16"/>
              </w:rPr>
              <w:t>506,679,330.68</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sz w:val="18"/>
              </w:rPr>
              <w:t>11.99%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7"/>
              <w:jc w:val="center"/>
              <w:rPr>
                <w:rFonts w:ascii="宋体" w:hAnsi="宋体" w:cs="宋体" w:eastAsia="宋体" w:hint="default"/>
                <w:sz w:val="16"/>
                <w:szCs w:val="16"/>
              </w:rPr>
            </w:pPr>
            <w:r>
              <w:rPr>
                <w:rFonts w:ascii="宋体"/>
                <w:spacing w:val="-3"/>
                <w:w w:val="105"/>
                <w:sz w:val="16"/>
              </w:rPr>
              <w:t>567,025,913.80</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55" w:right="0"/>
              <w:jc w:val="left"/>
              <w:rPr>
                <w:rFonts w:ascii="宋体" w:hAnsi="宋体" w:cs="宋体" w:eastAsia="宋体" w:hint="default"/>
                <w:sz w:val="18"/>
                <w:szCs w:val="18"/>
              </w:rPr>
            </w:pPr>
            <w:r>
              <w:rPr>
                <w:rFonts w:ascii="宋体"/>
                <w:sz w:val="18"/>
              </w:rPr>
              <w:t>16.56%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-4.57%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主要系银行短期借款所致。</w:t>
            </w:r>
          </w:p>
        </w:tc>
      </w:tr>
      <w:tr>
        <w:trPr>
          <w:trHeight w:val="40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0"/>
              <w:jc w:val="center"/>
              <w:rPr>
                <w:rFonts w:ascii="宋体" w:hAnsi="宋体" w:cs="宋体" w:eastAsia="宋体" w:hint="default"/>
                <w:sz w:val="16"/>
                <w:szCs w:val="16"/>
              </w:rPr>
            </w:pPr>
            <w:r>
              <w:rPr>
                <w:rFonts w:ascii="宋体"/>
                <w:spacing w:val="-3"/>
                <w:w w:val="105"/>
                <w:sz w:val="16"/>
              </w:rPr>
              <w:t>268,687,211.09</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5" w:right="0"/>
              <w:jc w:val="left"/>
              <w:rPr>
                <w:rFonts w:ascii="宋体" w:hAnsi="宋体" w:cs="宋体" w:eastAsia="宋体" w:hint="default"/>
                <w:sz w:val="18"/>
                <w:szCs w:val="18"/>
              </w:rPr>
            </w:pPr>
            <w:r>
              <w:rPr>
                <w:rFonts w:ascii="宋体"/>
                <w:sz w:val="18"/>
              </w:rPr>
              <w:t>6.36%</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7"/>
              <w:jc w:val="center"/>
              <w:rPr>
                <w:rFonts w:ascii="宋体" w:hAnsi="宋体" w:cs="宋体" w:eastAsia="宋体" w:hint="default"/>
                <w:sz w:val="16"/>
                <w:szCs w:val="16"/>
              </w:rPr>
            </w:pPr>
            <w:r>
              <w:rPr>
                <w:rFonts w:ascii="宋体"/>
                <w:spacing w:val="-3"/>
                <w:w w:val="105"/>
                <w:sz w:val="16"/>
              </w:rPr>
              <w:t>130,000,000.00</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0" w:right="0"/>
              <w:jc w:val="left"/>
              <w:rPr>
                <w:rFonts w:ascii="宋体" w:hAnsi="宋体" w:cs="宋体" w:eastAsia="宋体" w:hint="default"/>
                <w:sz w:val="18"/>
                <w:szCs w:val="18"/>
              </w:rPr>
            </w:pPr>
            <w:r>
              <w:rPr>
                <w:rFonts w:ascii="宋体"/>
                <w:sz w:val="18"/>
              </w:rPr>
              <w:t>3.80%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宋体" w:hAnsi="宋体" w:cs="宋体" w:eastAsia="宋体" w:hint="default"/>
                <w:sz w:val="18"/>
                <w:szCs w:val="18"/>
              </w:rPr>
            </w:pPr>
            <w:r>
              <w:rPr>
                <w:rFonts w:ascii="宋体"/>
                <w:sz w:val="18"/>
              </w:rPr>
              <w:t>2.56%</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center"/>
              <w:rPr>
                <w:rFonts w:ascii="宋体" w:hAnsi="宋体" w:cs="宋体" w:eastAsia="宋体" w:hint="default"/>
                <w:sz w:val="16"/>
                <w:szCs w:val="16"/>
              </w:rPr>
            </w:pPr>
            <w:r>
              <w:rPr>
                <w:rFonts w:ascii="宋体"/>
                <w:spacing w:val="-3"/>
                <w:w w:val="105"/>
                <w:sz w:val="16"/>
              </w:rPr>
              <w:t>230,185,002.84</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85" w:right="0"/>
              <w:jc w:val="left"/>
              <w:rPr>
                <w:rFonts w:ascii="宋体" w:hAnsi="宋体" w:cs="宋体" w:eastAsia="宋体" w:hint="default"/>
                <w:sz w:val="18"/>
                <w:szCs w:val="18"/>
              </w:rPr>
            </w:pPr>
            <w:r>
              <w:rPr>
                <w:rFonts w:ascii="宋体"/>
                <w:sz w:val="18"/>
              </w:rPr>
              <w:t>5.45%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5" w:right="0"/>
              <w:jc w:val="center"/>
              <w:rPr>
                <w:rFonts w:ascii="宋体" w:hAnsi="宋体" w:cs="宋体" w:eastAsia="宋体" w:hint="default"/>
                <w:sz w:val="16"/>
                <w:szCs w:val="16"/>
              </w:rPr>
            </w:pPr>
            <w:r>
              <w:rPr>
                <w:rFonts w:ascii="宋体"/>
                <w:spacing w:val="-3"/>
                <w:w w:val="105"/>
                <w:sz w:val="16"/>
              </w:rPr>
              <w:t>8,871,365.10</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0" w:right="0"/>
              <w:jc w:val="left"/>
              <w:rPr>
                <w:rFonts w:ascii="宋体" w:hAnsi="宋体" w:cs="宋体" w:eastAsia="宋体" w:hint="default"/>
                <w:sz w:val="18"/>
                <w:szCs w:val="18"/>
              </w:rPr>
            </w:pPr>
            <w:r>
              <w:rPr>
                <w:rFonts w:ascii="宋体"/>
                <w:sz w:val="18"/>
              </w:rPr>
              <w:t>0.26%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18"/>
                <w:szCs w:val="18"/>
              </w:rPr>
            </w:pPr>
            <w:r>
              <w:rPr>
                <w:rFonts w:ascii="宋体"/>
                <w:sz w:val="18"/>
              </w:rPr>
              <w:t>5.19%</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主要系公司新增购买理财产品所致。</w:t>
            </w: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600" w:right="76" w:hanging="541"/>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6"/>
                <w:szCs w:val="16"/>
              </w:rPr>
            </w:pPr>
            <w:r>
              <w:rPr>
                <w:rFonts w:ascii="宋体"/>
                <w:spacing w:val="-3"/>
                <w:w w:val="105"/>
                <w:sz w:val="16"/>
              </w:rPr>
              <w:t>144,293,265.00</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sz w:val="18"/>
              </w:rPr>
              <w:t>4.21%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-4.21%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主要系根据新金融工具准则执行调 整所致。</w:t>
            </w:r>
          </w:p>
        </w:tc>
      </w:tr>
      <w:tr>
        <w:trPr>
          <w:trHeight w:val="70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510" w:right="76" w:hanging="451"/>
              <w:jc w:val="left"/>
              <w:rPr>
                <w:rFonts w:ascii="宋体" w:hAnsi="宋体" w:cs="宋体" w:eastAsia="宋体" w:hint="default"/>
                <w:sz w:val="18"/>
                <w:szCs w:val="18"/>
              </w:rPr>
            </w:pPr>
            <w:r>
              <w:rPr>
                <w:rFonts w:ascii="宋体" w:hAnsi="宋体" w:cs="宋体" w:eastAsia="宋体" w:hint="default"/>
                <w:sz w:val="18"/>
                <w:szCs w:val="18"/>
              </w:rPr>
              <w:t>其他非流动金融 资产</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6"/>
                <w:szCs w:val="16"/>
              </w:rPr>
            </w:pPr>
            <w:r>
              <w:rPr>
                <w:rFonts w:ascii="宋体"/>
                <w:spacing w:val="-3"/>
                <w:w w:val="105"/>
                <w:sz w:val="16"/>
              </w:rPr>
              <w:t>134,293,265.00</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sz w:val="18"/>
              </w:rPr>
              <w:t>3.18%</w:t>
            </w:r>
          </w:p>
        </w:tc>
        <w:tc>
          <w:tcPr>
            <w:tcW w:w="118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sz w:val="18"/>
              </w:rPr>
              <w:t>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3.18%</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81"/>
              <w:jc w:val="left"/>
              <w:rPr>
                <w:rFonts w:ascii="宋体" w:hAnsi="宋体" w:cs="宋体" w:eastAsia="宋体" w:hint="default"/>
                <w:sz w:val="18"/>
                <w:szCs w:val="18"/>
              </w:rPr>
            </w:pPr>
            <w:r>
              <w:rPr>
                <w:rFonts w:ascii="宋体" w:hAnsi="宋体" w:cs="宋体" w:eastAsia="宋体" w:hint="default"/>
                <w:sz w:val="18"/>
                <w:szCs w:val="18"/>
              </w:rPr>
              <w:t>主要系根据新金融工具准则执行调 整所致。</w:t>
            </w: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开发支出</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 w:right="0"/>
              <w:jc w:val="center"/>
              <w:rPr>
                <w:rFonts w:ascii="宋体" w:hAnsi="宋体" w:cs="宋体" w:eastAsia="宋体" w:hint="default"/>
                <w:sz w:val="16"/>
                <w:szCs w:val="16"/>
              </w:rPr>
            </w:pPr>
            <w:r>
              <w:rPr>
                <w:rFonts w:ascii="宋体"/>
                <w:spacing w:val="-4"/>
                <w:w w:val="105"/>
                <w:sz w:val="16"/>
              </w:rPr>
              <w:t>22,000,038.74</w:t>
            </w:r>
            <w:r>
              <w:rPr>
                <w:rFonts w:ascii="宋体"/>
                <w:spacing w:val="-4"/>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sz w:val="18"/>
              </w:rPr>
              <w:t>0.52%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7"/>
              <w:jc w:val="center"/>
              <w:rPr>
                <w:rFonts w:ascii="宋体" w:hAnsi="宋体" w:cs="宋体" w:eastAsia="宋体" w:hint="default"/>
                <w:sz w:val="16"/>
                <w:szCs w:val="16"/>
              </w:rPr>
            </w:pPr>
            <w:r>
              <w:rPr>
                <w:rFonts w:ascii="宋体"/>
                <w:spacing w:val="-4"/>
                <w:w w:val="105"/>
                <w:sz w:val="16"/>
              </w:rPr>
              <w:t>13,577,114.53</w:t>
            </w:r>
            <w:r>
              <w:rPr>
                <w:rFonts w:ascii="宋体"/>
                <w:spacing w:val="-4"/>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0" w:right="0"/>
              <w:jc w:val="left"/>
              <w:rPr>
                <w:rFonts w:ascii="宋体" w:hAnsi="宋体" w:cs="宋体" w:eastAsia="宋体" w:hint="default"/>
                <w:sz w:val="18"/>
                <w:szCs w:val="18"/>
              </w:rPr>
            </w:pPr>
            <w:r>
              <w:rPr>
                <w:rFonts w:ascii="宋体"/>
                <w:sz w:val="18"/>
              </w:rPr>
              <w:t>0.40%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0.12%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主要系新增资本化项目医惠主数据 管理平台软件所致。</w:t>
            </w:r>
          </w:p>
        </w:tc>
      </w:tr>
      <w:tr>
        <w:trPr>
          <w:trHeight w:val="10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商誉</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6"/>
                <w:szCs w:val="16"/>
              </w:rPr>
            </w:pPr>
            <w:r>
              <w:rPr>
                <w:rFonts w:ascii="宋体"/>
                <w:spacing w:val="-3"/>
                <w:w w:val="105"/>
                <w:sz w:val="16"/>
              </w:rPr>
              <w:t>679,431,751.73</w:t>
            </w:r>
            <w:r>
              <w:rPr>
                <w:rFonts w:ascii="宋体"/>
                <w:spacing w:val="-3"/>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sz w:val="18"/>
              </w:rPr>
              <w:t>16.08%</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7"/>
              <w:jc w:val="center"/>
              <w:rPr>
                <w:rFonts w:ascii="宋体" w:hAnsi="宋体" w:cs="宋体" w:eastAsia="宋体" w:hint="default"/>
                <w:sz w:val="16"/>
                <w:szCs w:val="16"/>
              </w:rPr>
            </w:pPr>
            <w:r>
              <w:rPr>
                <w:rFonts w:ascii="宋体"/>
                <w:spacing w:val="-3"/>
                <w:w w:val="105"/>
                <w:sz w:val="16"/>
              </w:rPr>
              <w:t>696,076,002.48</w:t>
            </w:r>
            <w:r>
              <w:rPr>
                <w:rFonts w:ascii="宋体"/>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18"/>
                <w:szCs w:val="18"/>
              </w:rPr>
            </w:pPr>
            <w:r>
              <w:rPr>
                <w:rFonts w:ascii="宋体"/>
                <w:sz w:val="18"/>
              </w:rPr>
              <w:t>20.33%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-4.25%</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81"/>
              <w:jc w:val="both"/>
              <w:rPr>
                <w:rFonts w:ascii="宋体" w:hAnsi="宋体" w:cs="宋体" w:eastAsia="宋体" w:hint="default"/>
                <w:sz w:val="18"/>
                <w:szCs w:val="18"/>
              </w:rPr>
            </w:pPr>
            <w:r>
              <w:rPr>
                <w:rFonts w:ascii="宋体" w:hAnsi="宋体" w:cs="宋体" w:eastAsia="宋体" w:hint="default"/>
                <w:sz w:val="18"/>
                <w:szCs w:val="18"/>
              </w:rPr>
              <w:t>主要系杭州琅玕科技有限公司不再 纳入合并范围内因而相应转出商誉 金额所致。</w:t>
            </w:r>
          </w:p>
        </w:tc>
      </w:tr>
    </w:tbl>
    <w:p>
      <w:pPr>
        <w:spacing w:line="240" w:lineRule="auto" w:before="11"/>
        <w:rPr>
          <w:rFonts w:ascii="宋体" w:hAnsi="宋体" w:cs="宋体" w:eastAsia="宋体" w:hint="default"/>
          <w:sz w:val="19"/>
          <w:szCs w:val="19"/>
        </w:rPr>
      </w:pPr>
    </w:p>
    <w:p>
      <w:pPr>
        <w:pStyle w:val="Heading5"/>
        <w:spacing w:line="240" w:lineRule="auto" w:before="35"/>
        <w:ind w:left="441"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441"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290"/>
        <w:jc w:val="right"/>
      </w:pPr>
      <w:r>
        <w:rPr/>
        <w:t>单位：元</w:t>
      </w:r>
    </w:p>
    <w:p>
      <w:pPr>
        <w:spacing w:line="240" w:lineRule="auto" w:before="7"/>
        <w:rPr>
          <w:rFonts w:ascii="宋体" w:hAnsi="宋体" w:cs="宋体" w:eastAsia="宋体" w:hint="default"/>
          <w:sz w:val="9"/>
          <w:szCs w:val="9"/>
        </w:rPr>
      </w:pPr>
    </w:p>
    <w:tbl>
      <w:tblPr>
        <w:tblW w:w="0" w:type="auto"/>
        <w:jc w:val="left"/>
        <w:tblInd w:w="426" w:type="dxa"/>
        <w:tblLayout w:type="fixed"/>
        <w:tblCellMar>
          <w:top w:w="0" w:type="dxa"/>
          <w:left w:w="0" w:type="dxa"/>
          <w:bottom w:w="0" w:type="dxa"/>
          <w:right w:w="0" w:type="dxa"/>
        </w:tblCellMar>
        <w:tblLook w:val="01E0"/>
      </w:tblPr>
      <w:tblGrid>
        <w:gridCol w:w="976"/>
        <w:gridCol w:w="1157"/>
        <w:gridCol w:w="931"/>
        <w:gridCol w:w="1202"/>
        <w:gridCol w:w="931"/>
        <w:gridCol w:w="1187"/>
        <w:gridCol w:w="1081"/>
        <w:gridCol w:w="901"/>
        <w:gridCol w:w="1216"/>
      </w:tblGrid>
      <w:tr>
        <w:trPr>
          <w:trHeight w:val="390" w:hRule="exact"/>
        </w:trPr>
        <w:tc>
          <w:tcPr>
            <w:tcW w:w="9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315" w:right="0"/>
              <w:jc w:val="left"/>
              <w:rPr>
                <w:rFonts w:ascii="宋体" w:hAnsi="宋体" w:cs="宋体" w:eastAsia="宋体" w:hint="default"/>
                <w:sz w:val="16"/>
                <w:szCs w:val="16"/>
              </w:rPr>
            </w:pPr>
            <w:r>
              <w:rPr>
                <w:rFonts w:ascii="宋体" w:hAnsi="宋体" w:cs="宋体" w:eastAsia="宋体" w:hint="default"/>
                <w:w w:val="105"/>
                <w:sz w:val="16"/>
                <w:szCs w:val="16"/>
              </w:rPr>
              <w:t>项目</w:t>
            </w:r>
            <w:r>
              <w:rPr>
                <w:rFonts w:ascii="宋体" w:hAnsi="宋体" w:cs="宋体" w:eastAsia="宋体" w:hint="default"/>
                <w:sz w:val="16"/>
                <w:szCs w:val="16"/>
              </w:rPr>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330" w:right="0"/>
              <w:jc w:val="left"/>
              <w:rPr>
                <w:rFonts w:ascii="宋体" w:hAnsi="宋体" w:cs="宋体" w:eastAsia="宋体" w:hint="default"/>
                <w:sz w:val="16"/>
                <w:szCs w:val="16"/>
              </w:rPr>
            </w:pPr>
            <w:r>
              <w:rPr>
                <w:rFonts w:ascii="宋体" w:hAnsi="宋体" w:cs="宋体" w:eastAsia="宋体" w:hint="default"/>
                <w:w w:val="105"/>
                <w:sz w:val="16"/>
                <w:szCs w:val="16"/>
              </w:rPr>
              <w:t>期初数</w:t>
            </w:r>
            <w:r>
              <w:rPr>
                <w:rFonts w:ascii="宋体" w:hAnsi="宋体" w:cs="宋体" w:eastAsia="宋体" w:hint="default"/>
                <w:sz w:val="16"/>
                <w:szCs w:val="16"/>
              </w:rPr>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3"/>
              <w:ind w:left="45" w:right="0"/>
              <w:jc w:val="left"/>
              <w:rPr>
                <w:rFonts w:ascii="宋体" w:hAnsi="宋体" w:cs="宋体" w:eastAsia="宋体" w:hint="default"/>
                <w:sz w:val="16"/>
                <w:szCs w:val="16"/>
              </w:rPr>
            </w:pPr>
            <w:r>
              <w:rPr>
                <w:rFonts w:ascii="宋体" w:hAnsi="宋体" w:cs="宋体" w:eastAsia="宋体" w:hint="default"/>
                <w:spacing w:val="-3"/>
                <w:w w:val="105"/>
                <w:sz w:val="16"/>
                <w:szCs w:val="16"/>
              </w:rPr>
              <w:t>本期公允价</w:t>
            </w:r>
            <w:r>
              <w:rPr>
                <w:rFonts w:ascii="宋体" w:hAnsi="宋体" w:cs="宋体" w:eastAsia="宋体" w:hint="default"/>
                <w:spacing w:val="-3"/>
                <w:sz w:val="16"/>
                <w:szCs w:val="16"/>
              </w:rPr>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3"/>
              <w:ind w:left="14" w:right="0"/>
              <w:jc w:val="left"/>
              <w:rPr>
                <w:rFonts w:ascii="宋体" w:hAnsi="宋体" w:cs="宋体" w:eastAsia="宋体" w:hint="default"/>
                <w:sz w:val="16"/>
                <w:szCs w:val="16"/>
              </w:rPr>
            </w:pPr>
            <w:r>
              <w:rPr>
                <w:rFonts w:ascii="宋体" w:hAnsi="宋体" w:cs="宋体" w:eastAsia="宋体" w:hint="default"/>
                <w:spacing w:val="-3"/>
                <w:w w:val="105"/>
                <w:sz w:val="16"/>
                <w:szCs w:val="16"/>
              </w:rPr>
              <w:t>计入权益的累计</w:t>
            </w:r>
            <w:r>
              <w:rPr>
                <w:rFonts w:ascii="宋体" w:hAnsi="宋体" w:cs="宋体" w:eastAsia="宋体" w:hint="default"/>
                <w:spacing w:val="-3"/>
                <w:sz w:val="16"/>
                <w:szCs w:val="16"/>
              </w:rPr>
            </w: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3"/>
              <w:ind w:left="44" w:right="0"/>
              <w:jc w:val="left"/>
              <w:rPr>
                <w:rFonts w:ascii="宋体" w:hAnsi="宋体" w:cs="宋体" w:eastAsia="宋体" w:hint="default"/>
                <w:sz w:val="16"/>
                <w:szCs w:val="16"/>
              </w:rPr>
            </w:pPr>
            <w:r>
              <w:rPr>
                <w:rFonts w:ascii="宋体" w:hAnsi="宋体" w:cs="宋体" w:eastAsia="宋体" w:hint="default"/>
                <w:spacing w:val="-3"/>
                <w:w w:val="105"/>
                <w:sz w:val="16"/>
                <w:szCs w:val="16"/>
              </w:rPr>
              <w:t>本期计提的</w:t>
            </w:r>
            <w:r>
              <w:rPr>
                <w:rFonts w:ascii="宋体" w:hAnsi="宋体" w:cs="宋体" w:eastAsia="宋体" w:hint="default"/>
                <w:spacing w:val="-3"/>
                <w:sz w:val="16"/>
                <w:szCs w:val="16"/>
              </w:rPr>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05" w:right="0"/>
              <w:jc w:val="left"/>
              <w:rPr>
                <w:rFonts w:ascii="宋体" w:hAnsi="宋体" w:cs="宋体" w:eastAsia="宋体" w:hint="default"/>
                <w:sz w:val="16"/>
                <w:szCs w:val="16"/>
              </w:rPr>
            </w:pPr>
            <w:r>
              <w:rPr>
                <w:rFonts w:ascii="宋体" w:hAnsi="宋体" w:cs="宋体" w:eastAsia="宋体" w:hint="default"/>
                <w:spacing w:val="-3"/>
                <w:w w:val="105"/>
                <w:sz w:val="16"/>
                <w:szCs w:val="16"/>
              </w:rPr>
              <w:t>本期购买金额</w:t>
            </w:r>
            <w:r>
              <w:rPr>
                <w:rFonts w:ascii="宋体" w:hAnsi="宋体" w:cs="宋体" w:eastAsia="宋体" w:hint="default"/>
                <w:spacing w:val="-3"/>
                <w:sz w:val="16"/>
                <w:szCs w:val="16"/>
              </w:rPr>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45" w:right="0"/>
              <w:jc w:val="left"/>
              <w:rPr>
                <w:rFonts w:ascii="宋体" w:hAnsi="宋体" w:cs="宋体" w:eastAsia="宋体" w:hint="default"/>
                <w:sz w:val="16"/>
                <w:szCs w:val="16"/>
              </w:rPr>
            </w:pPr>
            <w:r>
              <w:rPr>
                <w:rFonts w:ascii="宋体" w:hAnsi="宋体" w:cs="宋体" w:eastAsia="宋体" w:hint="default"/>
                <w:spacing w:val="-3"/>
                <w:w w:val="105"/>
                <w:sz w:val="16"/>
                <w:szCs w:val="16"/>
              </w:rPr>
              <w:t>本期出售金额</w:t>
            </w:r>
            <w:r>
              <w:rPr>
                <w:rFonts w:ascii="宋体" w:hAnsi="宋体" w:cs="宋体" w:eastAsia="宋体" w:hint="default"/>
                <w:spacing w:val="-3"/>
                <w:sz w:val="16"/>
                <w:szCs w:val="16"/>
              </w:rPr>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120" w:right="0"/>
              <w:jc w:val="left"/>
              <w:rPr>
                <w:rFonts w:ascii="宋体" w:hAnsi="宋体" w:cs="宋体" w:eastAsia="宋体" w:hint="default"/>
                <w:sz w:val="16"/>
                <w:szCs w:val="16"/>
              </w:rPr>
            </w:pPr>
            <w:r>
              <w:rPr>
                <w:rFonts w:ascii="宋体" w:hAnsi="宋体" w:cs="宋体" w:eastAsia="宋体" w:hint="default"/>
                <w:w w:val="105"/>
                <w:sz w:val="16"/>
                <w:szCs w:val="16"/>
              </w:rPr>
              <w:t>其他变动</w:t>
            </w:r>
            <w:r>
              <w:rPr>
                <w:rFonts w:ascii="宋体" w:hAnsi="宋体" w:cs="宋体" w:eastAsia="宋体" w:hint="default"/>
                <w:sz w:val="16"/>
                <w:szCs w:val="16"/>
              </w:rPr>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3"/>
              <w:ind w:left="360" w:right="0"/>
              <w:jc w:val="left"/>
              <w:rPr>
                <w:rFonts w:ascii="宋体" w:hAnsi="宋体" w:cs="宋体" w:eastAsia="宋体" w:hint="default"/>
                <w:sz w:val="16"/>
                <w:szCs w:val="16"/>
              </w:rPr>
            </w:pPr>
            <w:r>
              <w:rPr>
                <w:rFonts w:ascii="宋体" w:hAnsi="宋体" w:cs="宋体" w:eastAsia="宋体" w:hint="default"/>
                <w:w w:val="105"/>
                <w:sz w:val="16"/>
                <w:szCs w:val="16"/>
              </w:rPr>
              <w:t>期末数</w:t>
            </w:r>
            <w:r>
              <w:rPr>
                <w:rFonts w:ascii="宋体" w:hAnsi="宋体" w:cs="宋体" w:eastAsia="宋体" w:hint="default"/>
                <w:sz w:val="16"/>
                <w:szCs w:val="16"/>
              </w:rPr>
            </w:r>
          </w:p>
        </w:tc>
      </w:tr>
    </w:tbl>
    <w:p>
      <w:pPr>
        <w:spacing w:after="0" w:line="240" w:lineRule="auto"/>
        <w:jc w:val="left"/>
        <w:rPr>
          <w:rFonts w:ascii="宋体" w:hAnsi="宋体" w:cs="宋体" w:eastAsia="宋体" w:hint="default"/>
          <w:sz w:val="16"/>
          <w:szCs w:val="16"/>
        </w:rPr>
        <w:sectPr>
          <w:type w:val="continuous"/>
          <w:pgSz w:w="11910" w:h="16850"/>
          <w:pgMar w:top="1040" w:bottom="1180" w:left="7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965"/>
        <w:gridCol w:w="1164"/>
        <w:gridCol w:w="928"/>
        <w:gridCol w:w="1198"/>
        <w:gridCol w:w="927"/>
        <w:gridCol w:w="1194"/>
        <w:gridCol w:w="1066"/>
        <w:gridCol w:w="917"/>
        <w:gridCol w:w="1216"/>
      </w:tblGrid>
      <w:tr>
        <w:trPr>
          <w:trHeight w:val="360" w:hRule="exact"/>
        </w:trPr>
        <w:tc>
          <w:tcPr>
            <w:tcW w:w="96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6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2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3"/>
              <w:ind w:left="41" w:right="0"/>
              <w:jc w:val="left"/>
              <w:rPr>
                <w:rFonts w:ascii="宋体" w:hAnsi="宋体" w:cs="宋体" w:eastAsia="宋体" w:hint="default"/>
                <w:sz w:val="16"/>
                <w:szCs w:val="16"/>
              </w:rPr>
            </w:pPr>
            <w:r>
              <w:rPr>
                <w:rFonts w:ascii="宋体" w:hAnsi="宋体" w:cs="宋体" w:eastAsia="宋体" w:hint="default"/>
                <w:spacing w:val="-3"/>
                <w:w w:val="105"/>
                <w:sz w:val="16"/>
                <w:szCs w:val="16"/>
              </w:rPr>
              <w:t>值变动损益</w:t>
            </w:r>
            <w:r>
              <w:rPr>
                <w:rFonts w:ascii="宋体" w:hAnsi="宋体" w:cs="宋体" w:eastAsia="宋体" w:hint="default"/>
                <w:spacing w:val="-3"/>
                <w:sz w:val="16"/>
                <w:szCs w:val="16"/>
              </w:rPr>
            </w:r>
          </w:p>
        </w:tc>
        <w:tc>
          <w:tcPr>
            <w:tcW w:w="11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3"/>
              <w:ind w:left="104" w:right="0"/>
              <w:jc w:val="left"/>
              <w:rPr>
                <w:rFonts w:ascii="宋体" w:hAnsi="宋体" w:cs="宋体" w:eastAsia="宋体" w:hint="default"/>
                <w:sz w:val="16"/>
                <w:szCs w:val="16"/>
              </w:rPr>
            </w:pPr>
            <w:r>
              <w:rPr>
                <w:rFonts w:ascii="宋体" w:hAnsi="宋体" w:cs="宋体" w:eastAsia="宋体" w:hint="default"/>
                <w:spacing w:val="-3"/>
                <w:w w:val="105"/>
                <w:sz w:val="16"/>
                <w:szCs w:val="16"/>
              </w:rPr>
              <w:t>公允价值变动</w:t>
            </w:r>
            <w:r>
              <w:rPr>
                <w:rFonts w:ascii="宋体" w:hAnsi="宋体" w:cs="宋体" w:eastAsia="宋体" w:hint="default"/>
                <w:spacing w:val="-3"/>
                <w:sz w:val="16"/>
                <w:szCs w:val="16"/>
              </w:rPr>
            </w:r>
          </w:p>
        </w:tc>
        <w:tc>
          <w:tcPr>
            <w:tcW w:w="9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3"/>
              <w:ind w:left="288" w:right="0"/>
              <w:jc w:val="left"/>
              <w:rPr>
                <w:rFonts w:ascii="宋体" w:hAnsi="宋体" w:cs="宋体" w:eastAsia="宋体" w:hint="default"/>
                <w:sz w:val="16"/>
                <w:szCs w:val="16"/>
              </w:rPr>
            </w:pPr>
            <w:r>
              <w:rPr>
                <w:rFonts w:ascii="宋体" w:hAnsi="宋体" w:cs="宋体" w:eastAsia="宋体" w:hint="default"/>
                <w:w w:val="105"/>
                <w:sz w:val="16"/>
                <w:szCs w:val="16"/>
              </w:rPr>
              <w:t>减值</w:t>
            </w:r>
            <w:r>
              <w:rPr>
                <w:rFonts w:ascii="宋体" w:hAnsi="宋体" w:cs="宋体" w:eastAsia="宋体" w:hint="default"/>
                <w:sz w:val="16"/>
                <w:szCs w:val="16"/>
              </w:rPr>
            </w:r>
          </w:p>
        </w:tc>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9574"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8"/>
              <w:ind w:left="7" w:right="0"/>
              <w:jc w:val="left"/>
              <w:rPr>
                <w:rFonts w:ascii="宋体" w:hAnsi="宋体" w:cs="宋体" w:eastAsia="宋体" w:hint="default"/>
                <w:sz w:val="16"/>
                <w:szCs w:val="16"/>
              </w:rPr>
            </w:pPr>
            <w:r>
              <w:rPr>
                <w:rFonts w:ascii="宋体" w:hAnsi="宋体" w:cs="宋体" w:eastAsia="宋体" w:hint="default"/>
                <w:w w:val="105"/>
                <w:sz w:val="16"/>
                <w:szCs w:val="16"/>
              </w:rPr>
              <w:t>金融资产</w:t>
            </w:r>
            <w:r>
              <w:rPr>
                <w:rFonts w:ascii="宋体" w:hAnsi="宋体" w:cs="宋体" w:eastAsia="宋体" w:hint="default"/>
                <w:sz w:val="16"/>
                <w:szCs w:val="16"/>
              </w:rPr>
            </w:r>
          </w:p>
        </w:tc>
      </w:tr>
      <w:tr>
        <w:trPr>
          <w:trHeight w:val="1336" w:hRule="exact"/>
        </w:trPr>
        <w:tc>
          <w:tcPr>
            <w:tcW w:w="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55" w:lineRule="auto" w:before="68"/>
              <w:ind w:left="7" w:right="-3"/>
              <w:jc w:val="left"/>
              <w:rPr>
                <w:rFonts w:ascii="宋体" w:hAnsi="宋体" w:cs="宋体" w:eastAsia="宋体" w:hint="default"/>
                <w:sz w:val="16"/>
                <w:szCs w:val="16"/>
              </w:rPr>
            </w:pPr>
            <w:r>
              <w:rPr>
                <w:rFonts w:ascii="宋体" w:hAnsi="宋体" w:cs="宋体" w:eastAsia="宋体" w:hint="default"/>
                <w:spacing w:val="-3"/>
                <w:w w:val="105"/>
                <w:sz w:val="16"/>
                <w:szCs w:val="16"/>
              </w:rPr>
              <w:t>1.</w:t>
            </w:r>
            <w:r>
              <w:rPr>
                <w:rFonts w:ascii="宋体" w:hAnsi="宋体" w:cs="宋体" w:eastAsia="宋体" w:hint="default"/>
                <w:spacing w:val="-3"/>
                <w:w w:val="105"/>
                <w:sz w:val="16"/>
                <w:szCs w:val="16"/>
              </w:rPr>
              <w:t>交易性金</w:t>
            </w:r>
            <w:r>
              <w:rPr>
                <w:rFonts w:ascii="宋体" w:hAnsi="宋体" w:cs="宋体" w:eastAsia="宋体" w:hint="default"/>
                <w:w w:val="103"/>
                <w:sz w:val="16"/>
                <w:szCs w:val="16"/>
              </w:rPr>
              <w:t> </w:t>
            </w:r>
            <w:r>
              <w:rPr>
                <w:rFonts w:ascii="宋体" w:hAnsi="宋体" w:cs="宋体" w:eastAsia="宋体" w:hint="default"/>
                <w:spacing w:val="-8"/>
                <w:sz w:val="16"/>
                <w:szCs w:val="16"/>
              </w:rPr>
              <w:t>融资产（不含</w:t>
            </w:r>
            <w:r>
              <w:rPr>
                <w:rFonts w:ascii="宋体" w:hAnsi="宋体" w:cs="宋体" w:eastAsia="宋体" w:hint="default"/>
                <w:spacing w:val="-48"/>
                <w:sz w:val="16"/>
                <w:szCs w:val="16"/>
              </w:rPr>
              <w:t> </w:t>
            </w:r>
            <w:r>
              <w:rPr>
                <w:rFonts w:ascii="宋体" w:hAnsi="宋体" w:cs="宋体" w:eastAsia="宋体" w:hint="default"/>
                <w:spacing w:val="-48"/>
                <w:sz w:val="16"/>
                <w:szCs w:val="16"/>
              </w:rPr>
            </w:r>
            <w:r>
              <w:rPr>
                <w:rFonts w:ascii="宋体" w:hAnsi="宋体" w:cs="宋体" w:eastAsia="宋体" w:hint="default"/>
                <w:spacing w:val="-3"/>
                <w:w w:val="105"/>
                <w:sz w:val="16"/>
                <w:szCs w:val="16"/>
              </w:rPr>
              <w:t>衍生金融资</w:t>
            </w:r>
            <w:r>
              <w:rPr>
                <w:rFonts w:ascii="宋体" w:hAnsi="宋体" w:cs="宋体" w:eastAsia="宋体" w:hint="default"/>
                <w:w w:val="103"/>
                <w:sz w:val="16"/>
                <w:szCs w:val="16"/>
              </w:rPr>
              <w:t> </w:t>
            </w:r>
            <w:r>
              <w:rPr>
                <w:rFonts w:ascii="宋体" w:hAnsi="宋体" w:cs="宋体" w:eastAsia="宋体" w:hint="default"/>
                <w:w w:val="105"/>
                <w:sz w:val="16"/>
                <w:szCs w:val="16"/>
              </w:rPr>
              <w:t>产）</w:t>
            </w:r>
            <w:r>
              <w:rPr>
                <w:rFonts w:ascii="宋体" w:hAnsi="宋体" w:cs="宋体" w:eastAsia="宋体" w:hint="default"/>
                <w:sz w:val="16"/>
                <w:szCs w:val="16"/>
              </w:rPr>
            </w:r>
          </w:p>
        </w:tc>
        <w:tc>
          <w:tcPr>
            <w:tcW w:w="1164" w:type="dxa"/>
            <w:tcBorders>
              <w:top w:val="single" w:sz="6" w:space="0" w:color="000000"/>
              <w:left w:val="single" w:sz="12" w:space="0" w:color="D2D2D2"/>
              <w:bottom w:val="single" w:sz="6" w:space="0" w:color="000000"/>
              <w:right w:val="single" w:sz="6" w:space="0" w:color="000000"/>
            </w:tcBorders>
          </w:tcPr>
          <w:p>
            <w:pPr/>
          </w:p>
        </w:tc>
        <w:tc>
          <w:tcPr>
            <w:tcW w:w="928"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14"/>
              <w:ind w:right="7"/>
              <w:jc w:val="right"/>
              <w:rPr>
                <w:rFonts w:ascii="宋体" w:hAnsi="宋体" w:cs="宋体" w:eastAsia="宋体" w:hint="default"/>
                <w:sz w:val="16"/>
                <w:szCs w:val="16"/>
              </w:rPr>
            </w:pPr>
            <w:r>
              <w:rPr>
                <w:rFonts w:ascii="宋体"/>
                <w:spacing w:val="-4"/>
                <w:sz w:val="16"/>
              </w:rPr>
              <w:t>18,740,100.68</w:t>
            </w:r>
          </w:p>
        </w:tc>
      </w:tr>
      <w:tr>
        <w:trPr>
          <w:trHeight w:val="405" w:hRule="exact"/>
        </w:trPr>
        <w:tc>
          <w:tcPr>
            <w:tcW w:w="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8"/>
              <w:ind w:left="7" w:right="0"/>
              <w:jc w:val="left"/>
              <w:rPr>
                <w:rFonts w:ascii="宋体" w:hAnsi="宋体" w:cs="宋体" w:eastAsia="宋体" w:hint="default"/>
                <w:sz w:val="16"/>
                <w:szCs w:val="16"/>
              </w:rPr>
            </w:pPr>
            <w:r>
              <w:rPr>
                <w:rFonts w:ascii="宋体" w:hAnsi="宋体" w:cs="宋体" w:eastAsia="宋体" w:hint="default"/>
                <w:w w:val="105"/>
                <w:sz w:val="16"/>
                <w:szCs w:val="16"/>
              </w:rPr>
              <w:t>上述合计</w:t>
            </w:r>
            <w:r>
              <w:rPr>
                <w:rFonts w:ascii="宋体" w:hAnsi="宋体" w:cs="宋体" w:eastAsia="宋体" w:hint="default"/>
                <w:sz w:val="16"/>
                <w:szCs w:val="16"/>
              </w:rPr>
            </w:r>
          </w:p>
        </w:tc>
        <w:tc>
          <w:tcPr>
            <w:tcW w:w="116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8"/>
              <w:ind w:right="9"/>
              <w:jc w:val="right"/>
              <w:rPr>
                <w:rFonts w:ascii="宋体" w:hAnsi="宋体" w:cs="宋体" w:eastAsia="宋体" w:hint="default"/>
                <w:sz w:val="16"/>
                <w:szCs w:val="16"/>
              </w:rPr>
            </w:pPr>
            <w:r>
              <w:rPr>
                <w:rFonts w:ascii="宋体"/>
                <w:spacing w:val="-3"/>
                <w:sz w:val="16"/>
              </w:rPr>
              <w:t>0.00</w:t>
            </w:r>
          </w:p>
        </w:tc>
        <w:tc>
          <w:tcPr>
            <w:tcW w:w="928"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7"/>
              <w:jc w:val="right"/>
              <w:rPr>
                <w:rFonts w:ascii="宋体" w:hAnsi="宋体" w:cs="宋体" w:eastAsia="宋体" w:hint="default"/>
                <w:sz w:val="16"/>
                <w:szCs w:val="16"/>
              </w:rPr>
            </w:pPr>
            <w:r>
              <w:rPr>
                <w:rFonts w:ascii="宋体"/>
                <w:spacing w:val="-4"/>
                <w:sz w:val="16"/>
              </w:rPr>
              <w:t>18,740,100.68</w:t>
            </w:r>
          </w:p>
        </w:tc>
      </w:tr>
      <w:tr>
        <w:trPr>
          <w:trHeight w:val="391" w:hRule="exact"/>
        </w:trPr>
        <w:tc>
          <w:tcPr>
            <w:tcW w:w="96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8"/>
              <w:ind w:left="7" w:right="0"/>
              <w:jc w:val="left"/>
              <w:rPr>
                <w:rFonts w:ascii="宋体" w:hAnsi="宋体" w:cs="宋体" w:eastAsia="宋体" w:hint="default"/>
                <w:sz w:val="16"/>
                <w:szCs w:val="16"/>
              </w:rPr>
            </w:pPr>
            <w:r>
              <w:rPr>
                <w:rFonts w:ascii="宋体" w:hAnsi="宋体" w:cs="宋体" w:eastAsia="宋体" w:hint="default"/>
                <w:w w:val="105"/>
                <w:sz w:val="16"/>
                <w:szCs w:val="16"/>
              </w:rPr>
              <w:t>金融负债</w:t>
            </w:r>
            <w:r>
              <w:rPr>
                <w:rFonts w:ascii="宋体" w:hAnsi="宋体" w:cs="宋体" w:eastAsia="宋体" w:hint="default"/>
                <w:sz w:val="16"/>
                <w:szCs w:val="16"/>
              </w:rPr>
            </w:r>
          </w:p>
        </w:tc>
        <w:tc>
          <w:tcPr>
            <w:tcW w:w="116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8"/>
              <w:ind w:right="10"/>
              <w:jc w:val="right"/>
              <w:rPr>
                <w:rFonts w:ascii="宋体" w:hAnsi="宋体" w:cs="宋体" w:eastAsia="宋体" w:hint="default"/>
                <w:sz w:val="16"/>
                <w:szCs w:val="16"/>
              </w:rPr>
            </w:pPr>
            <w:r>
              <w:rPr>
                <w:rFonts w:ascii="宋体"/>
                <w:spacing w:val="-3"/>
                <w:sz w:val="16"/>
              </w:rPr>
              <w:t>4,293,047.58</w:t>
            </w:r>
          </w:p>
        </w:tc>
        <w:tc>
          <w:tcPr>
            <w:tcW w:w="928" w:type="dxa"/>
            <w:tcBorders>
              <w:top w:val="single" w:sz="6" w:space="0" w:color="000000"/>
              <w:left w:val="single" w:sz="6" w:space="0" w:color="000000"/>
              <w:bottom w:val="single" w:sz="6" w:space="0" w:color="000000"/>
              <w:right w:val="single" w:sz="6" w:space="0" w:color="000000"/>
            </w:tcBorders>
          </w:tcPr>
          <w:p>
            <w:pPr/>
          </w:p>
        </w:tc>
        <w:tc>
          <w:tcPr>
            <w:tcW w:w="1198" w:type="dxa"/>
            <w:tcBorders>
              <w:top w:val="single" w:sz="6" w:space="0" w:color="000000"/>
              <w:left w:val="single" w:sz="6" w:space="0" w:color="000000"/>
              <w:bottom w:val="single" w:sz="6" w:space="0" w:color="000000"/>
              <w:right w:val="single" w:sz="6" w:space="0" w:color="000000"/>
            </w:tcBorders>
          </w:tcPr>
          <w:p>
            <w:pPr/>
          </w:p>
        </w:tc>
        <w:tc>
          <w:tcPr>
            <w:tcW w:w="927"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9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7"/>
              <w:jc w:val="right"/>
              <w:rPr>
                <w:rFonts w:ascii="宋体" w:hAnsi="宋体" w:cs="宋体" w:eastAsia="宋体" w:hint="default"/>
                <w:sz w:val="16"/>
                <w:szCs w:val="16"/>
              </w:rPr>
            </w:pPr>
            <w:r>
              <w:rPr>
                <w:rFonts w:ascii="宋体"/>
                <w:spacing w:val="-3"/>
                <w:sz w:val="16"/>
              </w:rPr>
              <w:t>0.00</w:t>
            </w:r>
          </w:p>
        </w:tc>
      </w:tr>
    </w:tbl>
    <w:p>
      <w:pPr>
        <w:pStyle w:val="BodyText"/>
        <w:spacing w:line="367" w:lineRule="auto"/>
        <w:ind w:right="6789"/>
        <w:jc w:val="left"/>
      </w:pPr>
      <w:r>
        <w:rPr/>
        <w:t>其他变动的内容 报告期内公司主要资产计量属性是否发生重大变化</w:t>
      </w:r>
    </w:p>
    <w:p>
      <w:pPr>
        <w:pStyle w:val="BodyText"/>
        <w:spacing w:line="319" w:lineRule="auto" w:before="29"/>
        <w:ind w:right="37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报告期内公司主要资产计量属性发生重大变化的原因说明及对其经营成果和财务状况影响</w:t>
      </w:r>
    </w:p>
    <w:p>
      <w:pPr>
        <w:pStyle w:val="BodyText"/>
        <w:spacing w:line="240" w:lineRule="auto" w:before="65"/>
        <w:ind w:right="1086"/>
        <w:jc w:val="left"/>
      </w:pPr>
      <w:r>
        <w:rPr/>
        <w:t>详见财务报告重要会计政策和会计估计变更之说明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3"/>
        <w:rPr>
          <w:rFonts w:ascii="宋体" w:hAnsi="宋体" w:cs="宋体" w:eastAsia="宋体" w:hint="default"/>
          <w:b/>
          <w:bCs/>
          <w:sz w:val="25"/>
          <w:szCs w:val="25"/>
        </w:rPr>
      </w:pPr>
    </w:p>
    <w:p>
      <w:pPr>
        <w:pStyle w:val="BodyText"/>
        <w:spacing w:line="304" w:lineRule="auto" w:before="0"/>
        <w:ind w:right="1119"/>
        <w:jc w:val="left"/>
      </w:pPr>
      <w:r>
        <w:rPr/>
        <w:t>（</w:t>
      </w:r>
      <w:r>
        <w:rPr>
          <w:rFonts w:ascii="宋体" w:hAnsi="宋体" w:cs="宋体" w:eastAsia="宋体" w:hint="default"/>
        </w:rPr>
        <w:t>1</w:t>
      </w:r>
      <w:r>
        <w:rPr/>
        <w:t>）期末其他货币资金包括保函保证金</w:t>
      </w:r>
      <w:r>
        <w:rPr>
          <w:rFonts w:ascii="宋体" w:hAnsi="宋体" w:cs="宋体" w:eastAsia="宋体" w:hint="default"/>
        </w:rPr>
        <w:t>1,420,417.44</w:t>
      </w:r>
      <w:r>
        <w:rPr/>
        <w:t>元，贷款保证金</w:t>
      </w:r>
      <w:r>
        <w:rPr>
          <w:rFonts w:ascii="宋体" w:hAnsi="宋体" w:cs="宋体" w:eastAsia="宋体" w:hint="default"/>
        </w:rPr>
        <w:t>1,744,050.00</w:t>
      </w:r>
      <w:r>
        <w:rPr/>
        <w:t>元，锁汇保证金</w:t>
      </w:r>
      <w:r>
        <w:rPr>
          <w:rFonts w:ascii="宋体" w:hAnsi="宋体" w:cs="宋体" w:eastAsia="宋体" w:hint="default"/>
        </w:rPr>
        <w:t>2,332,869.99</w:t>
      </w:r>
      <w:r>
        <w:rPr/>
        <w:t>元，承兑</w:t>
      </w:r>
      <w:r>
        <w:rPr>
          <w:spacing w:val="-83"/>
        </w:rPr>
        <w:t> </w:t>
      </w:r>
      <w:r>
        <w:rPr/>
        <w:t>汇票保证金</w:t>
      </w:r>
      <w:r>
        <w:rPr>
          <w:rFonts w:ascii="宋体" w:hAnsi="宋体" w:cs="宋体" w:eastAsia="宋体" w:hint="default"/>
        </w:rPr>
        <w:t>21,572,980.75</w:t>
      </w:r>
      <w:r>
        <w:rPr/>
        <w:t>元，合计</w:t>
      </w:r>
      <w:r>
        <w:rPr>
          <w:rFonts w:ascii="宋体" w:hAnsi="宋体" w:cs="宋体" w:eastAsia="宋体" w:hint="default"/>
        </w:rPr>
        <w:t>27,070,318.18</w:t>
      </w:r>
      <w:r>
        <w:rPr/>
        <w:t>元。</w:t>
      </w:r>
    </w:p>
    <w:p>
      <w:pPr>
        <w:pStyle w:val="BodyText"/>
        <w:spacing w:line="240" w:lineRule="auto" w:before="31"/>
        <w:ind w:right="1086"/>
        <w:jc w:val="left"/>
      </w:pPr>
      <w:r>
        <w:rPr/>
        <w:t>（</w:t>
      </w:r>
      <w:r>
        <w:rPr>
          <w:rFonts w:ascii="宋体" w:hAnsi="宋体" w:cs="宋体" w:eastAsia="宋体" w:hint="default"/>
        </w:rPr>
        <w:t>2</w:t>
      </w:r>
      <w:r>
        <w:rPr/>
        <w:t>）期末无形资产抵押借款</w:t>
      </w:r>
      <w:r>
        <w:rPr>
          <w:rFonts w:ascii="宋体" w:hAnsi="宋体" w:cs="宋体" w:eastAsia="宋体" w:hint="default"/>
        </w:rPr>
        <w:t>17,260,723.89</w:t>
      </w:r>
      <w:r>
        <w:rPr/>
        <w:t>元。</w:t>
      </w:r>
    </w:p>
    <w:p>
      <w:pPr>
        <w:spacing w:line="240" w:lineRule="auto" w:before="13"/>
        <w:rPr>
          <w:rFonts w:ascii="宋体" w:hAnsi="宋体" w:cs="宋体" w:eastAsia="宋体" w:hint="default"/>
          <w:sz w:val="25"/>
          <w:szCs w:val="25"/>
        </w:rPr>
      </w:pPr>
    </w:p>
    <w:p>
      <w:pPr>
        <w:pStyle w:val="Heading2"/>
        <w:spacing w:line="240" w:lineRule="auto"/>
        <w:ind w:right="1086"/>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1086"/>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1086"/>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172"/>
        <w:gridCol w:w="781"/>
        <w:gridCol w:w="781"/>
        <w:gridCol w:w="781"/>
        <w:gridCol w:w="721"/>
        <w:gridCol w:w="706"/>
        <w:gridCol w:w="721"/>
        <w:gridCol w:w="661"/>
        <w:gridCol w:w="645"/>
        <w:gridCol w:w="661"/>
        <w:gridCol w:w="646"/>
        <w:gridCol w:w="646"/>
        <w:gridCol w:w="661"/>
      </w:tblGrid>
      <w:tr>
        <w:trPr>
          <w:trHeight w:val="1652" w:hRule="exact"/>
        </w:trPr>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15" w:right="30"/>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15" w:right="30"/>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75" w:right="88"/>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73"/>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270" w:right="75"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240" w:right="44" w:hanging="181"/>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04" w:lineRule="auto"/>
              <w:ind w:left="225" w:right="43"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60" w:right="45"/>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43"/>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44" w:right="43"/>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4"/>
              <w:ind w:left="60" w:right="43"/>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705" w:hRule="exact"/>
        </w:trPr>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59"/>
              <w:jc w:val="left"/>
              <w:rPr>
                <w:rFonts w:ascii="宋体" w:hAnsi="宋体" w:cs="宋体" w:eastAsia="宋体" w:hint="default"/>
                <w:sz w:val="18"/>
                <w:szCs w:val="18"/>
              </w:rPr>
            </w:pPr>
            <w:r>
              <w:rPr>
                <w:rFonts w:ascii="宋体" w:hAnsi="宋体" w:cs="宋体" w:eastAsia="宋体" w:hint="default"/>
                <w:sz w:val="18"/>
                <w:szCs w:val="18"/>
              </w:rPr>
              <w:t>智慧医疗产业 化基地项目</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智慧医疗</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102,569,</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133.48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103,892,</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718.51</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35"/>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18.00%</w:t>
            </w:r>
          </w:p>
        </w:tc>
        <w:tc>
          <w:tcPr>
            <w:tcW w:w="645"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3"/>
              <w:jc w:val="left"/>
              <w:rPr>
                <w:rFonts w:ascii="宋体" w:hAnsi="宋体" w:cs="宋体" w:eastAsia="宋体" w:hint="default"/>
                <w:sz w:val="18"/>
                <w:szCs w:val="18"/>
              </w:rPr>
            </w:pPr>
            <w:r>
              <w:rPr>
                <w:rFonts w:ascii="宋体" w:hAnsi="宋体" w:cs="宋体" w:eastAsia="宋体" w:hint="default"/>
                <w:sz w:val="18"/>
                <w:szCs w:val="18"/>
              </w:rPr>
              <w:t>尚未建 设完毕</w:t>
            </w:r>
          </w:p>
        </w:tc>
        <w:tc>
          <w:tcPr>
            <w:tcW w:w="646"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172"/>
        <w:gridCol w:w="781"/>
        <w:gridCol w:w="781"/>
        <w:gridCol w:w="781"/>
        <w:gridCol w:w="721"/>
        <w:gridCol w:w="706"/>
        <w:gridCol w:w="721"/>
        <w:gridCol w:w="661"/>
        <w:gridCol w:w="645"/>
        <w:gridCol w:w="661"/>
        <w:gridCol w:w="646"/>
        <w:gridCol w:w="646"/>
        <w:gridCol w:w="661"/>
      </w:tblGrid>
      <w:tr>
        <w:trPr>
          <w:trHeight w:val="705" w:hRule="exact"/>
        </w:trPr>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102,569,</w:t>
            </w:r>
          </w:p>
          <w:p>
            <w:pPr>
              <w:pStyle w:val="TableParagraph"/>
              <w:spacing w:line="240" w:lineRule="auto" w:before="93"/>
              <w:ind w:left="149" w:right="0"/>
              <w:jc w:val="center"/>
              <w:rPr>
                <w:rFonts w:ascii="Times New Roman" w:hAnsi="Times New Roman" w:cs="Times New Roman" w:eastAsia="Times New Roman" w:hint="default"/>
                <w:sz w:val="18"/>
                <w:szCs w:val="18"/>
              </w:rPr>
            </w:pPr>
            <w:r>
              <w:rPr>
                <w:rFonts w:ascii="Times New Roman"/>
                <w:sz w:val="18"/>
              </w:rPr>
              <w:t>133.48</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103,892,</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718.51</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5" w:right="0"/>
              <w:jc w:val="left"/>
              <w:rPr>
                <w:rFonts w:ascii="Times New Roman" w:hAnsi="Times New Roman" w:cs="Times New Roman" w:eastAsia="Times New Roman" w:hint="default"/>
                <w:sz w:val="18"/>
                <w:szCs w:val="18"/>
              </w:rPr>
            </w:pPr>
            <w:r>
              <w:rPr>
                <w:rFonts w:ascii="Times New Roman"/>
                <w:sz w:val="18"/>
              </w:rPr>
              <w:t>0.00</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1086"/>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871"/>
        <w:gridCol w:w="871"/>
        <w:gridCol w:w="871"/>
        <w:gridCol w:w="871"/>
        <w:gridCol w:w="871"/>
        <w:gridCol w:w="871"/>
        <w:gridCol w:w="871"/>
        <w:gridCol w:w="871"/>
        <w:gridCol w:w="871"/>
        <w:gridCol w:w="872"/>
        <w:gridCol w:w="871"/>
      </w:tblGrid>
      <w:tr>
        <w:trPr>
          <w:trHeight w:val="1351"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40" w:right="75" w:hanging="181"/>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60" w:right="75"/>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75"/>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75"/>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75"/>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75"/>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60" w:right="73"/>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0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4" w:right="119"/>
              <w:jc w:val="left"/>
              <w:rPr>
                <w:rFonts w:ascii="宋体" w:hAnsi="宋体" w:cs="宋体" w:eastAsia="宋体" w:hint="default"/>
                <w:sz w:val="18"/>
                <w:szCs w:val="18"/>
              </w:rPr>
            </w:pPr>
            <w:r>
              <w:rPr>
                <w:rFonts w:ascii="宋体" w:hAnsi="宋体" w:cs="宋体" w:eastAsia="宋体" w:hint="default"/>
                <w:sz w:val="18"/>
                <w:szCs w:val="18"/>
              </w:rPr>
              <w:t>首次公开 发行股票</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94,088.29</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104,950.69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19"/>
              <w:jc w:val="left"/>
              <w:rPr>
                <w:rFonts w:ascii="宋体" w:hAnsi="宋体" w:cs="宋体" w:eastAsia="宋体" w:hint="default"/>
                <w:sz w:val="18"/>
                <w:szCs w:val="18"/>
              </w:rPr>
            </w:pPr>
            <w:r>
              <w:rPr>
                <w:rFonts w:ascii="宋体" w:hAnsi="宋体" w:cs="宋体" w:eastAsia="宋体" w:hint="default"/>
                <w:sz w:val="18"/>
                <w:szCs w:val="18"/>
              </w:rPr>
              <w:t>已使用完 毕</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4"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 非公开发 行股票</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58,772.64</w:t>
            </w:r>
          </w:p>
        </w:tc>
        <w:tc>
          <w:tcPr>
            <w:tcW w:w="871"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58,800.16</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19"/>
              <w:jc w:val="left"/>
              <w:rPr>
                <w:rFonts w:ascii="宋体" w:hAnsi="宋体" w:cs="宋体" w:eastAsia="宋体" w:hint="default"/>
                <w:sz w:val="18"/>
                <w:szCs w:val="18"/>
              </w:rPr>
            </w:pPr>
            <w:r>
              <w:rPr>
                <w:rFonts w:ascii="宋体" w:hAnsi="宋体" w:cs="宋体" w:eastAsia="宋体" w:hint="default"/>
                <w:sz w:val="18"/>
                <w:szCs w:val="18"/>
              </w:rPr>
              <w:t>已使用完 毕</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5075" w:hRule="exact"/>
        </w:trPr>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2019</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97" w:lineRule="auto"/>
              <w:ind w:left="14" w:right="73"/>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 非公开发 行股票</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56,540.28</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51,622.17</w:t>
            </w:r>
          </w:p>
        </w:tc>
        <w:tc>
          <w:tcPr>
            <w:tcW w:w="87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0"/>
              <w:ind w:left="15" w:right="29"/>
              <w:jc w:val="left"/>
              <w:rPr>
                <w:rFonts w:ascii="宋体" w:hAnsi="宋体" w:cs="宋体" w:eastAsia="宋体" w:hint="default"/>
                <w:sz w:val="18"/>
                <w:szCs w:val="18"/>
              </w:rPr>
            </w:pPr>
            <w:r>
              <w:rPr>
                <w:rFonts w:ascii="宋体" w:hAnsi="宋体" w:cs="宋体" w:eastAsia="宋体" w:hint="default"/>
                <w:spacing w:val="-18"/>
                <w:sz w:val="18"/>
                <w:szCs w:val="18"/>
              </w:rPr>
              <w:t>用途：已承</w:t>
            </w:r>
            <w:r>
              <w:rPr>
                <w:rFonts w:ascii="宋体" w:hAnsi="宋体" w:cs="宋体" w:eastAsia="宋体" w:hint="default"/>
                <w:sz w:val="18"/>
                <w:szCs w:val="18"/>
              </w:rPr>
              <w:t> 诺部分将 按计划投 入募集资 金项目。 </w:t>
            </w:r>
            <w:r>
              <w:rPr>
                <w:rFonts w:ascii="宋体" w:hAnsi="宋体" w:cs="宋体" w:eastAsia="宋体" w:hint="default"/>
                <w:spacing w:val="-18"/>
                <w:sz w:val="18"/>
                <w:szCs w:val="18"/>
              </w:rPr>
              <w:t>去向：部分</w:t>
            </w:r>
            <w:r>
              <w:rPr>
                <w:rFonts w:ascii="宋体" w:hAnsi="宋体" w:cs="宋体" w:eastAsia="宋体" w:hint="default"/>
                <w:sz w:val="18"/>
                <w:szCs w:val="18"/>
              </w:rPr>
              <w:t> 募集资金 存放于募 集资金专 </w:t>
            </w:r>
            <w:r>
              <w:rPr>
                <w:rFonts w:ascii="宋体" w:hAnsi="宋体" w:cs="宋体" w:eastAsia="宋体" w:hint="default"/>
                <w:spacing w:val="-18"/>
                <w:sz w:val="18"/>
                <w:szCs w:val="18"/>
              </w:rPr>
              <w:t>户，部分募</w:t>
            </w:r>
            <w:r>
              <w:rPr>
                <w:rFonts w:ascii="宋体" w:hAnsi="宋体" w:cs="宋体" w:eastAsia="宋体" w:hint="default"/>
                <w:sz w:val="18"/>
                <w:szCs w:val="18"/>
              </w:rPr>
              <w:t> 集资金用 于暂时补 充流动资 金以及购 买结构性 存款。</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209,401.21</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168,750.85</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51,622.17</w:t>
            </w:r>
          </w:p>
        </w:tc>
        <w:tc>
          <w:tcPr>
            <w:tcW w:w="8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9582" w:type="dxa"/>
            <w:gridSpan w:val="11"/>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3"/>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12"/>
        <w:rPr>
          <w:rFonts w:ascii="宋体" w:hAnsi="宋体" w:cs="宋体" w:eastAsia="宋体" w:hint="default"/>
          <w:sz w:val="28"/>
          <w:szCs w:val="28"/>
        </w:rPr>
      </w:pPr>
    </w:p>
    <w:p>
      <w:pPr>
        <w:spacing w:line="2341" w:lineRule="exact"/>
        <w:ind w:left="746"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481.35pt;height:117.1pt;mso-position-horizontal-relative:char;mso-position-vertical-relative:line" coordorigin="0,0" coordsize="9627,2342">
            <v:group style="position:absolute;left:15;top:15;width:9567;height:2" coordorigin="15,15" coordsize="9567,2">
              <v:shape style="position:absolute;left:15;top:15;width:9567;height:2" coordorigin="15,15" coordsize="9567,0" path="m15,15l9582,15e" filled="false" stroked="true" strokeweight=".75pt" strokecolor="#000000">
                <v:path arrowok="t"/>
              </v:shape>
            </v:group>
            <v:group style="position:absolute;left:8;top:8;width:2;height:2327" coordorigin="8,8" coordsize="2,2327">
              <v:shape style="position:absolute;left:8;top:8;width:2;height:2327" coordorigin="8,8" coordsize="0,2327" path="m8,8l8,2334e" filled="false" stroked="true" strokeweight=".75pt" strokecolor="#000000">
                <v:path arrowok="t"/>
              </v:shape>
            </v:group>
            <v:group style="position:absolute;left:15;top:2327;width:9567;height:2" coordorigin="15,2327" coordsize="9567,2">
              <v:shape style="position:absolute;left:15;top:2327;width:9567;height:2" coordorigin="15,2327" coordsize="9567,0" path="m15,2327l9582,2327e" filled="false" stroked="true" strokeweight=".75pt" strokecolor="#000000">
                <v:path arrowok="t"/>
              </v:shape>
            </v:group>
            <v:group style="position:absolute;left:9589;top:8;width:2;height:2327" coordorigin="9589,8" coordsize="2,2327">
              <v:shape style="position:absolute;left:9589;top:8;width:2;height:2327" coordorigin="9589,8" coordsize="0,2327" path="m9589,8l9589,2334e" filled="false" stroked="true" strokeweight=".75pt" strokecolor="#000000">
                <v:path arrowok="t"/>
              </v:shape>
              <v:shape style="position:absolute;left:0;top:0;width:9627;height:2342" type="#_x0000_t202" filled="false" stroked="false">
                <v:textbox inset="0,0,0,0">
                  <w:txbxContent>
                    <w:p>
                      <w:pPr>
                        <w:spacing w:line="276" w:lineRule="auto" w:before="82"/>
                        <w:ind w:left="30" w:right="77" w:firstLine="54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年首次公开发行股票及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年度非公开发行股票募集资金均已使用完毕，募集 资金专户已全部注销。</w:t>
                      </w:r>
                    </w:p>
                    <w:p>
                      <w:pPr>
                        <w:spacing w:before="112"/>
                        <w:ind w:left="570" w:right="0" w:firstLine="0"/>
                        <w:jc w:val="left"/>
                        <w:rPr>
                          <w:rFonts w:ascii="宋体" w:hAnsi="宋体" w:cs="宋体" w:eastAsia="宋体" w:hint="default"/>
                          <w:sz w:val="18"/>
                          <w:szCs w:val="18"/>
                        </w:rPr>
                      </w:pPr>
                      <w:r>
                        <w:rPr>
                          <w:rFonts w:ascii="宋体" w:hAnsi="宋体" w:cs="宋体" w:eastAsia="宋体" w:hint="default"/>
                          <w:sz w:val="18"/>
                          <w:szCs w:val="18"/>
                        </w:rPr>
                        <w:t>经中国证券监督管理委员会出具</w:t>
                      </w:r>
                      <w:r>
                        <w:rPr>
                          <w:rFonts w:ascii="宋体" w:hAnsi="宋体" w:cs="宋体" w:eastAsia="宋体" w:hint="default"/>
                          <w:spacing w:val="-76"/>
                          <w:sz w:val="18"/>
                          <w:szCs w:val="18"/>
                        </w:rPr>
                        <w:t>的</w:t>
                      </w:r>
                      <w:r>
                        <w:rPr>
                          <w:rFonts w:ascii="宋体" w:hAnsi="宋体" w:cs="宋体" w:eastAsia="宋体" w:hint="default"/>
                          <w:sz w:val="18"/>
                          <w:szCs w:val="18"/>
                        </w:rPr>
                        <w:t>《关于核准思创医惠科技股份有限公司非公开发行股票的批复</w:t>
                      </w:r>
                      <w:r>
                        <w:rPr>
                          <w:rFonts w:ascii="宋体" w:hAnsi="宋体" w:cs="宋体" w:eastAsia="宋体" w:hint="default"/>
                          <w:spacing w:val="-166"/>
                          <w:sz w:val="18"/>
                          <w:szCs w:val="18"/>
                        </w:rPr>
                        <w:t>》</w:t>
                      </w:r>
                      <w:r>
                        <w:rPr>
                          <w:rFonts w:ascii="宋体" w:hAnsi="宋体" w:cs="宋体" w:eastAsia="宋体" w:hint="default"/>
                          <w:sz w:val="18"/>
                          <w:szCs w:val="18"/>
                        </w:rPr>
                        <w:t>（证监许</w:t>
                      </w:r>
                      <w:r>
                        <w:rPr>
                          <w:rFonts w:ascii="宋体" w:hAnsi="宋体" w:cs="宋体" w:eastAsia="宋体" w:hint="default"/>
                          <w:spacing w:val="-76"/>
                          <w:sz w:val="18"/>
                          <w:szCs w:val="18"/>
                        </w:rPr>
                        <w:t>可</w:t>
                      </w:r>
                      <w:r>
                        <w:rPr>
                          <w:rFonts w:ascii="宋体" w:hAnsi="宋体" w:cs="宋体" w:eastAsia="宋体" w:hint="default"/>
                          <w:spacing w:val="11"/>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w:t>
                      </w:r>
                    </w:p>
                    <w:p>
                      <w:pPr>
                        <w:spacing w:before="51"/>
                        <w:ind w:left="30"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1442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号）核准，公司非公开发行人民币普通股（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5,139.01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万股，发行价格为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11.15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57,299.99</w:t>
                      </w:r>
                    </w:p>
                    <w:p>
                      <w:pPr>
                        <w:spacing w:before="66"/>
                        <w:ind w:left="3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万元，扣除各项发行费用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759.72 </w:t>
                      </w:r>
                      <w:r>
                        <w:rPr>
                          <w:rFonts w:ascii="宋体" w:hAnsi="宋体" w:cs="宋体" w:eastAsia="宋体" w:hint="default"/>
                          <w:sz w:val="18"/>
                          <w:szCs w:val="18"/>
                        </w:rPr>
                        <w:t>万元，实际募集资金净额为人民币</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56,540.28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spacing w:before="66"/>
                        <w:ind w:left="30" w:right="0" w:firstLine="0"/>
                        <w:jc w:val="left"/>
                        <w:rPr>
                          <w:rFonts w:ascii="宋体" w:hAnsi="宋体" w:cs="宋体" w:eastAsia="宋体" w:hint="default"/>
                          <w:sz w:val="18"/>
                          <w:szCs w:val="18"/>
                        </w:rPr>
                      </w:pPr>
                      <w:r>
                        <w:rPr>
                          <w:rFonts w:ascii="宋体" w:hAnsi="宋体" w:cs="宋体" w:eastAsia="宋体" w:hint="default"/>
                          <w:sz w:val="18"/>
                          <w:szCs w:val="18"/>
                        </w:rPr>
                        <w:t>年度实际使用募集资金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年度收到的银行存款利息扣除银行手续费等的净额为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81.89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万元。募集资金余</w:t>
                      </w:r>
                    </w:p>
                    <w:p>
                      <w:pPr>
                        <w:spacing w:before="66"/>
                        <w:ind w:left="30" w:right="0" w:firstLine="0"/>
                        <w:jc w:val="left"/>
                        <w:rPr>
                          <w:rFonts w:ascii="宋体" w:hAnsi="宋体" w:cs="宋体" w:eastAsia="宋体" w:hint="default"/>
                          <w:sz w:val="18"/>
                          <w:szCs w:val="18"/>
                        </w:rPr>
                      </w:pPr>
                      <w:r>
                        <w:rPr>
                          <w:rFonts w:ascii="宋体" w:hAnsi="宋体" w:cs="宋体" w:eastAsia="宋体" w:hint="default"/>
                          <w:sz w:val="18"/>
                          <w:szCs w:val="18"/>
                        </w:rPr>
                        <w:t>额为人民币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51,622.17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万元（包括累计收到的银行存款利息扣除银行手续费等的净额</w:t>
                      </w:r>
                      <w:r>
                        <w:rPr>
                          <w:rFonts w:ascii="宋体" w:hAnsi="宋体" w:cs="宋体" w:eastAsia="宋体" w:hint="default"/>
                          <w:spacing w:val="-90"/>
                          <w:sz w:val="18"/>
                          <w:szCs w:val="18"/>
                        </w:rPr>
                        <w:t>）</w:t>
                      </w:r>
                      <w:r>
                        <w:rPr>
                          <w:rFonts w:ascii="宋体" w:hAnsi="宋体" w:cs="宋体" w:eastAsia="宋体" w:hint="default"/>
                          <w:sz w:val="18"/>
                          <w:szCs w:val="18"/>
                        </w:rPr>
                        <w:t>。</w:t>
                      </w:r>
                    </w:p>
                  </w:txbxContent>
                </v:textbox>
                <w10:wrap type="none"/>
              </v:shape>
            </v:group>
          </v:group>
        </w:pict>
      </w:r>
      <w:r>
        <w:rPr>
          <w:rFonts w:ascii="宋体" w:hAnsi="宋体" w:cs="宋体" w:eastAsia="宋体" w:hint="default"/>
          <w:position w:val="-46"/>
          <w:sz w:val="20"/>
          <w:szCs w:val="20"/>
        </w:rPr>
      </w:r>
    </w:p>
    <w:p>
      <w:pPr>
        <w:spacing w:line="240" w:lineRule="auto" w:before="5"/>
        <w:rPr>
          <w:rFonts w:ascii="宋体" w:hAnsi="宋体" w:cs="宋体" w:eastAsia="宋体" w:hint="default"/>
          <w:sz w:val="19"/>
          <w:szCs w:val="19"/>
        </w:rPr>
      </w:pPr>
    </w:p>
    <w:p>
      <w:pPr>
        <w:pStyle w:val="Heading5"/>
        <w:spacing w:line="240" w:lineRule="auto" w:before="35"/>
        <w:ind w:left="761" w:right="7329"/>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761" w:right="7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单位：万元</w:t>
      </w:r>
    </w:p>
    <w:p>
      <w:pPr>
        <w:spacing w:line="240" w:lineRule="auto" w:before="7"/>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053"/>
        <w:gridCol w:w="726"/>
        <w:gridCol w:w="901"/>
        <w:gridCol w:w="902"/>
        <w:gridCol w:w="721"/>
        <w:gridCol w:w="901"/>
        <w:gridCol w:w="901"/>
        <w:gridCol w:w="721"/>
        <w:gridCol w:w="886"/>
        <w:gridCol w:w="751"/>
        <w:gridCol w:w="721"/>
        <w:gridCol w:w="721"/>
      </w:tblGrid>
      <w:tr>
        <w:trPr>
          <w:trHeight w:val="1336" w:hRule="exact"/>
        </w:trPr>
        <w:tc>
          <w:tcPr>
            <w:tcW w:w="20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5"/>
                <w:szCs w:val="15"/>
              </w:rPr>
            </w:pPr>
            <w:r>
              <w:rPr>
                <w:rFonts w:ascii="宋体" w:hAnsi="宋体" w:cs="宋体" w:eastAsia="宋体" w:hint="default"/>
                <w:sz w:val="15"/>
                <w:szCs w:val="15"/>
              </w:rPr>
              <w:t>承诺投资项目和超募资金投向</w:t>
            </w:r>
          </w:p>
        </w:tc>
        <w:tc>
          <w:tcPr>
            <w:tcW w:w="7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64" w:lineRule="auto"/>
              <w:ind w:left="34" w:right="23" w:firstLine="15"/>
              <w:jc w:val="both"/>
              <w:rPr>
                <w:rFonts w:ascii="Times New Roman" w:hAnsi="Times New Roman" w:cs="Times New Roman" w:eastAsia="Times New Roman" w:hint="default"/>
                <w:sz w:val="15"/>
                <w:szCs w:val="15"/>
              </w:rPr>
            </w:pPr>
            <w:r>
              <w:rPr>
                <w:rFonts w:ascii="宋体" w:hAnsi="宋体" w:cs="宋体" w:eastAsia="宋体" w:hint="default"/>
                <w:sz w:val="15"/>
                <w:szCs w:val="15"/>
              </w:rPr>
              <w:t>是否已变 更项目</w:t>
            </w:r>
            <w:r>
              <w:rPr>
                <w:rFonts w:ascii="Times New Roman" w:hAnsi="Times New Roman" w:cs="Times New Roman" w:eastAsia="Times New Roman" w:hint="default"/>
                <w:sz w:val="15"/>
                <w:szCs w:val="15"/>
              </w:rPr>
              <w:t>(</w:t>
            </w:r>
            <w:r>
              <w:rPr>
                <w:rFonts w:ascii="宋体" w:hAnsi="宋体" w:cs="宋体" w:eastAsia="宋体" w:hint="default"/>
                <w:sz w:val="15"/>
                <w:szCs w:val="15"/>
              </w:rPr>
              <w:t>含 部分变更</w:t>
            </w:r>
            <w:r>
              <w:rPr>
                <w:rFonts w:ascii="Times New Roman" w:hAnsi="Times New Roman" w:cs="Times New Roman" w:eastAsia="Times New Roman" w:hint="default"/>
                <w:sz w:val="15"/>
                <w:szCs w:val="15"/>
              </w:rPr>
              <w:t>)</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386" w:lineRule="auto"/>
              <w:ind w:left="75" w:right="60"/>
              <w:jc w:val="left"/>
              <w:rPr>
                <w:rFonts w:ascii="宋体" w:hAnsi="宋体" w:cs="宋体" w:eastAsia="宋体" w:hint="default"/>
                <w:sz w:val="15"/>
                <w:szCs w:val="15"/>
              </w:rPr>
            </w:pPr>
            <w:r>
              <w:rPr>
                <w:rFonts w:ascii="宋体" w:hAnsi="宋体" w:cs="宋体" w:eastAsia="宋体" w:hint="default"/>
                <w:sz w:val="15"/>
                <w:szCs w:val="15"/>
              </w:rPr>
              <w:t>募集资金承 诺投资总额</w:t>
            </w:r>
          </w:p>
        </w:tc>
        <w:tc>
          <w:tcPr>
            <w:tcW w:w="9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86" w:lineRule="auto"/>
              <w:ind w:left="195" w:right="74" w:hanging="135"/>
              <w:jc w:val="left"/>
              <w:rPr>
                <w:rFonts w:ascii="Times New Roman" w:hAnsi="Times New Roman" w:cs="Times New Roman" w:eastAsia="Times New Roman" w:hint="default"/>
                <w:sz w:val="15"/>
                <w:szCs w:val="15"/>
              </w:rPr>
            </w:pPr>
            <w:r>
              <w:rPr>
                <w:rFonts w:ascii="宋体" w:hAnsi="宋体" w:cs="宋体" w:eastAsia="宋体" w:hint="default"/>
                <w:sz w:val="15"/>
                <w:szCs w:val="15"/>
              </w:rPr>
              <w:t>调整后投资 总额</w:t>
            </w:r>
            <w:r>
              <w:rPr>
                <w:rFonts w:ascii="Times New Roman" w:hAnsi="Times New Roman" w:cs="Times New Roman" w:eastAsia="Times New Roman" w:hint="default"/>
                <w:sz w:val="15"/>
                <w:szCs w:val="15"/>
              </w:rPr>
              <w:t>(1)</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386" w:lineRule="auto"/>
              <w:ind w:left="44" w:right="58"/>
              <w:jc w:val="left"/>
              <w:rPr>
                <w:rFonts w:ascii="宋体" w:hAnsi="宋体" w:cs="宋体" w:eastAsia="宋体" w:hint="default"/>
                <w:sz w:val="15"/>
                <w:szCs w:val="15"/>
              </w:rPr>
            </w:pPr>
            <w:r>
              <w:rPr>
                <w:rFonts w:ascii="宋体" w:hAnsi="宋体" w:cs="宋体" w:eastAsia="宋体" w:hint="default"/>
                <w:sz w:val="15"/>
                <w:szCs w:val="15"/>
              </w:rPr>
              <w:t>本报告期 投入金额</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67" w:lineRule="auto"/>
              <w:ind w:left="60" w:right="75"/>
              <w:jc w:val="center"/>
              <w:rPr>
                <w:rFonts w:ascii="宋体" w:hAnsi="宋体" w:cs="宋体" w:eastAsia="宋体" w:hint="default"/>
                <w:sz w:val="15"/>
                <w:szCs w:val="15"/>
              </w:rPr>
            </w:pPr>
            <w:r>
              <w:rPr>
                <w:rFonts w:ascii="宋体" w:hAnsi="宋体" w:cs="宋体" w:eastAsia="宋体" w:hint="default"/>
                <w:sz w:val="15"/>
                <w:szCs w:val="15"/>
              </w:rPr>
              <w:t>截至期末累 计投入金额</w:t>
            </w:r>
          </w:p>
          <w:p>
            <w:pPr>
              <w:pStyle w:val="TableParagraph"/>
              <w:spacing w:line="240" w:lineRule="auto" w:before="74"/>
              <w:ind w:right="23"/>
              <w:jc w:val="center"/>
              <w:rPr>
                <w:rFonts w:ascii="Times New Roman" w:hAnsi="Times New Roman" w:cs="Times New Roman" w:eastAsia="Times New Roman" w:hint="default"/>
                <w:sz w:val="15"/>
                <w:szCs w:val="15"/>
              </w:rPr>
            </w:pPr>
            <w:r>
              <w:rPr>
                <w:rFonts w:ascii="Times New Roman"/>
                <w:sz w:val="15"/>
              </w:rPr>
              <w:t>(2)</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386" w:lineRule="auto"/>
              <w:ind w:left="44" w:right="73" w:firstLine="14"/>
              <w:jc w:val="center"/>
              <w:rPr>
                <w:rFonts w:ascii="Times New Roman" w:hAnsi="Times New Roman" w:cs="Times New Roman" w:eastAsia="Times New Roman" w:hint="default"/>
                <w:sz w:val="15"/>
                <w:szCs w:val="15"/>
              </w:rPr>
            </w:pPr>
            <w:r>
              <w:rPr>
                <w:rFonts w:ascii="宋体" w:hAnsi="宋体" w:cs="宋体" w:eastAsia="宋体" w:hint="default"/>
                <w:sz w:val="15"/>
                <w:szCs w:val="15"/>
              </w:rPr>
              <w:t>截至期末投 </w:t>
            </w:r>
            <w:r>
              <w:rPr>
                <w:rFonts w:ascii="宋体" w:hAnsi="宋体" w:cs="宋体" w:eastAsia="宋体" w:hint="default"/>
                <w:spacing w:val="-2"/>
                <w:sz w:val="15"/>
                <w:szCs w:val="15"/>
              </w:rPr>
              <w:t>资进度</w:t>
            </w:r>
            <w:r>
              <w:rPr>
                <w:rFonts w:ascii="Times New Roman" w:hAnsi="Times New Roman" w:cs="Times New Roman" w:eastAsia="Times New Roman" w:hint="default"/>
                <w:spacing w:val="-2"/>
                <w:sz w:val="15"/>
                <w:szCs w:val="15"/>
              </w:rPr>
              <w:t>(3)</w:t>
            </w:r>
            <w:r>
              <w:rPr>
                <w:rFonts w:ascii="宋体" w:hAnsi="宋体" w:cs="宋体" w:eastAsia="宋体" w:hint="default"/>
                <w:spacing w:val="-2"/>
                <w:sz w:val="15"/>
                <w:szCs w:val="15"/>
              </w:rPr>
              <w:t>＝</w:t>
            </w:r>
            <w:r>
              <w:rPr>
                <w:rFonts w:ascii="宋体" w:hAnsi="宋体" w:cs="宋体" w:eastAsia="宋体" w:hint="default"/>
                <w:sz w:val="15"/>
                <w:szCs w:val="15"/>
              </w:rPr>
              <w:t> </w:t>
            </w:r>
            <w:r>
              <w:rPr>
                <w:rFonts w:ascii="Times New Roman" w:hAnsi="Times New Roman" w:cs="Times New Roman" w:eastAsia="Times New Roman" w:hint="default"/>
                <w:sz w:val="15"/>
                <w:szCs w:val="15"/>
              </w:rPr>
              <w:t>(2)/(1)</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79" w:lineRule="auto" w:before="65"/>
              <w:ind w:left="45" w:right="58"/>
              <w:jc w:val="center"/>
              <w:rPr>
                <w:rFonts w:ascii="宋体" w:hAnsi="宋体" w:cs="宋体" w:eastAsia="宋体" w:hint="default"/>
                <w:sz w:val="15"/>
                <w:szCs w:val="15"/>
              </w:rPr>
            </w:pPr>
            <w:r>
              <w:rPr>
                <w:rFonts w:ascii="宋体" w:hAnsi="宋体" w:cs="宋体" w:eastAsia="宋体" w:hint="default"/>
                <w:sz w:val="15"/>
                <w:szCs w:val="15"/>
              </w:rPr>
              <w:t>项目达到 预定可使 用状态日 期</w:t>
            </w:r>
          </w:p>
        </w:tc>
        <w:tc>
          <w:tcPr>
            <w:tcW w:w="8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386" w:lineRule="auto"/>
              <w:ind w:left="135" w:right="59" w:hanging="75"/>
              <w:jc w:val="left"/>
              <w:rPr>
                <w:rFonts w:ascii="宋体" w:hAnsi="宋体" w:cs="宋体" w:eastAsia="宋体" w:hint="default"/>
                <w:sz w:val="15"/>
                <w:szCs w:val="15"/>
              </w:rPr>
            </w:pPr>
            <w:r>
              <w:rPr>
                <w:rFonts w:ascii="宋体" w:hAnsi="宋体" w:cs="宋体" w:eastAsia="宋体" w:hint="default"/>
                <w:sz w:val="15"/>
                <w:szCs w:val="15"/>
              </w:rPr>
              <w:t>本报告期实 现的效益</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434" w:lineRule="auto"/>
              <w:ind w:left="30" w:right="45"/>
              <w:jc w:val="center"/>
              <w:rPr>
                <w:rFonts w:ascii="宋体" w:hAnsi="宋体" w:cs="宋体" w:eastAsia="宋体" w:hint="default"/>
                <w:sz w:val="13"/>
                <w:szCs w:val="13"/>
              </w:rPr>
            </w:pPr>
            <w:r>
              <w:rPr>
                <w:rFonts w:ascii="宋体" w:hAnsi="宋体" w:cs="宋体" w:eastAsia="宋体" w:hint="default"/>
                <w:spacing w:val="-3"/>
                <w:sz w:val="13"/>
                <w:szCs w:val="13"/>
              </w:rPr>
              <w:t>截止报告期</w:t>
            </w:r>
            <w:r>
              <w:rPr>
                <w:rFonts w:ascii="宋体" w:hAnsi="宋体" w:cs="宋体" w:eastAsia="宋体" w:hint="default"/>
                <w:spacing w:val="-48"/>
                <w:sz w:val="13"/>
                <w:szCs w:val="13"/>
              </w:rPr>
              <w:t> </w:t>
            </w:r>
            <w:r>
              <w:rPr>
                <w:rFonts w:ascii="宋体" w:hAnsi="宋体" w:cs="宋体" w:eastAsia="宋体" w:hint="default"/>
                <w:spacing w:val="-48"/>
                <w:sz w:val="13"/>
                <w:szCs w:val="13"/>
              </w:rPr>
            </w:r>
            <w:r>
              <w:rPr>
                <w:rFonts w:ascii="宋体" w:hAnsi="宋体" w:cs="宋体" w:eastAsia="宋体" w:hint="default"/>
                <w:spacing w:val="-3"/>
                <w:sz w:val="13"/>
                <w:szCs w:val="13"/>
              </w:rPr>
              <w:t>末累计实现</w:t>
            </w:r>
            <w:r>
              <w:rPr>
                <w:rFonts w:ascii="宋体" w:hAnsi="宋体" w:cs="宋体" w:eastAsia="宋体" w:hint="default"/>
                <w:spacing w:val="-48"/>
                <w:sz w:val="13"/>
                <w:szCs w:val="13"/>
              </w:rPr>
              <w:t> </w:t>
            </w:r>
            <w:r>
              <w:rPr>
                <w:rFonts w:ascii="宋体" w:hAnsi="宋体" w:cs="宋体" w:eastAsia="宋体" w:hint="default"/>
                <w:spacing w:val="-48"/>
                <w:sz w:val="13"/>
                <w:szCs w:val="13"/>
              </w:rPr>
            </w:r>
            <w:r>
              <w:rPr>
                <w:rFonts w:ascii="宋体" w:hAnsi="宋体" w:cs="宋体" w:eastAsia="宋体" w:hint="default"/>
                <w:w w:val="105"/>
                <w:sz w:val="13"/>
                <w:szCs w:val="13"/>
              </w:rPr>
              <w:t>的效益</w:t>
            </w:r>
            <w:r>
              <w:rPr>
                <w:rFonts w:ascii="宋体" w:hAnsi="宋体" w:cs="宋体" w:eastAsia="宋体" w:hint="default"/>
                <w:sz w:val="13"/>
                <w:szCs w:val="13"/>
              </w:rPr>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0"/>
              <w:ind w:right="0"/>
              <w:jc w:val="left"/>
              <w:rPr>
                <w:rFonts w:ascii="宋体" w:hAnsi="宋体" w:cs="宋体" w:eastAsia="宋体" w:hint="default"/>
                <w:sz w:val="15"/>
                <w:szCs w:val="15"/>
              </w:rPr>
            </w:pPr>
          </w:p>
          <w:p>
            <w:pPr>
              <w:pStyle w:val="TableParagraph"/>
              <w:spacing w:line="386" w:lineRule="auto"/>
              <w:ind w:left="45" w:right="58"/>
              <w:jc w:val="left"/>
              <w:rPr>
                <w:rFonts w:ascii="宋体" w:hAnsi="宋体" w:cs="宋体" w:eastAsia="宋体" w:hint="default"/>
                <w:sz w:val="15"/>
                <w:szCs w:val="15"/>
              </w:rPr>
            </w:pPr>
            <w:r>
              <w:rPr>
                <w:rFonts w:ascii="宋体" w:hAnsi="宋体" w:cs="宋体" w:eastAsia="宋体" w:hint="default"/>
                <w:sz w:val="15"/>
                <w:szCs w:val="15"/>
              </w:rPr>
              <w:t>是否达到 预计效益</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8"/>
                <w:szCs w:val="18"/>
              </w:rPr>
            </w:pPr>
          </w:p>
          <w:p>
            <w:pPr>
              <w:pStyle w:val="TableParagraph"/>
              <w:spacing w:line="434" w:lineRule="auto"/>
              <w:ind w:left="29" w:right="13"/>
              <w:jc w:val="center"/>
              <w:rPr>
                <w:rFonts w:ascii="宋体" w:hAnsi="宋体" w:cs="宋体" w:eastAsia="宋体" w:hint="default"/>
                <w:sz w:val="13"/>
                <w:szCs w:val="13"/>
              </w:rPr>
            </w:pPr>
            <w:r>
              <w:rPr>
                <w:rFonts w:ascii="宋体" w:hAnsi="宋体" w:cs="宋体" w:eastAsia="宋体" w:hint="default"/>
                <w:spacing w:val="-3"/>
                <w:sz w:val="13"/>
                <w:szCs w:val="13"/>
              </w:rPr>
              <w:t>项目可行性</w:t>
            </w:r>
            <w:r>
              <w:rPr>
                <w:rFonts w:ascii="宋体" w:hAnsi="宋体" w:cs="宋体" w:eastAsia="宋体" w:hint="default"/>
                <w:spacing w:val="-50"/>
                <w:sz w:val="13"/>
                <w:szCs w:val="13"/>
              </w:rPr>
              <w:t> </w:t>
            </w:r>
            <w:r>
              <w:rPr>
                <w:rFonts w:ascii="宋体" w:hAnsi="宋体" w:cs="宋体" w:eastAsia="宋体" w:hint="default"/>
                <w:spacing w:val="-50"/>
                <w:sz w:val="13"/>
                <w:szCs w:val="13"/>
              </w:rPr>
            </w:r>
            <w:r>
              <w:rPr>
                <w:rFonts w:ascii="宋体" w:hAnsi="宋体" w:cs="宋体" w:eastAsia="宋体" w:hint="default"/>
                <w:spacing w:val="-3"/>
                <w:sz w:val="13"/>
                <w:szCs w:val="13"/>
              </w:rPr>
              <w:t>是否发生重</w:t>
            </w:r>
            <w:r>
              <w:rPr>
                <w:rFonts w:ascii="宋体" w:hAnsi="宋体" w:cs="宋体" w:eastAsia="宋体" w:hint="default"/>
                <w:spacing w:val="-50"/>
                <w:sz w:val="13"/>
                <w:szCs w:val="13"/>
              </w:rPr>
              <w:t> </w:t>
            </w:r>
            <w:r>
              <w:rPr>
                <w:rFonts w:ascii="宋体" w:hAnsi="宋体" w:cs="宋体" w:eastAsia="宋体" w:hint="default"/>
                <w:spacing w:val="-50"/>
                <w:sz w:val="13"/>
                <w:szCs w:val="13"/>
              </w:rPr>
            </w:r>
            <w:r>
              <w:rPr>
                <w:rFonts w:ascii="宋体" w:hAnsi="宋体" w:cs="宋体" w:eastAsia="宋体" w:hint="default"/>
                <w:w w:val="105"/>
                <w:sz w:val="13"/>
                <w:szCs w:val="13"/>
              </w:rPr>
              <w:t>大变化</w:t>
            </w:r>
            <w:r>
              <w:rPr>
                <w:rFonts w:ascii="宋体" w:hAnsi="宋体" w:cs="宋体" w:eastAsia="宋体" w:hint="default"/>
                <w:sz w:val="13"/>
                <w:szCs w:val="13"/>
              </w:rPr>
            </w:r>
          </w:p>
        </w:tc>
      </w:tr>
      <w:tr>
        <w:trPr>
          <w:trHeight w:val="406" w:hRule="exact"/>
        </w:trPr>
        <w:tc>
          <w:tcPr>
            <w:tcW w:w="10904"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left="15" w:right="0"/>
              <w:jc w:val="left"/>
              <w:rPr>
                <w:rFonts w:ascii="宋体" w:hAnsi="宋体" w:cs="宋体" w:eastAsia="宋体" w:hint="default"/>
                <w:sz w:val="15"/>
                <w:szCs w:val="15"/>
              </w:rPr>
            </w:pPr>
            <w:r>
              <w:rPr>
                <w:rFonts w:ascii="宋体" w:hAnsi="宋体" w:cs="宋体" w:eastAsia="宋体" w:hint="default"/>
                <w:sz w:val="15"/>
                <w:szCs w:val="15"/>
              </w:rPr>
              <w:t>承诺投资项目</w:t>
            </w:r>
          </w:p>
        </w:tc>
      </w:tr>
      <w:tr>
        <w:trPr>
          <w:trHeight w:val="405" w:hRule="exact"/>
        </w:trPr>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5" w:right="0"/>
              <w:jc w:val="left"/>
              <w:rPr>
                <w:rFonts w:ascii="宋体" w:hAnsi="宋体" w:cs="宋体" w:eastAsia="宋体" w:hint="default"/>
                <w:sz w:val="15"/>
                <w:szCs w:val="15"/>
              </w:rPr>
            </w:pPr>
            <w:r>
              <w:rPr>
                <w:rFonts w:ascii="宋体" w:hAnsi="宋体" w:cs="宋体" w:eastAsia="宋体" w:hint="default"/>
                <w:sz w:val="15"/>
                <w:szCs w:val="15"/>
              </w:rPr>
              <w:t>物联网智慧医疗溯源管理项目</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
              <w:jc w:val="right"/>
              <w:rPr>
                <w:rFonts w:ascii="Times New Roman" w:hAnsi="Times New Roman" w:cs="Times New Roman" w:eastAsia="Times New Roman" w:hint="default"/>
                <w:sz w:val="15"/>
                <w:szCs w:val="15"/>
              </w:rPr>
            </w:pPr>
            <w:r>
              <w:rPr>
                <w:rFonts w:ascii="Times New Roman"/>
                <w:sz w:val="15"/>
              </w:rPr>
              <w:t>57,000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4"/>
              <w:jc w:val="right"/>
              <w:rPr>
                <w:rFonts w:ascii="Times New Roman" w:hAnsi="Times New Roman" w:cs="Times New Roman" w:eastAsia="Times New Roman" w:hint="default"/>
                <w:sz w:val="15"/>
                <w:szCs w:val="15"/>
              </w:rPr>
            </w:pPr>
            <w:r>
              <w:rPr>
                <w:rFonts w:ascii="Times New Roman"/>
                <w:sz w:val="15"/>
              </w:rPr>
              <w:t>42,540.28</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38"/>
              <w:jc w:val="right"/>
              <w:rPr>
                <w:rFonts w:ascii="宋体" w:hAnsi="宋体" w:cs="宋体" w:eastAsia="宋体" w:hint="default"/>
                <w:sz w:val="15"/>
                <w:szCs w:val="15"/>
              </w:rPr>
            </w:pPr>
            <w:r>
              <w:rPr>
                <w:rFonts w:ascii="宋体" w:hAnsi="宋体" w:cs="宋体" w:eastAsia="宋体" w:hint="default"/>
                <w:sz w:val="15"/>
                <w:szCs w:val="15"/>
              </w:rPr>
              <w:t>不适用</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5"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390" w:hRule="exact"/>
        </w:trPr>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5" w:right="0"/>
              <w:jc w:val="left"/>
              <w:rPr>
                <w:rFonts w:ascii="宋体" w:hAnsi="宋体" w:cs="宋体" w:eastAsia="宋体" w:hint="default"/>
                <w:sz w:val="15"/>
                <w:szCs w:val="15"/>
              </w:rPr>
            </w:pPr>
            <w:r>
              <w:rPr>
                <w:rFonts w:ascii="宋体" w:hAnsi="宋体" w:cs="宋体" w:eastAsia="宋体" w:hint="default"/>
                <w:sz w:val="15"/>
                <w:szCs w:val="15"/>
              </w:rPr>
              <w:t>医疗大数据应用研发中心</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3"/>
              <w:jc w:val="right"/>
              <w:rPr>
                <w:rFonts w:ascii="Times New Roman" w:hAnsi="Times New Roman" w:cs="Times New Roman" w:eastAsia="Times New Roman" w:hint="default"/>
                <w:sz w:val="15"/>
                <w:szCs w:val="15"/>
              </w:rPr>
            </w:pPr>
            <w:r>
              <w:rPr>
                <w:rFonts w:ascii="Times New Roman"/>
                <w:sz w:val="15"/>
              </w:rPr>
              <w:t>10,000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8"/>
              <w:jc w:val="right"/>
              <w:rPr>
                <w:rFonts w:ascii="Times New Roman" w:hAnsi="Times New Roman" w:cs="Times New Roman" w:eastAsia="Times New Roman" w:hint="default"/>
                <w:sz w:val="15"/>
                <w:szCs w:val="15"/>
              </w:rPr>
            </w:pPr>
            <w:r>
              <w:rPr>
                <w:rFonts w:ascii="Times New Roman"/>
                <w:sz w:val="15"/>
              </w:rPr>
              <w:t>9,000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238"/>
              <w:jc w:val="right"/>
              <w:rPr>
                <w:rFonts w:ascii="宋体" w:hAnsi="宋体" w:cs="宋体" w:eastAsia="宋体" w:hint="default"/>
                <w:sz w:val="15"/>
                <w:szCs w:val="15"/>
              </w:rPr>
            </w:pPr>
            <w:r>
              <w:rPr>
                <w:rFonts w:ascii="宋体" w:hAnsi="宋体" w:cs="宋体" w:eastAsia="宋体" w:hint="default"/>
                <w:sz w:val="15"/>
                <w:szCs w:val="15"/>
              </w:rPr>
              <w:t>不适用</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5"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5" w:hRule="exact"/>
        </w:trPr>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5" w:right="0"/>
              <w:jc w:val="left"/>
              <w:rPr>
                <w:rFonts w:ascii="宋体" w:hAnsi="宋体" w:cs="宋体" w:eastAsia="宋体" w:hint="default"/>
                <w:sz w:val="15"/>
                <w:szCs w:val="15"/>
              </w:rPr>
            </w:pPr>
            <w:r>
              <w:rPr>
                <w:rFonts w:ascii="宋体" w:hAnsi="宋体" w:cs="宋体" w:eastAsia="宋体" w:hint="default"/>
                <w:sz w:val="15"/>
                <w:szCs w:val="15"/>
              </w:rPr>
              <w:t>补充流动资金</w:t>
            </w:r>
          </w:p>
        </w:tc>
        <w:tc>
          <w:tcPr>
            <w:tcW w:w="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9" w:right="0"/>
              <w:jc w:val="left"/>
              <w:rPr>
                <w:rFonts w:ascii="宋体" w:hAnsi="宋体" w:cs="宋体" w:eastAsia="宋体" w:hint="default"/>
                <w:sz w:val="15"/>
                <w:szCs w:val="15"/>
              </w:rPr>
            </w:pPr>
            <w:r>
              <w:rPr>
                <w:rFonts w:ascii="宋体" w:hAnsi="宋体" w:cs="宋体" w:eastAsia="宋体" w:hint="default"/>
                <w:sz w:val="15"/>
                <w:szCs w:val="15"/>
              </w:rPr>
              <w:t>否</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3"/>
              <w:jc w:val="right"/>
              <w:rPr>
                <w:rFonts w:ascii="Times New Roman" w:hAnsi="Times New Roman" w:cs="Times New Roman" w:eastAsia="Times New Roman" w:hint="default"/>
                <w:sz w:val="15"/>
                <w:szCs w:val="15"/>
              </w:rPr>
            </w:pPr>
            <w:r>
              <w:rPr>
                <w:rFonts w:ascii="Times New Roman"/>
                <w:sz w:val="15"/>
              </w:rPr>
              <w:t>5,000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28"/>
              <w:jc w:val="right"/>
              <w:rPr>
                <w:rFonts w:ascii="Times New Roman" w:hAnsi="Times New Roman" w:cs="Times New Roman" w:eastAsia="Times New Roman" w:hint="default"/>
                <w:sz w:val="15"/>
                <w:szCs w:val="15"/>
              </w:rPr>
            </w:pPr>
            <w:r>
              <w:rPr>
                <w:rFonts w:ascii="Times New Roman"/>
                <w:sz w:val="15"/>
              </w:rPr>
              <w:t>5,000</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3"/>
              <w:jc w:val="right"/>
              <w:rPr>
                <w:rFonts w:ascii="Times New Roman" w:hAnsi="Times New Roman" w:cs="Times New Roman" w:eastAsia="Times New Roman" w:hint="default"/>
                <w:sz w:val="15"/>
                <w:szCs w:val="15"/>
              </w:rPr>
            </w:pPr>
            <w:r>
              <w:rPr>
                <w:rFonts w:ascii="Times New Roman"/>
                <w:sz w:val="15"/>
              </w:rPr>
              <w:t>5,000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28"/>
              <w:jc w:val="right"/>
              <w:rPr>
                <w:rFonts w:ascii="Times New Roman" w:hAnsi="Times New Roman" w:cs="Times New Roman" w:eastAsia="Times New Roman" w:hint="default"/>
                <w:sz w:val="15"/>
                <w:szCs w:val="15"/>
              </w:rPr>
            </w:pPr>
            <w:r>
              <w:rPr>
                <w:rFonts w:ascii="Times New Roman"/>
                <w:sz w:val="15"/>
              </w:rPr>
              <w:t>5,000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left="315" w:right="0"/>
              <w:jc w:val="left"/>
              <w:rPr>
                <w:rFonts w:ascii="Times New Roman" w:hAnsi="Times New Roman" w:cs="Times New Roman" w:eastAsia="Times New Roman" w:hint="default"/>
                <w:sz w:val="15"/>
                <w:szCs w:val="15"/>
              </w:rPr>
            </w:pPr>
            <w:r>
              <w:rPr>
                <w:rFonts w:ascii="Times New Roman"/>
                <w:sz w:val="15"/>
              </w:rPr>
              <w:t>100.00%</w:t>
            </w:r>
          </w:p>
        </w:tc>
        <w:tc>
          <w:tcPr>
            <w:tcW w:w="72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right="238"/>
              <w:jc w:val="right"/>
              <w:rPr>
                <w:rFonts w:ascii="宋体" w:hAnsi="宋体" w:cs="宋体" w:eastAsia="宋体" w:hint="default"/>
                <w:sz w:val="15"/>
                <w:szCs w:val="15"/>
              </w:rPr>
            </w:pPr>
            <w:r>
              <w:rPr>
                <w:rFonts w:ascii="宋体" w:hAnsi="宋体" w:cs="宋体" w:eastAsia="宋体" w:hint="default"/>
                <w:sz w:val="15"/>
                <w:szCs w:val="15"/>
              </w:rPr>
              <w:t>不适用</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15" w:right="0"/>
              <w:jc w:val="left"/>
              <w:rPr>
                <w:rFonts w:ascii="宋体" w:hAnsi="宋体" w:cs="宋体" w:eastAsia="宋体" w:hint="default"/>
                <w:sz w:val="15"/>
                <w:szCs w:val="15"/>
              </w:rPr>
            </w:pPr>
            <w:r>
              <w:rPr>
                <w:rFonts w:ascii="宋体" w:hAnsi="宋体" w:cs="宋体" w:eastAsia="宋体" w:hint="default"/>
                <w:sz w:val="15"/>
                <w:szCs w:val="15"/>
              </w:rPr>
              <w:t>否</w:t>
            </w:r>
          </w:p>
        </w:tc>
      </w:tr>
      <w:tr>
        <w:trPr>
          <w:trHeight w:val="405" w:hRule="exact"/>
        </w:trPr>
        <w:tc>
          <w:tcPr>
            <w:tcW w:w="20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left="15" w:right="0"/>
              <w:jc w:val="left"/>
              <w:rPr>
                <w:rFonts w:ascii="宋体" w:hAnsi="宋体" w:cs="宋体" w:eastAsia="宋体" w:hint="default"/>
                <w:sz w:val="15"/>
                <w:szCs w:val="15"/>
              </w:rPr>
            </w:pPr>
            <w:r>
              <w:rPr>
                <w:rFonts w:ascii="宋体" w:hAnsi="宋体" w:cs="宋体" w:eastAsia="宋体" w:hint="default"/>
                <w:sz w:val="15"/>
                <w:szCs w:val="15"/>
              </w:rPr>
              <w:t>承诺投资项目小计</w:t>
            </w:r>
          </w:p>
        </w:tc>
        <w:tc>
          <w:tcPr>
            <w:tcW w:w="7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right="313"/>
              <w:jc w:val="right"/>
              <w:rPr>
                <w:rFonts w:ascii="Times New Roman" w:hAnsi="Times New Roman" w:cs="Times New Roman" w:eastAsia="Times New Roman" w:hint="default"/>
                <w:sz w:val="15"/>
                <w:szCs w:val="15"/>
              </w:rPr>
            </w:pPr>
            <w:r>
              <w:rPr>
                <w:rFonts w:ascii="Times New Roman"/>
                <w:spacing w:val="-5"/>
                <w:w w:val="95"/>
                <w:sz w:val="15"/>
              </w:rPr>
              <w:t>--</w:t>
            </w:r>
            <w:r>
              <w:rPr>
                <w:rFonts w:ascii="Times New Roman"/>
                <w:sz w:val="15"/>
              </w:rPr>
            </w:r>
          </w:p>
        </w:tc>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5"/>
              <w:ind w:right="13"/>
              <w:jc w:val="right"/>
              <w:rPr>
                <w:rFonts w:ascii="Times New Roman" w:hAnsi="Times New Roman" w:cs="Times New Roman" w:eastAsia="Times New Roman" w:hint="default"/>
                <w:sz w:val="15"/>
                <w:szCs w:val="15"/>
              </w:rPr>
            </w:pPr>
            <w:r>
              <w:rPr>
                <w:rFonts w:ascii="Times New Roman"/>
                <w:sz w:val="15"/>
              </w:rPr>
              <w:t>72,000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4"/>
              <w:jc w:val="right"/>
              <w:rPr>
                <w:rFonts w:ascii="Times New Roman" w:hAnsi="Times New Roman" w:cs="Times New Roman" w:eastAsia="Times New Roman" w:hint="default"/>
                <w:sz w:val="15"/>
                <w:szCs w:val="15"/>
              </w:rPr>
            </w:pPr>
            <w:r>
              <w:rPr>
                <w:rFonts w:ascii="Times New Roman"/>
                <w:sz w:val="15"/>
              </w:rPr>
              <w:t>56,540.28</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5"/>
              <w:ind w:right="13"/>
              <w:jc w:val="right"/>
              <w:rPr>
                <w:rFonts w:ascii="Times New Roman" w:hAnsi="Times New Roman" w:cs="Times New Roman" w:eastAsia="Times New Roman" w:hint="default"/>
                <w:sz w:val="15"/>
                <w:szCs w:val="15"/>
              </w:rPr>
            </w:pPr>
            <w:r>
              <w:rPr>
                <w:rFonts w:ascii="Times New Roman"/>
                <w:sz w:val="15"/>
              </w:rPr>
              <w:t>5,000</w:t>
            </w:r>
          </w:p>
        </w:tc>
        <w:tc>
          <w:tcPr>
            <w:tcW w:w="90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5"/>
              <w:ind w:right="21"/>
              <w:jc w:val="right"/>
              <w:rPr>
                <w:rFonts w:ascii="Times New Roman" w:hAnsi="Times New Roman" w:cs="Times New Roman" w:eastAsia="Times New Roman" w:hint="default"/>
                <w:sz w:val="15"/>
                <w:szCs w:val="15"/>
              </w:rPr>
            </w:pPr>
            <w:r>
              <w:rPr>
                <w:rFonts w:ascii="Times New Roman"/>
                <w:sz w:val="15"/>
              </w:rPr>
              <w:t>5,000</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right="43"/>
              <w:jc w:val="center"/>
              <w:rPr>
                <w:rFonts w:ascii="Times New Roman" w:hAnsi="Times New Roman" w:cs="Times New Roman" w:eastAsia="Times New Roman" w:hint="default"/>
                <w:sz w:val="15"/>
                <w:szCs w:val="15"/>
              </w:rPr>
            </w:pPr>
            <w:r>
              <w:rPr>
                <w:rFonts w:ascii="Times New Roman"/>
                <w:spacing w:val="-5"/>
                <w:sz w:val="15"/>
              </w:rPr>
              <w:t>--</w:t>
            </w:r>
            <w:r>
              <w:rPr>
                <w:rFonts w:ascii="Times New Roman"/>
                <w:sz w:val="15"/>
              </w:rPr>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right="12"/>
              <w:jc w:val="center"/>
              <w:rPr>
                <w:rFonts w:ascii="Times New Roman" w:hAnsi="Times New Roman" w:cs="Times New Roman" w:eastAsia="Times New Roman" w:hint="default"/>
                <w:sz w:val="15"/>
                <w:szCs w:val="15"/>
              </w:rPr>
            </w:pPr>
            <w:r>
              <w:rPr>
                <w:rFonts w:ascii="Times New Roman"/>
                <w:spacing w:val="-5"/>
                <w:sz w:val="15"/>
              </w:rPr>
              <w:t>--</w:t>
            </w:r>
            <w:r>
              <w:rPr>
                <w:rFonts w:ascii="Times New Roman"/>
                <w:sz w:val="15"/>
              </w:rPr>
            </w:r>
          </w:p>
        </w:tc>
        <w:tc>
          <w:tcPr>
            <w:tcW w:w="886" w:type="dxa"/>
            <w:tcBorders>
              <w:top w:val="single" w:sz="6" w:space="0" w:color="000000"/>
              <w:left w:val="single" w:sz="12"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12" w:space="0" w:color="D2D2D2"/>
            </w:tcBorders>
          </w:tcPr>
          <w:p>
            <w:pP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right="313"/>
              <w:jc w:val="right"/>
              <w:rPr>
                <w:rFonts w:ascii="Times New Roman" w:hAnsi="Times New Roman" w:cs="Times New Roman" w:eastAsia="Times New Roman" w:hint="default"/>
                <w:sz w:val="15"/>
                <w:szCs w:val="15"/>
              </w:rPr>
            </w:pPr>
            <w:r>
              <w:rPr>
                <w:rFonts w:ascii="Times New Roman"/>
                <w:spacing w:val="-5"/>
                <w:w w:val="95"/>
                <w:sz w:val="15"/>
              </w:rPr>
              <w:t>--</w:t>
            </w:r>
            <w:r>
              <w:rPr>
                <w:rFonts w:ascii="Times New Roman"/>
                <w:sz w:val="15"/>
              </w:rPr>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5"/>
              <w:ind w:right="313"/>
              <w:jc w:val="right"/>
              <w:rPr>
                <w:rFonts w:ascii="Times New Roman" w:hAnsi="Times New Roman" w:cs="Times New Roman" w:eastAsia="Times New Roman" w:hint="default"/>
                <w:sz w:val="15"/>
                <w:szCs w:val="15"/>
              </w:rPr>
            </w:pPr>
            <w:r>
              <w:rPr>
                <w:rFonts w:ascii="Times New Roman"/>
                <w:spacing w:val="-5"/>
                <w:w w:val="95"/>
                <w:sz w:val="15"/>
              </w:rPr>
              <w:t>--</w:t>
            </w:r>
            <w:r>
              <w:rPr>
                <w:rFonts w:ascii="Times New Roman"/>
                <w:sz w:val="15"/>
              </w:rPr>
            </w:r>
          </w:p>
        </w:tc>
      </w:tr>
      <w:tr>
        <w:trPr>
          <w:trHeight w:val="406" w:hRule="exact"/>
        </w:trPr>
        <w:tc>
          <w:tcPr>
            <w:tcW w:w="10904"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0"/>
              <w:ind w:left="15" w:right="0"/>
              <w:jc w:val="left"/>
              <w:rPr>
                <w:rFonts w:ascii="宋体" w:hAnsi="宋体" w:cs="宋体" w:eastAsia="宋体" w:hint="default"/>
                <w:sz w:val="15"/>
                <w:szCs w:val="15"/>
              </w:rPr>
            </w:pPr>
            <w:r>
              <w:rPr>
                <w:rFonts w:ascii="宋体" w:hAnsi="宋体" w:cs="宋体" w:eastAsia="宋体" w:hint="default"/>
                <w:sz w:val="15"/>
                <w:szCs w:val="15"/>
              </w:rPr>
              <w:t>超募资金投向</w:t>
            </w:r>
          </w:p>
        </w:tc>
      </w:tr>
      <w:tr>
        <w:trPr>
          <w:trHeight w:val="406" w:hRule="exact"/>
        </w:trPr>
        <w:tc>
          <w:tcPr>
            <w:tcW w:w="2053" w:type="dxa"/>
            <w:tcBorders>
              <w:top w:val="single" w:sz="6" w:space="0" w:color="000000"/>
              <w:left w:val="single" w:sz="6" w:space="0" w:color="000000"/>
              <w:bottom w:val="single" w:sz="6" w:space="0" w:color="000000"/>
              <w:right w:val="single" w:sz="6" w:space="0" w:color="000000"/>
            </w:tcBorders>
          </w:tcPr>
          <w:p>
            <w:pPr/>
          </w:p>
        </w:tc>
        <w:tc>
          <w:tcPr>
            <w:tcW w:w="726"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02"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88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0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4"/>
              <w:ind w:left="15" w:right="0"/>
              <w:jc w:val="left"/>
              <w:rPr>
                <w:rFonts w:ascii="宋体" w:hAnsi="宋体" w:cs="宋体" w:eastAsia="宋体" w:hint="default"/>
                <w:sz w:val="15"/>
                <w:szCs w:val="15"/>
              </w:rPr>
            </w:pPr>
            <w:r>
              <w:rPr>
                <w:rFonts w:ascii="宋体" w:hAnsi="宋体" w:cs="宋体" w:eastAsia="宋体" w:hint="default"/>
                <w:sz w:val="15"/>
                <w:szCs w:val="15"/>
              </w:rPr>
              <w:t>合计</w:t>
            </w:r>
          </w:p>
        </w:tc>
        <w:tc>
          <w:tcPr>
            <w:tcW w:w="7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9"/>
              <w:ind w:right="313"/>
              <w:jc w:val="right"/>
              <w:rPr>
                <w:rFonts w:ascii="Times New Roman" w:hAnsi="Times New Roman" w:cs="Times New Roman" w:eastAsia="Times New Roman" w:hint="default"/>
                <w:sz w:val="15"/>
                <w:szCs w:val="15"/>
              </w:rPr>
            </w:pPr>
            <w:r>
              <w:rPr>
                <w:rFonts w:ascii="Times New Roman"/>
                <w:spacing w:val="-5"/>
                <w:w w:val="95"/>
                <w:sz w:val="15"/>
              </w:rPr>
              <w:t>--</w:t>
            </w:r>
            <w:r>
              <w:rPr>
                <w:rFonts w:ascii="Times New Roman"/>
                <w:sz w:val="15"/>
              </w:rPr>
            </w:r>
          </w:p>
        </w:tc>
        <w:tc>
          <w:tcPr>
            <w:tcW w:w="9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99"/>
              <w:ind w:right="13"/>
              <w:jc w:val="right"/>
              <w:rPr>
                <w:rFonts w:ascii="Times New Roman" w:hAnsi="Times New Roman" w:cs="Times New Roman" w:eastAsia="Times New Roman" w:hint="default"/>
                <w:sz w:val="15"/>
                <w:szCs w:val="15"/>
              </w:rPr>
            </w:pPr>
            <w:r>
              <w:rPr>
                <w:rFonts w:ascii="Times New Roman"/>
                <w:sz w:val="15"/>
              </w:rPr>
              <w:t>72,000</w:t>
            </w:r>
          </w:p>
        </w:tc>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4"/>
              <w:jc w:val="right"/>
              <w:rPr>
                <w:rFonts w:ascii="Times New Roman" w:hAnsi="Times New Roman" w:cs="Times New Roman" w:eastAsia="Times New Roman" w:hint="default"/>
                <w:sz w:val="15"/>
                <w:szCs w:val="15"/>
              </w:rPr>
            </w:pPr>
            <w:r>
              <w:rPr>
                <w:rFonts w:ascii="Times New Roman"/>
                <w:sz w:val="15"/>
              </w:rPr>
              <w:t>56,540.28</w:t>
            </w: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3"/>
              <w:jc w:val="right"/>
              <w:rPr>
                <w:rFonts w:ascii="Times New Roman" w:hAnsi="Times New Roman" w:cs="Times New Roman" w:eastAsia="Times New Roman" w:hint="default"/>
                <w:sz w:val="15"/>
                <w:szCs w:val="15"/>
              </w:rPr>
            </w:pPr>
            <w:r>
              <w:rPr>
                <w:rFonts w:ascii="Times New Roman"/>
                <w:sz w:val="15"/>
              </w:rPr>
              <w:t>5,000</w:t>
            </w: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8"/>
              <w:jc w:val="right"/>
              <w:rPr>
                <w:rFonts w:ascii="Times New Roman" w:hAnsi="Times New Roman" w:cs="Times New Roman" w:eastAsia="Times New Roman" w:hint="default"/>
                <w:sz w:val="15"/>
                <w:szCs w:val="15"/>
              </w:rPr>
            </w:pPr>
            <w:r>
              <w:rPr>
                <w:rFonts w:ascii="Times New Roman"/>
                <w:sz w:val="15"/>
              </w:rPr>
              <w:t>5,000</w:t>
            </w:r>
          </w:p>
        </w:tc>
        <w:tc>
          <w:tcPr>
            <w:tcW w:w="9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9"/>
              <w:ind w:right="43"/>
              <w:jc w:val="center"/>
              <w:rPr>
                <w:rFonts w:ascii="Times New Roman" w:hAnsi="Times New Roman" w:cs="Times New Roman" w:eastAsia="Times New Roman" w:hint="default"/>
                <w:sz w:val="15"/>
                <w:szCs w:val="15"/>
              </w:rPr>
            </w:pPr>
            <w:r>
              <w:rPr>
                <w:rFonts w:ascii="Times New Roman"/>
                <w:spacing w:val="-5"/>
                <w:sz w:val="15"/>
              </w:rPr>
              <w:t>--</w:t>
            </w:r>
            <w:r>
              <w:rPr>
                <w:rFonts w:ascii="Times New Roman"/>
                <w:sz w:val="15"/>
              </w:rPr>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9"/>
              <w:ind w:right="12"/>
              <w:jc w:val="center"/>
              <w:rPr>
                <w:rFonts w:ascii="Times New Roman" w:hAnsi="Times New Roman" w:cs="Times New Roman" w:eastAsia="Times New Roman" w:hint="default"/>
                <w:sz w:val="15"/>
                <w:szCs w:val="15"/>
              </w:rPr>
            </w:pPr>
            <w:r>
              <w:rPr>
                <w:rFonts w:ascii="Times New Roman"/>
                <w:spacing w:val="-5"/>
                <w:sz w:val="15"/>
              </w:rPr>
              <w:t>--</w:t>
            </w:r>
            <w:r>
              <w:rPr>
                <w:rFonts w:ascii="Times New Roman"/>
                <w:sz w:val="15"/>
              </w:rPr>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14"/>
              <w:jc w:val="right"/>
              <w:rPr>
                <w:rFonts w:ascii="Times New Roman" w:hAnsi="Times New Roman" w:cs="Times New Roman" w:eastAsia="Times New Roman" w:hint="default"/>
                <w:sz w:val="15"/>
                <w:szCs w:val="15"/>
              </w:rPr>
            </w:pPr>
            <w:r>
              <w:rPr>
                <w:rFonts w:ascii="Times New Roman"/>
                <w:sz w:val="15"/>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right="29"/>
              <w:jc w:val="right"/>
              <w:rPr>
                <w:rFonts w:ascii="Times New Roman" w:hAnsi="Times New Roman" w:cs="Times New Roman" w:eastAsia="Times New Roman" w:hint="default"/>
                <w:sz w:val="15"/>
                <w:szCs w:val="15"/>
              </w:rPr>
            </w:pPr>
            <w:r>
              <w:rPr>
                <w:rFonts w:ascii="Times New Roman"/>
                <w:sz w:val="15"/>
              </w:rPr>
              <w:t>0</w:t>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9"/>
              <w:ind w:right="313"/>
              <w:jc w:val="right"/>
              <w:rPr>
                <w:rFonts w:ascii="Times New Roman" w:hAnsi="Times New Roman" w:cs="Times New Roman" w:eastAsia="Times New Roman" w:hint="default"/>
                <w:sz w:val="15"/>
                <w:szCs w:val="15"/>
              </w:rPr>
            </w:pPr>
            <w:r>
              <w:rPr>
                <w:rFonts w:ascii="Times New Roman"/>
                <w:spacing w:val="-5"/>
                <w:w w:val="95"/>
                <w:sz w:val="15"/>
              </w:rPr>
              <w:t>--</w:t>
            </w:r>
            <w:r>
              <w:rPr>
                <w:rFonts w:ascii="Times New Roman"/>
                <w:sz w:val="15"/>
              </w:rPr>
            </w:r>
          </w:p>
        </w:tc>
        <w:tc>
          <w:tcPr>
            <w:tcW w:w="7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99"/>
              <w:ind w:right="313"/>
              <w:jc w:val="right"/>
              <w:rPr>
                <w:rFonts w:ascii="Times New Roman" w:hAnsi="Times New Roman" w:cs="Times New Roman" w:eastAsia="Times New Roman" w:hint="default"/>
                <w:sz w:val="15"/>
                <w:szCs w:val="15"/>
              </w:rPr>
            </w:pPr>
            <w:r>
              <w:rPr>
                <w:rFonts w:ascii="Times New Roman"/>
                <w:spacing w:val="-5"/>
                <w:w w:val="95"/>
                <w:sz w:val="15"/>
              </w:rPr>
              <w:t>--</w:t>
            </w:r>
            <w:r>
              <w:rPr>
                <w:rFonts w:ascii="Times New Roman"/>
                <w:sz w:val="15"/>
              </w:rPr>
            </w:r>
          </w:p>
        </w:tc>
      </w:tr>
      <w:tr>
        <w:trPr>
          <w:trHeight w:val="721" w:hRule="exact"/>
        </w:trPr>
        <w:tc>
          <w:tcPr>
            <w:tcW w:w="20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80"/>
              <w:ind w:left="15" w:right="70"/>
              <w:jc w:val="left"/>
              <w:rPr>
                <w:rFonts w:ascii="宋体" w:hAnsi="宋体" w:cs="宋体" w:eastAsia="宋体" w:hint="default"/>
                <w:sz w:val="15"/>
                <w:szCs w:val="15"/>
              </w:rPr>
            </w:pPr>
            <w:r>
              <w:rPr>
                <w:rFonts w:ascii="宋体" w:hAnsi="宋体" w:cs="宋体" w:eastAsia="宋体" w:hint="default"/>
                <w:sz w:val="15"/>
                <w:szCs w:val="15"/>
              </w:rPr>
              <w:t>未达到计划进度或预计收益的 情况和原因（分具体项目）</w:t>
            </w:r>
          </w:p>
        </w:tc>
        <w:tc>
          <w:tcPr>
            <w:tcW w:w="8851" w:type="dxa"/>
            <w:gridSpan w:val="11"/>
            <w:tcBorders>
              <w:top w:val="single" w:sz="6" w:space="0" w:color="000000"/>
              <w:left w:val="single" w:sz="18" w:space="0" w:color="D2D2D2"/>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720" w:hRule="exact"/>
        </w:trPr>
        <w:tc>
          <w:tcPr>
            <w:tcW w:w="20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79"/>
              <w:ind w:left="15" w:right="70"/>
              <w:jc w:val="left"/>
              <w:rPr>
                <w:rFonts w:ascii="宋体" w:hAnsi="宋体" w:cs="宋体" w:eastAsia="宋体" w:hint="default"/>
                <w:sz w:val="15"/>
                <w:szCs w:val="15"/>
              </w:rPr>
            </w:pPr>
            <w:r>
              <w:rPr>
                <w:rFonts w:ascii="宋体" w:hAnsi="宋体" w:cs="宋体" w:eastAsia="宋体" w:hint="default"/>
                <w:sz w:val="15"/>
                <w:szCs w:val="15"/>
              </w:rPr>
              <w:t>项目可行性发生重大变化的情 况说明</w:t>
            </w:r>
          </w:p>
        </w:tc>
        <w:tc>
          <w:tcPr>
            <w:tcW w:w="8851" w:type="dxa"/>
            <w:gridSpan w:val="11"/>
            <w:tcBorders>
              <w:top w:val="single" w:sz="6" w:space="0" w:color="000000"/>
              <w:left w:val="single" w:sz="18" w:space="0" w:color="D2D2D2"/>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5"/>
                <w:szCs w:val="15"/>
              </w:rPr>
            </w:pPr>
            <w:r>
              <w:rPr>
                <w:rFonts w:ascii="宋体" w:hAnsi="宋体" w:cs="宋体" w:eastAsia="宋体" w:hint="default"/>
                <w:sz w:val="15"/>
                <w:szCs w:val="15"/>
              </w:rPr>
              <w:t>无</w:t>
            </w:r>
          </w:p>
        </w:tc>
      </w:tr>
      <w:tr>
        <w:trPr>
          <w:trHeight w:val="706" w:hRule="exact"/>
        </w:trPr>
        <w:tc>
          <w:tcPr>
            <w:tcW w:w="20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86" w:lineRule="auto" w:before="65"/>
              <w:ind w:left="15" w:right="70"/>
              <w:jc w:val="left"/>
              <w:rPr>
                <w:rFonts w:ascii="宋体" w:hAnsi="宋体" w:cs="宋体" w:eastAsia="宋体" w:hint="default"/>
                <w:sz w:val="15"/>
                <w:szCs w:val="15"/>
              </w:rPr>
            </w:pPr>
            <w:r>
              <w:rPr>
                <w:rFonts w:ascii="宋体" w:hAnsi="宋体" w:cs="宋体" w:eastAsia="宋体" w:hint="default"/>
                <w:sz w:val="15"/>
                <w:szCs w:val="15"/>
              </w:rPr>
              <w:t>超募资金的金额、用途及使用 进展情况</w:t>
            </w:r>
          </w:p>
        </w:tc>
        <w:tc>
          <w:tcPr>
            <w:tcW w:w="8851" w:type="dxa"/>
            <w:gridSpan w:val="11"/>
            <w:tcBorders>
              <w:top w:val="single" w:sz="6" w:space="0" w:color="000000"/>
              <w:left w:val="single" w:sz="18"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721" w:hRule="exact"/>
        </w:trPr>
        <w:tc>
          <w:tcPr>
            <w:tcW w:w="20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80"/>
              <w:ind w:left="15" w:right="70"/>
              <w:jc w:val="left"/>
              <w:rPr>
                <w:rFonts w:ascii="宋体" w:hAnsi="宋体" w:cs="宋体" w:eastAsia="宋体" w:hint="default"/>
                <w:sz w:val="15"/>
                <w:szCs w:val="15"/>
              </w:rPr>
            </w:pPr>
            <w:r>
              <w:rPr>
                <w:rFonts w:ascii="宋体" w:hAnsi="宋体" w:cs="宋体" w:eastAsia="宋体" w:hint="default"/>
                <w:sz w:val="15"/>
                <w:szCs w:val="15"/>
              </w:rPr>
              <w:t>募集资金投资项目实施地点变 更情况</w:t>
            </w:r>
          </w:p>
        </w:tc>
        <w:tc>
          <w:tcPr>
            <w:tcW w:w="8851" w:type="dxa"/>
            <w:gridSpan w:val="11"/>
            <w:tcBorders>
              <w:top w:val="single" w:sz="6" w:space="0" w:color="000000"/>
              <w:left w:val="single" w:sz="18"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705" w:hRule="exact"/>
        </w:trPr>
        <w:tc>
          <w:tcPr>
            <w:tcW w:w="20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86" w:lineRule="auto" w:before="65"/>
              <w:ind w:left="15" w:right="70"/>
              <w:jc w:val="left"/>
              <w:rPr>
                <w:rFonts w:ascii="宋体" w:hAnsi="宋体" w:cs="宋体" w:eastAsia="宋体" w:hint="default"/>
                <w:sz w:val="15"/>
                <w:szCs w:val="15"/>
              </w:rPr>
            </w:pPr>
            <w:r>
              <w:rPr>
                <w:rFonts w:ascii="宋体" w:hAnsi="宋体" w:cs="宋体" w:eastAsia="宋体" w:hint="default"/>
                <w:sz w:val="15"/>
                <w:szCs w:val="15"/>
              </w:rPr>
              <w:t>募集资金投资项目实施方式调 整情况</w:t>
            </w:r>
          </w:p>
        </w:tc>
        <w:tc>
          <w:tcPr>
            <w:tcW w:w="8851" w:type="dxa"/>
            <w:gridSpan w:val="11"/>
            <w:tcBorders>
              <w:top w:val="single" w:sz="6" w:space="0" w:color="000000"/>
              <w:left w:val="single" w:sz="18" w:space="0" w:color="D2D2D2"/>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720" w:hRule="exact"/>
        </w:trPr>
        <w:tc>
          <w:tcPr>
            <w:tcW w:w="20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67" w:lineRule="auto" w:before="80"/>
              <w:ind w:left="15" w:right="70"/>
              <w:jc w:val="left"/>
              <w:rPr>
                <w:rFonts w:ascii="宋体" w:hAnsi="宋体" w:cs="宋体" w:eastAsia="宋体" w:hint="default"/>
                <w:sz w:val="15"/>
                <w:szCs w:val="15"/>
              </w:rPr>
            </w:pPr>
            <w:r>
              <w:rPr>
                <w:rFonts w:ascii="宋体" w:hAnsi="宋体" w:cs="宋体" w:eastAsia="宋体" w:hint="default"/>
                <w:sz w:val="15"/>
                <w:szCs w:val="15"/>
              </w:rPr>
              <w:t>募集资金投资项目先期投入及 置换情况</w:t>
            </w:r>
          </w:p>
        </w:tc>
        <w:tc>
          <w:tcPr>
            <w:tcW w:w="8851" w:type="dxa"/>
            <w:gridSpan w:val="11"/>
            <w:tcBorders>
              <w:top w:val="single" w:sz="6" w:space="0" w:color="000000"/>
              <w:left w:val="single" w:sz="18" w:space="0" w:color="D2D2D2"/>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188" w:hRule="exact"/>
        </w:trPr>
        <w:tc>
          <w:tcPr>
            <w:tcW w:w="2053" w:type="dxa"/>
            <w:tcBorders>
              <w:top w:val="single" w:sz="6" w:space="0" w:color="000000"/>
              <w:left w:val="single" w:sz="6" w:space="0" w:color="000000"/>
              <w:bottom w:val="nil" w:sz="6" w:space="0" w:color="auto"/>
              <w:right w:val="single" w:sz="6" w:space="0" w:color="000000"/>
            </w:tcBorders>
            <w:shd w:val="clear" w:color="auto" w:fill="D2D2D2"/>
          </w:tcPr>
          <w:p>
            <w:pPr/>
          </w:p>
        </w:tc>
        <w:tc>
          <w:tcPr>
            <w:tcW w:w="8851" w:type="dxa"/>
            <w:gridSpan w:val="11"/>
            <w:vMerge w:val="restart"/>
            <w:tcBorders>
              <w:top w:val="single" w:sz="6" w:space="0" w:color="000000"/>
              <w:left w:val="single" w:sz="12" w:space="0" w:color="D2D2D2"/>
              <w:right w:val="single" w:sz="6" w:space="0" w:color="000000"/>
            </w:tcBorders>
          </w:tcPr>
          <w:p>
            <w:pPr>
              <w:pStyle w:val="TableParagraph"/>
              <w:spacing w:line="240" w:lineRule="auto" w:before="80"/>
              <w:ind w:left="12" w:right="0"/>
              <w:jc w:val="left"/>
              <w:rPr>
                <w:rFonts w:ascii="宋体" w:hAnsi="宋体" w:cs="宋体" w:eastAsia="宋体" w:hint="default"/>
                <w:sz w:val="15"/>
                <w:szCs w:val="15"/>
              </w:rPr>
            </w:pPr>
            <w:r>
              <w:rPr>
                <w:rFonts w:ascii="宋体" w:hAnsi="宋体" w:cs="宋体" w:eastAsia="宋体" w:hint="default"/>
                <w:sz w:val="15"/>
                <w:szCs w:val="15"/>
              </w:rPr>
              <w:t>适用</w:t>
            </w:r>
          </w:p>
        </w:tc>
      </w:tr>
      <w:tr>
        <w:trPr>
          <w:trHeight w:val="218" w:hRule="exact"/>
        </w:trPr>
        <w:tc>
          <w:tcPr>
            <w:tcW w:w="2053" w:type="dxa"/>
            <w:vMerge w:val="restart"/>
            <w:tcBorders>
              <w:top w:val="nil" w:sz="6" w:space="0" w:color="auto"/>
              <w:left w:val="single" w:sz="6" w:space="0" w:color="000000"/>
              <w:right w:val="single" w:sz="6" w:space="0" w:color="000000"/>
            </w:tcBorders>
            <w:shd w:val="clear" w:color="auto" w:fill="D2D2D2"/>
          </w:tcPr>
          <w:p>
            <w:pPr>
              <w:pStyle w:val="TableParagraph"/>
              <w:spacing w:line="367" w:lineRule="auto" w:before="80"/>
              <w:ind w:left="15" w:right="70"/>
              <w:jc w:val="left"/>
              <w:rPr>
                <w:rFonts w:ascii="宋体" w:hAnsi="宋体" w:cs="宋体" w:eastAsia="宋体" w:hint="default"/>
                <w:sz w:val="15"/>
                <w:szCs w:val="15"/>
              </w:rPr>
            </w:pPr>
            <w:r>
              <w:rPr>
                <w:rFonts w:ascii="宋体" w:hAnsi="宋体" w:cs="宋体" w:eastAsia="宋体" w:hint="default"/>
                <w:sz w:val="15"/>
                <w:szCs w:val="15"/>
              </w:rPr>
              <w:t>用闲置募集资金暂时补充流动 资金情况</w:t>
            </w:r>
          </w:p>
        </w:tc>
        <w:tc>
          <w:tcPr>
            <w:tcW w:w="8851" w:type="dxa"/>
            <w:gridSpan w:val="11"/>
            <w:vMerge/>
            <w:tcBorders>
              <w:left w:val="single" w:sz="12" w:space="0" w:color="D2D2D2"/>
              <w:bottom w:val="single" w:sz="6" w:space="0" w:color="000000"/>
              <w:right w:val="single" w:sz="6" w:space="0" w:color="000000"/>
            </w:tcBorders>
          </w:tcPr>
          <w:p>
            <w:pPr/>
          </w:p>
        </w:tc>
      </w:tr>
      <w:tr>
        <w:trPr>
          <w:trHeight w:val="488" w:hRule="exact"/>
        </w:trPr>
        <w:tc>
          <w:tcPr>
            <w:tcW w:w="2053" w:type="dxa"/>
            <w:vMerge/>
            <w:tcBorders>
              <w:left w:val="single" w:sz="6" w:space="0" w:color="000000"/>
              <w:bottom w:val="nil" w:sz="6" w:space="0" w:color="auto"/>
              <w:right w:val="single" w:sz="6" w:space="0" w:color="000000"/>
            </w:tcBorders>
            <w:shd w:val="clear" w:color="auto" w:fill="D2D2D2"/>
          </w:tcPr>
          <w:p>
            <w:pPr/>
          </w:p>
        </w:tc>
        <w:tc>
          <w:tcPr>
            <w:tcW w:w="8851" w:type="dxa"/>
            <w:gridSpan w:val="11"/>
            <w:vMerge w:val="restart"/>
            <w:tcBorders>
              <w:top w:val="single" w:sz="6" w:space="0" w:color="000000"/>
              <w:left w:val="single" w:sz="12" w:space="0" w:color="D2D2D2"/>
              <w:right w:val="single" w:sz="6" w:space="0" w:color="000000"/>
            </w:tcBorders>
          </w:tcPr>
          <w:p>
            <w:pPr>
              <w:pStyle w:val="TableParagraph"/>
              <w:spacing w:line="240" w:lineRule="auto" w:before="65"/>
              <w:ind w:left="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年</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12</w:t>
            </w:r>
            <w:r>
              <w:rPr>
                <w:rFonts w:ascii="Times New Roman" w:hAnsi="Times New Roman" w:cs="Times New Roman" w:eastAsia="Times New Roman" w:hint="default"/>
                <w:spacing w:val="-8"/>
                <w:sz w:val="15"/>
                <w:szCs w:val="15"/>
              </w:rPr>
              <w:t> </w:t>
            </w:r>
            <w:r>
              <w:rPr>
                <w:rFonts w:ascii="宋体" w:hAnsi="宋体" w:cs="宋体" w:eastAsia="宋体" w:hint="default"/>
                <w:sz w:val="15"/>
                <w:szCs w:val="15"/>
              </w:rPr>
              <w:t>月</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6</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日，经第四届董事会第十四次会议审议通过了《关于使用闲置募集资金暂时补充流动资金的议案</w:t>
            </w:r>
            <w:r>
              <w:rPr>
                <w:rFonts w:ascii="宋体" w:hAnsi="宋体" w:cs="宋体" w:eastAsia="宋体" w:hint="default"/>
                <w:spacing w:val="-75"/>
                <w:sz w:val="15"/>
                <w:szCs w:val="15"/>
              </w:rPr>
              <w:t>》</w:t>
            </w:r>
            <w:r>
              <w:rPr>
                <w:rFonts w:ascii="宋体" w:hAnsi="宋体" w:cs="宋体" w:eastAsia="宋体" w:hint="default"/>
                <w:spacing w:val="8"/>
                <w:sz w:val="15"/>
                <w:szCs w:val="15"/>
              </w:rPr>
              <w:t>，</w:t>
            </w:r>
            <w:r>
              <w:rPr>
                <w:rFonts w:ascii="宋体" w:hAnsi="宋体" w:cs="宋体" w:eastAsia="宋体" w:hint="default"/>
                <w:sz w:val="15"/>
                <w:szCs w:val="15"/>
              </w:rPr>
              <w:t>公司拟使用不超过</w:t>
            </w:r>
          </w:p>
          <w:p>
            <w:pPr>
              <w:pStyle w:val="TableParagraph"/>
              <w:spacing w:line="240" w:lineRule="auto" w:before="108"/>
              <w:ind w:left="12"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18,000 </w:t>
            </w:r>
            <w:r>
              <w:rPr>
                <w:rFonts w:ascii="宋体" w:hAnsi="宋体" w:cs="宋体" w:eastAsia="宋体" w:hint="default"/>
                <w:sz w:val="15"/>
                <w:szCs w:val="15"/>
              </w:rPr>
              <w:t>万元人民币的闲置募集资金暂时补充流动资金，使用期限为自董事会审议通过之日起不超过 </w:t>
            </w:r>
            <w:r>
              <w:rPr>
                <w:rFonts w:ascii="Times New Roman" w:hAnsi="Times New Roman" w:cs="Times New Roman" w:eastAsia="Times New Roman" w:hint="default"/>
                <w:spacing w:val="-8"/>
                <w:sz w:val="15"/>
                <w:szCs w:val="15"/>
              </w:rPr>
              <w:t>12</w:t>
            </w:r>
            <w:r>
              <w:rPr>
                <w:rFonts w:ascii="Times New Roman" w:hAnsi="Times New Roman" w:cs="Times New Roman" w:eastAsia="Times New Roman" w:hint="default"/>
                <w:sz w:val="15"/>
                <w:szCs w:val="15"/>
              </w:rPr>
              <w:t> </w:t>
            </w:r>
            <w:r>
              <w:rPr>
                <w:rFonts w:ascii="宋体" w:hAnsi="宋体" w:cs="宋体" w:eastAsia="宋体" w:hint="default"/>
                <w:sz w:val="15"/>
                <w:szCs w:val="15"/>
              </w:rPr>
              <w:t>个月，到期将归还至募集资金专</w:t>
            </w:r>
          </w:p>
        </w:tc>
      </w:tr>
      <w:tr>
        <w:trPr>
          <w:trHeight w:val="173" w:hRule="exact"/>
        </w:trPr>
        <w:tc>
          <w:tcPr>
            <w:tcW w:w="2053" w:type="dxa"/>
            <w:tcBorders>
              <w:top w:val="nil" w:sz="6" w:space="0" w:color="auto"/>
              <w:left w:val="single" w:sz="6" w:space="0" w:color="000000"/>
              <w:bottom w:val="single" w:sz="6" w:space="0" w:color="000000"/>
              <w:right w:val="single" w:sz="6" w:space="0" w:color="000000"/>
            </w:tcBorders>
            <w:shd w:val="clear" w:color="auto" w:fill="D2D2D2"/>
          </w:tcPr>
          <w:p>
            <w:pPr/>
          </w:p>
        </w:tc>
        <w:tc>
          <w:tcPr>
            <w:tcW w:w="8851" w:type="dxa"/>
            <w:gridSpan w:val="11"/>
            <w:vMerge/>
            <w:tcBorders>
              <w:left w:val="single" w:sz="12" w:space="0" w:color="D2D2D2"/>
              <w:bottom w:val="single" w:sz="6" w:space="0" w:color="000000"/>
              <w:right w:val="single" w:sz="6" w:space="0" w:color="000000"/>
            </w:tcBorders>
          </w:tcPr>
          <w:p>
            <w:pPr/>
          </w:p>
        </w:tc>
      </w:tr>
    </w:tbl>
    <w:p>
      <w:pPr>
        <w:spacing w:after="0"/>
        <w:sectPr>
          <w:pgSz w:w="11910" w:h="16850"/>
          <w:pgMar w:header="731" w:footer="981" w:top="1040" w:bottom="1180" w:left="380" w:right="0"/>
        </w:sectPr>
      </w:pPr>
    </w:p>
    <w:p>
      <w:pPr>
        <w:spacing w:line="240" w:lineRule="auto" w:before="6"/>
        <w:rPr>
          <w:rFonts w:ascii="宋体" w:hAnsi="宋体" w:cs="宋体" w:eastAsia="宋体"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2058"/>
        <w:gridCol w:w="8846"/>
      </w:tblGrid>
      <w:tr>
        <w:trPr>
          <w:trHeight w:val="360" w:hRule="exact"/>
        </w:trPr>
        <w:tc>
          <w:tcPr>
            <w:tcW w:w="2058" w:type="dxa"/>
            <w:tcBorders>
              <w:top w:val="single" w:sz="6" w:space="0" w:color="000000"/>
              <w:left w:val="single" w:sz="6" w:space="0" w:color="000000"/>
              <w:bottom w:val="single" w:sz="6" w:space="0" w:color="FFFFFF"/>
              <w:right w:val="single" w:sz="6" w:space="0" w:color="000000"/>
            </w:tcBorders>
            <w:shd w:val="clear" w:color="auto" w:fill="D2D2D2"/>
          </w:tcPr>
          <w:p>
            <w:pPr/>
          </w:p>
        </w:tc>
        <w:tc>
          <w:tcPr>
            <w:tcW w:w="8846" w:type="dxa"/>
            <w:tcBorders>
              <w:top w:val="single" w:sz="6" w:space="0" w:color="000000"/>
              <w:left w:val="single" w:sz="6" w:space="0" w:color="000000"/>
              <w:bottom w:val="single" w:sz="6" w:space="0" w:color="FFFFFF"/>
              <w:right w:val="single" w:sz="6" w:space="0" w:color="000000"/>
            </w:tcBorders>
          </w:tcPr>
          <w:p>
            <w:pPr>
              <w:pStyle w:val="TableParagraph"/>
              <w:spacing w:line="240" w:lineRule="auto" w:before="35"/>
              <w:ind w:left="14" w:right="0"/>
              <w:jc w:val="left"/>
              <w:rPr>
                <w:rFonts w:ascii="宋体" w:hAnsi="宋体" w:cs="宋体" w:eastAsia="宋体" w:hint="default"/>
                <w:sz w:val="15"/>
                <w:szCs w:val="15"/>
              </w:rPr>
            </w:pPr>
            <w:r>
              <w:rPr>
                <w:rFonts w:ascii="宋体" w:hAnsi="宋体" w:cs="宋体" w:eastAsia="宋体" w:hint="default"/>
                <w:sz w:val="15"/>
                <w:szCs w:val="15"/>
              </w:rPr>
              <w:t>户，截至</w:t>
            </w:r>
            <w:r>
              <w:rPr>
                <w:rFonts w:ascii="宋体" w:hAnsi="宋体" w:cs="宋体" w:eastAsia="宋体" w:hint="default"/>
                <w:spacing w:val="-30"/>
                <w:sz w:val="15"/>
                <w:szCs w:val="15"/>
              </w:rPr>
              <w:t> </w:t>
            </w:r>
            <w:r>
              <w:rPr>
                <w:rFonts w:ascii="Times New Roman" w:hAnsi="Times New Roman" w:cs="Times New Roman" w:eastAsia="Times New Roman" w:hint="default"/>
                <w:sz w:val="15"/>
                <w:szCs w:val="15"/>
              </w:rPr>
              <w:t>2019</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年</w:t>
            </w:r>
            <w:r>
              <w:rPr>
                <w:rFonts w:ascii="宋体" w:hAnsi="宋体" w:cs="宋体" w:eastAsia="宋体" w:hint="default"/>
                <w:spacing w:val="-31"/>
                <w:sz w:val="15"/>
                <w:szCs w:val="15"/>
              </w:rPr>
              <w:t> </w:t>
            </w:r>
            <w:r>
              <w:rPr>
                <w:rFonts w:ascii="Times New Roman" w:hAnsi="Times New Roman" w:cs="Times New Roman" w:eastAsia="Times New Roman" w:hint="default"/>
                <w:spacing w:val="-8"/>
                <w:sz w:val="15"/>
                <w:szCs w:val="15"/>
              </w:rPr>
              <w:t>12</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月</w:t>
            </w:r>
            <w:r>
              <w:rPr>
                <w:rFonts w:ascii="宋体" w:hAnsi="宋体" w:cs="宋体" w:eastAsia="宋体" w:hint="default"/>
                <w:spacing w:val="-31"/>
                <w:sz w:val="15"/>
                <w:szCs w:val="15"/>
              </w:rPr>
              <w:t> </w:t>
            </w:r>
            <w:r>
              <w:rPr>
                <w:rFonts w:ascii="Times New Roman" w:hAnsi="Times New Roman" w:cs="Times New Roman" w:eastAsia="Times New Roman" w:hint="default"/>
                <w:spacing w:val="-8"/>
                <w:sz w:val="15"/>
                <w:szCs w:val="15"/>
              </w:rPr>
              <w:t>31</w:t>
            </w:r>
            <w:r>
              <w:rPr>
                <w:rFonts w:ascii="Times New Roman" w:hAnsi="Times New Roman" w:cs="Times New Roman" w:eastAsia="Times New Roman" w:hint="default"/>
                <w:spacing w:val="6"/>
                <w:sz w:val="15"/>
                <w:szCs w:val="15"/>
              </w:rPr>
              <w:t> </w:t>
            </w:r>
            <w:r>
              <w:rPr>
                <w:rFonts w:ascii="宋体" w:hAnsi="宋体" w:cs="宋体" w:eastAsia="宋体" w:hint="default"/>
                <w:sz w:val="15"/>
                <w:szCs w:val="15"/>
              </w:rPr>
              <w:t>日，已使用闲置募集资金暂时补充流动资金金额为</w:t>
            </w:r>
            <w:r>
              <w:rPr>
                <w:rFonts w:ascii="宋体" w:hAnsi="宋体" w:cs="宋体" w:eastAsia="宋体" w:hint="default"/>
                <w:spacing w:val="-27"/>
                <w:sz w:val="15"/>
                <w:szCs w:val="15"/>
              </w:rPr>
              <w:t> </w:t>
            </w:r>
            <w:r>
              <w:rPr>
                <w:rFonts w:ascii="Times New Roman" w:hAnsi="Times New Roman" w:cs="Times New Roman" w:eastAsia="Times New Roman" w:hint="default"/>
                <w:sz w:val="15"/>
                <w:szCs w:val="15"/>
              </w:rPr>
              <w:t>0.00</w:t>
            </w:r>
            <w:r>
              <w:rPr>
                <w:rFonts w:ascii="Times New Roman" w:hAnsi="Times New Roman" w:cs="Times New Roman" w:eastAsia="Times New Roman" w:hint="default"/>
                <w:spacing w:val="7"/>
                <w:sz w:val="15"/>
                <w:szCs w:val="15"/>
              </w:rPr>
              <w:t> </w:t>
            </w:r>
            <w:r>
              <w:rPr>
                <w:rFonts w:ascii="宋体" w:hAnsi="宋体" w:cs="宋体" w:eastAsia="宋体" w:hint="default"/>
                <w:sz w:val="15"/>
                <w:szCs w:val="15"/>
              </w:rPr>
              <w:t>万元。</w:t>
            </w:r>
          </w:p>
        </w:tc>
      </w:tr>
      <w:tr>
        <w:trPr>
          <w:trHeight w:val="405" w:hRule="exact"/>
        </w:trPr>
        <w:tc>
          <w:tcPr>
            <w:tcW w:w="2058" w:type="dxa"/>
            <w:vMerge w:val="restart"/>
            <w:tcBorders>
              <w:top w:val="single" w:sz="6" w:space="0" w:color="FFFFFF"/>
              <w:left w:val="single" w:sz="6" w:space="0" w:color="000000"/>
              <w:right w:val="single" w:sz="6" w:space="0" w:color="000000"/>
            </w:tcBorders>
            <w:shd w:val="clear" w:color="auto" w:fill="D2D2D2"/>
          </w:tcPr>
          <w:p>
            <w:pPr>
              <w:pStyle w:val="TableParagraph"/>
              <w:spacing w:line="367" w:lineRule="auto" w:before="125"/>
              <w:ind w:left="15" w:right="75"/>
              <w:jc w:val="left"/>
              <w:rPr>
                <w:rFonts w:ascii="宋体" w:hAnsi="宋体" w:cs="宋体" w:eastAsia="宋体" w:hint="default"/>
                <w:sz w:val="15"/>
                <w:szCs w:val="15"/>
              </w:rPr>
            </w:pPr>
            <w:r>
              <w:rPr>
                <w:rFonts w:ascii="宋体" w:hAnsi="宋体" w:cs="宋体" w:eastAsia="宋体" w:hint="default"/>
                <w:sz w:val="15"/>
                <w:szCs w:val="15"/>
              </w:rPr>
              <w:t>项目实施出现募集资金结余的 金额及原因</w:t>
            </w:r>
          </w:p>
        </w:tc>
        <w:tc>
          <w:tcPr>
            <w:tcW w:w="8846" w:type="dxa"/>
            <w:tcBorders>
              <w:top w:val="single" w:sz="6" w:space="0" w:color="FFFFFF"/>
              <w:left w:val="single" w:sz="6" w:space="0" w:color="000000"/>
              <w:bottom w:val="single" w:sz="6" w:space="0" w:color="000000"/>
              <w:right w:val="single" w:sz="6" w:space="0" w:color="000000"/>
            </w:tcBorders>
          </w:tcPr>
          <w:p>
            <w:pPr>
              <w:pStyle w:val="TableParagraph"/>
              <w:spacing w:line="240" w:lineRule="auto" w:before="80"/>
              <w:ind w:left="14" w:right="0"/>
              <w:jc w:val="left"/>
              <w:rPr>
                <w:rFonts w:ascii="宋体" w:hAnsi="宋体" w:cs="宋体" w:eastAsia="宋体" w:hint="default"/>
                <w:sz w:val="15"/>
                <w:szCs w:val="15"/>
              </w:rPr>
            </w:pPr>
            <w:r>
              <w:rPr>
                <w:rFonts w:ascii="宋体" w:hAnsi="宋体" w:cs="宋体" w:eastAsia="宋体" w:hint="default"/>
                <w:sz w:val="15"/>
                <w:szCs w:val="15"/>
              </w:rPr>
              <w:t>不适用</w:t>
            </w:r>
          </w:p>
        </w:tc>
      </w:tr>
      <w:tr>
        <w:trPr>
          <w:trHeight w:val="405" w:hRule="exact"/>
        </w:trPr>
        <w:tc>
          <w:tcPr>
            <w:tcW w:w="2058" w:type="dxa"/>
            <w:vMerge/>
            <w:tcBorders>
              <w:left w:val="single" w:sz="6" w:space="0" w:color="000000"/>
              <w:bottom w:val="single" w:sz="6" w:space="0" w:color="000000"/>
              <w:right w:val="single" w:sz="6" w:space="0" w:color="000000"/>
            </w:tcBorders>
            <w:shd w:val="clear" w:color="auto" w:fill="D2D2D2"/>
          </w:tcPr>
          <w:p>
            <w:pPr/>
          </w:p>
        </w:tc>
        <w:tc>
          <w:tcPr>
            <w:tcW w:w="8846" w:type="dxa"/>
            <w:tcBorders>
              <w:top w:val="single" w:sz="6" w:space="0" w:color="000000"/>
              <w:left w:val="single" w:sz="6" w:space="0" w:color="000000"/>
              <w:bottom w:val="single" w:sz="6" w:space="0" w:color="000000"/>
              <w:right w:val="single" w:sz="6" w:space="0" w:color="000000"/>
            </w:tcBorders>
          </w:tcPr>
          <w:p>
            <w:pPr/>
          </w:p>
        </w:tc>
      </w:tr>
      <w:tr>
        <w:trPr>
          <w:trHeight w:val="796" w:hRule="exact"/>
        </w:trPr>
        <w:tc>
          <w:tcPr>
            <w:tcW w:w="20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86" w:lineRule="auto" w:before="110"/>
              <w:ind w:left="15" w:right="75"/>
              <w:jc w:val="left"/>
              <w:rPr>
                <w:rFonts w:ascii="宋体" w:hAnsi="宋体" w:cs="宋体" w:eastAsia="宋体" w:hint="default"/>
                <w:sz w:val="15"/>
                <w:szCs w:val="15"/>
              </w:rPr>
            </w:pPr>
            <w:r>
              <w:rPr>
                <w:rFonts w:ascii="宋体" w:hAnsi="宋体" w:cs="宋体" w:eastAsia="宋体" w:hint="default"/>
                <w:sz w:val="15"/>
                <w:szCs w:val="15"/>
              </w:rPr>
              <w:t>尚未使用的募集资金用途及去 向</w:t>
            </w:r>
          </w:p>
        </w:tc>
        <w:tc>
          <w:tcPr>
            <w:tcW w:w="8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4" w:right="0"/>
              <w:jc w:val="left"/>
              <w:rPr>
                <w:rFonts w:ascii="宋体" w:hAnsi="宋体" w:cs="宋体" w:eastAsia="宋体" w:hint="default"/>
                <w:sz w:val="15"/>
                <w:szCs w:val="15"/>
              </w:rPr>
            </w:pPr>
            <w:r>
              <w:rPr>
                <w:rFonts w:ascii="宋体" w:hAnsi="宋体" w:cs="宋体" w:eastAsia="宋体" w:hint="default"/>
                <w:sz w:val="15"/>
                <w:szCs w:val="15"/>
              </w:rPr>
              <w:t>用途：已承诺部分将按计划投入募集资金项目。</w:t>
            </w: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去向：部分募集资金存放于募集资金专户，部分募集资金用于暂时补充流动资金以及购买结构性存款。</w:t>
            </w:r>
          </w:p>
        </w:tc>
      </w:tr>
      <w:tr>
        <w:trPr>
          <w:trHeight w:val="705" w:hRule="exact"/>
        </w:trPr>
        <w:tc>
          <w:tcPr>
            <w:tcW w:w="20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86" w:lineRule="auto" w:before="65"/>
              <w:ind w:left="15" w:right="75"/>
              <w:jc w:val="left"/>
              <w:rPr>
                <w:rFonts w:ascii="宋体" w:hAnsi="宋体" w:cs="宋体" w:eastAsia="宋体" w:hint="default"/>
                <w:sz w:val="15"/>
                <w:szCs w:val="15"/>
              </w:rPr>
            </w:pPr>
            <w:r>
              <w:rPr>
                <w:rFonts w:ascii="宋体" w:hAnsi="宋体" w:cs="宋体" w:eastAsia="宋体" w:hint="default"/>
                <w:sz w:val="15"/>
                <w:szCs w:val="15"/>
              </w:rPr>
              <w:t>募集资金使用及披露中存在的 问题或其他情况</w:t>
            </w:r>
          </w:p>
        </w:tc>
        <w:tc>
          <w:tcPr>
            <w:tcW w:w="8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5"/>
                <w:szCs w:val="15"/>
              </w:rPr>
            </w:pPr>
            <w:r>
              <w:rPr>
                <w:rFonts w:ascii="宋体" w:hAnsi="宋体" w:cs="宋体" w:eastAsia="宋体" w:hint="default"/>
                <w:sz w:val="15"/>
                <w:szCs w:val="15"/>
              </w:rPr>
              <w:t>无</w:t>
            </w:r>
          </w:p>
        </w:tc>
      </w:tr>
    </w:tbl>
    <w:p>
      <w:pPr>
        <w:spacing w:line="240" w:lineRule="auto" w:before="11"/>
        <w:rPr>
          <w:rFonts w:ascii="宋体" w:hAnsi="宋体" w:cs="宋体" w:eastAsia="宋体" w:hint="default"/>
          <w:sz w:val="19"/>
          <w:szCs w:val="19"/>
        </w:rPr>
      </w:pPr>
    </w:p>
    <w:p>
      <w:pPr>
        <w:pStyle w:val="Heading5"/>
        <w:spacing w:line="240" w:lineRule="auto" w:before="35"/>
        <w:ind w:left="761" w:right="7329"/>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left="761" w:right="7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公司报告期不存在募集资金变更项目情况。</w:t>
      </w:r>
    </w:p>
    <w:p>
      <w:pPr>
        <w:spacing w:line="240" w:lineRule="auto" w:before="8"/>
        <w:rPr>
          <w:rFonts w:ascii="宋体" w:hAnsi="宋体" w:cs="宋体" w:eastAsia="宋体" w:hint="default"/>
          <w:sz w:val="22"/>
          <w:szCs w:val="22"/>
        </w:rPr>
      </w:pPr>
    </w:p>
    <w:p>
      <w:pPr>
        <w:pStyle w:val="Heading2"/>
        <w:spacing w:line="240" w:lineRule="auto"/>
        <w:ind w:left="761" w:right="7329"/>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761" w:right="7329"/>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left="761"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3"/>
        <w:rPr>
          <w:rFonts w:ascii="宋体" w:hAnsi="宋体" w:cs="宋体" w:eastAsia="宋体" w:hint="default"/>
          <w:sz w:val="25"/>
          <w:szCs w:val="25"/>
        </w:rPr>
      </w:pPr>
    </w:p>
    <w:p>
      <w:pPr>
        <w:pStyle w:val="Heading5"/>
        <w:spacing w:line="240" w:lineRule="auto"/>
        <w:ind w:left="761" w:right="7329"/>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761" w:right="73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left="761" w:right="7329"/>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50"/>
          <w:pgMar w:header="731" w:footer="981" w:top="1040" w:bottom="1180" w:left="380" w:right="0"/>
        </w:sectPr>
      </w:pPr>
    </w:p>
    <w:p>
      <w:pPr>
        <w:pStyle w:val="BodyText"/>
        <w:spacing w:line="240" w:lineRule="auto"/>
        <w:ind w:left="761"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761" w:right="-19"/>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left="761" w:right="0"/>
        <w:jc w:val="left"/>
      </w:pPr>
      <w:r>
        <w:rPr/>
        <w:t>单位：元</w:t>
      </w:r>
    </w:p>
    <w:p>
      <w:pPr>
        <w:spacing w:after="0" w:line="240" w:lineRule="auto"/>
        <w:jc w:val="left"/>
        <w:sectPr>
          <w:type w:val="continuous"/>
          <w:pgSz w:w="11910" w:h="16850"/>
          <w:pgMar w:top="1040" w:bottom="1180" w:left="380" w:right="0"/>
          <w:cols w:num="2" w:equalWidth="0">
            <w:col w:w="5461" w:space="3295"/>
            <w:col w:w="2774"/>
          </w:cols>
        </w:sectPr>
      </w:pPr>
    </w:p>
    <w:p>
      <w:pPr>
        <w:spacing w:line="240" w:lineRule="auto" w:before="6"/>
        <w:rPr>
          <w:rFonts w:ascii="宋体" w:hAnsi="宋体" w:cs="宋体" w:eastAsia="宋体" w:hint="default"/>
          <w:sz w:val="8"/>
          <w:szCs w:val="8"/>
        </w:rPr>
      </w:pPr>
    </w:p>
    <w:tbl>
      <w:tblPr>
        <w:tblW w:w="0" w:type="auto"/>
        <w:jc w:val="left"/>
        <w:tblInd w:w="746" w:type="dxa"/>
        <w:tblLayout w:type="fixed"/>
        <w:tblCellMar>
          <w:top w:w="0" w:type="dxa"/>
          <w:left w:w="0" w:type="dxa"/>
          <w:bottom w:w="0" w:type="dxa"/>
          <w:right w:w="0" w:type="dxa"/>
        </w:tblCellMar>
        <w:tblLook w:val="01E0"/>
      </w:tblPr>
      <w:tblGrid>
        <w:gridCol w:w="1051"/>
        <w:gridCol w:w="646"/>
        <w:gridCol w:w="1847"/>
        <w:gridCol w:w="796"/>
        <w:gridCol w:w="1051"/>
        <w:gridCol w:w="1052"/>
        <w:gridCol w:w="1036"/>
        <w:gridCol w:w="1051"/>
        <w:gridCol w:w="1051"/>
      </w:tblGrid>
      <w:tr>
        <w:trPr>
          <w:trHeight w:val="751"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52" w:lineRule="auto" w:before="44"/>
              <w:ind w:left="135" w:right="133"/>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30"/>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3408"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5" w:right="0"/>
              <w:jc w:val="left"/>
              <w:rPr>
                <w:rFonts w:ascii="宋体" w:hAnsi="宋体" w:cs="宋体" w:eastAsia="宋体" w:hint="default"/>
                <w:sz w:val="18"/>
                <w:szCs w:val="18"/>
              </w:rPr>
            </w:pPr>
            <w:r>
              <w:rPr>
                <w:rFonts w:ascii="宋体" w:hAnsi="宋体" w:cs="宋体" w:eastAsia="宋体" w:hint="default"/>
                <w:sz w:val="18"/>
                <w:szCs w:val="18"/>
              </w:rPr>
              <w:t>医惠科技</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59"/>
              <w:ind w:left="30" w:right="1"/>
              <w:jc w:val="both"/>
              <w:rPr>
                <w:rFonts w:ascii="宋体" w:hAnsi="宋体" w:cs="宋体" w:eastAsia="宋体" w:hint="default"/>
                <w:sz w:val="18"/>
                <w:szCs w:val="18"/>
              </w:rPr>
            </w:pPr>
            <w:r>
              <w:rPr>
                <w:rFonts w:ascii="宋体" w:hAnsi="宋体" w:cs="宋体" w:eastAsia="宋体" w:hint="default"/>
                <w:sz w:val="18"/>
                <w:szCs w:val="18"/>
              </w:rPr>
              <w:t>技术开发、技术服务、 技术咨询、成果转让： 计算机软、硬件、网络 设备，通讯设备，物联 网技术，计算机系统集 成，工业自动化控制系 统，网络安全设备，人 工智能技术，数据存储 技术，数据处理技术， 医疗技术；服务：工业 产品设计、产品外观设 计、会展会务、企业管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88000000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80" w:right="0"/>
              <w:jc w:val="center"/>
              <w:rPr>
                <w:rFonts w:ascii="Times New Roman" w:hAnsi="Times New Roman" w:cs="Times New Roman" w:eastAsia="Times New Roman" w:hint="default"/>
                <w:sz w:val="13"/>
                <w:szCs w:val="13"/>
              </w:rPr>
            </w:pPr>
            <w:r>
              <w:rPr>
                <w:rFonts w:ascii="Times New Roman"/>
                <w:spacing w:val="-3"/>
                <w:w w:val="105"/>
                <w:sz w:val="15"/>
              </w:rPr>
              <w:t>1,5</w:t>
            </w:r>
            <w:r>
              <w:rPr>
                <w:rFonts w:ascii="Times New Roman"/>
                <w:spacing w:val="-3"/>
                <w:w w:val="105"/>
                <w:sz w:val="13"/>
              </w:rPr>
              <w:t>77,619,675.08</w:t>
            </w:r>
            <w:r>
              <w:rPr>
                <w:rFonts w:ascii="Times New Roman"/>
                <w:spacing w:val="-3"/>
                <w:sz w:val="13"/>
              </w:rPr>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3" w:right="0"/>
              <w:jc w:val="center"/>
              <w:rPr>
                <w:rFonts w:ascii="Times New Roman" w:hAnsi="Times New Roman" w:cs="Times New Roman" w:eastAsia="Times New Roman" w:hint="default"/>
                <w:sz w:val="15"/>
                <w:szCs w:val="15"/>
              </w:rPr>
            </w:pPr>
            <w:r>
              <w:rPr>
                <w:rFonts w:ascii="Times New Roman"/>
                <w:sz w:val="15"/>
              </w:rPr>
              <w:t>985,199,249.63</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58" w:right="0"/>
              <w:jc w:val="center"/>
              <w:rPr>
                <w:rFonts w:ascii="Times New Roman" w:hAnsi="Times New Roman" w:cs="Times New Roman" w:eastAsia="Times New Roman" w:hint="default"/>
                <w:sz w:val="15"/>
                <w:szCs w:val="15"/>
              </w:rPr>
            </w:pPr>
            <w:r>
              <w:rPr>
                <w:rFonts w:ascii="Times New Roman"/>
                <w:sz w:val="15"/>
              </w:rPr>
              <w:t>664,109,451.45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3" w:right="0"/>
              <w:jc w:val="center"/>
              <w:rPr>
                <w:rFonts w:ascii="Times New Roman" w:hAnsi="Times New Roman" w:cs="Times New Roman" w:eastAsia="Times New Roman" w:hint="default"/>
                <w:sz w:val="15"/>
                <w:szCs w:val="15"/>
              </w:rPr>
            </w:pPr>
            <w:r>
              <w:rPr>
                <w:rFonts w:ascii="Times New Roman"/>
                <w:sz w:val="15"/>
              </w:rPr>
              <w:t>155,966,761.38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7"/>
              <w:ind w:right="0"/>
              <w:jc w:val="left"/>
              <w:rPr>
                <w:rFonts w:ascii="宋体" w:hAnsi="宋体" w:cs="宋体" w:eastAsia="宋体" w:hint="default"/>
                <w:sz w:val="11"/>
                <w:szCs w:val="11"/>
              </w:rPr>
            </w:pPr>
          </w:p>
          <w:p>
            <w:pPr>
              <w:pStyle w:val="TableParagraph"/>
              <w:spacing w:line="240" w:lineRule="auto"/>
              <w:ind w:left="73" w:right="0"/>
              <w:jc w:val="center"/>
              <w:rPr>
                <w:rFonts w:ascii="Times New Roman" w:hAnsi="Times New Roman" w:cs="Times New Roman" w:eastAsia="Times New Roman" w:hint="default"/>
                <w:sz w:val="15"/>
                <w:szCs w:val="15"/>
              </w:rPr>
            </w:pPr>
            <w:r>
              <w:rPr>
                <w:rFonts w:ascii="Times New Roman"/>
                <w:sz w:val="15"/>
              </w:rPr>
              <w:t>145,484,552.96</w:t>
            </w:r>
          </w:p>
        </w:tc>
      </w:tr>
    </w:tbl>
    <w:p>
      <w:pPr>
        <w:spacing w:after="0" w:line="240" w:lineRule="auto"/>
        <w:jc w:val="center"/>
        <w:rPr>
          <w:rFonts w:ascii="Times New Roman" w:hAnsi="Times New Roman" w:cs="Times New Roman" w:eastAsia="Times New Roman" w:hint="default"/>
          <w:sz w:val="15"/>
          <w:szCs w:val="15"/>
        </w:rPr>
        <w:sectPr>
          <w:type w:val="continuous"/>
          <w:pgSz w:w="11910" w:h="16850"/>
          <w:pgMar w:top="1040" w:bottom="1180" w:left="38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51"/>
        <w:gridCol w:w="646"/>
        <w:gridCol w:w="1847"/>
        <w:gridCol w:w="796"/>
        <w:gridCol w:w="1051"/>
        <w:gridCol w:w="1052"/>
        <w:gridCol w:w="1036"/>
        <w:gridCol w:w="1051"/>
        <w:gridCol w:w="1051"/>
      </w:tblGrid>
      <w:tr>
        <w:trPr>
          <w:trHeight w:val="7611" w:hRule="exact"/>
        </w:trPr>
        <w:tc>
          <w:tcPr>
            <w:tcW w:w="1051" w:type="dxa"/>
            <w:tcBorders>
              <w:top w:val="single" w:sz="6" w:space="0" w:color="000000"/>
              <w:left w:val="single" w:sz="6" w:space="0" w:color="000000"/>
              <w:bottom w:val="single" w:sz="6" w:space="0" w:color="000000"/>
              <w:right w:val="single" w:sz="6" w:space="0" w:color="000000"/>
            </w:tcBorders>
          </w:tcPr>
          <w:p>
            <w:pPr/>
          </w:p>
        </w:tc>
        <w:tc>
          <w:tcPr>
            <w:tcW w:w="646"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4"/>
              <w:ind w:left="30" w:right="0"/>
              <w:jc w:val="left"/>
              <w:rPr>
                <w:rFonts w:ascii="宋体" w:hAnsi="宋体" w:cs="宋体" w:eastAsia="宋体" w:hint="default"/>
                <w:sz w:val="18"/>
                <w:szCs w:val="18"/>
              </w:rPr>
            </w:pPr>
            <w:r>
              <w:rPr>
                <w:rFonts w:ascii="宋体" w:hAnsi="宋体" w:cs="宋体" w:eastAsia="宋体" w:hint="default"/>
                <w:sz w:val="18"/>
                <w:szCs w:val="18"/>
              </w:rPr>
              <w:t>理咨询、以承接服务外 包方式从事信息技术 支持管理、软件开发外 包服务、第二类增值电 信业务中的信息服务 业务（仅限互联网信息 </w:t>
            </w:r>
            <w:r>
              <w:rPr>
                <w:rFonts w:ascii="宋体" w:hAnsi="宋体" w:cs="宋体" w:eastAsia="宋体" w:hint="default"/>
                <w:spacing w:val="-9"/>
                <w:sz w:val="18"/>
                <w:szCs w:val="18"/>
              </w:rPr>
              <w:t>服务）；承接：综合网</w:t>
            </w:r>
            <w:r>
              <w:rPr>
                <w:rFonts w:ascii="宋体" w:hAnsi="宋体" w:cs="宋体" w:eastAsia="宋体" w:hint="default"/>
                <w:sz w:val="18"/>
                <w:szCs w:val="18"/>
              </w:rPr>
              <w:t> 络布线工程，通讯工 程，弱电工程【除承接</w:t>
            </w:r>
          </w:p>
          <w:p>
            <w:pPr>
              <w:pStyle w:val="TableParagraph"/>
              <w:spacing w:line="240" w:lineRule="auto" w:before="15"/>
              <w:ind w:left="30" w:right="0"/>
              <w:jc w:val="left"/>
              <w:rPr>
                <w:rFonts w:ascii="宋体" w:hAnsi="宋体" w:cs="宋体" w:eastAsia="宋体" w:hint="default"/>
                <w:sz w:val="18"/>
                <w:szCs w:val="18"/>
              </w:rPr>
            </w:pPr>
            <w:r>
              <w:rPr>
                <w:rFonts w:ascii="宋体" w:hAnsi="宋体" w:cs="宋体" w:eastAsia="宋体" w:hint="default"/>
                <w:sz w:val="18"/>
                <w:szCs w:val="18"/>
              </w:rPr>
              <w:t>（修、试）电力设施】</w:t>
            </w:r>
          </w:p>
          <w:p>
            <w:pPr>
              <w:pStyle w:val="TableParagraph"/>
              <w:spacing w:line="285" w:lineRule="auto" w:before="35"/>
              <w:ind w:left="30" w:right="0"/>
              <w:jc w:val="left"/>
              <w:rPr>
                <w:rFonts w:ascii="宋体" w:hAnsi="宋体" w:cs="宋体" w:eastAsia="宋体" w:hint="default"/>
                <w:sz w:val="18"/>
                <w:szCs w:val="18"/>
              </w:rPr>
            </w:pPr>
            <w:r>
              <w:rPr>
                <w:rFonts w:ascii="宋体" w:hAnsi="宋体" w:cs="宋体" w:eastAsia="宋体" w:hint="default"/>
                <w:spacing w:val="-9"/>
                <w:sz w:val="18"/>
                <w:szCs w:val="18"/>
              </w:rPr>
              <w:t>（凭资质经营）、计算</w:t>
            </w:r>
            <w:r>
              <w:rPr>
                <w:rFonts w:ascii="宋体" w:hAnsi="宋体" w:cs="宋体" w:eastAsia="宋体" w:hint="default"/>
                <w:sz w:val="18"/>
                <w:szCs w:val="18"/>
              </w:rPr>
              <w:t> 机网路工程；销售：计 算机软、硬件及配件、 网络设备、通讯设备、 智能自动化设备、机电 设备、电子产品、服装 服饰、鞋帽、第一类医 疗器械、第二类医疗器 械；货物进出口、技术 进出口（国家法律、行 政法规限制的项目除 外，法律、行政法规限 制的项目取得许可证 </w:t>
            </w:r>
            <w:r>
              <w:rPr>
                <w:rFonts w:ascii="宋体" w:hAnsi="宋体" w:cs="宋体" w:eastAsia="宋体" w:hint="default"/>
                <w:spacing w:val="-18"/>
                <w:sz w:val="18"/>
                <w:szCs w:val="18"/>
              </w:rPr>
              <w:t>后方可经营）。（依法须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经批准的项目，经相关</w:t>
            </w:r>
            <w:r>
              <w:rPr>
                <w:rFonts w:ascii="宋体" w:hAnsi="宋体" w:cs="宋体" w:eastAsia="宋体" w:hint="default"/>
                <w:sz w:val="18"/>
                <w:szCs w:val="18"/>
              </w:rPr>
              <w:t> 部门批准后方可开展 经营活动）</w:t>
            </w:r>
          </w:p>
        </w:tc>
        <w:tc>
          <w:tcPr>
            <w:tcW w:w="79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52" w:type="dxa"/>
            <w:tcBorders>
              <w:top w:val="single" w:sz="6" w:space="0" w:color="000000"/>
              <w:left w:val="single" w:sz="6" w:space="0" w:color="000000"/>
              <w:bottom w:val="single" w:sz="6" w:space="0" w:color="000000"/>
              <w:right w:val="single" w:sz="6" w:space="0" w:color="000000"/>
            </w:tcBorders>
          </w:tcPr>
          <w:p>
            <w:pPr/>
          </w:p>
        </w:tc>
        <w:tc>
          <w:tcPr>
            <w:tcW w:w="103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r>
      <w:tr>
        <w:trPr>
          <w:trHeight w:val="3168"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上扬无线</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83"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无线射频材料、器材、 设备及系统、电子产品 的生产制造、开发及销 售；机械设备租赁；自 营和代理各类商品和 技术的进出口业务（国 家限定企业经营或进 出口的商品和技术除 </w:t>
            </w:r>
            <w:r>
              <w:rPr>
                <w:rFonts w:ascii="宋体" w:hAnsi="宋体" w:cs="宋体" w:eastAsia="宋体" w:hint="default"/>
                <w:spacing w:val="-18"/>
                <w:sz w:val="18"/>
                <w:szCs w:val="18"/>
              </w:rPr>
              <w:t>外）。（依法须经批准的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经相关部门批准 后方可开展经营活动）</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5"/>
                <w:szCs w:val="15"/>
              </w:rPr>
            </w:pPr>
            <w:r>
              <w:rPr>
                <w:rFonts w:ascii="Times New Roman"/>
                <w:sz w:val="15"/>
              </w:rPr>
              <w:t>160000000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5" w:right="0"/>
              <w:jc w:val="left"/>
              <w:rPr>
                <w:rFonts w:ascii="Times New Roman" w:hAnsi="Times New Roman" w:cs="Times New Roman" w:eastAsia="Times New Roman" w:hint="default"/>
                <w:sz w:val="15"/>
                <w:szCs w:val="15"/>
              </w:rPr>
            </w:pPr>
            <w:r>
              <w:rPr>
                <w:rFonts w:ascii="Times New Roman"/>
                <w:sz w:val="15"/>
              </w:rPr>
              <w:t>289,494,667.42</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0" w:right="0"/>
              <w:jc w:val="left"/>
              <w:rPr>
                <w:rFonts w:ascii="Times New Roman" w:hAnsi="Times New Roman" w:cs="Times New Roman" w:eastAsia="Times New Roman" w:hint="default"/>
                <w:sz w:val="15"/>
                <w:szCs w:val="15"/>
              </w:rPr>
            </w:pPr>
            <w:r>
              <w:rPr>
                <w:rFonts w:ascii="Times New Roman"/>
                <w:sz w:val="15"/>
              </w:rPr>
              <w:t>211,030,677.92</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60" w:right="0"/>
              <w:jc w:val="left"/>
              <w:rPr>
                <w:rFonts w:ascii="Times New Roman" w:hAnsi="Times New Roman" w:cs="Times New Roman" w:eastAsia="Times New Roman" w:hint="default"/>
                <w:sz w:val="15"/>
                <w:szCs w:val="15"/>
              </w:rPr>
            </w:pPr>
            <w:r>
              <w:rPr>
                <w:rFonts w:ascii="Times New Roman"/>
                <w:sz w:val="15"/>
              </w:rPr>
              <w:t>444,139,594.96</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0" w:right="0"/>
              <w:jc w:val="left"/>
              <w:rPr>
                <w:rFonts w:ascii="Times New Roman" w:hAnsi="Times New Roman" w:cs="Times New Roman" w:eastAsia="Times New Roman" w:hint="default"/>
                <w:sz w:val="15"/>
                <w:szCs w:val="15"/>
              </w:rPr>
            </w:pPr>
            <w:r>
              <w:rPr>
                <w:rFonts w:ascii="Times New Roman"/>
                <w:sz w:val="15"/>
              </w:rPr>
              <w:t>41,142,573.47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4"/>
                <w:szCs w:val="14"/>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50" w:right="0"/>
              <w:jc w:val="left"/>
              <w:rPr>
                <w:rFonts w:ascii="Times New Roman" w:hAnsi="Times New Roman" w:cs="Times New Roman" w:eastAsia="Times New Roman" w:hint="default"/>
                <w:sz w:val="15"/>
                <w:szCs w:val="15"/>
              </w:rPr>
            </w:pPr>
            <w:r>
              <w:rPr>
                <w:rFonts w:ascii="Times New Roman"/>
                <w:sz w:val="15"/>
              </w:rPr>
              <w:t>35,412,533.31</w:t>
            </w:r>
          </w:p>
        </w:tc>
      </w:tr>
    </w:tbl>
    <w:p>
      <w:pPr>
        <w:pStyle w:val="BodyText"/>
        <w:spacing w:line="240" w:lineRule="auto"/>
        <w:ind w:right="1086"/>
        <w:jc w:val="left"/>
      </w:pPr>
      <w:r>
        <w:rPr/>
        <w:t>报告期内取得和处置子公司的情况</w:t>
      </w:r>
    </w:p>
    <w:p>
      <w:pPr>
        <w:pStyle w:val="BodyText"/>
        <w:spacing w:line="240" w:lineRule="auto" w:before="125"/>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新昌医惠数字科技有限公司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杭州医惠织物智能科技有限公司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上海惠沪信息技术有限公司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上海慈欣健康科技有限公司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参与设立</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江苏瑞康医惠医疗投资管理有限公司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委派董事人数减少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增资扩股</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杭州集嘉科技有限公司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ind w:right="1086"/>
        <w:jc w:val="left"/>
      </w:pPr>
      <w:r>
        <w:rPr/>
        <w:t>主要控股参股公司情况说明</w:t>
      </w:r>
    </w:p>
    <w:p>
      <w:pPr>
        <w:spacing w:line="240" w:lineRule="auto" w:before="13"/>
        <w:rPr>
          <w:rFonts w:ascii="宋体" w:hAnsi="宋体" w:cs="宋体" w:eastAsia="宋体" w:hint="default"/>
          <w:sz w:val="25"/>
          <w:szCs w:val="25"/>
        </w:rPr>
      </w:pPr>
    </w:p>
    <w:p>
      <w:pPr>
        <w:pStyle w:val="Heading2"/>
        <w:spacing w:line="240" w:lineRule="auto"/>
        <w:ind w:right="1086"/>
        <w:jc w:val="left"/>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086"/>
        <w:jc w:val="left"/>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0"/>
        <w:rPr>
          <w:rFonts w:ascii="宋体" w:hAnsi="宋体" w:cs="宋体" w:eastAsia="宋体" w:hint="default"/>
          <w:b/>
          <w:bCs/>
          <w:sz w:val="33"/>
          <w:szCs w:val="33"/>
        </w:rPr>
      </w:pPr>
    </w:p>
    <w:p>
      <w:pPr>
        <w:pStyle w:val="BodyText"/>
        <w:spacing w:line="240" w:lineRule="auto" w:before="0"/>
        <w:ind w:left="501" w:right="1086"/>
        <w:jc w:val="left"/>
      </w:pPr>
      <w:r>
        <w:rPr/>
        <w:t>（一）行业格局和趋势</w:t>
      </w:r>
    </w:p>
    <w:p>
      <w:pPr>
        <w:spacing w:line="240" w:lineRule="auto" w:before="12"/>
        <w:rPr>
          <w:rFonts w:ascii="宋体" w:hAnsi="宋体" w:cs="宋体" w:eastAsia="宋体" w:hint="default"/>
          <w:sz w:val="12"/>
          <w:szCs w:val="12"/>
        </w:rPr>
      </w:pPr>
    </w:p>
    <w:p>
      <w:pPr>
        <w:pStyle w:val="BodyText"/>
        <w:spacing w:line="240" w:lineRule="auto" w:before="0"/>
        <w:ind w:left="501" w:right="1086"/>
        <w:jc w:val="left"/>
      </w:pPr>
      <w:r>
        <w:rPr>
          <w:rFonts w:ascii="Times New Roman" w:hAnsi="Times New Roman" w:cs="Times New Roman" w:eastAsia="Times New Roman" w:hint="default"/>
        </w:rPr>
        <w:t>1</w:t>
      </w:r>
      <w:r>
        <w:rPr/>
        <w:t>、智慧医疗行业</w:t>
      </w:r>
    </w:p>
    <w:p>
      <w:pPr>
        <w:pStyle w:val="BodyText"/>
        <w:spacing w:line="240" w:lineRule="auto" w:before="141"/>
        <w:ind w:left="501" w:right="1086"/>
        <w:jc w:val="left"/>
      </w:pPr>
      <w:r>
        <w:rPr/>
        <w:t>（</w:t>
      </w:r>
      <w:r>
        <w:rPr>
          <w:rFonts w:ascii="Times New Roman" w:hAnsi="Times New Roman" w:cs="Times New Roman" w:eastAsia="Times New Roman" w:hint="default"/>
        </w:rPr>
        <w:t>1</w:t>
      </w:r>
      <w:r>
        <w:rPr/>
        <w:t>）智慧医疗行业发展现状及政策背景</w:t>
      </w:r>
    </w:p>
    <w:p>
      <w:pPr>
        <w:pStyle w:val="BodyText"/>
        <w:spacing w:line="412" w:lineRule="auto" w:before="156"/>
        <w:ind w:left="501" w:right="1086"/>
        <w:jc w:val="left"/>
      </w:pPr>
      <w:r>
        <w:rPr/>
        <w:t>①行业发展现状 </w:t>
      </w:r>
      <w:r>
        <w:rPr>
          <w:spacing w:val="-2"/>
        </w:rPr>
        <w:t>智慧医疗是指在医疗信息化的基础上，利用先进的互联网技术和物联网技术并通过智能化的方式，将与医疗卫生服务相</w:t>
      </w:r>
    </w:p>
    <w:p>
      <w:pPr>
        <w:pStyle w:val="BodyText"/>
        <w:spacing w:line="412" w:lineRule="auto" w:before="25"/>
        <w:ind w:right="1086"/>
        <w:jc w:val="left"/>
      </w:pPr>
      <w:r>
        <w:rPr>
          <w:spacing w:val="-2"/>
        </w:rPr>
        <w:t>关的人员、信息、设备、资源连接起来，实现患者与医务人员、医疗机构、医疗设备之间形成互动的信息化医疗，以保证患</w:t>
      </w:r>
      <w:r>
        <w:rPr>
          <w:spacing w:val="-73"/>
        </w:rPr>
        <w:t> </w:t>
      </w:r>
      <w:r>
        <w:rPr>
          <w:spacing w:val="-73"/>
        </w:rPr>
      </w:r>
      <w:r>
        <w:rPr>
          <w:spacing w:val="-2"/>
        </w:rPr>
        <w:t>者及时获得预防性和治疗性的医疗服务。随着人口增长及老龄化趋势显现，提升医疗效率、提高医疗质量、优化医疗资源配</w:t>
      </w:r>
    </w:p>
    <w:p>
      <w:pPr>
        <w:pStyle w:val="BodyText"/>
        <w:spacing w:line="376" w:lineRule="auto" w:before="40"/>
        <w:ind w:right="1086"/>
        <w:jc w:val="left"/>
      </w:pPr>
      <w:r>
        <w:rPr/>
        <w:t>置等医疗建设目标引导医疗信息化行业不断发展。根据</w:t>
      </w:r>
      <w:r>
        <w:rPr>
          <w:rFonts w:ascii="Times New Roman" w:hAnsi="Times New Roman" w:cs="Times New Roman" w:eastAsia="Times New Roman" w:hint="default"/>
        </w:rPr>
        <w:t>IDC</w:t>
      </w:r>
      <w:r>
        <w:rPr/>
        <w:t>《中国医疗行业</w:t>
      </w:r>
      <w:r>
        <w:rPr>
          <w:rFonts w:ascii="Times New Roman" w:hAnsi="Times New Roman" w:cs="Times New Roman" w:eastAsia="Times New Roman" w:hint="default"/>
        </w:rPr>
        <w:t>IT</w:t>
      </w:r>
      <w:r>
        <w:rPr/>
        <w:t>市场预测，</w:t>
      </w:r>
      <w:r>
        <w:rPr>
          <w:rFonts w:ascii="Times New Roman" w:hAnsi="Times New Roman" w:cs="Times New Roman" w:eastAsia="Times New Roman" w:hint="default"/>
        </w:rPr>
        <w:t>2019-2023</w:t>
      </w:r>
      <w:r>
        <w:rPr/>
        <w:t>》研究报告显示，</w:t>
      </w:r>
      <w:r>
        <w:rPr>
          <w:rFonts w:ascii="Times New Roman" w:hAnsi="Times New Roman" w:cs="Times New Roman" w:eastAsia="Times New Roman" w:hint="default"/>
        </w:rPr>
        <w:t>2018</w:t>
      </w:r>
      <w:r>
        <w:rPr>
          <w:rFonts w:ascii="Times New Roman" w:hAnsi="Times New Roman" w:cs="Times New Roman" w:eastAsia="Times New Roman" w:hint="default"/>
          <w:spacing w:val="-22"/>
        </w:rPr>
        <w:t> </w:t>
      </w:r>
      <w:r>
        <w:rPr/>
        <w:t>年中国医疗行业的</w:t>
      </w:r>
      <w:r>
        <w:rPr>
          <w:rFonts w:ascii="Times New Roman" w:hAnsi="Times New Roman" w:cs="Times New Roman" w:eastAsia="Times New Roman" w:hint="default"/>
        </w:rPr>
        <w:t>IT</w:t>
      </w:r>
      <w:r>
        <w:rPr/>
        <w:t>花费达到了</w:t>
      </w:r>
      <w:r>
        <w:rPr>
          <w:rFonts w:ascii="Times New Roman" w:hAnsi="Times New Roman" w:cs="Times New Roman" w:eastAsia="Times New Roman" w:hint="default"/>
        </w:rPr>
        <w:t>491.80</w:t>
      </w:r>
      <w:r>
        <w:rPr/>
        <w:t>亿元人民币，预计到</w:t>
      </w:r>
      <w:r>
        <w:rPr>
          <w:rFonts w:ascii="Times New Roman" w:hAnsi="Times New Roman" w:cs="Times New Roman" w:eastAsia="Times New Roman" w:hint="default"/>
        </w:rPr>
        <w:t>2023</w:t>
      </w:r>
      <w:r>
        <w:rPr/>
        <w:t>年该市场规模将达到</w:t>
      </w:r>
      <w:r>
        <w:rPr>
          <w:rFonts w:ascii="Times New Roman" w:hAnsi="Times New Roman" w:cs="Times New Roman" w:eastAsia="Times New Roman" w:hint="default"/>
        </w:rPr>
        <w:t>791.60</w:t>
      </w:r>
      <w:r>
        <w:rPr/>
        <w:t>亿元人民币，行业前景广阔。</w:t>
      </w:r>
    </w:p>
    <w:p>
      <w:pPr>
        <w:pStyle w:val="BodyText"/>
        <w:spacing w:line="398" w:lineRule="auto" w:before="43"/>
        <w:ind w:right="0" w:firstLine="360"/>
        <w:jc w:val="left"/>
      </w:pPr>
      <w:r>
        <w:rPr/>
        <w:t>我国医疗信息化企业以</w:t>
      </w:r>
      <w:r>
        <w:rPr>
          <w:rFonts w:ascii="Times New Roman" w:hAnsi="Times New Roman" w:cs="Times New Roman" w:eastAsia="Times New Roman" w:hint="default"/>
        </w:rPr>
        <w:t>EMR</w:t>
      </w:r>
      <w:r>
        <w:rPr/>
        <w:t>、</w:t>
      </w:r>
      <w:r>
        <w:rPr>
          <w:rFonts w:ascii="Times New Roman" w:hAnsi="Times New Roman" w:cs="Times New Roman" w:eastAsia="Times New Roman" w:hint="default"/>
        </w:rPr>
        <w:t>HIS</w:t>
      </w:r>
      <w:r>
        <w:rPr/>
        <w:t>、系统集成为主，相关厂商数量较多，</w:t>
      </w:r>
      <w:r>
        <w:rPr>
          <w:rFonts w:ascii="Times New Roman" w:hAnsi="Times New Roman" w:cs="Times New Roman" w:eastAsia="Times New Roman" w:hint="default"/>
        </w:rPr>
        <w:t>2018</w:t>
      </w:r>
      <w:r>
        <w:rPr/>
        <w:t>年约</w:t>
      </w:r>
      <w:r>
        <w:rPr>
          <w:rFonts w:ascii="Times New Roman" w:hAnsi="Times New Roman" w:cs="Times New Roman" w:eastAsia="Times New Roman" w:hint="default"/>
        </w:rPr>
        <w:t>600</w:t>
      </w:r>
      <w:r>
        <w:rPr/>
        <w:t>家企业，大、中、小型供应商占 比分别为</w:t>
      </w:r>
      <w:r>
        <w:rPr>
          <w:rFonts w:ascii="Times New Roman" w:hAnsi="Times New Roman" w:cs="Times New Roman" w:eastAsia="Times New Roman" w:hint="default"/>
        </w:rPr>
        <w:t>15%</w:t>
      </w:r>
      <w:r>
        <w:rPr/>
        <w:t>、</w:t>
      </w:r>
      <w:r>
        <w:rPr>
          <w:rFonts w:ascii="Times New Roman" w:hAnsi="Times New Roman" w:cs="Times New Roman" w:eastAsia="Times New Roman" w:hint="default"/>
        </w:rPr>
        <w:t>60%</w:t>
      </w:r>
      <w:r>
        <w:rPr/>
        <w:t>和</w:t>
      </w:r>
      <w:r>
        <w:rPr>
          <w:rFonts w:ascii="Times New Roman" w:hAnsi="Times New Roman" w:cs="Times New Roman" w:eastAsia="Times New Roman" w:hint="default"/>
        </w:rPr>
        <w:t>25%</w:t>
      </w:r>
      <w:r>
        <w:rPr/>
        <w:t>，其中大型独立软件商或者系统集成商在医疗信息化行业中处于主导地位。根据全国医疗信息化 联盟统计，我国医疗信息化行业市场规模排名前七的企业占比合计</w:t>
      </w:r>
      <w:r>
        <w:rPr>
          <w:rFonts w:ascii="Times New Roman" w:hAnsi="Times New Roman" w:cs="Times New Roman" w:eastAsia="Times New Roman" w:hint="default"/>
        </w:rPr>
        <w:t>28.80%</w:t>
      </w:r>
      <w:r>
        <w:rPr/>
        <w:t>，呈现较低的市场集中度。总体来看，国内医疗</w:t>
      </w:r>
      <w:r>
        <w:rPr>
          <w:spacing w:val="-84"/>
        </w:rPr>
        <w:t> </w:t>
      </w:r>
      <w:r>
        <w:rPr>
          <w:spacing w:val="-2"/>
        </w:rPr>
        <w:t>信息化行业具备一定的门槛，需要经过长时间的经验积累，集中度较低，竞争激烈，目前已初步形成一批具有一定品牌效应</w:t>
      </w:r>
      <w:r>
        <w:rPr>
          <w:spacing w:val="-42"/>
        </w:rPr>
        <w:t> </w:t>
      </w:r>
      <w:r>
        <w:rPr>
          <w:spacing w:val="-42"/>
        </w:rPr>
      </w:r>
      <w:r>
        <w:rPr>
          <w:spacing w:val="-2"/>
        </w:rPr>
        <w:t>的公司，但并未形成寡头格局。伴随人工智能、大数据、物联网等技术在医疗信息化行业应用加强，未来医疗信息化行业门</w:t>
      </w:r>
      <w:r>
        <w:rPr>
          <w:spacing w:val="-51"/>
        </w:rPr>
        <w:t> </w:t>
      </w:r>
      <w:r>
        <w:rPr>
          <w:spacing w:val="-51"/>
        </w:rPr>
      </w:r>
      <w:r>
        <w:rPr>
          <w:spacing w:val="-4"/>
        </w:rPr>
        <w:t>槛将随着技术、服务要求提升逐步提高，市场集中度有望增强。在行业竞争点从模块系统转变为提供整体解决方案的过程中，</w:t>
      </w:r>
      <w:r>
        <w:rPr>
          <w:spacing w:val="-50"/>
        </w:rPr>
        <w:t> </w:t>
      </w:r>
      <w:r>
        <w:rPr>
          <w:spacing w:val="-50"/>
        </w:rPr>
      </w:r>
      <w:r>
        <w:rPr>
          <w:spacing w:val="-2"/>
        </w:rPr>
        <w:t>拥有较为完整的产业链优势、能够对行业发展方向做出正确预判并率先实现产品落地、具备产品系统集成服务能力和运营服</w:t>
      </w:r>
      <w:r>
        <w:rPr>
          <w:spacing w:val="-72"/>
        </w:rPr>
        <w:t> </w:t>
      </w:r>
      <w:r>
        <w:rPr>
          <w:spacing w:val="-72"/>
        </w:rPr>
      </w:r>
      <w:r>
        <w:rPr/>
        <w:t>务能力的企业将更易受到市场青睐。</w:t>
      </w:r>
    </w:p>
    <w:p>
      <w:pPr>
        <w:pStyle w:val="BodyText"/>
        <w:spacing w:line="412" w:lineRule="auto" w:before="36"/>
        <w:ind w:left="501" w:right="1086"/>
        <w:jc w:val="left"/>
      </w:pPr>
      <w:r>
        <w:rPr/>
        <w:t>②政策背景 </w:t>
      </w:r>
      <w:r>
        <w:rPr>
          <w:spacing w:val="-2"/>
        </w:rPr>
        <w:t>医疗卫生体制改革的不断深化与政府发布的一系列引导性政策法规密切相关。政府出台的产业政策指引了医疗卫生信息</w:t>
      </w:r>
    </w:p>
    <w:p>
      <w:pPr>
        <w:pStyle w:val="BodyText"/>
        <w:spacing w:line="240" w:lineRule="auto" w:before="40"/>
        <w:ind w:right="1086"/>
        <w:jc w:val="left"/>
      </w:pPr>
      <w:r>
        <w:rPr/>
        <w:t>化行业发展方向，通过制定医疗卫生信息化系统建设内容和标准规范行业竞争、驱动行业增长。</w:t>
      </w:r>
    </w:p>
    <w:p>
      <w:pPr>
        <w:pStyle w:val="BodyText"/>
        <w:spacing w:line="386" w:lineRule="auto" w:before="155"/>
        <w:ind w:right="1111" w:firstLine="360"/>
        <w:jc w:val="both"/>
      </w:pPr>
      <w:r>
        <w:rPr>
          <w:rFonts w:ascii="Times New Roman" w:hAnsi="Times New Roman" w:cs="Times New Roman" w:eastAsia="Times New Roman" w:hint="default"/>
          <w:spacing w:val="-2"/>
        </w:rPr>
        <w:t>2019</w:t>
      </w:r>
      <w:r>
        <w:rPr>
          <w:spacing w:val="-2"/>
        </w:rPr>
        <w:t>年度，随着国务院和卫健委医疗信息化相关产业政策的出台，一系列政策的推行给行业内企业带来了新的挑战，同</w:t>
      </w:r>
      <w:r>
        <w:rPr/>
        <w:t> 时也带来了发展的机遇。</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月，国家卫健委发布《关于印发医院智慧服务分级评估标准体系（试行）的通知》，进一 步明确了智慧医院的定义和内涵，主要包括面向医务人员的</w:t>
      </w:r>
      <w:r>
        <w:rPr>
          <w:rFonts w:ascii="Times New Roman" w:hAnsi="Times New Roman" w:cs="Times New Roman" w:eastAsia="Times New Roman" w:hint="default"/>
        </w:rPr>
        <w:t>“</w:t>
      </w:r>
      <w:r>
        <w:rPr/>
        <w:t>智慧医疗</w:t>
      </w:r>
      <w:r>
        <w:rPr>
          <w:rFonts w:ascii="Times New Roman" w:hAnsi="Times New Roman" w:cs="Times New Roman" w:eastAsia="Times New Roman" w:hint="default"/>
        </w:rPr>
        <w:t>”</w:t>
      </w:r>
      <w:r>
        <w:rPr/>
        <w:t>、面向患者的</w:t>
      </w:r>
      <w:r>
        <w:rPr>
          <w:rFonts w:ascii="Times New Roman" w:hAnsi="Times New Roman" w:cs="Times New Roman" w:eastAsia="Times New Roman" w:hint="default"/>
        </w:rPr>
        <w:t>“</w:t>
      </w:r>
      <w:r>
        <w:rPr/>
        <w:t>智慧服务</w:t>
      </w:r>
      <w:r>
        <w:rPr>
          <w:rFonts w:ascii="Times New Roman" w:hAnsi="Times New Roman" w:cs="Times New Roman" w:eastAsia="Times New Roman" w:hint="default"/>
        </w:rPr>
        <w:t>”</w:t>
      </w:r>
      <w:r>
        <w:rPr/>
        <w:t>以及面向医院管理的</w:t>
      </w:r>
      <w:r>
        <w:rPr>
          <w:rFonts w:ascii="Times New Roman" w:hAnsi="Times New Roman" w:cs="Times New Roman" w:eastAsia="Times New Roman" w:hint="default"/>
        </w:rPr>
        <w:t>“</w:t>
      </w:r>
      <w:r>
        <w:rPr/>
        <w:t>智慧</w:t>
      </w:r>
      <w:r>
        <w:rPr>
          <w:spacing w:val="-60"/>
        </w:rPr>
        <w:t> </w:t>
      </w:r>
      <w:r>
        <w:rPr>
          <w:spacing w:val="-2"/>
        </w:rPr>
        <w:t>管理</w:t>
      </w:r>
      <w:r>
        <w:rPr>
          <w:rFonts w:ascii="Times New Roman" w:hAnsi="Times New Roman" w:cs="Times New Roman" w:eastAsia="Times New Roman" w:hint="default"/>
          <w:spacing w:val="-2"/>
        </w:rPr>
        <w:t>”</w:t>
      </w:r>
      <w:r>
        <w:rPr>
          <w:spacing w:val="-2"/>
        </w:rPr>
        <w:t>三大重要维度的标准要求。</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月，国家卫健委、国家中医药管理局发布《关于开展城市医疗联合体建设试点工作</w:t>
      </w:r>
      <w:r>
        <w:rPr>
          <w:spacing w:val="-39"/>
        </w:rPr>
        <w:t> </w:t>
      </w:r>
      <w:r>
        <w:rPr>
          <w:spacing w:val="-39"/>
        </w:rPr>
      </w:r>
      <w:r>
        <w:rPr>
          <w:spacing w:val="-2"/>
        </w:rPr>
        <w:t>的通知》，明确到</w:t>
      </w:r>
      <w:r>
        <w:rPr>
          <w:rFonts w:ascii="Times New Roman" w:hAnsi="Times New Roman" w:cs="Times New Roman" w:eastAsia="Times New Roman" w:hint="default"/>
          <w:spacing w:val="-2"/>
        </w:rPr>
        <w:t>2019</w:t>
      </w:r>
      <w:r>
        <w:rPr>
          <w:spacing w:val="-2"/>
        </w:rPr>
        <w:t>年底，</w:t>
      </w:r>
      <w:r>
        <w:rPr>
          <w:rFonts w:ascii="Times New Roman" w:hAnsi="Times New Roman" w:cs="Times New Roman" w:eastAsia="Times New Roman" w:hint="default"/>
          <w:spacing w:val="-2"/>
        </w:rPr>
        <w:t>100</w:t>
      </w:r>
      <w:r>
        <w:rPr>
          <w:spacing w:val="-2"/>
        </w:rPr>
        <w:t>个试点城市全面启动城市医联体网格化布局与管理；到</w:t>
      </w:r>
      <w:r>
        <w:rPr>
          <w:rFonts w:ascii="Times New Roman" w:hAnsi="Times New Roman" w:cs="Times New Roman" w:eastAsia="Times New Roman" w:hint="default"/>
          <w:spacing w:val="-2"/>
        </w:rPr>
        <w:t>2020</w:t>
      </w:r>
      <w:r>
        <w:rPr>
          <w:spacing w:val="-2"/>
        </w:rPr>
        <w:t>年底，</w:t>
      </w:r>
      <w:r>
        <w:rPr>
          <w:rFonts w:ascii="Times New Roman" w:hAnsi="Times New Roman" w:cs="Times New Roman" w:eastAsia="Times New Roman" w:hint="default"/>
          <w:spacing w:val="-2"/>
        </w:rPr>
        <w:t>100</w:t>
      </w:r>
      <w:r>
        <w:rPr>
          <w:spacing w:val="-2"/>
        </w:rPr>
        <w:t>个试点城市形成医联</w:t>
      </w:r>
    </w:p>
    <w:p>
      <w:pPr>
        <w:spacing w:after="0" w:line="386"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8" w:lineRule="auto"/>
        <w:ind w:right="996"/>
        <w:jc w:val="left"/>
      </w:pPr>
      <w:r>
        <w:rPr>
          <w:spacing w:val="-1"/>
        </w:rPr>
        <w:t>体网格化布局且取得明显成效。</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5</w:t>
      </w:r>
      <w:r>
        <w:rPr>
          <w:spacing w:val="-1"/>
        </w:rPr>
        <w:t>月，国家卫健委发布《关于开展紧密型县域医疗卫生共同体建设试点的指导方案》，</w:t>
      </w:r>
      <w:r>
        <w:rPr/>
        <w:t> 通过紧密型医共体建设，县域医疗卫生服务能力明显提升，医保基金得到有效利用，居民医药费用负担合理控制，有序就医 格局基本形成。力争到</w:t>
      </w:r>
      <w:r>
        <w:rPr>
          <w:rFonts w:ascii="Times New Roman" w:hAnsi="Times New Roman" w:cs="Times New Roman" w:eastAsia="Times New Roman" w:hint="default"/>
        </w:rPr>
        <w:t>2020</w:t>
      </w:r>
      <w:r>
        <w:rPr/>
        <w:t>年底，县域就诊率达到</w:t>
      </w:r>
      <w:r>
        <w:rPr>
          <w:rFonts w:ascii="Times New Roman" w:hAnsi="Times New Roman" w:cs="Times New Roman" w:eastAsia="Times New Roman" w:hint="default"/>
        </w:rPr>
        <w:t>90%</w:t>
      </w:r>
      <w:r>
        <w:rPr/>
        <w:t>，县域内基层就诊率达到</w:t>
      </w:r>
      <w:r>
        <w:rPr>
          <w:rFonts w:ascii="Times New Roman" w:hAnsi="Times New Roman" w:cs="Times New Roman" w:eastAsia="Times New Roman" w:hint="default"/>
        </w:rPr>
        <w:t>65%</w:t>
      </w:r>
      <w:r>
        <w:rPr/>
        <w:t>左右，基层医疗卫生机构有能力开展的</w:t>
      </w:r>
      <w:r>
        <w:rPr>
          <w:spacing w:val="-85"/>
        </w:rPr>
        <w:t> </w:t>
      </w:r>
      <w:r>
        <w:rPr/>
        <w:t>技术、项目不断增加。</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月，国务院发布《关于实施健康中国行动的意见》、《健康中国行动（</w:t>
      </w:r>
      <w:r>
        <w:rPr>
          <w:rFonts w:ascii="Times New Roman" w:hAnsi="Times New Roman" w:cs="Times New Roman" w:eastAsia="Times New Roman" w:hint="default"/>
        </w:rPr>
        <w:t>2019</w:t>
      </w:r>
      <w:r>
        <w:rPr>
          <w:rFonts w:ascii="Times New Roman" w:hAnsi="Times New Roman" w:cs="Times New Roman" w:eastAsia="Times New Roman" w:hint="default"/>
        </w:rPr>
        <w:t>—</w:t>
      </w:r>
      <w:r>
        <w:rPr>
          <w:rFonts w:ascii="Times New Roman" w:hAnsi="Times New Roman" w:cs="Times New Roman" w:eastAsia="Times New Roman" w:hint="default"/>
        </w:rPr>
        <w:t>2030</w:t>
      </w:r>
      <w:r>
        <w:rPr/>
        <w:t>年）》等</w:t>
      </w:r>
      <w:r>
        <w:rPr>
          <w:spacing w:val="-81"/>
        </w:rPr>
        <w:t> </w:t>
      </w:r>
      <w:r>
        <w:rPr>
          <w:spacing w:val="-2"/>
        </w:rPr>
        <w:t>文件，从国家层面提出</w:t>
      </w:r>
      <w:r>
        <w:rPr>
          <w:rFonts w:ascii="Times New Roman" w:hAnsi="Times New Roman" w:cs="Times New Roman" w:eastAsia="Times New Roman" w:hint="default"/>
          <w:spacing w:val="-2"/>
        </w:rPr>
        <w:t>15</w:t>
      </w:r>
      <w:r>
        <w:rPr>
          <w:spacing w:val="-2"/>
        </w:rPr>
        <w:t>个专项行动的主要任务，成立健康中国行动推进委员会对专项行动任务进行细化，实现健康中国行</w:t>
      </w:r>
      <w:r>
        <w:rPr>
          <w:spacing w:val="-72"/>
        </w:rPr>
        <w:t> </w:t>
      </w:r>
      <w:r>
        <w:rPr>
          <w:spacing w:val="-72"/>
        </w:rPr>
      </w:r>
      <w:r>
        <w:rPr/>
        <w:t>动，提高全民健康水平。</w:t>
      </w:r>
    </w:p>
    <w:p>
      <w:pPr>
        <w:pStyle w:val="BodyText"/>
        <w:spacing w:line="240" w:lineRule="auto" w:before="58"/>
        <w:ind w:left="501" w:right="1086"/>
        <w:jc w:val="left"/>
      </w:pPr>
      <w:r>
        <w:rPr/>
        <w:t>（</w:t>
      </w:r>
      <w:r>
        <w:rPr>
          <w:rFonts w:ascii="Times New Roman" w:hAnsi="Times New Roman" w:cs="Times New Roman" w:eastAsia="Times New Roman" w:hint="default"/>
        </w:rPr>
        <w:t>2</w:t>
      </w:r>
      <w:r>
        <w:rPr/>
        <w:t>）公司在智慧医疗行业的地位及变动趋势</w:t>
      </w:r>
    </w:p>
    <w:p>
      <w:pPr>
        <w:pStyle w:val="BodyText"/>
        <w:spacing w:line="391" w:lineRule="auto" w:before="156"/>
        <w:ind w:right="1094" w:firstLine="360"/>
        <w:jc w:val="both"/>
      </w:pPr>
      <w:r>
        <w:rPr>
          <w:spacing w:val="-1"/>
        </w:rPr>
        <w:t>公司一直以</w:t>
      </w:r>
      <w:r>
        <w:rPr>
          <w:rFonts w:ascii="Times New Roman" w:hAnsi="Times New Roman" w:cs="Times New Roman" w:eastAsia="Times New Roman" w:hint="default"/>
          <w:spacing w:val="-1"/>
        </w:rPr>
        <w:t>“</w:t>
      </w:r>
      <w:r>
        <w:rPr>
          <w:spacing w:val="-1"/>
        </w:rPr>
        <w:t>简约智慧医疗</w:t>
      </w:r>
      <w:r>
        <w:rPr>
          <w:rFonts w:ascii="Times New Roman" w:hAnsi="Times New Roman" w:cs="Times New Roman" w:eastAsia="Times New Roman" w:hint="default"/>
          <w:spacing w:val="-1"/>
        </w:rPr>
        <w:t>”</w:t>
      </w:r>
      <w:r>
        <w:rPr>
          <w:spacing w:val="-1"/>
        </w:rPr>
        <w:t>为理念，以</w:t>
      </w:r>
      <w:r>
        <w:rPr>
          <w:rFonts w:ascii="Times New Roman" w:hAnsi="Times New Roman" w:cs="Times New Roman" w:eastAsia="Times New Roman" w:hint="default"/>
          <w:spacing w:val="-1"/>
        </w:rPr>
        <w:t>“</w:t>
      </w:r>
      <w:r>
        <w:rPr>
          <w:spacing w:val="-1"/>
        </w:rPr>
        <w:t>病人安全、医疗质量、临床效率和费用控制</w:t>
      </w:r>
      <w:r>
        <w:rPr>
          <w:rFonts w:ascii="Times New Roman" w:hAnsi="Times New Roman" w:cs="Times New Roman" w:eastAsia="Times New Roman" w:hint="default"/>
          <w:spacing w:val="-1"/>
        </w:rPr>
        <w:t>”</w:t>
      </w:r>
      <w:r>
        <w:rPr>
          <w:spacing w:val="-1"/>
        </w:rPr>
        <w:t>为目标，以物联网、大数据、人工</w:t>
      </w:r>
      <w:r>
        <w:rPr/>
        <w:t> </w:t>
      </w:r>
      <w:r>
        <w:rPr>
          <w:spacing w:val="-2"/>
        </w:rPr>
        <w:t>智能、区块链等核心技术为依托，实现从居民到医护人员全人全程可及连贯的智慧医疗信息服务。公司以技术创新为核心引</w:t>
      </w:r>
      <w:r>
        <w:rPr>
          <w:spacing w:val="-75"/>
        </w:rPr>
        <w:t> </w:t>
      </w:r>
      <w:r>
        <w:rPr>
          <w:spacing w:val="-75"/>
        </w:rPr>
      </w:r>
      <w:r>
        <w:rPr/>
        <w:t>擎，与华为、华三、百度、</w:t>
      </w:r>
      <w:r>
        <w:rPr>
          <w:rFonts w:ascii="Times New Roman" w:hAnsi="Times New Roman" w:cs="Times New Roman" w:eastAsia="Times New Roman" w:hint="default"/>
        </w:rPr>
        <w:t>IBM</w:t>
      </w:r>
      <w:r>
        <w:rPr/>
        <w:t>、</w:t>
      </w:r>
      <w:r>
        <w:rPr>
          <w:rFonts w:ascii="Times New Roman" w:hAnsi="Times New Roman" w:cs="Times New Roman" w:eastAsia="Times New Roman" w:hint="default"/>
        </w:rPr>
        <w:t>Intel</w:t>
      </w:r>
      <w:r>
        <w:rPr/>
        <w:t>等多家国际知名企业达成长期战略合作伙伴。经过多年积累，公司已成为国内著名的 </w:t>
      </w:r>
      <w:r>
        <w:rPr>
          <w:spacing w:val="-2"/>
        </w:rPr>
        <w:t>智慧医疗整体解决方案供应商，是国内医疗信息化行业首家给境外医院提供符合国际标准的整体信息化建设服务的企业，也</w:t>
      </w:r>
      <w:r>
        <w:rPr>
          <w:spacing w:val="-71"/>
        </w:rPr>
        <w:t> </w:t>
      </w:r>
      <w:r>
        <w:rPr>
          <w:spacing w:val="-71"/>
        </w:rPr>
      </w:r>
      <w:r>
        <w:rPr/>
        <w:t>是目前国内少数能够同时提供电子病历等级评审、医院信息互联互通测评、</w:t>
      </w:r>
      <w:r>
        <w:rPr>
          <w:rFonts w:ascii="Times New Roman" w:hAnsi="Times New Roman" w:cs="Times New Roman" w:eastAsia="Times New Roman" w:hint="default"/>
        </w:rPr>
        <w:t>JCI</w:t>
      </w:r>
      <w:r>
        <w:rPr/>
        <w:t>以及</w:t>
      </w:r>
      <w:r>
        <w:rPr>
          <w:rFonts w:ascii="Times New Roman" w:hAnsi="Times New Roman" w:cs="Times New Roman" w:eastAsia="Times New Roman" w:hint="default"/>
        </w:rPr>
        <w:t>HIMSS</w:t>
      </w:r>
      <w:r>
        <w:rPr/>
        <w:t>认证咨询服务的</w:t>
      </w:r>
      <w:r>
        <w:rPr>
          <w:rFonts w:ascii="Times New Roman" w:hAnsi="Times New Roman" w:cs="Times New Roman" w:eastAsia="Times New Roman" w:hint="default"/>
        </w:rPr>
        <w:t>IT</w:t>
      </w:r>
      <w:r>
        <w:rPr/>
        <w:t>企业。公司产</w:t>
      </w:r>
      <w:r>
        <w:rPr>
          <w:spacing w:val="-81"/>
        </w:rPr>
        <w:t> </w:t>
      </w:r>
      <w:r>
        <w:rPr>
          <w:spacing w:val="-1"/>
        </w:rPr>
        <w:t>品在理念、技术及模式上均具领先优势，并得到客户的广泛认可。至</w:t>
      </w:r>
      <w:r>
        <w:rPr>
          <w:rFonts w:ascii="Times New Roman" w:hAnsi="Times New Roman" w:cs="Times New Roman" w:eastAsia="Times New Roman" w:hint="default"/>
          <w:spacing w:val="-1"/>
        </w:rPr>
        <w:t>2019</w:t>
      </w:r>
      <w:r>
        <w:rPr>
          <w:spacing w:val="-1"/>
        </w:rPr>
        <w:t>年底，公司已经累计为全国</w:t>
      </w:r>
      <w:r>
        <w:rPr>
          <w:rFonts w:ascii="Times New Roman" w:hAnsi="Times New Roman" w:cs="Times New Roman" w:eastAsia="Times New Roman" w:hint="default"/>
          <w:spacing w:val="-1"/>
        </w:rPr>
        <w:t>1000</w:t>
      </w:r>
      <w:r>
        <w:rPr>
          <w:spacing w:val="-1"/>
        </w:rPr>
        <w:t>多家各级医疗机构</w:t>
      </w:r>
      <w:r>
        <w:rPr>
          <w:spacing w:val="-83"/>
        </w:rPr>
        <w:t> </w:t>
      </w:r>
      <w:r>
        <w:rPr>
          <w:spacing w:val="-1"/>
        </w:rPr>
        <w:t>提供医疗信息化建设服务，其中包括</w:t>
      </w:r>
      <w:r>
        <w:rPr>
          <w:rFonts w:ascii="Times New Roman" w:hAnsi="Times New Roman" w:cs="Times New Roman" w:eastAsia="Times New Roman" w:hint="default"/>
          <w:spacing w:val="-1"/>
        </w:rPr>
        <w:t>14</w:t>
      </w:r>
      <w:r>
        <w:rPr>
          <w:spacing w:val="-1"/>
        </w:rPr>
        <w:t>家全国</w:t>
      </w:r>
      <w:r>
        <w:rPr>
          <w:rFonts w:ascii="Times New Roman" w:hAnsi="Times New Roman" w:cs="Times New Roman" w:eastAsia="Times New Roman" w:hint="default"/>
          <w:spacing w:val="-1"/>
        </w:rPr>
        <w:t>20</w:t>
      </w:r>
      <w:r>
        <w:rPr>
          <w:spacing w:val="-1"/>
        </w:rPr>
        <w:t>强医院、</w:t>
      </w:r>
      <w:r>
        <w:rPr>
          <w:rFonts w:ascii="Times New Roman" w:hAnsi="Times New Roman" w:cs="Times New Roman" w:eastAsia="Times New Roman" w:hint="default"/>
          <w:spacing w:val="-1"/>
        </w:rPr>
        <w:t>50</w:t>
      </w:r>
      <w:r>
        <w:rPr>
          <w:spacing w:val="-1"/>
        </w:rPr>
        <w:t>家全国百强医院和</w:t>
      </w:r>
      <w:r>
        <w:rPr>
          <w:rFonts w:ascii="Times New Roman" w:hAnsi="Times New Roman" w:cs="Times New Roman" w:eastAsia="Times New Roman" w:hint="default"/>
          <w:spacing w:val="-1"/>
        </w:rPr>
        <w:t>6</w:t>
      </w:r>
      <w:r>
        <w:rPr>
          <w:spacing w:val="-1"/>
        </w:rPr>
        <w:t>家港澳医院。展望未来，公司将继续依托</w:t>
      </w:r>
      <w:r>
        <w:rPr>
          <w:rFonts w:ascii="Times New Roman" w:hAnsi="Times New Roman" w:cs="Times New Roman" w:eastAsia="Times New Roman" w:hint="default"/>
          <w:spacing w:val="-1"/>
        </w:rPr>
        <w:t>“</w:t>
      </w:r>
      <w:r>
        <w:rPr>
          <w:spacing w:val="-1"/>
        </w:rPr>
        <w:t>物</w:t>
      </w:r>
      <w:r>
        <w:rPr>
          <w:spacing w:val="-72"/>
        </w:rPr>
        <w:t> </w:t>
      </w:r>
      <w:r>
        <w:rPr>
          <w:spacing w:val="-2"/>
        </w:rPr>
        <w:t>联网、人工智能、平台大数据交互、微服务框架、区块链</w:t>
      </w:r>
      <w:r>
        <w:rPr>
          <w:rFonts w:ascii="Times New Roman" w:hAnsi="Times New Roman" w:cs="Times New Roman" w:eastAsia="Times New Roman" w:hint="default"/>
          <w:spacing w:val="-2"/>
        </w:rPr>
        <w:t>”</w:t>
      </w:r>
      <w:r>
        <w:rPr>
          <w:spacing w:val="-2"/>
        </w:rPr>
        <w:t>五大核心技术，强化互联网</w:t>
      </w:r>
      <w:r>
        <w:rPr>
          <w:rFonts w:ascii="Times New Roman" w:hAnsi="Times New Roman" w:cs="Times New Roman" w:eastAsia="Times New Roman" w:hint="default"/>
          <w:spacing w:val="-2"/>
        </w:rPr>
        <w:t>+</w:t>
      </w:r>
      <w:r>
        <w:rPr>
          <w:spacing w:val="-2"/>
        </w:rPr>
        <w:t>物联网领域的核心优势，构建无处不</w:t>
      </w:r>
      <w:r>
        <w:rPr>
          <w:spacing w:val="-65"/>
        </w:rPr>
        <w:t> </w:t>
      </w:r>
      <w:r>
        <w:rPr>
          <w:spacing w:val="-65"/>
        </w:rPr>
      </w:r>
      <w:r>
        <w:rPr/>
        <w:t>在的智慧医疗健康服务新模式，持续引领行业创新发展。</w:t>
      </w:r>
    </w:p>
    <w:p>
      <w:pPr>
        <w:pStyle w:val="BodyText"/>
        <w:spacing w:line="240" w:lineRule="auto" w:before="56"/>
        <w:ind w:left="501" w:right="1086"/>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RFID</w:t>
      </w:r>
      <w:r>
        <w:rPr/>
        <w:t>行业</w:t>
      </w:r>
    </w:p>
    <w:p>
      <w:pPr>
        <w:pStyle w:val="BodyText"/>
        <w:spacing w:line="240" w:lineRule="auto" w:before="141"/>
        <w:ind w:left="501" w:right="1086"/>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RFID</w:t>
      </w:r>
      <w:r>
        <w:rPr/>
        <w:t>行业发展现状及趋势</w:t>
      </w:r>
    </w:p>
    <w:p>
      <w:pPr>
        <w:pStyle w:val="BodyText"/>
        <w:spacing w:line="240" w:lineRule="auto" w:before="156"/>
        <w:ind w:left="501" w:right="1086"/>
        <w:jc w:val="left"/>
      </w:pPr>
      <w:r>
        <w:rPr/>
        <w:t>①行业发展现状</w:t>
      </w:r>
    </w:p>
    <w:p>
      <w:pPr>
        <w:spacing w:line="240" w:lineRule="auto" w:before="12"/>
        <w:rPr>
          <w:rFonts w:ascii="宋体" w:hAnsi="宋体" w:cs="宋体" w:eastAsia="宋体" w:hint="default"/>
          <w:sz w:val="12"/>
          <w:szCs w:val="12"/>
        </w:rPr>
      </w:pPr>
    </w:p>
    <w:p>
      <w:pPr>
        <w:pStyle w:val="BodyText"/>
        <w:spacing w:line="384" w:lineRule="auto" w:before="0"/>
        <w:ind w:right="1136" w:firstLine="360"/>
        <w:jc w:val="both"/>
      </w:pPr>
      <w:r>
        <w:rPr>
          <w:rFonts w:ascii="Times New Roman" w:hAnsi="Times New Roman" w:cs="Times New Roman" w:eastAsia="Times New Roman" w:hint="default"/>
        </w:rPr>
        <w:t>RFID</w:t>
      </w:r>
      <w:r>
        <w:rPr/>
        <w:t>（射频识别技术）是自动识别技术的一种，通过无线射频方式进行非接触双向数据通信，利用无线射频方式对记 录媒体进行读写，从而达到识别目标和数据交换的目的。</w:t>
      </w:r>
      <w:r>
        <w:rPr>
          <w:rFonts w:ascii="Times New Roman" w:hAnsi="Times New Roman" w:cs="Times New Roman" w:eastAsia="Times New Roman" w:hint="default"/>
        </w:rPr>
        <w:t>RFID</w:t>
      </w:r>
      <w:r>
        <w:rPr/>
        <w:t>产业链主要包含标签及封装、读写器具、系统集成和软件四</w:t>
      </w:r>
      <w:r>
        <w:rPr>
          <w:spacing w:val="-77"/>
        </w:rPr>
        <w:t> </w:t>
      </w:r>
      <w:r>
        <w:rPr>
          <w:spacing w:val="-2"/>
        </w:rPr>
        <w:t>大板块，其中标签及封装包括标签芯片设计与制造、天线设计与制造以及标签封装技术与设备，读写器具包括读写模块设计</w:t>
      </w:r>
    </w:p>
    <w:p>
      <w:pPr>
        <w:pStyle w:val="BodyText"/>
        <w:spacing w:line="376" w:lineRule="auto" w:before="62"/>
        <w:ind w:right="1086"/>
        <w:jc w:val="left"/>
      </w:pPr>
      <w:r>
        <w:rPr/>
        <w:t>与制造、读写器天线设计与制造以及读写器设计与制造。随着大规模集成电路、信息安全等技术发展，</w:t>
      </w:r>
      <w:r>
        <w:rPr>
          <w:rFonts w:ascii="Times New Roman" w:hAnsi="Times New Roman" w:cs="Times New Roman" w:eastAsia="Times New Roman" w:hint="default"/>
        </w:rPr>
        <w:t>RFID</w:t>
      </w:r>
      <w:r>
        <w:rPr/>
        <w:t>技术逐渐渗透</w:t>
      </w:r>
      <w:r>
        <w:rPr>
          <w:spacing w:val="-73"/>
        </w:rPr>
        <w:t> </w:t>
      </w:r>
      <w:r>
        <w:rPr/>
        <w:t>各大应用领域。</w:t>
      </w:r>
    </w:p>
    <w:p>
      <w:pPr>
        <w:pStyle w:val="BodyText"/>
        <w:spacing w:line="398" w:lineRule="auto" w:before="67"/>
        <w:ind w:right="1086" w:firstLine="360"/>
        <w:jc w:val="left"/>
      </w:pPr>
      <w:r>
        <w:rPr>
          <w:rFonts w:ascii="Times New Roman" w:hAnsi="Times New Roman" w:cs="Times New Roman" w:eastAsia="Times New Roman" w:hint="default"/>
        </w:rPr>
        <w:t>RFID</w:t>
      </w:r>
      <w:r>
        <w:rPr/>
        <w:t>行业壁垒体现于技术、资金实力及品牌价值。技术方面，国内企业在芯片设计封装领域技术实力偏弱，此外</w:t>
      </w:r>
      <w:r>
        <w:rPr>
          <w:rFonts w:ascii="Times New Roman" w:hAnsi="Times New Roman" w:cs="Times New Roman" w:eastAsia="Times New Roman" w:hint="default"/>
        </w:rPr>
        <w:t>RFID</w:t>
      </w:r>
      <w:r>
        <w:rPr>
          <w:rFonts w:ascii="Times New Roman" w:hAnsi="Times New Roman" w:cs="Times New Roman" w:eastAsia="Times New Roman" w:hint="default"/>
          <w:w w:val="99"/>
        </w:rPr>
        <w:t> </w:t>
      </w:r>
      <w:r>
        <w:rPr>
          <w:spacing w:val="-2"/>
        </w:rPr>
        <w:t>行业涉及无线射频、通信、电子工程等多项领域，对企业核心技术研发能力要求较高，一旦形成技术突破，将大幅提升业内</w:t>
      </w:r>
      <w:r>
        <w:rPr>
          <w:spacing w:val="-57"/>
        </w:rPr>
        <w:t> </w:t>
      </w:r>
      <w:r>
        <w:rPr>
          <w:spacing w:val="-57"/>
        </w:rPr>
      </w:r>
      <w:r>
        <w:rPr/>
        <w:t>话语权。资金方面，</w:t>
      </w:r>
      <w:r>
        <w:rPr>
          <w:rFonts w:ascii="Times New Roman" w:hAnsi="Times New Roman" w:cs="Times New Roman" w:eastAsia="Times New Roman" w:hint="default"/>
        </w:rPr>
        <w:t>RFID</w:t>
      </w:r>
      <w:r>
        <w:rPr/>
        <w:t>产品大规模应用需通过规模化采购与生产降低平均单位成本，企业资金实力直接影响其规模化生</w:t>
      </w:r>
      <w:r>
        <w:rPr>
          <w:spacing w:val="-80"/>
        </w:rPr>
        <w:t> </w:t>
      </w:r>
      <w:r>
        <w:rPr>
          <w:spacing w:val="-2"/>
        </w:rPr>
        <w:t>产能力。品牌方面，大客户易优先选择品牌价值高的合作商，选定合作品牌并与其持续合作有助于提高客户信息采集的稳定</w:t>
      </w:r>
      <w:r>
        <w:rPr>
          <w:spacing w:val="-66"/>
        </w:rPr>
        <w:t> </w:t>
      </w:r>
      <w:r>
        <w:rPr>
          <w:spacing w:val="-66"/>
        </w:rPr>
      </w:r>
      <w:r>
        <w:rPr>
          <w:spacing w:val="-2"/>
        </w:rPr>
        <w:t>性和有效性，更换供应商将为客户产生高额替换成本，且新旧产品更替需要一定磨合时间，因此若原合作商产品、服务质量</w:t>
      </w:r>
      <w:r>
        <w:rPr>
          <w:spacing w:val="-42"/>
        </w:rPr>
        <w:t> </w:t>
      </w:r>
      <w:r>
        <w:rPr>
          <w:spacing w:val="-42"/>
        </w:rPr>
      </w:r>
      <w:r>
        <w:rPr/>
        <w:t>稳定，易获得较强的客户粘性。</w:t>
      </w:r>
    </w:p>
    <w:p>
      <w:pPr>
        <w:pStyle w:val="BodyText"/>
        <w:spacing w:line="391" w:lineRule="auto" w:before="50"/>
        <w:ind w:right="1158" w:firstLine="360"/>
        <w:jc w:val="left"/>
      </w:pPr>
      <w:r>
        <w:rPr/>
        <w:t>目前</w:t>
      </w:r>
      <w:r>
        <w:rPr>
          <w:rFonts w:ascii="Times New Roman" w:hAnsi="Times New Roman" w:cs="Times New Roman" w:eastAsia="Times New Roman" w:hint="default"/>
        </w:rPr>
        <w:t>RFID</w:t>
      </w:r>
      <w:r>
        <w:rPr/>
        <w:t>行业内在应用领域、产品及服务形式等多方面形成多元化竞争，整体行业标准暂不统一，未来应用广泛化、 行业细分化、产品定制化、流程自动化将作为行业发展目标，引导企业竞争方向。</w:t>
      </w:r>
    </w:p>
    <w:p>
      <w:pPr>
        <w:pStyle w:val="BodyText"/>
        <w:spacing w:line="412" w:lineRule="auto" w:before="41"/>
        <w:ind w:left="501" w:right="1086"/>
        <w:jc w:val="left"/>
      </w:pPr>
      <w:r>
        <w:rPr/>
        <w:t>②政策背景 近年来，政府部门持续加大对</w:t>
      </w:r>
      <w:r>
        <w:rPr>
          <w:rFonts w:ascii="Times New Roman" w:hAnsi="Times New Roman" w:cs="Times New Roman" w:eastAsia="Times New Roman" w:hint="default"/>
        </w:rPr>
        <w:t>RFID</w:t>
      </w:r>
      <w:r>
        <w:rPr/>
        <w:t>的政策扶持力度，为</w:t>
      </w:r>
      <w:r>
        <w:rPr>
          <w:rFonts w:ascii="Times New Roman" w:hAnsi="Times New Roman" w:cs="Times New Roman" w:eastAsia="Times New Roman" w:hint="default"/>
        </w:rPr>
        <w:t>RFID</w:t>
      </w:r>
      <w:r>
        <w:rPr/>
        <w:t>的发展创造了一个良好的成长环境。随着技术的进一步成</w:t>
      </w:r>
    </w:p>
    <w:p>
      <w:pPr>
        <w:spacing w:after="0" w:line="412"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86" w:lineRule="auto"/>
        <w:ind w:right="1026"/>
        <w:jc w:val="left"/>
      </w:pPr>
      <w:r>
        <w:rPr/>
        <w:t>熟和成本的进一步降低，中国</w:t>
      </w:r>
      <w:r>
        <w:rPr>
          <w:rFonts w:ascii="Times New Roman" w:hAnsi="Times New Roman" w:cs="Times New Roman" w:eastAsia="Times New Roman" w:hint="default"/>
        </w:rPr>
        <w:t>RFID</w:t>
      </w:r>
      <w:r>
        <w:rPr/>
        <w:t>的应用从政府主导项目逐步向各行各业扩散。自</w:t>
      </w:r>
      <w:r>
        <w:rPr>
          <w:rFonts w:ascii="Times New Roman" w:hAnsi="Times New Roman" w:cs="Times New Roman" w:eastAsia="Times New Roman" w:hint="default"/>
        </w:rPr>
        <w:t>2010</w:t>
      </w:r>
      <w:r>
        <w:rPr/>
        <w:t>年中国物联网发展被正式列入国家</w:t>
      </w:r>
      <w:r>
        <w:rPr>
          <w:spacing w:val="-75"/>
        </w:rPr>
        <w:t> </w:t>
      </w:r>
      <w:r>
        <w:rPr/>
        <w:t>发展战略后，中国</w:t>
      </w:r>
      <w:r>
        <w:rPr>
          <w:rFonts w:ascii="Times New Roman" w:hAnsi="Times New Roman" w:cs="Times New Roman" w:eastAsia="Times New Roman" w:hint="default"/>
        </w:rPr>
        <w:t>RFID</w:t>
      </w:r>
      <w:r>
        <w:rPr/>
        <w:t>及物联网产业迎来了难得的发展机遇。根据前瞻产业研究院发布的《中国</w:t>
      </w:r>
      <w:r>
        <w:rPr>
          <w:rFonts w:ascii="Times New Roman" w:hAnsi="Times New Roman" w:cs="Times New Roman" w:eastAsia="Times New Roman" w:hint="default"/>
        </w:rPr>
        <w:t>RFID</w:t>
      </w:r>
      <w:r>
        <w:rPr/>
        <w:t>行业市场前瞻与投资</w:t>
      </w:r>
      <w:r>
        <w:rPr>
          <w:spacing w:val="-64"/>
        </w:rPr>
        <w:t> </w:t>
      </w:r>
      <w:r>
        <w:rPr>
          <w:spacing w:val="-3"/>
        </w:rPr>
        <w:t>战略规划分析报告》统计数据显示，初步估算</w:t>
      </w:r>
      <w:r>
        <w:rPr>
          <w:rFonts w:ascii="Times New Roman" w:hAnsi="Times New Roman" w:cs="Times New Roman" w:eastAsia="Times New Roman" w:hint="default"/>
          <w:spacing w:val="-3"/>
        </w:rPr>
        <w:t>2019</w:t>
      </w:r>
      <w:r>
        <w:rPr>
          <w:spacing w:val="-3"/>
        </w:rPr>
        <w:t>年市场增速有所下降，但整体仍保持上升势头，市场规模在</w:t>
      </w:r>
      <w:r>
        <w:rPr>
          <w:rFonts w:ascii="Times New Roman" w:hAnsi="Times New Roman" w:cs="Times New Roman" w:eastAsia="Times New Roman" w:hint="default"/>
          <w:spacing w:val="-3"/>
        </w:rPr>
        <w:t>1100</w:t>
      </w:r>
      <w:r>
        <w:rPr>
          <w:spacing w:val="-3"/>
        </w:rPr>
        <w:t>亿元左右。</w:t>
      </w:r>
      <w:r>
        <w:rPr>
          <w:spacing w:val="-84"/>
        </w:rPr>
        <w:t> </w:t>
      </w:r>
      <w:r>
        <w:rPr>
          <w:spacing w:val="-1"/>
        </w:rPr>
        <w:t>据中国</w:t>
      </w:r>
      <w:r>
        <w:rPr>
          <w:rFonts w:ascii="Times New Roman" w:hAnsi="Times New Roman" w:cs="Times New Roman" w:eastAsia="Times New Roman" w:hint="default"/>
          <w:spacing w:val="-1"/>
        </w:rPr>
        <w:t>RFID</w:t>
      </w:r>
      <w:r>
        <w:rPr>
          <w:spacing w:val="-1"/>
        </w:rPr>
        <w:t>产业联盟数据显示，目前我国标签及封装市场的比重约为</w:t>
      </w:r>
      <w:r>
        <w:rPr>
          <w:rFonts w:ascii="Times New Roman" w:hAnsi="Times New Roman" w:cs="Times New Roman" w:eastAsia="Times New Roman" w:hint="default"/>
          <w:spacing w:val="-1"/>
        </w:rPr>
        <w:t>33.1%</w:t>
      </w:r>
      <w:r>
        <w:rPr>
          <w:spacing w:val="-1"/>
        </w:rPr>
        <w:t>，读写机约占</w:t>
      </w:r>
      <w:r>
        <w:rPr>
          <w:rFonts w:ascii="Times New Roman" w:hAnsi="Times New Roman" w:cs="Times New Roman" w:eastAsia="Times New Roman" w:hint="default"/>
          <w:spacing w:val="-1"/>
        </w:rPr>
        <w:t>22.9%</w:t>
      </w:r>
      <w:r>
        <w:rPr>
          <w:spacing w:val="-1"/>
        </w:rPr>
        <w:t>，软件约占</w:t>
      </w:r>
      <w:r>
        <w:rPr>
          <w:rFonts w:ascii="Times New Roman" w:hAnsi="Times New Roman" w:cs="Times New Roman" w:eastAsia="Times New Roman" w:hint="default"/>
          <w:spacing w:val="-1"/>
        </w:rPr>
        <w:t>12.2%</w:t>
      </w:r>
      <w:r>
        <w:rPr>
          <w:spacing w:val="-1"/>
        </w:rPr>
        <w:t>，系统集成</w:t>
      </w:r>
      <w:r>
        <w:rPr>
          <w:spacing w:val="-87"/>
        </w:rPr>
        <w:t> </w:t>
      </w:r>
      <w:r>
        <w:rPr>
          <w:spacing w:val="-87"/>
        </w:rPr>
      </w:r>
      <w:r>
        <w:rPr/>
        <w:t>服务约占</w:t>
      </w:r>
      <w:r>
        <w:rPr>
          <w:rFonts w:ascii="Times New Roman" w:hAnsi="Times New Roman" w:cs="Times New Roman" w:eastAsia="Times New Roman" w:hint="default"/>
        </w:rPr>
        <w:t>31.8%</w:t>
      </w:r>
      <w:r>
        <w:rPr/>
        <w:t>。据前瞻产业研究院数据显示，从目前我国</w:t>
      </w:r>
      <w:r>
        <w:rPr>
          <w:rFonts w:ascii="Times New Roman" w:hAnsi="Times New Roman" w:cs="Times New Roman" w:eastAsia="Times New Roman" w:hint="default"/>
        </w:rPr>
        <w:t>RFID</w:t>
      </w:r>
      <w:r>
        <w:rPr/>
        <w:t>在各个领域的应用市场占比情况看，金融支付占据</w:t>
      </w:r>
      <w:r>
        <w:rPr>
          <w:rFonts w:ascii="Times New Roman" w:hAnsi="Times New Roman" w:cs="Times New Roman" w:eastAsia="Times New Roman" w:hint="default"/>
        </w:rPr>
        <w:t>21.2%</w:t>
      </w:r>
      <w:r>
        <w:rPr/>
        <w:t>的</w:t>
      </w:r>
      <w:r>
        <w:rPr>
          <w:spacing w:val="-73"/>
        </w:rPr>
        <w:t> </w:t>
      </w:r>
      <w:r>
        <w:rPr/>
        <w:t>市场，其次在身份识别、交通管理和军事与安全的应用占据了</w:t>
      </w:r>
      <w:r>
        <w:rPr>
          <w:rFonts w:ascii="Times New Roman" w:hAnsi="Times New Roman" w:cs="Times New Roman" w:eastAsia="Times New Roman" w:hint="default"/>
        </w:rPr>
        <w:t>10%</w:t>
      </w:r>
      <w:r>
        <w:rPr/>
        <w:t>以上的市场份额，在资产管理、物流与仓储、防盗防伪追 溯等的应用占据了</w:t>
      </w:r>
      <w:r>
        <w:rPr>
          <w:rFonts w:ascii="Times New Roman" w:hAnsi="Times New Roman" w:cs="Times New Roman" w:eastAsia="Times New Roman" w:hint="default"/>
        </w:rPr>
        <w:t>6%</w:t>
      </w:r>
      <w:r>
        <w:rPr/>
        <w:t>以上的市场份额。在各个细分应用市场，例如智慧物流仓储、食品溯源领域、零售业领域已经出现了 具有代表性的企业和厂商。</w:t>
      </w:r>
    </w:p>
    <w:p>
      <w:pPr>
        <w:pStyle w:val="BodyText"/>
        <w:spacing w:line="391" w:lineRule="auto" w:before="45"/>
        <w:ind w:left="501" w:right="1198"/>
        <w:jc w:val="left"/>
      </w:pPr>
      <w:r>
        <w:rPr/>
        <w:t>（</w:t>
      </w:r>
      <w:r>
        <w:rPr>
          <w:rFonts w:ascii="Times New Roman" w:hAnsi="Times New Roman" w:cs="Times New Roman" w:eastAsia="Times New Roman" w:hint="default"/>
        </w:rPr>
        <w:t>2</w:t>
      </w:r>
      <w:r>
        <w:rPr/>
        <w:t>）公司在</w:t>
      </w:r>
      <w:r>
        <w:rPr>
          <w:rFonts w:ascii="Times New Roman" w:hAnsi="Times New Roman" w:cs="Times New Roman" w:eastAsia="Times New Roman" w:hint="default"/>
        </w:rPr>
        <w:t>RFID</w:t>
      </w:r>
      <w:r>
        <w:rPr/>
        <w:t>行业的地位及变动趋势</w:t>
      </w:r>
      <w:r>
        <w:rPr>
          <w:spacing w:val="-81"/>
        </w:rPr>
        <w:t> </w:t>
      </w:r>
      <w:r>
        <w:rPr/>
        <w:t>公司是全球最早从事</w:t>
      </w:r>
      <w:r>
        <w:rPr>
          <w:rFonts w:ascii="Times New Roman" w:hAnsi="Times New Roman" w:cs="Times New Roman" w:eastAsia="Times New Roman" w:hint="default"/>
        </w:rPr>
        <w:t>EAS</w:t>
      </w:r>
      <w:r>
        <w:rPr/>
        <w:t>业务的企业之一，也是国内首家</w:t>
      </w:r>
      <w:r>
        <w:rPr>
          <w:rFonts w:ascii="Times New Roman" w:hAnsi="Times New Roman" w:cs="Times New Roman" w:eastAsia="Times New Roman" w:hint="default"/>
        </w:rPr>
        <w:t>EAS</w:t>
      </w:r>
      <w:r>
        <w:rPr/>
        <w:t>领域的上市公司。公司自</w:t>
      </w:r>
      <w:r>
        <w:rPr>
          <w:rFonts w:ascii="Times New Roman" w:hAnsi="Times New Roman" w:cs="Times New Roman" w:eastAsia="Times New Roman" w:hint="default"/>
        </w:rPr>
        <w:t>2012</w:t>
      </w:r>
      <w:r>
        <w:rPr/>
        <w:t>年开始部署</w:t>
      </w:r>
      <w:r>
        <w:rPr>
          <w:rFonts w:ascii="Times New Roman" w:hAnsi="Times New Roman" w:cs="Times New Roman" w:eastAsia="Times New Roman" w:hint="default"/>
        </w:rPr>
        <w:t>RFID</w:t>
      </w:r>
      <w:r>
        <w:rPr/>
        <w:t>业务，经</w:t>
      </w:r>
    </w:p>
    <w:p>
      <w:pPr>
        <w:pStyle w:val="BodyText"/>
        <w:spacing w:line="384" w:lineRule="auto" w:before="31"/>
        <w:ind w:right="1097"/>
        <w:jc w:val="both"/>
      </w:pPr>
      <w:r>
        <w:rPr/>
        <w:t>过数年的研发技术积累和业务发展，公司已成为具有先进的研发技术、优良的生产管理及规模化产能的集</w:t>
      </w:r>
      <w:r>
        <w:rPr>
          <w:rFonts w:ascii="Times New Roman" w:hAnsi="Times New Roman" w:cs="Times New Roman" w:eastAsia="Times New Roman" w:hint="default"/>
        </w:rPr>
        <w:t>RFID</w:t>
      </w:r>
      <w:r>
        <w:rPr/>
        <w:t>标签生产制</w:t>
      </w:r>
      <w:r>
        <w:rPr>
          <w:spacing w:val="-72"/>
        </w:rPr>
        <w:t> </w:t>
      </w:r>
      <w:r>
        <w:rPr/>
        <w:t>造和集成应用技术服务为一体的综合性企业，公司</w:t>
      </w:r>
      <w:r>
        <w:rPr>
          <w:rFonts w:ascii="Times New Roman" w:hAnsi="Times New Roman" w:cs="Times New Roman" w:eastAsia="Times New Roman" w:hint="default"/>
        </w:rPr>
        <w:t>RFID</w:t>
      </w:r>
      <w:r>
        <w:rPr/>
        <w:t>基础标签产品、超高频</w:t>
      </w:r>
      <w:r>
        <w:rPr>
          <w:rFonts w:ascii="Times New Roman" w:hAnsi="Times New Roman" w:cs="Times New Roman" w:eastAsia="Times New Roman" w:hint="default"/>
        </w:rPr>
        <w:t>RFID</w:t>
      </w:r>
      <w:r>
        <w:rPr/>
        <w:t>标签产品、</w:t>
      </w:r>
      <w:r>
        <w:rPr>
          <w:rFonts w:ascii="Times New Roman" w:hAnsi="Times New Roman" w:cs="Times New Roman" w:eastAsia="Times New Roman" w:hint="default"/>
        </w:rPr>
        <w:t>UHF</w:t>
      </w:r>
      <w:r>
        <w:rPr/>
        <w:t>标签产品在国际市场持</w:t>
      </w:r>
      <w:r>
        <w:rPr>
          <w:spacing w:val="-65"/>
        </w:rPr>
        <w:t> </w:t>
      </w:r>
      <w:r>
        <w:rPr/>
        <w:t>续保持较高的市场占有率。目前，公司是全球最大的</w:t>
      </w:r>
      <w:r>
        <w:rPr>
          <w:rFonts w:ascii="Times New Roman" w:hAnsi="Times New Roman" w:cs="Times New Roman" w:eastAsia="Times New Roman" w:hint="default"/>
        </w:rPr>
        <w:t>RFID</w:t>
      </w:r>
      <w:r>
        <w:rPr/>
        <w:t>技术研发生产基地之一，并在数字化零售和</w:t>
      </w:r>
      <w:r>
        <w:rPr>
          <w:rFonts w:ascii="Times New Roman" w:hAnsi="Times New Roman" w:cs="Times New Roman" w:eastAsia="Times New Roman" w:hint="default"/>
        </w:rPr>
        <w:t>RFID</w:t>
      </w:r>
      <w:r>
        <w:rPr/>
        <w:t>应用领域处于领</w:t>
      </w:r>
      <w:r>
        <w:rPr>
          <w:spacing w:val="-64"/>
        </w:rPr>
        <w:t> </w:t>
      </w:r>
      <w:r>
        <w:rPr/>
        <w:t>先地位，与全球</w:t>
      </w:r>
      <w:r>
        <w:rPr>
          <w:rFonts w:ascii="Times New Roman" w:hAnsi="Times New Roman" w:cs="Times New Roman" w:eastAsia="Times New Roman" w:hint="default"/>
        </w:rPr>
        <w:t>300</w:t>
      </w:r>
      <w:r>
        <w:rPr/>
        <w:t>多家客户和代理伙伴建立了长期稳定的合作关系，产品出口遍及欧洲、美洲、中东、东南亚等</w:t>
      </w:r>
      <w:r>
        <w:rPr>
          <w:rFonts w:ascii="Times New Roman" w:hAnsi="Times New Roman" w:cs="Times New Roman" w:eastAsia="Times New Roman" w:hint="default"/>
        </w:rPr>
        <w:t>70</w:t>
      </w:r>
      <w:r>
        <w:rPr/>
        <w:t>多个国</w:t>
      </w:r>
      <w:r>
        <w:rPr>
          <w:spacing w:val="-80"/>
        </w:rPr>
        <w:t> </w:t>
      </w:r>
      <w:r>
        <w:rPr/>
        <w:t>家及地区。</w:t>
      </w:r>
    </w:p>
    <w:p>
      <w:pPr>
        <w:pStyle w:val="BodyText"/>
        <w:spacing w:line="412" w:lineRule="auto" w:before="62"/>
        <w:ind w:left="501" w:right="1086"/>
        <w:jc w:val="left"/>
      </w:pPr>
      <w:r>
        <w:rPr/>
        <w:t>（二）公司发展战略 </w:t>
      </w:r>
      <w:r>
        <w:rPr>
          <w:spacing w:val="-2"/>
        </w:rPr>
        <w:t>公司通过前沿技术的研发，不断创新，将移动互联网与物联网两大产业在终端、网络、平台等各个层面进行多种形式的</w:t>
      </w:r>
    </w:p>
    <w:p>
      <w:pPr>
        <w:pStyle w:val="BodyText"/>
        <w:spacing w:line="396" w:lineRule="auto" w:before="25"/>
        <w:ind w:right="1086"/>
        <w:jc w:val="left"/>
      </w:pPr>
      <w:r>
        <w:rPr>
          <w:spacing w:val="-2"/>
        </w:rPr>
        <w:t>融合。公司将进一步聚焦于智慧医疗主业，充分发挥在医疗信息化和健康管理方面的核心优势，大力推动智慧医疗生态平台</w:t>
      </w:r>
      <w:r>
        <w:rPr>
          <w:spacing w:val="-74"/>
        </w:rPr>
        <w:t> </w:t>
      </w:r>
      <w:r>
        <w:rPr>
          <w:spacing w:val="-74"/>
        </w:rPr>
      </w:r>
      <w:r>
        <w:rPr/>
        <w:t>的搭建、医疗大数据及医疗人工智能的应用以及基于</w:t>
      </w:r>
      <w:r>
        <w:rPr>
          <w:rFonts w:ascii="Times New Roman" w:hAnsi="Times New Roman" w:cs="Times New Roman" w:eastAsia="Times New Roman" w:hint="default"/>
        </w:rPr>
        <w:t>RFID</w:t>
      </w:r>
      <w:r>
        <w:rPr/>
        <w:t>深度协同的医疗健康信息耗材类产品的研发和推广，着眼于信息</w:t>
      </w:r>
      <w:r>
        <w:rPr>
          <w:spacing w:val="-77"/>
        </w:rPr>
        <w:t> </w:t>
      </w:r>
      <w:r>
        <w:rPr>
          <w:spacing w:val="-1"/>
        </w:rPr>
        <w:t>服务的个性化和服务体验的提升，在为居民提供</w:t>
      </w:r>
      <w:r>
        <w:rPr>
          <w:rFonts w:ascii="Times New Roman" w:hAnsi="Times New Roman" w:cs="Times New Roman" w:eastAsia="Times New Roman" w:hint="default"/>
          <w:spacing w:val="-1"/>
        </w:rPr>
        <w:t>“</w:t>
      </w:r>
      <w:r>
        <w:rPr>
          <w:spacing w:val="-1"/>
        </w:rPr>
        <w:t>全人全程、可及连贯</w:t>
      </w:r>
      <w:r>
        <w:rPr>
          <w:rFonts w:ascii="Times New Roman" w:hAnsi="Times New Roman" w:cs="Times New Roman" w:eastAsia="Times New Roman" w:hint="default"/>
          <w:spacing w:val="-1"/>
        </w:rPr>
        <w:t>”</w:t>
      </w:r>
      <w:r>
        <w:rPr>
          <w:spacing w:val="-1"/>
        </w:rPr>
        <w:t>的医疗服务方面实现重大发展，打造创新型智慧医疗</w:t>
      </w:r>
      <w:r>
        <w:rPr>
          <w:spacing w:val="-69"/>
        </w:rPr>
        <w:t> </w:t>
      </w:r>
      <w:r>
        <w:rPr>
          <w:spacing w:val="-69"/>
        </w:rPr>
      </w:r>
      <w:r>
        <w:rPr/>
        <w:t>服务生态体系；充分利用在</w:t>
      </w:r>
      <w:r>
        <w:rPr>
          <w:rFonts w:ascii="Times New Roman" w:hAnsi="Times New Roman" w:cs="Times New Roman" w:eastAsia="Times New Roman" w:hint="default"/>
        </w:rPr>
        <w:t>EAS</w:t>
      </w:r>
      <w:r>
        <w:rPr/>
        <w:t>和</w:t>
      </w:r>
      <w:r>
        <w:rPr>
          <w:rFonts w:ascii="Times New Roman" w:hAnsi="Times New Roman" w:cs="Times New Roman" w:eastAsia="Times New Roman" w:hint="default"/>
        </w:rPr>
        <w:t>RFID</w:t>
      </w:r>
      <w:r>
        <w:rPr/>
        <w:t>业务的长期经验积累，凭借从芯片研发到标签研制及系统集成全产业链优势，努力 </w:t>
      </w:r>
      <w:r>
        <w:rPr>
          <w:spacing w:val="-2"/>
        </w:rPr>
        <w:t>打造为客户提供一站式服务的智慧商业解决方案提供商；并不断加强智慧商业与智慧健康医疗养老业务的融合，实现健康乐</w:t>
      </w:r>
      <w:r>
        <w:rPr>
          <w:spacing w:val="-64"/>
        </w:rPr>
        <w:t> </w:t>
      </w:r>
      <w:r>
        <w:rPr>
          <w:spacing w:val="-64"/>
        </w:rPr>
      </w:r>
      <w:r>
        <w:rPr/>
        <w:t>居、健康生活，最终实现</w:t>
      </w:r>
      <w:r>
        <w:rPr>
          <w:rFonts w:ascii="Times New Roman" w:hAnsi="Times New Roman" w:cs="Times New Roman" w:eastAsia="Times New Roman" w:hint="default"/>
        </w:rPr>
        <w:t>“</w:t>
      </w:r>
      <w:r>
        <w:rPr/>
        <w:t>互联物联改变生活</w:t>
      </w:r>
      <w:r>
        <w:rPr>
          <w:rFonts w:ascii="Times New Roman" w:hAnsi="Times New Roman" w:cs="Times New Roman" w:eastAsia="Times New Roman" w:hint="default"/>
        </w:rPr>
        <w:t>”</w:t>
      </w:r>
      <w:r>
        <w:rPr/>
        <w:t>的美好愿景。</w:t>
      </w:r>
    </w:p>
    <w:p>
      <w:pPr>
        <w:pStyle w:val="BodyText"/>
        <w:spacing w:line="240" w:lineRule="auto" w:before="11"/>
        <w:ind w:left="501" w:right="1086"/>
        <w:jc w:val="left"/>
      </w:pPr>
      <w:r>
        <w:rPr/>
        <w:t>（三）公司经营计划</w:t>
      </w:r>
    </w:p>
    <w:p>
      <w:pPr>
        <w:spacing w:line="240" w:lineRule="auto" w:before="13"/>
        <w:rPr>
          <w:rFonts w:ascii="宋体" w:hAnsi="宋体" w:cs="宋体" w:eastAsia="宋体" w:hint="default"/>
          <w:sz w:val="12"/>
          <w:szCs w:val="12"/>
        </w:rPr>
      </w:pPr>
    </w:p>
    <w:p>
      <w:pPr>
        <w:pStyle w:val="BodyText"/>
        <w:spacing w:line="240" w:lineRule="auto" w:before="0"/>
        <w:ind w:left="501" w:right="1086"/>
        <w:jc w:val="left"/>
      </w:pPr>
      <w:r>
        <w:rPr>
          <w:rFonts w:ascii="Times New Roman" w:hAnsi="Times New Roman" w:cs="Times New Roman" w:eastAsia="Times New Roman" w:hint="default"/>
        </w:rPr>
        <w:t>1</w:t>
      </w:r>
      <w:r>
        <w:rPr/>
        <w:t>、抓住行业机遇，依托前期积累加快公司发展</w:t>
      </w:r>
    </w:p>
    <w:p>
      <w:pPr>
        <w:pStyle w:val="BodyText"/>
        <w:spacing w:line="384" w:lineRule="auto" w:before="156"/>
        <w:ind w:right="1103" w:firstLine="360"/>
        <w:jc w:val="both"/>
      </w:pPr>
      <w:r>
        <w:rPr>
          <w:rFonts w:ascii="Times New Roman" w:hAnsi="Times New Roman" w:cs="Times New Roman" w:eastAsia="Times New Roman" w:hint="default"/>
          <w:spacing w:val="-2"/>
        </w:rPr>
        <w:t>2018</w:t>
      </w:r>
      <w:r>
        <w:rPr>
          <w:spacing w:val="-2"/>
        </w:rPr>
        <w:t>年以来，国内智慧医疗行业步入高景气期。根据国家卫健委发展规划，我国电子病历建设经过</w:t>
      </w:r>
      <w:r>
        <w:rPr>
          <w:rFonts w:ascii="Times New Roman" w:hAnsi="Times New Roman" w:cs="Times New Roman" w:eastAsia="Times New Roman" w:hint="default"/>
          <w:spacing w:val="-2"/>
        </w:rPr>
        <w:t>2018</w:t>
      </w:r>
      <w:r>
        <w:rPr>
          <w:spacing w:val="-2"/>
        </w:rPr>
        <w:t>年国家卫健委发</w:t>
      </w:r>
      <w:r>
        <w:rPr/>
        <w:t> </w:t>
      </w:r>
      <w:r>
        <w:rPr>
          <w:spacing w:val="-2"/>
        </w:rPr>
        <w:t>文以来的快速推进，于</w:t>
      </w:r>
      <w:r>
        <w:rPr>
          <w:rFonts w:ascii="Times New Roman" w:hAnsi="Times New Roman" w:cs="Times New Roman" w:eastAsia="Times New Roman" w:hint="default"/>
          <w:spacing w:val="-2"/>
        </w:rPr>
        <w:t>2020</w:t>
      </w:r>
      <w:r>
        <w:rPr>
          <w:spacing w:val="-2"/>
        </w:rPr>
        <w:t>年进入考核期，此后，医疗信息化发展重心将转向医疗互联互通测评。医疗互联互通将成为下一</w:t>
      </w:r>
      <w:r>
        <w:rPr>
          <w:spacing w:val="-36"/>
        </w:rPr>
        <w:t> </w:t>
      </w:r>
      <w:r>
        <w:rPr>
          <w:spacing w:val="-36"/>
        </w:rPr>
      </w:r>
      <w:r>
        <w:rPr/>
        <w:t>阶段行业新发展方向。</w:t>
      </w:r>
    </w:p>
    <w:p>
      <w:pPr>
        <w:pStyle w:val="BodyText"/>
        <w:spacing w:line="393" w:lineRule="auto" w:before="62"/>
        <w:ind w:right="1106" w:firstLine="360"/>
        <w:jc w:val="both"/>
      </w:pPr>
      <w:r>
        <w:rPr>
          <w:rFonts w:ascii="Times New Roman" w:hAnsi="Times New Roman" w:cs="Times New Roman" w:eastAsia="Times New Roman" w:hint="default"/>
          <w:spacing w:val="-2"/>
        </w:rPr>
        <w:t>2020</w:t>
      </w:r>
      <w:r>
        <w:rPr>
          <w:spacing w:val="-2"/>
        </w:rPr>
        <w:t>年初新冠肺炎疫情爆发，底层数据不互通问题在防控疫情阶段暴露比较明显，基层医疗机构与本地区域医疗信息平</w:t>
      </w:r>
      <w:r>
        <w:rPr/>
        <w:t> </w:t>
      </w:r>
      <w:r>
        <w:rPr>
          <w:spacing w:val="-2"/>
        </w:rPr>
        <w:t>台互通性、医院间协同性、医院内部不同条线信息融合性较弱，降低了医疗救治效率。因此，下一阶段医疗信息化建设的思</w:t>
      </w:r>
      <w:r>
        <w:rPr>
          <w:spacing w:val="-57"/>
        </w:rPr>
        <w:t> </w:t>
      </w:r>
      <w:r>
        <w:rPr>
          <w:spacing w:val="-57"/>
        </w:rPr>
      </w:r>
      <w:r>
        <w:rPr>
          <w:spacing w:val="-2"/>
        </w:rPr>
        <w:t>路将更加注重顶层设计，注重整体平台建设，通过打破医疗系统间数据孤岛，实现医疗数据资源互通共享。本次疫情将推动</w:t>
      </w:r>
    </w:p>
    <w:p>
      <w:pPr>
        <w:pStyle w:val="BodyText"/>
        <w:spacing w:line="398" w:lineRule="auto" w:before="54"/>
        <w:ind w:left="501" w:right="1199" w:hanging="361"/>
        <w:jc w:val="left"/>
      </w:pPr>
      <w:r>
        <w:rPr/>
        <w:t>医疗信息化体制建设不断完善，给医疗信息化行业特别是以互联互通为核心的整体解决方案供应商带来良好发展机遇。 公司是国内领先的智慧医疗整体解决方案供应商，公司基于微服务架构、</w:t>
      </w:r>
      <w:r>
        <w:rPr>
          <w:rFonts w:ascii="Times New Roman" w:hAnsi="Times New Roman" w:cs="Times New Roman" w:eastAsia="Times New Roman" w:hint="default"/>
        </w:rPr>
        <w:t>AI</w:t>
      </w:r>
      <w:r>
        <w:rPr/>
        <w:t>场景驱动、国际标准术语融合创新设计的</w:t>
      </w:r>
    </w:p>
    <w:p>
      <w:pPr>
        <w:pStyle w:val="BodyText"/>
        <w:spacing w:line="240" w:lineRule="auto" w:before="24"/>
        <w:ind w:right="0"/>
        <w:jc w:val="left"/>
      </w:pPr>
      <w:r>
        <w:rPr/>
        <w:t>智能开放平台，在实现高质量的医疗信息互通共享上具有非常突出的竞争优势。公司以智能开放平台为核心的智慧医院整体</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405" w:lineRule="auto"/>
        <w:ind w:right="1106"/>
        <w:jc w:val="both"/>
      </w:pPr>
      <w:r>
        <w:rPr>
          <w:spacing w:val="-2"/>
        </w:rPr>
        <w:t>解决方案的高等级医院项目案例数量，在业内也遥遥领先。在前期技术创新、客户数量积累的同时，公司不断提升智能开放</w:t>
      </w:r>
      <w:r>
        <w:rPr>
          <w:spacing w:val="-42"/>
        </w:rPr>
        <w:t> </w:t>
      </w:r>
      <w:r>
        <w:rPr>
          <w:spacing w:val="-42"/>
        </w:rPr>
      </w:r>
      <w:r>
        <w:rPr>
          <w:spacing w:val="-2"/>
        </w:rPr>
        <w:t>平台的标准化程度和产品快速交付能力。因此，在以互联互通为重心的医疗信息化发展新阶段，公司将抓住机遇，充分发挥</w:t>
      </w:r>
      <w:r>
        <w:rPr>
          <w:spacing w:val="-42"/>
        </w:rPr>
        <w:t> </w:t>
      </w:r>
      <w:r>
        <w:rPr>
          <w:spacing w:val="-42"/>
        </w:rPr>
      </w:r>
      <w:r>
        <w:rPr/>
        <w:t>自身在智慧医院整体解决方案上的竞争优势，进一步推动公司的快速发展。</w:t>
      </w:r>
    </w:p>
    <w:p>
      <w:pPr>
        <w:pStyle w:val="BodyText"/>
        <w:spacing w:line="391" w:lineRule="auto" w:before="45"/>
        <w:ind w:left="501" w:right="0"/>
        <w:jc w:val="left"/>
      </w:pPr>
      <w:r>
        <w:rPr>
          <w:rFonts w:ascii="Times New Roman" w:hAnsi="Times New Roman" w:cs="Times New Roman" w:eastAsia="Times New Roman" w:hint="default"/>
        </w:rPr>
        <w:t>2</w:t>
      </w:r>
      <w:r>
        <w:rPr/>
        <w:t>、提升核心技术的创新应用水平，加快业务模式的转型升级 </w:t>
      </w:r>
      <w:r>
        <w:rPr>
          <w:spacing w:val="-4"/>
        </w:rPr>
        <w:t>伴随着国家医保控费等强制性政策要求，医疗数据的标准化以及真实性、准确性是当前医疗信息化建设的重点目标之一。</w:t>
      </w:r>
    </w:p>
    <w:p>
      <w:pPr>
        <w:pStyle w:val="BodyText"/>
        <w:spacing w:line="412" w:lineRule="auto" w:before="41"/>
        <w:ind w:right="0"/>
        <w:jc w:val="left"/>
      </w:pPr>
      <w:r>
        <w:rPr>
          <w:spacing w:val="-1"/>
        </w:rPr>
        <w:t>此次新冠肺炎疫情过后，医疗服务机构、疾控部门、公共卫生系统对数据的客观性、准确性以及医疗服务过程中的质量标准</w:t>
      </w:r>
      <w:r>
        <w:rPr/>
        <w:t> </w:t>
      </w:r>
      <w:r>
        <w:rPr>
          <w:spacing w:val="-4"/>
        </w:rPr>
        <w:t>管控都将提出更高的要求。可以预见，人工智能和物联网等技术在提升医疗数据的标准化、准确性上将会发挥更重要的作用。</w:t>
      </w:r>
    </w:p>
    <w:p>
      <w:pPr>
        <w:pStyle w:val="BodyText"/>
        <w:spacing w:line="405" w:lineRule="auto" w:before="40"/>
        <w:ind w:right="1106" w:firstLine="360"/>
        <w:jc w:val="both"/>
      </w:pPr>
      <w:r>
        <w:rPr>
          <w:spacing w:val="-2"/>
        </w:rPr>
        <w:t>人工智能和物联网均是公司的核心技术之一。之前公司人工智能的应用主要在辅助诊断和治疗，接下来人工智能将会进</w:t>
      </w:r>
      <w:r>
        <w:rPr/>
        <w:t> </w:t>
      </w:r>
      <w:r>
        <w:rPr>
          <w:spacing w:val="-2"/>
        </w:rPr>
        <w:t>一步应用到医疗质控上。公司的物联网医疗溯源管理也将从对象追溯，进一步提升到行为追溯、过程追溯。利用人工智能和</w:t>
      </w:r>
      <w:r>
        <w:rPr>
          <w:spacing w:val="-42"/>
        </w:rPr>
        <w:t> </w:t>
      </w:r>
      <w:r>
        <w:rPr>
          <w:spacing w:val="-42"/>
        </w:rPr>
      </w:r>
      <w:r>
        <w:rPr>
          <w:spacing w:val="-2"/>
        </w:rPr>
        <w:t>物联网参与疾病诊治过程的质控、预警，参与数据质量和标准的管控，能够有效提升医疗数据的真实性和准确性。公司基于</w:t>
      </w:r>
      <w:r>
        <w:rPr>
          <w:spacing w:val="-42"/>
        </w:rPr>
        <w:t> </w:t>
      </w:r>
      <w:r>
        <w:rPr>
          <w:spacing w:val="-42"/>
        </w:rPr>
      </w:r>
      <w:r>
        <w:rPr>
          <w:spacing w:val="-2"/>
        </w:rPr>
        <w:t>人工智能和微服务的平台架构，在数据标准化整合方面也具有明显优势，同时还兼顾了与区域卫生平台数据整合的能力，在</w:t>
      </w:r>
      <w:r>
        <w:rPr>
          <w:spacing w:val="-72"/>
        </w:rPr>
        <w:t> </w:t>
      </w:r>
      <w:r>
        <w:rPr>
          <w:spacing w:val="-72"/>
        </w:rPr>
      </w:r>
      <w:r>
        <w:rPr/>
        <w:t>解决公卫体系和医疗体系的孤岛效应，推动应急联动和综合防控系统的智能化转型等方面都将发挥显著作用。</w:t>
      </w:r>
    </w:p>
    <w:p>
      <w:pPr>
        <w:pStyle w:val="BodyText"/>
        <w:spacing w:line="408" w:lineRule="auto" w:before="45"/>
        <w:ind w:right="1135" w:firstLine="360"/>
        <w:jc w:val="both"/>
      </w:pPr>
      <w:r>
        <w:rPr>
          <w:spacing w:val="-2"/>
        </w:rPr>
        <w:t>在提升核心技术的创新应用水平的同时，公司还将加快智慧医疗业务从系统销售模式向运营服务模式转型、从一次性的</w:t>
      </w:r>
      <w:r>
        <w:rPr/>
        <w:t> </w:t>
      </w:r>
      <w:r>
        <w:rPr>
          <w:spacing w:val="-2"/>
        </w:rPr>
        <w:t>销售收入向持续稳定的服务收入转型。目前通过以医疗被服智能管理系统为代表的物联网智慧医疗溯源管理产品，公司已经</w:t>
      </w:r>
      <w:r>
        <w:rPr>
          <w:spacing w:val="-72"/>
        </w:rPr>
        <w:t> </w:t>
      </w:r>
      <w:r>
        <w:rPr>
          <w:spacing w:val="-72"/>
        </w:rPr>
      </w:r>
      <w:r>
        <w:rPr>
          <w:spacing w:val="-2"/>
        </w:rPr>
        <w:t>在非核心医疗的运维服务模式推进上跨出了一大步。借助非核心医疗运维服务的成功经验，公司未来将进一步向核心医疗的</w:t>
      </w:r>
      <w:r>
        <w:rPr>
          <w:spacing w:val="-72"/>
        </w:rPr>
        <w:t> </w:t>
      </w:r>
      <w:r>
        <w:rPr>
          <w:spacing w:val="-72"/>
        </w:rPr>
      </w:r>
      <w:r>
        <w:rPr>
          <w:spacing w:val="-2"/>
        </w:rPr>
        <w:t>运维服务拓展，协助医生将医院的服务从临床治疗延伸到健康管理，服务广度从院内延伸至院外，实现患者在院和在家全过</w:t>
      </w:r>
      <w:r>
        <w:rPr>
          <w:spacing w:val="-74"/>
        </w:rPr>
        <w:t> </w:t>
      </w:r>
      <w:r>
        <w:rPr>
          <w:spacing w:val="-74"/>
        </w:rPr>
      </w:r>
      <w:r>
        <w:rPr/>
        <w:t>程同质化的病程管理。公司业务模式的提升，对公司收入结构、经营性现金流以及盈利能力的改善都有非常重要的意义。</w:t>
      </w:r>
    </w:p>
    <w:p>
      <w:pPr>
        <w:pStyle w:val="BodyText"/>
        <w:spacing w:line="391" w:lineRule="auto" w:before="29"/>
        <w:ind w:left="501" w:right="1119"/>
        <w:jc w:val="left"/>
      </w:pPr>
      <w:r>
        <w:rPr>
          <w:rFonts w:ascii="Times New Roman" w:hAnsi="Times New Roman" w:cs="Times New Roman" w:eastAsia="Times New Roman" w:hint="default"/>
        </w:rPr>
        <w:t>3</w:t>
      </w:r>
      <w:r>
        <w:rPr/>
        <w:t>、将公司优势向医共体建设等领域延伸，拓展公司的业务增长空间 随着</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月以来国家卫健委《关于推进紧密型县域医疗卫生共同体建设的通知》等一系列相关文件的发布，</w:t>
      </w:r>
      <w:r>
        <w:rPr>
          <w:rFonts w:ascii="Times New Roman" w:hAnsi="Times New Roman" w:cs="Times New Roman" w:eastAsia="Times New Roman" w:hint="default"/>
        </w:rPr>
        <w:t>2020</w:t>
      </w:r>
      <w:r>
        <w:rPr/>
        <w:t>年</w:t>
      </w:r>
    </w:p>
    <w:p>
      <w:pPr>
        <w:pStyle w:val="BodyText"/>
        <w:spacing w:line="405" w:lineRule="auto" w:before="30"/>
        <w:ind w:right="1029"/>
        <w:jc w:val="left"/>
      </w:pPr>
      <w:r>
        <w:rPr>
          <w:spacing w:val="-2"/>
        </w:rPr>
        <w:t>医共体建设有望从试点开展升级至全面铺开。经过从医联体到医共体的探索，国家及各级政府正以县域医共体和基层医疗健</w:t>
      </w:r>
      <w:r>
        <w:rPr>
          <w:spacing w:val="-72"/>
        </w:rPr>
        <w:t> </w:t>
      </w:r>
      <w:r>
        <w:rPr>
          <w:spacing w:val="-72"/>
        </w:rPr>
      </w:r>
      <w:r>
        <w:rPr/>
        <w:t>康服务作为医疗健康的下一个发展重点，并围绕基层百姓健康和区域互联互通的医疗服务对医疗健康信息化提出新的要求，</w:t>
      </w:r>
      <w:r>
        <w:rPr>
          <w:spacing w:val="-87"/>
        </w:rPr>
        <w:t> </w:t>
      </w:r>
      <w:r>
        <w:rPr>
          <w:spacing w:val="-87"/>
        </w:rPr>
      </w:r>
      <w:r>
        <w:rPr/>
        <w:t>这为医疗信息化企业打开了新的市场空间。</w:t>
      </w:r>
    </w:p>
    <w:p>
      <w:pPr>
        <w:pStyle w:val="BodyText"/>
        <w:spacing w:line="408" w:lineRule="auto" w:before="45"/>
        <w:ind w:right="1121" w:firstLine="360"/>
        <w:jc w:val="both"/>
      </w:pPr>
      <w:r>
        <w:rPr>
          <w:spacing w:val="-2"/>
        </w:rPr>
        <w:t>基于多年深耕医疗信息化领域积累的行业经验和优势，公司推出的智慧医共体整体解决方案以先进的信息技术助力整合</w:t>
      </w:r>
      <w:r>
        <w:rPr/>
        <w:t> </w:t>
      </w:r>
      <w:r>
        <w:rPr>
          <w:spacing w:val="-2"/>
        </w:rPr>
        <w:t>型医疗卫生服务体系构建，通过医共体远程会诊协作平台向基层医生提供符合实际临床场景的人工智能辅助诊断服务，通过</w:t>
      </w:r>
      <w:r>
        <w:rPr>
          <w:spacing w:val="-72"/>
        </w:rPr>
        <w:t> </w:t>
      </w:r>
      <w:r>
        <w:rPr>
          <w:spacing w:val="-72"/>
        </w:rPr>
      </w:r>
      <w:r>
        <w:rPr>
          <w:spacing w:val="-2"/>
        </w:rPr>
        <w:t>形成完整、全程、准确、有效的数据闭环并提供数据服务，在医共体中优化医疗资源配置，推进智能分级诊疗和医疗服务的</w:t>
      </w:r>
      <w:r>
        <w:rPr>
          <w:spacing w:val="-57"/>
        </w:rPr>
        <w:t> </w:t>
      </w:r>
      <w:r>
        <w:rPr>
          <w:spacing w:val="-57"/>
        </w:rPr>
      </w:r>
      <w:r>
        <w:rPr/>
        <w:t>同质化，提升基层医疗卫生服务能力和服务质量，提高医疗卫生服务整体效率。</w:t>
      </w:r>
    </w:p>
    <w:p>
      <w:pPr>
        <w:pStyle w:val="BodyText"/>
        <w:spacing w:line="408" w:lineRule="auto" w:before="28"/>
        <w:ind w:right="1136" w:firstLine="360"/>
        <w:jc w:val="both"/>
      </w:pPr>
      <w:r>
        <w:rPr>
          <w:spacing w:val="-2"/>
        </w:rPr>
        <w:t>目前医共体信息化建设相对滞后，以集团化的人、财、物统一经营为基础线和以围绕患者进行连续性医疗服务为核心线</w:t>
      </w:r>
      <w:r>
        <w:rPr/>
        <w:t> </w:t>
      </w:r>
      <w:r>
        <w:rPr>
          <w:spacing w:val="-2"/>
        </w:rPr>
        <w:t>的信息系统亟待完善。公司智慧医共体整体解决方案将公司行业领先的智能开放平台向医共体领域延伸，较好地契合了医共</w:t>
      </w:r>
      <w:r>
        <w:rPr>
          <w:spacing w:val="-72"/>
        </w:rPr>
        <w:t> </w:t>
      </w:r>
      <w:r>
        <w:rPr>
          <w:spacing w:val="-72"/>
        </w:rPr>
      </w:r>
      <w:r>
        <w:rPr>
          <w:spacing w:val="-2"/>
        </w:rPr>
        <w:t>体内部互联互通及提供连续医疗服务的需求，有助于公司将客户覆盖面扩展到县级医院，有助于公司抢占医共体信息化建设</w:t>
      </w:r>
      <w:r>
        <w:rPr>
          <w:spacing w:val="-72"/>
        </w:rPr>
        <w:t> </w:t>
      </w:r>
      <w:r>
        <w:rPr>
          <w:spacing w:val="-72"/>
        </w:rPr>
      </w:r>
      <w:r>
        <w:rPr/>
        <w:t>的先机，为公司的业务增长拓展新的空间。</w:t>
      </w:r>
    </w:p>
    <w:p>
      <w:pPr>
        <w:pStyle w:val="BodyText"/>
        <w:spacing w:line="240" w:lineRule="auto" w:before="43"/>
        <w:ind w:left="501" w:right="1086"/>
        <w:jc w:val="left"/>
      </w:pPr>
      <w:r>
        <w:rPr>
          <w:rFonts w:ascii="Times New Roman" w:hAnsi="Times New Roman" w:cs="Times New Roman" w:eastAsia="Times New Roman" w:hint="default"/>
        </w:rPr>
        <w:t>4</w:t>
      </w:r>
      <w:r>
        <w:rPr/>
        <w:t>、以再融资为契机，丰富产品线，努力提升公司业绩</w:t>
      </w:r>
    </w:p>
    <w:p>
      <w:pPr>
        <w:pStyle w:val="BodyText"/>
        <w:spacing w:line="384" w:lineRule="auto" w:before="156"/>
        <w:ind w:right="1119" w:firstLine="36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月，公司对外披露《创业板公开发行可转换公司债券预案》，所募集资金将投入于互联网</w:t>
      </w:r>
      <w:r>
        <w:rPr>
          <w:rFonts w:ascii="Times New Roman" w:hAnsi="Times New Roman" w:cs="Times New Roman" w:eastAsia="Times New Roman" w:hint="default"/>
        </w:rPr>
        <w:t>+</w:t>
      </w:r>
      <w:r>
        <w:rPr/>
        <w:t>人工智能医疗创新 运营服务项目、营销体系扩建项目、基于人工智能和微服务云架构新一代智慧医疗应用研发项目和补充流动资金。</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t>月，本次公开发行可转换公司债券申请已获得中国证监会的受理。</w:t>
      </w:r>
    </w:p>
    <w:p>
      <w:pPr>
        <w:spacing w:after="0" w:line="384"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98" w:lineRule="auto"/>
        <w:ind w:right="1105" w:firstLine="360"/>
        <w:jc w:val="both"/>
      </w:pPr>
      <w:r>
        <w:rPr>
          <w:spacing w:val="-2"/>
        </w:rPr>
        <w:t>如本次公开发行可转债事项最终获得中国证监会批准通过，公司将以本次可转债发行为契机，进一步发展区域互联网医</w:t>
      </w:r>
      <w:r>
        <w:rPr/>
        <w:t> </w:t>
      </w:r>
      <w:r>
        <w:rPr>
          <w:spacing w:val="-2"/>
        </w:rPr>
        <w:t>院平台，打造以</w:t>
      </w:r>
      <w:r>
        <w:rPr>
          <w:rFonts w:ascii="Times New Roman" w:hAnsi="Times New Roman" w:cs="Times New Roman" w:eastAsia="Times New Roman" w:hint="default"/>
          <w:spacing w:val="-2"/>
        </w:rPr>
        <w:t>“</w:t>
      </w:r>
      <w:r>
        <w:rPr>
          <w:spacing w:val="-2"/>
        </w:rPr>
        <w:t>服务闭环</w:t>
      </w:r>
      <w:r>
        <w:rPr>
          <w:rFonts w:ascii="Times New Roman" w:hAnsi="Times New Roman" w:cs="Times New Roman" w:eastAsia="Times New Roman" w:hint="default"/>
          <w:spacing w:val="-2"/>
        </w:rPr>
        <w:t>”</w:t>
      </w:r>
      <w:r>
        <w:rPr>
          <w:spacing w:val="-2"/>
        </w:rPr>
        <w:t>为核心的互联网医疗，实现线上到线下、院内到院外的连贯就医服务。同时，进一步打造新一代</w:t>
      </w:r>
      <w:r>
        <w:rPr>
          <w:spacing w:val="-48"/>
        </w:rPr>
        <w:t> </w:t>
      </w:r>
      <w:r>
        <w:rPr>
          <w:spacing w:val="-48"/>
        </w:rPr>
      </w:r>
      <w:r>
        <w:rPr/>
        <w:t>基于人工智能和微服务云架构的临床</w:t>
      </w:r>
      <w:r>
        <w:rPr>
          <w:rFonts w:ascii="Times New Roman" w:hAnsi="Times New Roman" w:cs="Times New Roman" w:eastAsia="Times New Roman" w:hint="default"/>
        </w:rPr>
        <w:t>/</w:t>
      </w:r>
      <w:r>
        <w:rPr/>
        <w:t>科研一体化平台，构建基于微服务的智慧医疗应用生态圈。此外，公司还将加快营销 </w:t>
      </w:r>
      <w:r>
        <w:rPr>
          <w:spacing w:val="-2"/>
        </w:rPr>
        <w:t>体系布局，实现公司营销网络覆盖的全面升级，满足市场需求增长的需要。本次募集资金投资项目的实施，将进一步丰富和</w:t>
      </w:r>
      <w:r>
        <w:rPr>
          <w:spacing w:val="-42"/>
        </w:rPr>
        <w:t> </w:t>
      </w:r>
      <w:r>
        <w:rPr>
          <w:spacing w:val="-42"/>
        </w:rPr>
      </w:r>
      <w:r>
        <w:rPr/>
        <w:t>完善公司产品线，增强公司核心竞争能力，巩固和提高公司在行业内的市场地位和市场占有率，提升公司的盈利能力。</w:t>
      </w:r>
    </w:p>
    <w:p>
      <w:pPr>
        <w:pStyle w:val="BodyText"/>
        <w:spacing w:line="391" w:lineRule="auto" w:before="36"/>
        <w:ind w:left="501" w:right="1029"/>
        <w:jc w:val="left"/>
      </w:pPr>
      <w:r>
        <w:rPr>
          <w:rFonts w:ascii="Times New Roman" w:hAnsi="Times New Roman" w:cs="Times New Roman" w:eastAsia="Times New Roman" w:hint="default"/>
        </w:rPr>
        <w:t>5</w:t>
      </w:r>
      <w:r>
        <w:rPr/>
        <w:t>、拓宽产品结构，进一步推进智慧商业解决方案落地 公司依托在智慧商业领域的研发优势，将根据市场需求持续进行技术储备，加快新产品的开发和现有产品的升级改造，</w:t>
      </w:r>
    </w:p>
    <w:p>
      <w:pPr>
        <w:pStyle w:val="BodyText"/>
        <w:spacing w:line="393" w:lineRule="auto" w:before="56"/>
        <w:ind w:right="1029"/>
        <w:jc w:val="left"/>
      </w:pPr>
      <w:r>
        <w:rPr/>
        <w:t>满足不同客户的产品定制服务。同时，以自主研发的商业智能平台为基础，通过零售大数据管理和分析，为客户提供智能、 高效的管理服务，从而提升整体解决方案的附加值，不断提升集成服务的能力，进一步稳固公司在电子商品防盗系统、</w:t>
      </w:r>
      <w:r>
        <w:rPr>
          <w:rFonts w:ascii="Times New Roman" w:hAnsi="Times New Roman" w:cs="Times New Roman" w:eastAsia="Times New Roman" w:hint="default"/>
        </w:rPr>
        <w:t>ESL </w:t>
      </w:r>
      <w:r>
        <w:rPr/>
        <w:t>电子价格标签系统、</w:t>
      </w:r>
      <w:r>
        <w:rPr>
          <w:rFonts w:ascii="Times New Roman" w:hAnsi="Times New Roman" w:cs="Times New Roman" w:eastAsia="Times New Roman" w:hint="default"/>
        </w:rPr>
        <w:t>RFID</w:t>
      </w:r>
      <w:r>
        <w:rPr/>
        <w:t>门店资产管理等应用领域的领先优势，加强在时尚行业、</w:t>
      </w:r>
      <w:r>
        <w:rPr>
          <w:rFonts w:ascii="Times New Roman" w:hAnsi="Times New Roman" w:cs="Times New Roman" w:eastAsia="Times New Roman" w:hint="default"/>
        </w:rPr>
        <w:t>RFID</w:t>
      </w:r>
      <w:r>
        <w:rPr/>
        <w:t>生鲜配送及资产管理等零售领域的</w:t>
      </w:r>
      <w:r>
        <w:rPr>
          <w:spacing w:val="-66"/>
        </w:rPr>
        <w:t> </w:t>
      </w:r>
      <w:r>
        <w:rPr/>
        <w:t>创新优势，为客户提供更加全面、智能、高效的解决方案。</w:t>
      </w:r>
    </w:p>
    <w:p>
      <w:pPr>
        <w:pStyle w:val="BodyText"/>
        <w:spacing w:line="240" w:lineRule="auto" w:before="40"/>
        <w:ind w:left="501" w:right="1086"/>
        <w:jc w:val="left"/>
      </w:pPr>
      <w:r>
        <w:rPr/>
        <w:t>（四）公司未来可能面对的风险因素</w:t>
      </w:r>
    </w:p>
    <w:p>
      <w:pPr>
        <w:spacing w:line="240" w:lineRule="auto" w:before="13"/>
        <w:rPr>
          <w:rFonts w:ascii="宋体" w:hAnsi="宋体" w:cs="宋体" w:eastAsia="宋体" w:hint="default"/>
          <w:sz w:val="12"/>
          <w:szCs w:val="12"/>
        </w:rPr>
      </w:pPr>
    </w:p>
    <w:p>
      <w:pPr>
        <w:pStyle w:val="BodyText"/>
        <w:spacing w:line="391" w:lineRule="auto" w:before="0"/>
        <w:ind w:left="501" w:right="1086"/>
        <w:jc w:val="left"/>
      </w:pPr>
      <w:r>
        <w:rPr>
          <w:rFonts w:ascii="Times New Roman" w:hAnsi="Times New Roman" w:cs="Times New Roman" w:eastAsia="Times New Roman" w:hint="default"/>
        </w:rPr>
        <w:t>1</w:t>
      </w:r>
      <w:r>
        <w:rPr/>
        <w:t>、市场竞争加剧风险 在商业智慧领域，近年来全球零售业安防市场竞争激烈，国内</w:t>
      </w:r>
      <w:r>
        <w:rPr>
          <w:rFonts w:ascii="Times New Roman" w:hAnsi="Times New Roman" w:cs="Times New Roman" w:eastAsia="Times New Roman" w:hint="default"/>
        </w:rPr>
        <w:t>RFID</w:t>
      </w:r>
      <w:r>
        <w:rPr/>
        <w:t>市场的兴起也吸引大批竞争者纷纷涉足</w:t>
      </w:r>
      <w:r>
        <w:rPr>
          <w:rFonts w:ascii="Times New Roman" w:hAnsi="Times New Roman" w:cs="Times New Roman" w:eastAsia="Times New Roman" w:hint="default"/>
        </w:rPr>
        <w:t>RFID</w:t>
      </w:r>
      <w:r>
        <w:rPr/>
        <w:t>市场；</w:t>
      </w:r>
    </w:p>
    <w:p>
      <w:pPr>
        <w:pStyle w:val="BodyText"/>
        <w:spacing w:line="408" w:lineRule="auto" w:before="16"/>
        <w:ind w:right="1106"/>
        <w:jc w:val="both"/>
      </w:pPr>
      <w:r>
        <w:rPr>
          <w:spacing w:val="-2"/>
        </w:rPr>
        <w:t>在智慧医疗领域，在国家大力推进医改和医疗卫生信息化的背景下，国内从事医疗信息化的企业纷纷加大投入抢占市场，资</w:t>
      </w:r>
      <w:r>
        <w:rPr>
          <w:spacing w:val="-75"/>
        </w:rPr>
        <w:t> </w:t>
      </w:r>
      <w:r>
        <w:rPr>
          <w:spacing w:val="-75"/>
        </w:rPr>
      </w:r>
      <w:r>
        <w:rPr>
          <w:spacing w:val="-2"/>
        </w:rPr>
        <w:t>本巨头也看到医疗卫生领域未来发展的巨大红利，创新型竞争企业不断涌现，公司智慧医疗业务面临技术和市场拓展的双重</w:t>
      </w:r>
      <w:r>
        <w:rPr>
          <w:spacing w:val="-72"/>
        </w:rPr>
        <w:t> </w:t>
      </w:r>
      <w:r>
        <w:rPr>
          <w:spacing w:val="-72"/>
        </w:rPr>
      </w:r>
      <w:r>
        <w:rPr>
          <w:spacing w:val="-2"/>
        </w:rPr>
        <w:t>挑战。对此，公司将充分发挥软硬件方面技术研发和产业化优势，不断拉大与竞争对手在技术和服务等方面的差距，充分发</w:t>
      </w:r>
      <w:r>
        <w:rPr>
          <w:spacing w:val="-42"/>
        </w:rPr>
        <w:t> </w:t>
      </w:r>
      <w:r>
        <w:rPr>
          <w:spacing w:val="-42"/>
        </w:rPr>
      </w:r>
      <w:r>
        <w:rPr>
          <w:spacing w:val="-2"/>
        </w:rPr>
        <w:t>挥公司在主营业务领域已建立的典范项目的示范性效应，跟踪市场需求，深挖客户潜力，逐步探索新的业务模式，确保公司</w:t>
      </w:r>
      <w:r>
        <w:rPr>
          <w:spacing w:val="-42"/>
        </w:rPr>
        <w:t> </w:t>
      </w:r>
      <w:r>
        <w:rPr>
          <w:spacing w:val="-42"/>
        </w:rPr>
      </w:r>
      <w:r>
        <w:rPr/>
        <w:t>主营产品的市场影响力，不断提升公司的品牌价值。</w:t>
      </w:r>
    </w:p>
    <w:p>
      <w:pPr>
        <w:pStyle w:val="BodyText"/>
        <w:spacing w:line="376" w:lineRule="auto" w:before="43"/>
        <w:ind w:left="501" w:right="1133"/>
        <w:jc w:val="left"/>
      </w:pPr>
      <w:r>
        <w:rPr>
          <w:rFonts w:ascii="Times New Roman" w:hAnsi="Times New Roman" w:cs="Times New Roman" w:eastAsia="Times New Roman" w:hint="default"/>
        </w:rPr>
        <w:t>2</w:t>
      </w:r>
      <w:r>
        <w:rPr/>
        <w:t>、技术开发滞后及泄露风险 </w:t>
      </w:r>
      <w:r>
        <w:rPr>
          <w:spacing w:val="-2"/>
        </w:rPr>
        <w:t>智慧医疗及商业智能行业涉及的专业技术门类较多、技术更新迭代速度较快。为了保持竞争优势，公司需要准确预测技</w:t>
      </w:r>
    </w:p>
    <w:p>
      <w:pPr>
        <w:pStyle w:val="BodyText"/>
        <w:spacing w:line="412" w:lineRule="auto" w:before="67"/>
        <w:ind w:right="1136"/>
        <w:jc w:val="both"/>
      </w:pPr>
      <w:r>
        <w:rPr>
          <w:spacing w:val="-2"/>
        </w:rPr>
        <w:t>术发展趋势，及时投入并开发先进技术并将其用于自身产品的设计研发和技术升级。如果不能准确把握技术发展趋势或无法</w:t>
      </w:r>
      <w:r>
        <w:rPr>
          <w:spacing w:val="-71"/>
        </w:rPr>
        <w:t> </w:t>
      </w:r>
      <w:r>
        <w:rPr>
          <w:spacing w:val="-71"/>
        </w:rPr>
      </w:r>
      <w:r>
        <w:rPr/>
        <w:t>及时将新技术运用于产品开发及升级，将会对公司领先的技术地位产生不利影响。</w:t>
      </w:r>
    </w:p>
    <w:p>
      <w:pPr>
        <w:pStyle w:val="BodyText"/>
        <w:spacing w:line="410" w:lineRule="auto" w:before="25"/>
        <w:ind w:right="1086" w:firstLine="360"/>
        <w:jc w:val="left"/>
      </w:pPr>
      <w:r>
        <w:rPr/>
        <w:t>公司主营产品的技术含量高，核心技术和高素质的研究技术人员和应用实施团队是公司进行产品创新和市场维护的根 </w:t>
      </w:r>
      <w:r>
        <w:rPr>
          <w:spacing w:val="-2"/>
        </w:rPr>
        <w:t>本。公司在多年的研发、经营过程中，拥有了多项专利、软件著作权，研发出多项医疗行业应用解决方案，建立了高效协作</w:t>
      </w:r>
      <w:r>
        <w:rPr>
          <w:spacing w:val="-72"/>
        </w:rPr>
        <w:t> </w:t>
      </w:r>
      <w:r>
        <w:rPr>
          <w:spacing w:val="-72"/>
        </w:rPr>
      </w:r>
      <w:r>
        <w:rPr>
          <w:spacing w:val="-2"/>
        </w:rPr>
        <w:t>的应用实施团队，如发生上述相关技术人员离职或私自泄露机密的情况，可能对公司经营造成不利影响。对此，公司将积极</w:t>
      </w:r>
      <w:r>
        <w:rPr>
          <w:spacing w:val="-42"/>
        </w:rPr>
        <w:t> </w:t>
      </w:r>
      <w:r>
        <w:rPr>
          <w:spacing w:val="-42"/>
        </w:rPr>
      </w:r>
      <w:r>
        <w:rPr>
          <w:spacing w:val="-2"/>
        </w:rPr>
        <w:t>顺应行业技术发展趋势，不断改进研发技术，进一步完善保密制度，同时有效做好核心人员的激励和管理工作，最大程度防</w:t>
      </w:r>
      <w:r>
        <w:rPr>
          <w:spacing w:val="-39"/>
        </w:rPr>
        <w:t> </w:t>
      </w:r>
      <w:r>
        <w:rPr>
          <w:spacing w:val="-39"/>
        </w:rPr>
      </w:r>
      <w:r>
        <w:rPr/>
        <w:t>范技术泄密给公司带来的风险。</w:t>
      </w:r>
    </w:p>
    <w:p>
      <w:pPr>
        <w:pStyle w:val="BodyText"/>
        <w:spacing w:line="376" w:lineRule="auto" w:before="42"/>
        <w:ind w:left="501" w:right="1107"/>
        <w:jc w:val="left"/>
      </w:pPr>
      <w:r>
        <w:rPr>
          <w:rFonts w:ascii="Times New Roman" w:hAnsi="Times New Roman" w:cs="Times New Roman" w:eastAsia="Times New Roman" w:hint="default"/>
        </w:rPr>
        <w:t>3</w:t>
      </w:r>
      <w:r>
        <w:rPr/>
        <w:t>、规模扩大带来的管理风险 近年来公司经营规模不断扩大，组织架构和管理体系日益复杂。互联网</w:t>
      </w:r>
      <w:r>
        <w:rPr>
          <w:rFonts w:ascii="Times New Roman" w:hAnsi="Times New Roman" w:cs="Times New Roman" w:eastAsia="Times New Roman" w:hint="default"/>
        </w:rPr>
        <w:t>+</w:t>
      </w:r>
      <w:r>
        <w:rPr/>
        <w:t>人工智能医疗创新运营服务项目及营销体系扩</w:t>
      </w:r>
    </w:p>
    <w:p>
      <w:pPr>
        <w:pStyle w:val="BodyText"/>
        <w:spacing w:line="408" w:lineRule="auto" w:before="42"/>
        <w:ind w:right="1100"/>
        <w:jc w:val="both"/>
      </w:pPr>
      <w:r>
        <w:rPr>
          <w:spacing w:val="-2"/>
        </w:rPr>
        <w:t>建项目等募投项目的实施，将在资源整合、技术开发及市场开拓等方面给公司提出新的挑战。如果公司管理水平无法适应公</w:t>
      </w:r>
      <w:r>
        <w:rPr>
          <w:spacing w:val="-75"/>
        </w:rPr>
        <w:t> </w:t>
      </w:r>
      <w:r>
        <w:rPr>
          <w:spacing w:val="-75"/>
        </w:rPr>
      </w:r>
      <w:r>
        <w:rPr>
          <w:spacing w:val="-2"/>
        </w:rPr>
        <w:t>司规模扩张的需要，管理制度未能随着公司规模的扩大而及时完善，将影响公司的经营效率，削弱公司的市场竞争力，给公</w:t>
      </w:r>
      <w:r>
        <w:rPr>
          <w:spacing w:val="-42"/>
        </w:rPr>
        <w:t> </w:t>
      </w:r>
      <w:r>
        <w:rPr>
          <w:spacing w:val="-42"/>
        </w:rPr>
      </w:r>
      <w:r>
        <w:rPr>
          <w:spacing w:val="-1"/>
        </w:rPr>
        <w:t>司的生产经营及进一步发展带来不利影响。对此，公司将不断加强和完善公司内部管理制度，完善各项工作流程机制、协调</w:t>
      </w:r>
      <w:r>
        <w:rPr/>
        <w:t> 统筹和考核机制，严格有效防范与控制经营风险，优化决策程序，提高决策管理水平。</w:t>
      </w:r>
    </w:p>
    <w:p>
      <w:pPr>
        <w:spacing w:after="0" w:line="408"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91" w:lineRule="auto"/>
        <w:ind w:left="501" w:right="1133"/>
        <w:jc w:val="left"/>
      </w:pPr>
      <w:r>
        <w:rPr>
          <w:rFonts w:ascii="Times New Roman" w:hAnsi="Times New Roman" w:cs="Times New Roman" w:eastAsia="Times New Roman" w:hint="default"/>
        </w:rPr>
        <w:t>4</w:t>
      </w:r>
      <w:r>
        <w:rPr/>
        <w:t>、人力资源管理风险 </w:t>
      </w:r>
      <w:r>
        <w:rPr>
          <w:spacing w:val="-2"/>
        </w:rPr>
        <w:t>智慧医疗及商业智能行业属于知识密集型行业，高质量人才是企业竞争的核心要素。虽然公司已通过提供有竞争力的薪</w:t>
      </w:r>
    </w:p>
    <w:p>
      <w:pPr>
        <w:pStyle w:val="BodyText"/>
        <w:spacing w:line="408" w:lineRule="auto" w:before="41"/>
        <w:ind w:right="1029"/>
        <w:jc w:val="left"/>
      </w:pPr>
      <w:r>
        <w:rPr>
          <w:spacing w:val="-2"/>
        </w:rPr>
        <w:t>酬福利，建立公平的晋升机制和完善的培训体系等方式增强人才队伍的稳定性，但如公司核心研发人员、重要销售人员及管</w:t>
      </w:r>
      <w:r>
        <w:rPr>
          <w:spacing w:val="-75"/>
        </w:rPr>
        <w:t> </w:t>
      </w:r>
      <w:r>
        <w:rPr>
          <w:spacing w:val="-75"/>
        </w:rPr>
      </w:r>
      <w:r>
        <w:rPr>
          <w:spacing w:val="-2"/>
        </w:rPr>
        <w:t>理人员流失，且无法获得及时补充，短期将对公司的盈利能力产生不利影响。对此，公司在引进高级技术人才的同时，加强</w:t>
      </w:r>
      <w:r>
        <w:rPr>
          <w:spacing w:val="-57"/>
        </w:rPr>
        <w:t> </w:t>
      </w:r>
      <w:r>
        <w:rPr>
          <w:spacing w:val="-57"/>
        </w:rPr>
      </w:r>
      <w:r>
        <w:rPr/>
        <w:t>开展核心骨干员工内部培养机制，组织优秀员工参与培训拓展，增加对公司的忠诚度和归属感，提升员工职业能力，此外，</w:t>
      </w:r>
      <w:r>
        <w:rPr>
          <w:spacing w:val="-87"/>
        </w:rPr>
        <w:t> </w:t>
      </w:r>
      <w:r>
        <w:rPr>
          <w:spacing w:val="-87"/>
        </w:rPr>
      </w:r>
      <w:r>
        <w:rPr>
          <w:spacing w:val="-2"/>
        </w:rPr>
        <w:t>公司也将视发展情况推出相应激励措施，实现员工的个人利益与公司的整理利益共同发展，充分发挥人才激励机制，营造良</w:t>
      </w:r>
      <w:r>
        <w:rPr>
          <w:spacing w:val="-75"/>
        </w:rPr>
        <w:t> </w:t>
      </w:r>
      <w:r>
        <w:rPr>
          <w:spacing w:val="-75"/>
        </w:rPr>
      </w:r>
      <w:r>
        <w:rPr/>
        <w:t>好的团队氛围，完善职工个人职业发展道路。</w:t>
      </w:r>
    </w:p>
    <w:p>
      <w:pPr>
        <w:pStyle w:val="BodyText"/>
        <w:spacing w:line="376" w:lineRule="auto"/>
        <w:ind w:left="501" w:right="1133"/>
        <w:jc w:val="left"/>
      </w:pPr>
      <w:r>
        <w:rPr>
          <w:rFonts w:ascii="Times New Roman" w:hAnsi="Times New Roman" w:cs="Times New Roman" w:eastAsia="Times New Roman" w:hint="default"/>
        </w:rPr>
        <w:t>5</w:t>
      </w:r>
      <w:r>
        <w:rPr/>
        <w:t>、国际贸易政策及汇率波动风险 </w:t>
      </w:r>
      <w:r>
        <w:rPr>
          <w:spacing w:val="-2"/>
        </w:rPr>
        <w:t>近年来，随着各国经济发展增速的不同变化，国际市场进出口贸易争端频现，各国政府也针对进出口贸易的不同类别实</w:t>
      </w:r>
    </w:p>
    <w:p>
      <w:pPr>
        <w:pStyle w:val="BodyText"/>
        <w:spacing w:line="408" w:lineRule="auto" w:before="67"/>
        <w:ind w:right="1101"/>
        <w:jc w:val="both"/>
      </w:pPr>
      <w:r>
        <w:rPr>
          <w:spacing w:val="-2"/>
        </w:rPr>
        <w:t>施相关贸易保护政策。国际市场人民币汇率变动也较为频繁，公司商业智能业务中的出口比例较大，存在贸易国的政策和国</w:t>
      </w:r>
      <w:r>
        <w:rPr>
          <w:spacing w:val="-75"/>
        </w:rPr>
        <w:t> </w:t>
      </w:r>
      <w:r>
        <w:rPr>
          <w:spacing w:val="-75"/>
        </w:rPr>
      </w:r>
      <w:r>
        <w:rPr>
          <w:spacing w:val="-2"/>
        </w:rPr>
        <w:t>际货币市场汇率波动的风险。对此，公司将持续关注贸易国的经济发展和政策变化，进行分析研判，一方面选择合适的汇率</w:t>
      </w:r>
      <w:r>
        <w:rPr>
          <w:spacing w:val="-38"/>
        </w:rPr>
        <w:t> </w:t>
      </w:r>
      <w:r>
        <w:rPr>
          <w:spacing w:val="-38"/>
        </w:rPr>
      </w:r>
      <w:r>
        <w:rPr>
          <w:spacing w:val="-2"/>
        </w:rPr>
        <w:t>管理工具对汇率波动风险进行主动管理，另一方面针对出口业务购买相关保险，以最大限度降低因政策和汇率波动对公司造</w:t>
      </w:r>
      <w:r>
        <w:rPr>
          <w:spacing w:val="-72"/>
        </w:rPr>
        <w:t> </w:t>
      </w:r>
      <w:r>
        <w:rPr>
          <w:spacing w:val="-72"/>
        </w:rPr>
      </w:r>
      <w:r>
        <w:rPr/>
        <w:t>成的损失。</w:t>
      </w:r>
    </w:p>
    <w:p>
      <w:pPr>
        <w:pStyle w:val="BodyText"/>
        <w:spacing w:line="376" w:lineRule="auto" w:before="43"/>
        <w:ind w:left="501" w:right="1086"/>
        <w:jc w:val="left"/>
      </w:pPr>
      <w:r>
        <w:rPr>
          <w:rFonts w:ascii="Times New Roman" w:hAnsi="Times New Roman" w:cs="Times New Roman" w:eastAsia="Times New Roman" w:hint="default"/>
        </w:rPr>
        <w:t>6</w:t>
      </w:r>
      <w:r>
        <w:rPr/>
        <w:t>、应收账款回收风险 </w:t>
      </w:r>
      <w:r>
        <w:rPr>
          <w:spacing w:val="-2"/>
        </w:rPr>
        <w:t>报告期内，随着业务规模不断扩大、营业收入快速增长，公司应收账款也相应增长。受业务特点和客户结构影响，公司</w:t>
      </w:r>
    </w:p>
    <w:p>
      <w:pPr>
        <w:pStyle w:val="BodyText"/>
        <w:spacing w:line="408" w:lineRule="auto" w:before="67"/>
        <w:ind w:right="1126"/>
        <w:jc w:val="both"/>
      </w:pPr>
      <w:r>
        <w:rPr>
          <w:spacing w:val="-2"/>
        </w:rPr>
        <w:t>应收账款回款相对较慢。应收账款的快速增长会对公司现金流状况产生一定影响，增加公司对业务运营资金的需求。随着公</w:t>
      </w:r>
      <w:r>
        <w:rPr>
          <w:spacing w:val="-75"/>
        </w:rPr>
        <w:t> </w:t>
      </w:r>
      <w:r>
        <w:rPr>
          <w:spacing w:val="-75"/>
        </w:rPr>
      </w:r>
      <w:r>
        <w:rPr>
          <w:spacing w:val="-2"/>
        </w:rPr>
        <w:t>司业务规模的扩大，应收账款可能会进一步增加，如果出现应收账款不能按期回收或无法回收发生坏账的情况，公司将面临</w:t>
      </w:r>
      <w:r>
        <w:rPr>
          <w:spacing w:val="-65"/>
        </w:rPr>
        <w:t> </w:t>
      </w:r>
      <w:r>
        <w:rPr>
          <w:spacing w:val="-65"/>
        </w:rPr>
      </w:r>
      <w:r>
        <w:rPr>
          <w:spacing w:val="-2"/>
        </w:rPr>
        <w:t>流动资金短缺的风险，从而公司盈利能力将受到不利影响。对此，公司将在销售合同执行的全流程中加强应收账款的管理和</w:t>
      </w:r>
      <w:r>
        <w:rPr>
          <w:spacing w:val="-75"/>
        </w:rPr>
        <w:t> </w:t>
      </w:r>
      <w:r>
        <w:rPr>
          <w:spacing w:val="-75"/>
        </w:rPr>
      </w:r>
      <w:r>
        <w:rPr>
          <w:spacing w:val="-2"/>
        </w:rPr>
        <w:t>监控，加大应收账款追款责任制实施力度及对市场部门销售回款率的考核力度，加大对账期较长的应收账款的催收和清理工</w:t>
      </w:r>
      <w:r>
        <w:rPr>
          <w:spacing w:val="-72"/>
        </w:rPr>
        <w:t> </w:t>
      </w:r>
      <w:r>
        <w:rPr>
          <w:spacing w:val="-72"/>
        </w:rPr>
      </w:r>
      <w:r>
        <w:rPr/>
        <w:t>作，逐步降低应收账款的余额及降低应收账款发生坏账损失的风险。</w:t>
      </w:r>
    </w:p>
    <w:p>
      <w:pPr>
        <w:pStyle w:val="BodyText"/>
        <w:spacing w:line="391" w:lineRule="auto" w:before="29"/>
        <w:ind w:left="501" w:right="1149"/>
        <w:jc w:val="left"/>
      </w:pPr>
      <w:r>
        <w:rPr>
          <w:rFonts w:ascii="Times New Roman" w:hAnsi="Times New Roman" w:cs="Times New Roman" w:eastAsia="Times New Roman" w:hint="default"/>
        </w:rPr>
        <w:t>7</w:t>
      </w:r>
      <w:r>
        <w:rPr/>
        <w:t>、商誉减值风险 公司陆续通过非同一控制下企业合并的形式收购了医惠科技、</w:t>
      </w:r>
      <w:r>
        <w:rPr>
          <w:rFonts w:ascii="Times New Roman" w:hAnsi="Times New Roman" w:cs="Times New Roman" w:eastAsia="Times New Roman" w:hint="default"/>
        </w:rPr>
        <w:t>GL</w:t>
      </w:r>
      <w:r>
        <w:rPr/>
        <w:t>公司等公司，根据《企业会计准则》，购买方对合并</w:t>
      </w:r>
    </w:p>
    <w:p>
      <w:pPr>
        <w:pStyle w:val="BodyText"/>
        <w:spacing w:line="408" w:lineRule="auto" w:before="30"/>
        <w:ind w:right="1106"/>
        <w:jc w:val="both"/>
      </w:pPr>
      <w:r>
        <w:rPr>
          <w:spacing w:val="-2"/>
        </w:rPr>
        <w:t>成本大于合并中取得的被购买方可辨认净资产公允价值份额的差额，应当确认为商誉。如果未来因国家政策变化、自身业务</w:t>
      </w:r>
      <w:r>
        <w:rPr>
          <w:spacing w:val="-63"/>
        </w:rPr>
        <w:t> </w:t>
      </w:r>
      <w:r>
        <w:rPr>
          <w:spacing w:val="-63"/>
        </w:rPr>
      </w:r>
      <w:r>
        <w:rPr>
          <w:spacing w:val="-2"/>
        </w:rPr>
        <w:t>下降或者其他因素导致未来医惠科技等公司经营状况和盈利能力未达预期，则公司存在商誉减值的风险，从而对公司当期损</w:t>
      </w:r>
      <w:r>
        <w:rPr>
          <w:spacing w:val="-72"/>
        </w:rPr>
        <w:t> </w:t>
      </w:r>
      <w:r>
        <w:rPr>
          <w:spacing w:val="-72"/>
        </w:rPr>
      </w:r>
      <w:r>
        <w:rPr>
          <w:spacing w:val="-2"/>
        </w:rPr>
        <w:t>益造成不利影响。对此，公司将针对被合并企业施行完善的投后管理，并加强与被合并企业之间的资源整合，发挥公司间的</w:t>
      </w:r>
      <w:r>
        <w:rPr>
          <w:spacing w:val="-42"/>
        </w:rPr>
        <w:t> </w:t>
      </w:r>
      <w:r>
        <w:rPr>
          <w:spacing w:val="-42"/>
        </w:rPr>
      </w:r>
      <w:r>
        <w:rPr/>
        <w:t>协同增益效果，保证被合并企业的市场竞争力及持续稳定发展，以最大限度地降低商誉减值风险。</w:t>
      </w:r>
    </w:p>
    <w:p>
      <w:pPr>
        <w:spacing w:line="240" w:lineRule="auto" w:before="1"/>
        <w:rPr>
          <w:rFonts w:ascii="宋体" w:hAnsi="宋体" w:cs="宋体" w:eastAsia="宋体" w:hint="default"/>
          <w:sz w:val="14"/>
          <w:szCs w:val="14"/>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公司报告期内未发生接待调研、沟通、采访等活动。</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right="983"/>
        <w:jc w:val="center"/>
        <w:rPr>
          <w:b w:val="0"/>
          <w:bCs w:val="0"/>
        </w:rPr>
      </w:pPr>
      <w:bookmarkStart w:name="_TOC_250008" w:id="61"/>
      <w:bookmarkStart w:name="第五节重要事项" w:id="62"/>
      <w:r>
        <w:rPr>
          <w:b w:val="0"/>
          <w:bCs w:val="0"/>
        </w:rPr>
      </w:r>
      <w:r>
        <w:rPr>
          <w:spacing w:val="5"/>
        </w:rPr>
        <w:t>第五节重要事项</w:t>
      </w:r>
      <w:bookmarkEnd w:id="61"/>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1086"/>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086"/>
        <w:jc w:val="left"/>
      </w:pPr>
      <w:r>
        <w:rPr/>
        <w:t>报告期内普通股利润分配政策，特别是现金分红政策的制定、执行或调整情况</w:t>
      </w:r>
    </w:p>
    <w:p>
      <w:pPr>
        <w:pStyle w:val="BodyText"/>
        <w:spacing w:line="434" w:lineRule="auto" w:before="125"/>
        <w:ind w:left="501" w:right="10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报告期内，公司严格按照《公司章程》相关利润分配政策和审议程序的规定实施利润分配方案，分红标准和比例明确清</w:t>
      </w:r>
    </w:p>
    <w:p>
      <w:pPr>
        <w:pStyle w:val="BodyText"/>
        <w:spacing w:line="398" w:lineRule="auto" w:before="24"/>
        <w:ind w:right="1086"/>
        <w:jc w:val="left"/>
      </w:pPr>
      <w:r>
        <w:rPr>
          <w:spacing w:val="-2"/>
        </w:rPr>
        <w:t>晰，相关的决策程序合规完备。公司利润分配方案经由董事会、监事会审议通过，并由独立董事发表独立意见后提交股东大</w:t>
      </w:r>
      <w:r>
        <w:rPr>
          <w:spacing w:val="-42"/>
        </w:rPr>
        <w:t> </w:t>
      </w:r>
      <w:r>
        <w:rPr>
          <w:spacing w:val="-42"/>
        </w:rPr>
      </w:r>
      <w:r>
        <w:rPr/>
        <w:t>会审议，经法律顾问发表相关法律核查意见，审议通过后在规定时间内实施完成，切实保证了全体股东的合法权益。</w:t>
      </w:r>
    </w:p>
    <w:p>
      <w:pPr>
        <w:pStyle w:val="BodyText"/>
        <w:spacing w:line="412" w:lineRule="auto" w:before="51"/>
        <w:ind w:right="1119" w:firstLine="360"/>
        <w:jc w:val="left"/>
      </w:pPr>
      <w:r>
        <w:rPr/>
        <w:pict>
          <v:shape style="position:absolute;margin-left:56.700001pt;margin-top:37.091721pt;width:479.85pt;height:172.6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76"/>
                    <w:gridCol w:w="4798"/>
                  </w:tblGrid>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2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13"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经公司</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22</w:t>
      </w:r>
      <w:r>
        <w:rPr/>
        <w:t>日召开的</w:t>
      </w:r>
      <w:r>
        <w:rPr>
          <w:rFonts w:ascii="宋体" w:hAnsi="宋体" w:cs="宋体" w:eastAsia="宋体" w:hint="default"/>
        </w:rPr>
        <w:t>2018</w:t>
      </w:r>
      <w:r>
        <w:rPr/>
        <w:t>年度股东大会审议通过《关于</w:t>
      </w:r>
      <w:r>
        <w:rPr>
          <w:rFonts w:ascii="宋体" w:hAnsi="宋体" w:cs="宋体" w:eastAsia="宋体" w:hint="default"/>
        </w:rPr>
        <w:t>&lt;2018</w:t>
      </w:r>
      <w:r>
        <w:rPr/>
        <w:t>年度利润分配预案</w:t>
      </w:r>
      <w:r>
        <w:rPr>
          <w:rFonts w:ascii="宋体" w:hAnsi="宋体" w:cs="宋体" w:eastAsia="宋体" w:hint="default"/>
        </w:rPr>
        <w:t>&gt;</w:t>
      </w:r>
      <w:r>
        <w:rPr/>
        <w:t>的议案》，以截至</w:t>
      </w:r>
      <w:r>
        <w:rPr>
          <w:rFonts w:ascii="宋体" w:hAnsi="宋体" w:cs="宋体" w:eastAsia="宋体" w:hint="default"/>
        </w:rPr>
        <w:t>2018</w:t>
      </w:r>
      <w:r>
        <w:rPr/>
        <w:t>年</w:t>
      </w:r>
      <w:r>
        <w:rPr>
          <w:rFonts w:ascii="宋体" w:hAnsi="宋体" w:cs="宋体" w:eastAsia="宋体" w:hint="default"/>
        </w:rPr>
        <w:t>12</w:t>
      </w:r>
      <w:r>
        <w:rPr/>
        <w:t>月 </w:t>
      </w:r>
      <w:r>
        <w:rPr>
          <w:rFonts w:ascii="宋体" w:hAnsi="宋体" w:cs="宋体" w:eastAsia="宋体" w:hint="default"/>
        </w:rPr>
        <w:t>31</w:t>
      </w:r>
      <w:r>
        <w:rPr/>
        <w:t>日公司总股本</w:t>
      </w:r>
      <w:r>
        <w:rPr>
          <w:rFonts w:ascii="宋体" w:hAnsi="宋体" w:cs="宋体" w:eastAsia="宋体" w:hint="default"/>
        </w:rPr>
        <w:t>807,885,334</w:t>
      </w:r>
      <w:r>
        <w:rPr>
          <w:rFonts w:ascii="宋体" w:hAnsi="宋体" w:cs="宋体" w:eastAsia="宋体" w:hint="default"/>
          <w:spacing w:val="6"/>
        </w:rPr>
        <w:t> </w:t>
      </w:r>
      <w:r>
        <w:rPr/>
        <w:t>股为基数，按每</w:t>
      </w:r>
      <w:r>
        <w:rPr>
          <w:rFonts w:ascii="宋体" w:hAnsi="宋体" w:cs="宋体" w:eastAsia="宋体" w:hint="default"/>
        </w:rPr>
        <w:t>10</w:t>
      </w:r>
      <w:r>
        <w:rPr/>
        <w:t>股派发现金股利人民币</w:t>
      </w:r>
      <w:r>
        <w:rPr>
          <w:rFonts w:ascii="宋体" w:hAnsi="宋体" w:cs="宋体" w:eastAsia="宋体" w:hint="default"/>
        </w:rPr>
        <w:t>0.18</w:t>
      </w:r>
      <w:r>
        <w:rPr/>
        <w:t>元（含税）</w:t>
      </w:r>
      <w:r>
        <w:rPr>
          <w:rFonts w:ascii="宋体" w:hAnsi="宋体" w:cs="宋体" w:eastAsia="宋体" w:hint="default"/>
        </w:rPr>
        <w:t>,</w:t>
      </w:r>
      <w:r>
        <w:rPr/>
        <w:t>共计</w:t>
      </w:r>
      <w:r>
        <w:rPr>
          <w:rFonts w:ascii="宋体" w:hAnsi="宋体" w:cs="宋体" w:eastAsia="宋体" w:hint="default"/>
        </w:rPr>
        <w:t>14,541,936.01</w:t>
      </w:r>
      <w:r>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ind w:right="1086"/>
        <w:jc w:val="left"/>
      </w:pPr>
      <w:r>
        <w:rPr/>
        <w:t>公司报告期利润分配预案及资本公积金转增股本预案与公司章程和分红管理办法等的相关规定一致</w:t>
      </w:r>
    </w:p>
    <w:p>
      <w:pPr>
        <w:pStyle w:val="BodyText"/>
        <w:spacing w:line="343" w:lineRule="auto" w:before="125"/>
        <w:ind w:right="42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 公司报告期利润分配预案及资本公积金转增股本预案符合公司章程等的相关规定。 本年度利润分配及资本公积金转增股本情况</w:t>
      </w:r>
    </w:p>
    <w:p>
      <w:pPr>
        <w:spacing w:line="240" w:lineRule="auto" w:before="8"/>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3710"/>
        <w:gridCol w:w="5865"/>
      </w:tblGrid>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0"/>
              <w:ind w:right="28"/>
              <w:jc w:val="right"/>
              <w:rPr>
                <w:rFonts w:ascii="宋体" w:hAnsi="宋体" w:cs="宋体" w:eastAsia="宋体" w:hint="default"/>
                <w:sz w:val="18"/>
                <w:szCs w:val="18"/>
              </w:rPr>
            </w:pPr>
            <w:r>
              <w:rPr>
                <w:rFonts w:ascii="宋体"/>
                <w:sz w:val="18"/>
              </w:rPr>
              <w:t>0</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股派息数（元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8"/>
              <w:jc w:val="right"/>
              <w:rPr>
                <w:rFonts w:ascii="宋体" w:hAnsi="宋体" w:cs="宋体" w:eastAsia="宋体" w:hint="default"/>
                <w:sz w:val="18"/>
                <w:szCs w:val="18"/>
              </w:rPr>
            </w:pPr>
            <w:r>
              <w:rPr>
                <w:rFonts w:ascii="宋体"/>
                <w:sz w:val="18"/>
              </w:rPr>
              <w:t>0.18</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8"/>
              <w:jc w:val="right"/>
              <w:rPr>
                <w:rFonts w:ascii="宋体" w:hAnsi="宋体" w:cs="宋体" w:eastAsia="宋体" w:hint="default"/>
                <w:sz w:val="18"/>
                <w:szCs w:val="18"/>
              </w:rPr>
            </w:pPr>
            <w:r>
              <w:rPr>
                <w:rFonts w:ascii="宋体"/>
                <w:sz w:val="18"/>
              </w:rPr>
              <w:t>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869,411,466</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15,649,406.39</w:t>
            </w:r>
          </w:p>
        </w:tc>
      </w:tr>
      <w:tr>
        <w:trPr>
          <w:trHeight w:val="390" w:hRule="exact"/>
        </w:trPr>
        <w:tc>
          <w:tcPr>
            <w:tcW w:w="3710" w:type="dxa"/>
            <w:tcBorders>
              <w:top w:val="single" w:sz="6" w:space="0" w:color="000000"/>
              <w:left w:val="single" w:sz="6" w:space="0" w:color="000000"/>
              <w:bottom w:val="single" w:sz="6" w:space="0" w:color="000000"/>
              <w:right w:val="single" w:sz="12" w:space="0" w:color="000000"/>
            </w:tcBorders>
            <w:shd w:val="clear" w:color="auto" w:fill="D2D2D2"/>
          </w:tcPr>
          <w:p>
            <w:pPr>
              <w:pStyle w:val="TableParagraph"/>
              <w:spacing w:line="240" w:lineRule="auto" w:before="29"/>
              <w:ind w:left="7" w:right="-56"/>
              <w:jc w:val="left"/>
              <w:rPr>
                <w:rFonts w:ascii="宋体" w:hAnsi="宋体" w:cs="宋体" w:eastAsia="宋体" w:hint="default"/>
                <w:sz w:val="18"/>
                <w:szCs w:val="18"/>
              </w:rPr>
            </w:pPr>
            <w:r>
              <w:rPr>
                <w:rFonts w:ascii="宋体" w:hAnsi="宋体" w:cs="宋体" w:eastAsia="宋体" w:hint="default"/>
                <w:spacing w:val="-3"/>
                <w:sz w:val="18"/>
                <w:szCs w:val="18"/>
              </w:rPr>
              <w:t>以其他方式（如回购股份）现金分红金额（元）</w:t>
            </w:r>
          </w:p>
        </w:tc>
        <w:tc>
          <w:tcPr>
            <w:tcW w:w="5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
              <w:jc w:val="right"/>
              <w:rPr>
                <w:rFonts w:ascii="宋体" w:hAnsi="宋体" w:cs="宋体" w:eastAsia="宋体" w:hint="default"/>
                <w:sz w:val="18"/>
                <w:szCs w:val="18"/>
              </w:rPr>
            </w:pPr>
            <w:r>
              <w:rPr>
                <w:rFonts w:ascii="宋体"/>
                <w:sz w:val="18"/>
              </w:rPr>
              <w:t>0.00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29"/>
              <w:jc w:val="right"/>
              <w:rPr>
                <w:rFonts w:ascii="宋体" w:hAnsi="宋体" w:cs="宋体" w:eastAsia="宋体" w:hint="default"/>
                <w:sz w:val="18"/>
                <w:szCs w:val="18"/>
              </w:rPr>
            </w:pPr>
            <w:r>
              <w:rPr>
                <w:rFonts w:ascii="宋体"/>
                <w:sz w:val="18"/>
              </w:rPr>
              <w:t>15,649,406.39</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29"/>
              <w:jc w:val="right"/>
              <w:rPr>
                <w:rFonts w:ascii="宋体" w:hAnsi="宋体" w:cs="宋体" w:eastAsia="宋体" w:hint="default"/>
                <w:sz w:val="18"/>
                <w:szCs w:val="18"/>
              </w:rPr>
            </w:pPr>
            <w:r>
              <w:rPr>
                <w:rFonts w:ascii="宋体"/>
                <w:sz w:val="18"/>
              </w:rPr>
              <w:t>137,964,083.98</w:t>
            </w:r>
          </w:p>
        </w:tc>
      </w:tr>
      <w:tr>
        <w:trPr>
          <w:trHeight w:val="721"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6"/>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8"/>
              <w:jc w:val="right"/>
              <w:rPr>
                <w:rFonts w:ascii="宋体" w:hAnsi="宋体" w:cs="宋体" w:eastAsia="宋体" w:hint="default"/>
                <w:sz w:val="18"/>
                <w:szCs w:val="18"/>
              </w:rPr>
            </w:pPr>
            <w:r>
              <w:rPr>
                <w:rFonts w:ascii="宋体"/>
                <w:sz w:val="18"/>
              </w:rPr>
              <w:t>100.00%</w:t>
            </w:r>
          </w:p>
        </w:tc>
      </w:tr>
      <w:tr>
        <w:trPr>
          <w:trHeight w:val="390"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22"/>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9582"/>
      </w:tblGrid>
      <w:tr>
        <w:trPr>
          <w:trHeight w:val="405" w:hRule="exact"/>
        </w:trPr>
        <w:tc>
          <w:tcPr>
            <w:tcW w:w="95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5" w:hRule="exact"/>
        </w:trPr>
        <w:tc>
          <w:tcPr>
            <w:tcW w:w="95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 w:right="17"/>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97" w:hRule="exact"/>
        </w:trPr>
        <w:tc>
          <w:tcPr>
            <w:tcW w:w="9582" w:type="dxa"/>
            <w:tcBorders>
              <w:top w:val="single" w:sz="6" w:space="0" w:color="000000"/>
              <w:left w:val="single" w:sz="6" w:space="0" w:color="000000"/>
              <w:bottom w:val="single" w:sz="6" w:space="0" w:color="000000"/>
              <w:right w:val="single" w:sz="6" w:space="0" w:color="000000"/>
            </w:tcBorders>
          </w:tcPr>
          <w:p>
            <w:pPr>
              <w:pStyle w:val="TableParagraph"/>
              <w:spacing w:line="408" w:lineRule="auto" w:before="90"/>
              <w:ind w:left="15" w:right="43" w:firstLine="360"/>
              <w:jc w:val="left"/>
              <w:rPr>
                <w:rFonts w:ascii="宋体" w:hAnsi="宋体" w:cs="宋体" w:eastAsia="宋体" w:hint="default"/>
                <w:sz w:val="18"/>
                <w:szCs w:val="18"/>
              </w:rPr>
            </w:pPr>
            <w:r>
              <w:rPr>
                <w:rFonts w:ascii="宋体" w:hAnsi="宋体" w:cs="宋体" w:eastAsia="宋体" w:hint="default"/>
                <w:spacing w:val="-1"/>
                <w:sz w:val="18"/>
                <w:szCs w:val="18"/>
              </w:rPr>
              <w:t>经天健会计师事务所（特殊普通合伙）审计，公司</w:t>
            </w:r>
            <w:r>
              <w:rPr>
                <w:rFonts w:ascii="宋体" w:hAnsi="宋体" w:cs="宋体" w:eastAsia="宋体" w:hint="default"/>
                <w:spacing w:val="-1"/>
                <w:sz w:val="18"/>
                <w:szCs w:val="18"/>
              </w:rPr>
              <w:t>2019</w:t>
            </w:r>
            <w:r>
              <w:rPr>
                <w:rFonts w:ascii="宋体" w:hAnsi="宋体" w:cs="宋体" w:eastAsia="宋体" w:hint="default"/>
                <w:spacing w:val="-1"/>
                <w:sz w:val="18"/>
                <w:szCs w:val="18"/>
              </w:rPr>
              <w:t>年度合并报表归属于上市公司股东的净利润为</w:t>
            </w:r>
            <w:r>
              <w:rPr>
                <w:rFonts w:ascii="宋体" w:hAnsi="宋体" w:cs="宋体" w:eastAsia="宋体" w:hint="default"/>
                <w:spacing w:val="-1"/>
                <w:sz w:val="18"/>
                <w:szCs w:val="18"/>
              </w:rPr>
              <w:t>147,607,911.10</w:t>
            </w:r>
            <w:r>
              <w:rPr>
                <w:rFonts w:ascii="宋体" w:hAnsi="宋体" w:cs="宋体" w:eastAsia="宋体" w:hint="default"/>
                <w:sz w:val="18"/>
                <w:szCs w:val="18"/>
              </w:rPr>
              <w:t> </w:t>
            </w:r>
            <w:r>
              <w:rPr>
                <w:rFonts w:ascii="宋体" w:hAnsi="宋体" w:cs="宋体" w:eastAsia="宋体" w:hint="default"/>
                <w:sz w:val="18"/>
                <w:szCs w:val="18"/>
              </w:rPr>
              <w:t>元，年末合并报表累计未分配利润为</w:t>
            </w:r>
            <w:r>
              <w:rPr>
                <w:rFonts w:ascii="宋体" w:hAnsi="宋体" w:cs="宋体" w:eastAsia="宋体" w:hint="default"/>
                <w:sz w:val="18"/>
                <w:szCs w:val="18"/>
              </w:rPr>
              <w:t>646,202,481.56</w:t>
            </w:r>
            <w:r>
              <w:rPr>
                <w:rFonts w:ascii="宋体" w:hAnsi="宋体" w:cs="宋体" w:eastAsia="宋体" w:hint="default"/>
                <w:sz w:val="18"/>
                <w:szCs w:val="18"/>
              </w:rPr>
              <w:t>元；母公司</w:t>
            </w:r>
            <w:r>
              <w:rPr>
                <w:rFonts w:ascii="宋体" w:hAnsi="宋体" w:cs="宋体" w:eastAsia="宋体" w:hint="default"/>
                <w:sz w:val="18"/>
                <w:szCs w:val="18"/>
              </w:rPr>
              <w:t>2019</w:t>
            </w:r>
            <w:r>
              <w:rPr>
                <w:rFonts w:ascii="宋体" w:hAnsi="宋体" w:cs="宋体" w:eastAsia="宋体" w:hint="default"/>
                <w:sz w:val="18"/>
                <w:szCs w:val="18"/>
              </w:rPr>
              <w:t>年度净利润为</w:t>
            </w:r>
            <w:r>
              <w:rPr>
                <w:rFonts w:ascii="宋体" w:hAnsi="宋体" w:cs="宋体" w:eastAsia="宋体" w:hint="default"/>
                <w:sz w:val="18"/>
                <w:szCs w:val="18"/>
              </w:rPr>
              <w:t>-6,374,872.56</w:t>
            </w:r>
            <w:r>
              <w:rPr>
                <w:rFonts w:ascii="宋体" w:hAnsi="宋体" w:cs="宋体" w:eastAsia="宋体" w:hint="default"/>
                <w:sz w:val="18"/>
                <w:szCs w:val="18"/>
              </w:rPr>
              <w:t>元，年末母公司累计未</w:t>
            </w:r>
            <w:r>
              <w:rPr>
                <w:rFonts w:ascii="宋体" w:hAnsi="宋体" w:cs="宋体" w:eastAsia="宋体" w:hint="default"/>
                <w:spacing w:val="-84"/>
                <w:sz w:val="18"/>
                <w:szCs w:val="18"/>
              </w:rPr>
              <w:t> </w:t>
            </w:r>
            <w:r>
              <w:rPr>
                <w:rFonts w:ascii="宋体" w:hAnsi="宋体" w:cs="宋体" w:eastAsia="宋体" w:hint="default"/>
                <w:sz w:val="18"/>
                <w:szCs w:val="18"/>
              </w:rPr>
              <w:t>分配利润为</w:t>
            </w:r>
            <w:r>
              <w:rPr>
                <w:rFonts w:ascii="宋体" w:hAnsi="宋体" w:cs="宋体" w:eastAsia="宋体" w:hint="default"/>
                <w:sz w:val="18"/>
                <w:szCs w:val="18"/>
              </w:rPr>
              <w:t>137,964,083.98</w:t>
            </w:r>
            <w:r>
              <w:rPr>
                <w:rFonts w:ascii="宋体" w:hAnsi="宋体" w:cs="宋体" w:eastAsia="宋体" w:hint="default"/>
                <w:sz w:val="18"/>
                <w:szCs w:val="18"/>
              </w:rPr>
              <w:t>元。根据合并报表和母公司报表中可供分配利润孰低原则，公司本年度可供分配利润为 </w:t>
            </w:r>
            <w:r>
              <w:rPr>
                <w:rFonts w:ascii="宋体" w:hAnsi="宋体" w:cs="宋体" w:eastAsia="宋体" w:hint="default"/>
                <w:spacing w:val="-1"/>
                <w:sz w:val="18"/>
                <w:szCs w:val="18"/>
              </w:rPr>
              <w:t>137,964,083.98</w:t>
            </w:r>
            <w:r>
              <w:rPr>
                <w:rFonts w:ascii="宋体" w:hAnsi="宋体" w:cs="宋体" w:eastAsia="宋体" w:hint="default"/>
                <w:spacing w:val="-1"/>
                <w:sz w:val="18"/>
                <w:szCs w:val="18"/>
              </w:rPr>
              <w:t>元。公司本年度进行利润分配，拟以截至</w:t>
            </w:r>
            <w:r>
              <w:rPr>
                <w:rFonts w:ascii="宋体" w:hAnsi="宋体" w:cs="宋体" w:eastAsia="宋体" w:hint="default"/>
                <w:spacing w:val="-1"/>
                <w:sz w:val="18"/>
                <w:szCs w:val="18"/>
              </w:rPr>
              <w:t>2020</w:t>
            </w:r>
            <w:r>
              <w:rPr>
                <w:rFonts w:ascii="宋体" w:hAnsi="宋体" w:cs="宋体" w:eastAsia="宋体" w:hint="default"/>
                <w:spacing w:val="-1"/>
                <w:sz w:val="18"/>
                <w:szCs w:val="18"/>
              </w:rPr>
              <w:t>年</w:t>
            </w:r>
            <w:r>
              <w:rPr>
                <w:rFonts w:ascii="宋体" w:hAnsi="宋体" w:cs="宋体" w:eastAsia="宋体" w:hint="default"/>
                <w:spacing w:val="-1"/>
                <w:sz w:val="18"/>
                <w:szCs w:val="18"/>
              </w:rPr>
              <w:t>4</w:t>
            </w:r>
            <w:r>
              <w:rPr>
                <w:rFonts w:ascii="宋体" w:hAnsi="宋体" w:cs="宋体" w:eastAsia="宋体" w:hint="default"/>
                <w:spacing w:val="-1"/>
                <w:sz w:val="18"/>
                <w:szCs w:val="18"/>
              </w:rPr>
              <w:t>月</w:t>
            </w:r>
            <w:r>
              <w:rPr>
                <w:rFonts w:ascii="宋体" w:hAnsi="宋体" w:cs="宋体" w:eastAsia="宋体" w:hint="default"/>
                <w:spacing w:val="-1"/>
                <w:sz w:val="18"/>
                <w:szCs w:val="18"/>
              </w:rPr>
              <w:t>28</w:t>
            </w:r>
            <w:r>
              <w:rPr>
                <w:rFonts w:ascii="宋体" w:hAnsi="宋体" w:cs="宋体" w:eastAsia="宋体" w:hint="default"/>
                <w:spacing w:val="-1"/>
                <w:sz w:val="18"/>
                <w:szCs w:val="18"/>
              </w:rPr>
              <w:t>日公司总股本</w:t>
            </w:r>
            <w:r>
              <w:rPr>
                <w:rFonts w:ascii="宋体" w:hAnsi="宋体" w:cs="宋体" w:eastAsia="宋体" w:hint="default"/>
                <w:spacing w:val="-1"/>
                <w:sz w:val="18"/>
                <w:szCs w:val="18"/>
              </w:rPr>
              <w:t>869,411,466</w:t>
            </w:r>
            <w:r>
              <w:rPr>
                <w:rFonts w:ascii="宋体" w:hAnsi="宋体" w:cs="宋体" w:eastAsia="宋体" w:hint="default"/>
                <w:spacing w:val="-1"/>
                <w:sz w:val="18"/>
                <w:szCs w:val="18"/>
              </w:rPr>
              <w:t>股为基数，按每</w:t>
            </w:r>
            <w:r>
              <w:rPr>
                <w:rFonts w:ascii="宋体" w:hAnsi="宋体" w:cs="宋体" w:eastAsia="宋体" w:hint="default"/>
                <w:spacing w:val="-1"/>
                <w:sz w:val="18"/>
                <w:szCs w:val="18"/>
              </w:rPr>
              <w:t>10</w:t>
            </w:r>
            <w:r>
              <w:rPr>
                <w:rFonts w:ascii="宋体" w:hAnsi="宋体" w:cs="宋体" w:eastAsia="宋体" w:hint="default"/>
                <w:spacing w:val="-1"/>
                <w:sz w:val="18"/>
                <w:szCs w:val="18"/>
              </w:rPr>
              <w:t>股派发</w:t>
            </w:r>
          </w:p>
          <w:p>
            <w:pPr>
              <w:pStyle w:val="TableParagraph"/>
              <w:spacing w:line="240" w:lineRule="auto" w:before="43"/>
              <w:ind w:left="15" w:right="0"/>
              <w:jc w:val="left"/>
              <w:rPr>
                <w:rFonts w:ascii="宋体" w:hAnsi="宋体" w:cs="宋体" w:eastAsia="宋体" w:hint="default"/>
                <w:sz w:val="18"/>
                <w:szCs w:val="18"/>
              </w:rPr>
            </w:pPr>
            <w:r>
              <w:rPr>
                <w:rFonts w:ascii="宋体" w:hAnsi="宋体" w:cs="宋体" w:eastAsia="宋体" w:hint="default"/>
                <w:sz w:val="18"/>
                <w:szCs w:val="18"/>
              </w:rPr>
              <w:t>现金股利人民币</w:t>
            </w:r>
            <w:r>
              <w:rPr>
                <w:rFonts w:ascii="宋体" w:hAnsi="宋体" w:cs="宋体" w:eastAsia="宋体" w:hint="default"/>
                <w:sz w:val="18"/>
                <w:szCs w:val="18"/>
              </w:rPr>
              <w:t>0.18</w:t>
            </w:r>
            <w:r>
              <w:rPr>
                <w:rFonts w:ascii="宋体" w:hAnsi="宋体" w:cs="宋体" w:eastAsia="宋体" w:hint="default"/>
                <w:sz w:val="18"/>
                <w:szCs w:val="18"/>
              </w:rPr>
              <w:t>元（含税）</w:t>
            </w:r>
            <w:r>
              <w:rPr>
                <w:rFonts w:ascii="宋体" w:hAnsi="宋体" w:cs="宋体" w:eastAsia="宋体" w:hint="default"/>
                <w:sz w:val="18"/>
                <w:szCs w:val="18"/>
              </w:rPr>
              <w:t>,</w:t>
            </w:r>
            <w:r>
              <w:rPr>
                <w:rFonts w:ascii="宋体" w:hAnsi="宋体" w:cs="宋体" w:eastAsia="宋体" w:hint="default"/>
                <w:sz w:val="18"/>
                <w:szCs w:val="18"/>
              </w:rPr>
              <w:t>共计</w:t>
            </w:r>
            <w:r>
              <w:rPr>
                <w:rFonts w:ascii="宋体" w:hAnsi="宋体" w:cs="宋体" w:eastAsia="宋体" w:hint="default"/>
                <w:sz w:val="18"/>
                <w:szCs w:val="18"/>
              </w:rPr>
              <w:t>15,649,406.39</w:t>
            </w:r>
            <w:r>
              <w:rPr>
                <w:rFonts w:ascii="宋体" w:hAnsi="宋体" w:cs="宋体" w:eastAsia="宋体" w:hint="default"/>
                <w:sz w:val="18"/>
                <w:szCs w:val="18"/>
              </w:rPr>
              <w:t>元，剩余未分配利润结转以后年度。</w:t>
            </w:r>
          </w:p>
        </w:tc>
      </w:tr>
    </w:tbl>
    <w:p>
      <w:pPr>
        <w:pStyle w:val="BodyText"/>
        <w:spacing w:line="240" w:lineRule="auto" w:before="59"/>
        <w:ind w:right="1086"/>
        <w:jc w:val="left"/>
      </w:pPr>
      <w:r>
        <w:rPr/>
        <w:t>公司近</w:t>
      </w:r>
      <w:r>
        <w:rPr>
          <w:spacing w:val="-45"/>
        </w:rPr>
        <w:t> </w:t>
      </w:r>
      <w:r>
        <w:rPr>
          <w:rFonts w:ascii="Times New Roman" w:hAnsi="Times New Roman" w:cs="Times New Roman" w:eastAsia="Times New Roman" w:hint="default"/>
        </w:rPr>
        <w:t>3 </w:t>
      </w:r>
      <w:r>
        <w:rPr/>
        <w:t>年（包括本报告期）的普通股股利分配方案（预案</w:t>
      </w:r>
      <w:r>
        <w:rPr>
          <w:spacing w:val="-90"/>
        </w:rPr>
        <w:t>）</w:t>
      </w:r>
      <w:r>
        <w:rPr/>
        <w:t>、资本公积金转增股本方案（预案）情况</w:t>
      </w:r>
    </w:p>
    <w:p>
      <w:pPr>
        <w:spacing w:line="240" w:lineRule="auto" w:before="3"/>
        <w:rPr>
          <w:rFonts w:ascii="宋体" w:hAnsi="宋体" w:cs="宋体" w:eastAsia="宋体" w:hint="default"/>
          <w:sz w:val="14"/>
          <w:szCs w:val="14"/>
        </w:rPr>
      </w:pPr>
    </w:p>
    <w:p>
      <w:pPr>
        <w:pStyle w:val="BodyText"/>
        <w:spacing w:line="412" w:lineRule="auto" w:before="0"/>
        <w:ind w:right="1119" w:firstLine="360"/>
        <w:jc w:val="left"/>
      </w:pPr>
      <w:r>
        <w:rPr/>
        <w:t>（</w:t>
      </w:r>
      <w:r>
        <w:rPr>
          <w:rFonts w:ascii="宋体" w:hAnsi="宋体" w:cs="宋体" w:eastAsia="宋体" w:hint="default"/>
        </w:rPr>
        <w:t>1</w:t>
      </w:r>
      <w:r>
        <w:rPr/>
        <w:t>）</w:t>
      </w:r>
      <w:r>
        <w:rPr>
          <w:rFonts w:ascii="宋体" w:hAnsi="宋体" w:cs="宋体" w:eastAsia="宋体" w:hint="default"/>
        </w:rPr>
        <w:t>2019</w:t>
      </w:r>
      <w:r>
        <w:rPr/>
        <w:t>年度利润分配方案：以截至</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28</w:t>
      </w:r>
      <w:r>
        <w:rPr/>
        <w:t>日公司总股本</w:t>
      </w:r>
      <w:r>
        <w:rPr>
          <w:rFonts w:ascii="宋体" w:hAnsi="宋体" w:cs="宋体" w:eastAsia="宋体" w:hint="default"/>
        </w:rPr>
        <w:t>869,411,466</w:t>
      </w:r>
      <w:r>
        <w:rPr/>
        <w:t>股为基数，按每</w:t>
      </w:r>
      <w:r>
        <w:rPr>
          <w:rFonts w:ascii="宋体" w:hAnsi="宋体" w:cs="宋体" w:eastAsia="宋体" w:hint="default"/>
        </w:rPr>
        <w:t>10</w:t>
      </w:r>
      <w:r>
        <w:rPr/>
        <w:t>股派发现金股利人民币 </w:t>
      </w:r>
      <w:r>
        <w:rPr>
          <w:rFonts w:ascii="宋体" w:hAnsi="宋体" w:cs="宋体" w:eastAsia="宋体" w:hint="default"/>
        </w:rPr>
        <w:t>0.18</w:t>
      </w:r>
      <w:r>
        <w:rPr/>
        <w:t>元（含税）</w:t>
      </w:r>
      <w:r>
        <w:rPr>
          <w:rFonts w:ascii="宋体" w:hAnsi="宋体" w:cs="宋体" w:eastAsia="宋体" w:hint="default"/>
        </w:rPr>
        <w:t>,</w:t>
      </w:r>
      <w:r>
        <w:rPr/>
        <w:t>共计</w:t>
      </w:r>
      <w:r>
        <w:rPr>
          <w:rFonts w:ascii="宋体" w:hAnsi="宋体" w:cs="宋体" w:eastAsia="宋体" w:hint="default"/>
        </w:rPr>
        <w:t>15,649,406.39</w:t>
      </w:r>
      <w:r>
        <w:rPr/>
        <w:t>元，剩余未分配利润结转以后年度。</w:t>
      </w:r>
    </w:p>
    <w:p>
      <w:pPr>
        <w:pStyle w:val="BodyText"/>
        <w:spacing w:line="398" w:lineRule="auto" w:before="40"/>
        <w:ind w:right="1086" w:firstLine="360"/>
        <w:jc w:val="left"/>
      </w:pPr>
      <w:r>
        <w:rPr>
          <w:spacing w:val="-2"/>
        </w:rPr>
        <w:t>（</w:t>
      </w:r>
      <w:r>
        <w:rPr>
          <w:rFonts w:ascii="宋体" w:hAnsi="宋体" w:cs="宋体" w:eastAsia="宋体" w:hint="default"/>
          <w:spacing w:val="-2"/>
        </w:rPr>
        <w:t>2</w:t>
      </w:r>
      <w:r>
        <w:rPr>
          <w:spacing w:val="-2"/>
        </w:rPr>
        <w:t>）</w:t>
      </w:r>
      <w:r>
        <w:rPr>
          <w:rFonts w:ascii="宋体" w:hAnsi="宋体" w:cs="宋体" w:eastAsia="宋体" w:hint="default"/>
          <w:spacing w:val="-2"/>
        </w:rPr>
        <w:t>2018</w:t>
      </w:r>
      <w:r>
        <w:rPr>
          <w:spacing w:val="-2"/>
        </w:rPr>
        <w:t>年度利润分配方案：以截至</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日公司总股本</w:t>
      </w:r>
      <w:r>
        <w:rPr>
          <w:rFonts w:ascii="宋体" w:hAnsi="宋体" w:cs="宋体" w:eastAsia="宋体" w:hint="default"/>
          <w:spacing w:val="-2"/>
        </w:rPr>
        <w:t>807,885,334</w:t>
      </w:r>
      <w:r>
        <w:rPr>
          <w:spacing w:val="-2"/>
        </w:rPr>
        <w:t>股为基数，按每</w:t>
      </w:r>
      <w:r>
        <w:rPr>
          <w:rFonts w:ascii="宋体" w:hAnsi="宋体" w:cs="宋体" w:eastAsia="宋体" w:hint="default"/>
          <w:spacing w:val="-2"/>
        </w:rPr>
        <w:t>10</w:t>
      </w:r>
      <w:r>
        <w:rPr>
          <w:spacing w:val="-2"/>
        </w:rPr>
        <w:t>股派发现金股利人民币</w:t>
      </w:r>
      <w:r>
        <w:rPr/>
        <w:t> </w:t>
      </w:r>
      <w:r>
        <w:rPr>
          <w:rFonts w:ascii="宋体" w:hAnsi="宋体" w:cs="宋体" w:eastAsia="宋体" w:hint="default"/>
        </w:rPr>
        <w:t>0.18</w:t>
      </w:r>
      <w:r>
        <w:rPr/>
        <w:t>元（含税）</w:t>
      </w:r>
      <w:r>
        <w:rPr>
          <w:rFonts w:ascii="宋体" w:hAnsi="宋体" w:cs="宋体" w:eastAsia="宋体" w:hint="default"/>
        </w:rPr>
        <w:t>,</w:t>
      </w:r>
      <w:r>
        <w:rPr/>
        <w:t>共计</w:t>
      </w:r>
      <w:r>
        <w:rPr>
          <w:rFonts w:ascii="宋体" w:hAnsi="宋体" w:cs="宋体" w:eastAsia="宋体" w:hint="default"/>
        </w:rPr>
        <w:t>14,541,936.01</w:t>
      </w:r>
      <w:r>
        <w:rPr/>
        <w:t>元，剩余未分配利润</w:t>
      </w:r>
      <w:r>
        <w:rPr>
          <w:rFonts w:ascii="宋体" w:hAnsi="宋体" w:cs="宋体" w:eastAsia="宋体" w:hint="default"/>
        </w:rPr>
        <w:t>147,797,634.76</w:t>
      </w:r>
      <w:r>
        <w:rPr/>
        <w:t>元结转以后年度。</w:t>
      </w:r>
    </w:p>
    <w:p>
      <w:pPr>
        <w:pStyle w:val="BodyText"/>
        <w:spacing w:line="240" w:lineRule="auto" w:before="51"/>
        <w:ind w:left="501" w:right="0"/>
        <w:jc w:val="left"/>
      </w:pPr>
      <w:r>
        <w:rPr/>
        <w:t>（</w:t>
      </w:r>
      <w:r>
        <w:rPr>
          <w:rFonts w:ascii="宋体" w:hAnsi="宋体" w:cs="宋体" w:eastAsia="宋体" w:hint="default"/>
        </w:rPr>
        <w:t>3</w:t>
      </w:r>
      <w:r>
        <w:rPr/>
        <w:t>）</w:t>
      </w:r>
      <w:r>
        <w:rPr>
          <w:rFonts w:ascii="宋体" w:hAnsi="宋体" w:cs="宋体" w:eastAsia="宋体" w:hint="default"/>
        </w:rPr>
        <w:t>2017</w:t>
      </w:r>
      <w:r>
        <w:rPr/>
        <w:t>年度利润分配方案：以截至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807,885,334</w:t>
      </w:r>
      <w:r>
        <w:rPr/>
        <w:t>股为基数，按每</w:t>
      </w:r>
      <w:r>
        <w:rPr>
          <w:rFonts w:ascii="宋体" w:hAnsi="宋体" w:cs="宋体" w:eastAsia="宋体" w:hint="default"/>
        </w:rPr>
        <w:t>10</w:t>
      </w:r>
      <w:r>
        <w:rPr/>
        <w:t>股派发现金股利人民币</w:t>
      </w:r>
    </w:p>
    <w:p>
      <w:pPr>
        <w:spacing w:line="240" w:lineRule="auto" w:before="7"/>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50"/>
          <w:pgMar w:header="731" w:footer="981" w:top="1040" w:bottom="1180" w:left="1000" w:right="0"/>
        </w:sectPr>
      </w:pPr>
    </w:p>
    <w:p>
      <w:pPr>
        <w:pStyle w:val="BodyText"/>
        <w:spacing w:line="336" w:lineRule="auto"/>
        <w:ind w:right="-13"/>
        <w:jc w:val="left"/>
      </w:pPr>
      <w:r>
        <w:rPr>
          <w:rFonts w:ascii="宋体" w:hAnsi="宋体" w:cs="宋体" w:eastAsia="宋体" w:hint="default"/>
        </w:rPr>
        <w:t>0.18</w:t>
      </w:r>
      <w:r>
        <w:rPr/>
        <w:t>元（含税）</w:t>
      </w:r>
      <w:r>
        <w:rPr>
          <w:rFonts w:ascii="宋体" w:hAnsi="宋体" w:cs="宋体" w:eastAsia="宋体" w:hint="default"/>
        </w:rPr>
        <w:t>,</w:t>
      </w:r>
      <w:r>
        <w:rPr/>
        <w:t>共计</w:t>
      </w:r>
      <w:r>
        <w:rPr>
          <w:rFonts w:ascii="宋体" w:hAnsi="宋体" w:cs="宋体" w:eastAsia="宋体" w:hint="default"/>
        </w:rPr>
        <w:t>14,541,936.01</w:t>
      </w:r>
      <w:r>
        <w:rPr/>
        <w:t>元，剩余未分配利润</w:t>
      </w:r>
      <w:r>
        <w:rPr>
          <w:rFonts w:ascii="宋体" w:hAnsi="宋体" w:cs="宋体" w:eastAsia="宋体" w:hint="default"/>
        </w:rPr>
        <w:t>157,127,070.22</w:t>
      </w:r>
      <w:r>
        <w:rPr/>
        <w:t>元结转以后年度。</w:t>
      </w:r>
      <w:r>
        <w:rPr>
          <w:spacing w:val="-85"/>
        </w:rPr>
        <w:t> </w:t>
      </w:r>
      <w:r>
        <w:rPr/>
        <w:t>公司近三年（包括本报告期）普通股现金分红情况表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7349" w:space="1587"/>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79"/>
        <w:gridCol w:w="1224"/>
        <w:gridCol w:w="1179"/>
      </w:tblGrid>
      <w:tr>
        <w:trPr>
          <w:trHeight w:val="157"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87" w:type="dxa"/>
            <w:vMerge w:val="restart"/>
            <w:tcBorders>
              <w:top w:val="single" w:sz="6" w:space="0" w:color="000000"/>
              <w:left w:val="single" w:sz="6" w:space="0" w:color="000000"/>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17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24" w:type="dxa"/>
            <w:vMerge w:val="restart"/>
            <w:tcBorders>
              <w:top w:val="single" w:sz="6" w:space="0" w:color="000000"/>
              <w:left w:val="single" w:sz="6" w:space="0" w:color="000000"/>
              <w:right w:val="single" w:sz="6" w:space="0" w:color="000000"/>
            </w:tcBorders>
            <w:shd w:val="clear" w:color="auto" w:fill="D2D2D2"/>
          </w:tcPr>
          <w:p>
            <w:pP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65"/>
              <w:ind w:left="45" w:right="36"/>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vMerge/>
            <w:tcBorders>
              <w:left w:val="single" w:sz="6" w:space="0" w:color="000000"/>
              <w:right w:val="single" w:sz="6" w:space="0" w:color="000000"/>
            </w:tcBorders>
            <w:shd w:val="clear" w:color="auto" w:fill="D2D2D2"/>
          </w:tcPr>
          <w:p>
            <w:pPr/>
          </w:p>
        </w:tc>
        <w:tc>
          <w:tcPr>
            <w:tcW w:w="1179"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45" w:right="36"/>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21" w:lineRule="auto" w:before="65"/>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80"/>
              <w:ind w:left="428" w:right="149"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9" w:type="dxa"/>
            <w:vMerge/>
            <w:tcBorders>
              <w:left w:val="single" w:sz="6" w:space="0" w:color="000000"/>
              <w:right w:val="single" w:sz="6" w:space="0" w:color="000000"/>
            </w:tcBorders>
            <w:shd w:val="clear" w:color="auto" w:fill="D2D2D2"/>
          </w:tcPr>
          <w:p>
            <w:pPr/>
          </w:p>
        </w:tc>
      </w:tr>
      <w:tr>
        <w:trPr>
          <w:trHeight w:val="706" w:hRule="exact"/>
        </w:trPr>
        <w:tc>
          <w:tcPr>
            <w:tcW w:w="1202" w:type="dxa"/>
            <w:vMerge/>
            <w:tcBorders>
              <w:left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1" w:hRule="exact"/>
        </w:trPr>
        <w:tc>
          <w:tcPr>
            <w:tcW w:w="1202" w:type="dxa"/>
            <w:vMerge/>
            <w:tcBorders>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bottom w:val="nil" w:sz="6" w:space="0" w:color="auto"/>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73"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7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24"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3"/>
              <w:ind w:right="7"/>
              <w:jc w:val="right"/>
              <w:rPr>
                <w:rFonts w:ascii="宋体" w:hAnsi="宋体" w:cs="宋体" w:eastAsia="宋体" w:hint="default"/>
                <w:sz w:val="16"/>
                <w:szCs w:val="16"/>
              </w:rPr>
            </w:pPr>
            <w:r>
              <w:rPr>
                <w:rFonts w:ascii="宋体"/>
                <w:spacing w:val="-4"/>
                <w:sz w:val="16"/>
              </w:rPr>
              <w:t>15,649,406.39</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7"/>
              <w:jc w:val="right"/>
              <w:rPr>
                <w:rFonts w:ascii="宋体" w:hAnsi="宋体" w:cs="宋体" w:eastAsia="宋体" w:hint="default"/>
                <w:sz w:val="16"/>
                <w:szCs w:val="16"/>
              </w:rPr>
            </w:pPr>
            <w:r>
              <w:rPr>
                <w:rFonts w:ascii="宋体"/>
                <w:spacing w:val="-3"/>
                <w:sz w:val="16"/>
              </w:rPr>
              <w:t>147,607,911.10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6"/>
              <w:jc w:val="right"/>
              <w:rPr>
                <w:rFonts w:ascii="宋体" w:hAnsi="宋体" w:cs="宋体" w:eastAsia="宋体" w:hint="default"/>
                <w:sz w:val="16"/>
                <w:szCs w:val="16"/>
              </w:rPr>
            </w:pPr>
            <w:r>
              <w:rPr>
                <w:rFonts w:ascii="宋体"/>
                <w:spacing w:val="-2"/>
                <w:sz w:val="16"/>
              </w:rPr>
              <w:t>10.60%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1"/>
              <w:jc w:val="right"/>
              <w:rPr>
                <w:rFonts w:ascii="宋体" w:hAnsi="宋体" w:cs="宋体" w:eastAsia="宋体" w:hint="default"/>
                <w:sz w:val="16"/>
                <w:szCs w:val="16"/>
              </w:rPr>
            </w:pPr>
            <w:r>
              <w:rPr>
                <w:rFonts w:ascii="宋体"/>
                <w:spacing w:val="-3"/>
                <w:sz w:val="16"/>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宋体" w:hAnsi="宋体" w:cs="宋体" w:eastAsia="宋体" w:hint="default"/>
                <w:sz w:val="16"/>
                <w:szCs w:val="16"/>
              </w:rPr>
            </w:pPr>
            <w:r>
              <w:rPr>
                <w:rFonts w:ascii="宋体"/>
                <w:spacing w:val="-1"/>
                <w:sz w:val="16"/>
              </w:rPr>
              <w:t>0.00%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22"/>
              <w:jc w:val="right"/>
              <w:rPr>
                <w:rFonts w:ascii="宋体" w:hAnsi="宋体" w:cs="宋体" w:eastAsia="宋体" w:hint="default"/>
                <w:sz w:val="16"/>
                <w:szCs w:val="16"/>
              </w:rPr>
            </w:pPr>
            <w:r>
              <w:rPr>
                <w:rFonts w:ascii="宋体"/>
                <w:spacing w:val="-4"/>
                <w:sz w:val="16"/>
              </w:rPr>
              <w:t>15,649,406.39</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0"/>
              <w:jc w:val="right"/>
              <w:rPr>
                <w:rFonts w:ascii="宋体" w:hAnsi="宋体" w:cs="宋体" w:eastAsia="宋体" w:hint="default"/>
                <w:sz w:val="16"/>
                <w:szCs w:val="16"/>
              </w:rPr>
            </w:pPr>
            <w:r>
              <w:rPr>
                <w:rFonts w:ascii="宋体"/>
                <w:spacing w:val="-2"/>
                <w:sz w:val="16"/>
              </w:rPr>
              <w:t>10.60%</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7"/>
              <w:jc w:val="right"/>
              <w:rPr>
                <w:rFonts w:ascii="宋体" w:hAnsi="宋体" w:cs="宋体" w:eastAsia="宋体" w:hint="default"/>
                <w:sz w:val="16"/>
                <w:szCs w:val="16"/>
              </w:rPr>
            </w:pPr>
            <w:r>
              <w:rPr>
                <w:rFonts w:ascii="宋体"/>
                <w:spacing w:val="-4"/>
                <w:sz w:val="16"/>
              </w:rPr>
              <w:t>14,541,936.01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7"/>
              <w:jc w:val="right"/>
              <w:rPr>
                <w:rFonts w:ascii="宋体" w:hAnsi="宋体" w:cs="宋体" w:eastAsia="宋体" w:hint="default"/>
                <w:sz w:val="16"/>
                <w:szCs w:val="16"/>
              </w:rPr>
            </w:pPr>
            <w:r>
              <w:rPr>
                <w:rFonts w:ascii="宋体"/>
                <w:spacing w:val="-3"/>
                <w:sz w:val="16"/>
              </w:rPr>
              <w:t>143,472,605.91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6"/>
              <w:jc w:val="right"/>
              <w:rPr>
                <w:rFonts w:ascii="宋体" w:hAnsi="宋体" w:cs="宋体" w:eastAsia="宋体" w:hint="default"/>
                <w:sz w:val="16"/>
                <w:szCs w:val="16"/>
              </w:rPr>
            </w:pPr>
            <w:r>
              <w:rPr>
                <w:rFonts w:ascii="宋体"/>
                <w:spacing w:val="-2"/>
                <w:sz w:val="16"/>
              </w:rPr>
              <w:t>10.14%</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1"/>
              <w:jc w:val="right"/>
              <w:rPr>
                <w:rFonts w:ascii="宋体" w:hAnsi="宋体" w:cs="宋体" w:eastAsia="宋体" w:hint="default"/>
                <w:sz w:val="16"/>
                <w:szCs w:val="16"/>
              </w:rPr>
            </w:pPr>
            <w:r>
              <w:rPr>
                <w:rFonts w:ascii="宋体"/>
                <w:spacing w:val="-3"/>
                <w:sz w:val="16"/>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宋体" w:hAnsi="宋体" w:cs="宋体" w:eastAsia="宋体" w:hint="default"/>
                <w:sz w:val="16"/>
                <w:szCs w:val="16"/>
              </w:rPr>
            </w:pPr>
            <w:r>
              <w:rPr>
                <w:rFonts w:ascii="宋体"/>
                <w:spacing w:val="-1"/>
                <w:sz w:val="16"/>
              </w:rPr>
              <w:t>0.00%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2"/>
              <w:jc w:val="right"/>
              <w:rPr>
                <w:rFonts w:ascii="宋体" w:hAnsi="宋体" w:cs="宋体" w:eastAsia="宋体" w:hint="default"/>
                <w:sz w:val="16"/>
                <w:szCs w:val="16"/>
              </w:rPr>
            </w:pPr>
            <w:r>
              <w:rPr>
                <w:rFonts w:ascii="宋体"/>
                <w:spacing w:val="-4"/>
                <w:sz w:val="16"/>
              </w:rPr>
              <w:t>14,541,936.01</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宋体" w:hAnsi="宋体" w:cs="宋体" w:eastAsia="宋体" w:hint="default"/>
                <w:sz w:val="16"/>
                <w:szCs w:val="16"/>
              </w:rPr>
            </w:pPr>
            <w:r>
              <w:rPr>
                <w:rFonts w:ascii="宋体"/>
                <w:spacing w:val="-2"/>
                <w:sz w:val="16"/>
              </w:rPr>
              <w:t>10.14%</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118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7"/>
              <w:jc w:val="right"/>
              <w:rPr>
                <w:rFonts w:ascii="宋体" w:hAnsi="宋体" w:cs="宋体" w:eastAsia="宋体" w:hint="default"/>
                <w:sz w:val="16"/>
                <w:szCs w:val="16"/>
              </w:rPr>
            </w:pPr>
            <w:r>
              <w:rPr>
                <w:rFonts w:ascii="宋体"/>
                <w:spacing w:val="-4"/>
                <w:sz w:val="16"/>
              </w:rPr>
              <w:t>14,541,936.01</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7"/>
              <w:jc w:val="right"/>
              <w:rPr>
                <w:rFonts w:ascii="宋体" w:hAnsi="宋体" w:cs="宋体" w:eastAsia="宋体" w:hint="default"/>
                <w:sz w:val="16"/>
                <w:szCs w:val="16"/>
              </w:rPr>
            </w:pPr>
            <w:r>
              <w:rPr>
                <w:rFonts w:ascii="宋体"/>
                <w:spacing w:val="-3"/>
                <w:sz w:val="16"/>
              </w:rPr>
              <w:t>130,262,340.03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6"/>
              <w:jc w:val="right"/>
              <w:rPr>
                <w:rFonts w:ascii="宋体" w:hAnsi="宋体" w:cs="宋体" w:eastAsia="宋体" w:hint="default"/>
                <w:sz w:val="16"/>
                <w:szCs w:val="16"/>
              </w:rPr>
            </w:pPr>
            <w:r>
              <w:rPr>
                <w:rFonts w:ascii="宋体"/>
                <w:spacing w:val="-2"/>
                <w:sz w:val="16"/>
              </w:rPr>
              <w:t>11.16%</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1"/>
              <w:jc w:val="right"/>
              <w:rPr>
                <w:rFonts w:ascii="宋体" w:hAnsi="宋体" w:cs="宋体" w:eastAsia="宋体" w:hint="default"/>
                <w:sz w:val="16"/>
                <w:szCs w:val="16"/>
              </w:rPr>
            </w:pPr>
            <w:r>
              <w:rPr>
                <w:rFonts w:ascii="宋体"/>
                <w:spacing w:val="-3"/>
                <w:sz w:val="16"/>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宋体" w:hAnsi="宋体" w:cs="宋体" w:eastAsia="宋体" w:hint="default"/>
                <w:sz w:val="16"/>
                <w:szCs w:val="16"/>
              </w:rPr>
            </w:pPr>
            <w:r>
              <w:rPr>
                <w:rFonts w:ascii="宋体"/>
                <w:spacing w:val="-1"/>
                <w:sz w:val="16"/>
              </w:rPr>
              <w:t>0.00%</w:t>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22"/>
              <w:jc w:val="right"/>
              <w:rPr>
                <w:rFonts w:ascii="宋体" w:hAnsi="宋体" w:cs="宋体" w:eastAsia="宋体" w:hint="default"/>
                <w:sz w:val="16"/>
                <w:szCs w:val="16"/>
              </w:rPr>
            </w:pPr>
            <w:r>
              <w:rPr>
                <w:rFonts w:ascii="宋体"/>
                <w:spacing w:val="-4"/>
                <w:sz w:val="16"/>
              </w:rPr>
              <w:t>14,541,936.01</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right"/>
              <w:rPr>
                <w:rFonts w:ascii="宋体" w:hAnsi="宋体" w:cs="宋体" w:eastAsia="宋体" w:hint="default"/>
                <w:sz w:val="16"/>
                <w:szCs w:val="16"/>
              </w:rPr>
            </w:pPr>
            <w:r>
              <w:rPr>
                <w:rFonts w:ascii="宋体"/>
                <w:spacing w:val="-2"/>
                <w:sz w:val="16"/>
              </w:rPr>
              <w:t>11.16%</w:t>
            </w:r>
          </w:p>
        </w:tc>
      </w:tr>
    </w:tbl>
    <w:p>
      <w:pPr>
        <w:pStyle w:val="BodyText"/>
        <w:spacing w:line="240" w:lineRule="auto"/>
        <w:ind w:right="1086"/>
        <w:jc w:val="left"/>
      </w:pPr>
      <w:r>
        <w:rPr/>
        <w:t>公司报告期内盈利且母公司可供普通股股东分配利润为正但未提出普通股现金红利分配预案</w:t>
      </w:r>
    </w:p>
    <w:p>
      <w:pPr>
        <w:pStyle w:val="BodyText"/>
        <w:spacing w:line="240" w:lineRule="auto" w:before="125"/>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type w:val="continuous"/>
          <w:pgSz w:w="11910" w:h="16850"/>
          <w:pgMar w:top="1040" w:bottom="1180" w:left="1000" w:right="0"/>
        </w:sectPr>
      </w:pPr>
    </w:p>
    <w:p>
      <w:pPr>
        <w:pStyle w:val="Heading2"/>
        <w:spacing w:line="240" w:lineRule="auto" w:before="44"/>
        <w:ind w:right="0"/>
        <w:jc w:val="left"/>
        <w:rPr>
          <w:b w:val="0"/>
          <w:bCs w:val="0"/>
        </w:rPr>
      </w:pPr>
      <w:r>
        <w:rPr/>
        <w:pict>
          <v:group style="position:absolute;margin-left:70.550003pt;margin-top:3.090608pt;width:701.9pt;height:.1pt;mso-position-horizontal-relative:page;mso-position-vertical-relative:paragraph;z-index:-1276768" coordorigin="1411,62" coordsize="14038,2">
            <v:shape style="position:absolute;left:1411;top:62;width:14038;height:2" coordorigin="1411,62" coordsize="14038,0" path="m1411,62l15449,62e" filled="false" stroked="true" strokeweight=".75pt" strokecolor="#000000">
              <v:path arrowok="t"/>
            </v:shape>
            <w10:wrap type="none"/>
          </v:group>
        </w:pict>
      </w:r>
      <w:bookmarkStart w:name="二、承诺事项履行情况" w:id="64"/>
      <w:bookmarkEnd w:id="64"/>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838"/>
        <w:gridCol w:w="1126"/>
        <w:gridCol w:w="1126"/>
        <w:gridCol w:w="6261"/>
        <w:gridCol w:w="991"/>
        <w:gridCol w:w="856"/>
        <w:gridCol w:w="1126"/>
      </w:tblGrid>
      <w:tr>
        <w:trPr>
          <w:trHeight w:val="406" w:hRule="exact"/>
        </w:trPr>
        <w:tc>
          <w:tcPr>
            <w:tcW w:w="2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2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500" w:hRule="exact"/>
        </w:trPr>
        <w:tc>
          <w:tcPr>
            <w:tcW w:w="28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余志达</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04" w:lineRule="auto"/>
              <w:ind w:left="194" w:right="103" w:hanging="90"/>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6261" w:type="dxa"/>
            <w:vMerge w:val="restart"/>
            <w:tcBorders>
              <w:top w:val="single" w:sz="6" w:space="0" w:color="000000"/>
              <w:left w:val="single" w:sz="6" w:space="0" w:color="000000"/>
              <w:right w:val="single" w:sz="6" w:space="0" w:color="000000"/>
            </w:tcBorders>
          </w:tcPr>
          <w:p>
            <w:pPr>
              <w:pStyle w:val="TableParagraph"/>
              <w:spacing w:line="312" w:lineRule="auto" w:before="44"/>
              <w:ind w:left="30" w:right="-1"/>
              <w:jc w:val="both"/>
              <w:rPr>
                <w:rFonts w:ascii="宋体" w:hAnsi="宋体" w:cs="宋体" w:eastAsia="宋体" w:hint="default"/>
                <w:sz w:val="18"/>
                <w:szCs w:val="18"/>
              </w:rPr>
            </w:pPr>
            <w:r>
              <w:rPr>
                <w:rFonts w:ascii="宋体" w:hAnsi="宋体" w:cs="宋体" w:eastAsia="宋体" w:hint="default"/>
                <w:sz w:val="18"/>
                <w:szCs w:val="18"/>
              </w:rPr>
              <w:t>标的公司</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Ewell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sz w:val="18"/>
                <w:szCs w:val="18"/>
              </w:rPr>
              <w:t>Hong</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Kong Limited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股东余志达承诺，以归属于标的公司所有者</w:t>
            </w:r>
            <w:r>
              <w:rPr>
                <w:rFonts w:ascii="宋体" w:hAnsi="宋体" w:cs="宋体" w:eastAsia="宋体" w:hint="default"/>
                <w:spacing w:val="-88"/>
                <w:sz w:val="18"/>
                <w:szCs w:val="18"/>
              </w:rPr>
              <w:t> </w:t>
            </w:r>
            <w:r>
              <w:rPr>
                <w:rFonts w:ascii="宋体" w:hAnsi="宋体" w:cs="宋体" w:eastAsia="宋体" w:hint="default"/>
                <w:sz w:val="18"/>
                <w:szCs w:val="18"/>
              </w:rPr>
              <w:t>的合并净利润（扣除非经常性损益前后孰低数）为考核指标，在未来三个财年 </w:t>
            </w:r>
            <w:r>
              <w:rPr>
                <w:rFonts w:ascii="宋体" w:hAnsi="宋体" w:cs="宋体" w:eastAsia="宋体" w:hint="default"/>
                <w:spacing w:val="-6"/>
                <w:sz w:val="18"/>
                <w:szCs w:val="18"/>
              </w:rPr>
              <w:t>完成以下业绩指标：（</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财年（</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日）承</w:t>
            </w:r>
          </w:p>
          <w:p>
            <w:pPr>
              <w:pStyle w:val="TableParagraph"/>
              <w:spacing w:line="241" w:lineRule="exact"/>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诺业绩</w:t>
            </w:r>
            <w:r>
              <w:rPr>
                <w:rFonts w:ascii="宋体" w:hAnsi="宋体" w:cs="宋体" w:eastAsia="宋体" w:hint="default"/>
                <w:spacing w:val="-15"/>
                <w:sz w:val="18"/>
                <w:szCs w:val="18"/>
              </w:rPr>
              <w:t>：</w:t>
            </w:r>
            <w:r>
              <w:rPr>
                <w:rFonts w:ascii="宋体" w:hAnsi="宋体" w:cs="宋体" w:eastAsia="宋体" w:hint="default"/>
                <w:sz w:val="18"/>
                <w:szCs w:val="18"/>
              </w:rPr>
              <w:t>净利润不少于港币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260 </w:t>
            </w:r>
            <w:r>
              <w:rPr>
                <w:rFonts w:ascii="宋体" w:hAnsi="宋体" w:cs="宋体" w:eastAsia="宋体" w:hint="default"/>
                <w:sz w:val="18"/>
                <w:szCs w:val="18"/>
              </w:rPr>
              <w:t>万元</w:t>
            </w:r>
            <w:r>
              <w:rPr>
                <w:rFonts w:ascii="宋体" w:hAnsi="宋体" w:cs="宋体" w:eastAsia="宋体" w:hint="default"/>
                <w:spacing w:val="-105"/>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15"/>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财</w:t>
            </w:r>
            <w:r>
              <w:rPr>
                <w:rFonts w:ascii="宋体" w:hAnsi="宋体" w:cs="宋体" w:eastAsia="宋体" w:hint="default"/>
                <w:spacing w:val="-15"/>
                <w:sz w:val="18"/>
                <w:szCs w:val="18"/>
              </w:rPr>
              <w:t>年</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日）承诺业绩：净利润不少于港币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2020 </w:t>
            </w:r>
            <w:r>
              <w:rPr>
                <w:rFonts w:ascii="宋体" w:hAnsi="宋体" w:cs="宋体" w:eastAsia="宋体" w:hint="default"/>
                <w:sz w:val="18"/>
                <w:szCs w:val="18"/>
              </w:rPr>
              <w:t>财年（</w:t>
            </w:r>
            <w:r>
              <w:rPr>
                <w:rFonts w:ascii="Times New Roman" w:hAnsi="Times New Roman" w:cs="Times New Roman" w:eastAsia="Times New Roman" w:hint="default"/>
                <w:sz w:val="18"/>
                <w:szCs w:val="18"/>
              </w:rPr>
              <w:t>2019</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日承诺业绩：净利润不少于港币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560 </w:t>
            </w:r>
            <w:r>
              <w:rPr>
                <w:rFonts w:ascii="宋体" w:hAnsi="宋体" w:cs="宋体" w:eastAsia="宋体" w:hint="default"/>
                <w:sz w:val="18"/>
                <w:szCs w:val="18"/>
              </w:rPr>
              <w:t>万元。在业</w:t>
            </w:r>
          </w:p>
          <w:p>
            <w:pPr>
              <w:pStyle w:val="TableParagraph"/>
              <w:spacing w:line="240" w:lineRule="auto" w:before="66"/>
              <w:ind w:left="30" w:right="0"/>
              <w:jc w:val="left"/>
              <w:rPr>
                <w:rFonts w:ascii="宋体" w:hAnsi="宋体" w:cs="宋体" w:eastAsia="宋体" w:hint="default"/>
                <w:sz w:val="18"/>
                <w:szCs w:val="18"/>
              </w:rPr>
            </w:pPr>
            <w:r>
              <w:rPr>
                <w:rFonts w:ascii="宋体" w:hAnsi="宋体" w:cs="宋体" w:eastAsia="宋体" w:hint="default"/>
                <w:sz w:val="18"/>
                <w:szCs w:val="18"/>
              </w:rPr>
              <w:t>绩承诺期内，实际考核中将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财年和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财年两个完整财年作为一个业绩</w:t>
            </w:r>
          </w:p>
          <w:p>
            <w:pPr>
              <w:pStyle w:val="TableParagraph"/>
              <w:spacing w:line="297" w:lineRule="auto" w:before="66"/>
              <w:ind w:left="30" w:right="-1"/>
              <w:jc w:val="left"/>
              <w:rPr>
                <w:rFonts w:ascii="宋体" w:hAnsi="宋体" w:cs="宋体" w:eastAsia="宋体" w:hint="default"/>
                <w:sz w:val="18"/>
                <w:szCs w:val="18"/>
              </w:rPr>
            </w:pPr>
            <w:r>
              <w:rPr>
                <w:rFonts w:ascii="宋体" w:hAnsi="宋体" w:cs="宋体" w:eastAsia="宋体" w:hint="default"/>
                <w:sz w:val="18"/>
                <w:szCs w:val="18"/>
              </w:rPr>
              <w:t>考核期，承诺净利润以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财年和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财年承诺净利润累计计算；将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财 年作为第二个业绩考核期。任一业绩考核期内标的公司实现的净利润低于该考 核期内承诺净利润数，则余志达应依据以下计算方法向思创香港做出现金或股</w:t>
            </w:r>
          </w:p>
          <w:p>
            <w:pPr>
              <w:pStyle w:val="TableParagraph"/>
              <w:spacing w:line="300" w:lineRule="auto" w:before="52"/>
              <w:ind w:left="30" w:right="0"/>
              <w:jc w:val="left"/>
              <w:rPr>
                <w:rFonts w:ascii="宋体" w:hAnsi="宋体" w:cs="宋体" w:eastAsia="宋体" w:hint="default"/>
                <w:sz w:val="18"/>
                <w:szCs w:val="18"/>
              </w:rPr>
            </w:pPr>
            <w:r>
              <w:rPr>
                <w:rFonts w:ascii="宋体" w:hAnsi="宋体" w:cs="宋体" w:eastAsia="宋体" w:hint="default"/>
                <w:spacing w:val="-2"/>
                <w:sz w:val="18"/>
                <w:szCs w:val="18"/>
              </w:rPr>
              <w:t>权补偿。余志达所承担的现金补偿：当年应补偿现金金额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（截至当期期末累计</w:t>
            </w:r>
            <w:r>
              <w:rPr>
                <w:rFonts w:ascii="宋体" w:hAnsi="宋体" w:cs="宋体" w:eastAsia="宋体" w:hint="default"/>
                <w:spacing w:val="-58"/>
                <w:sz w:val="18"/>
                <w:szCs w:val="18"/>
              </w:rPr>
              <w:t> </w:t>
            </w:r>
            <w:r>
              <w:rPr>
                <w:rFonts w:ascii="宋体" w:hAnsi="宋体" w:cs="宋体" w:eastAsia="宋体" w:hint="default"/>
                <w:spacing w:val="-2"/>
                <w:sz w:val="18"/>
                <w:szCs w:val="18"/>
              </w:rPr>
              <w:t>承诺净利润数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截至当期期末标的公司累计考核实现的净利润数）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业绩承诺期内</w:t>
            </w:r>
            <w:r>
              <w:rPr>
                <w:rFonts w:ascii="宋体" w:hAnsi="宋体" w:cs="宋体" w:eastAsia="宋体" w:hint="default"/>
                <w:spacing w:val="-84"/>
                <w:sz w:val="18"/>
                <w:szCs w:val="18"/>
              </w:rPr>
              <w:t> </w:t>
            </w:r>
            <w:r>
              <w:rPr>
                <w:rFonts w:ascii="宋体" w:hAnsi="宋体" w:cs="宋体" w:eastAsia="宋体" w:hint="default"/>
                <w:sz w:val="18"/>
                <w:szCs w:val="18"/>
              </w:rPr>
              <w:t>承诺净利润数总和</w:t>
            </w:r>
            <w:r>
              <w:rPr>
                <w:rFonts w:ascii="Times New Roman" w:hAnsi="Times New Roman" w:cs="Times New Roman" w:eastAsia="Times New Roman" w:hint="default"/>
                <w:sz w:val="18"/>
                <w:szCs w:val="18"/>
              </w:rPr>
              <w:t>×</w:t>
            </w:r>
            <w:r>
              <w:rPr>
                <w:rFonts w:ascii="宋体" w:hAnsi="宋体" w:cs="宋体" w:eastAsia="宋体" w:hint="default"/>
                <w:sz w:val="18"/>
                <w:szCs w:val="18"/>
              </w:rPr>
              <w:t>思创香港本次受让廖东华股权及对</w:t>
            </w:r>
            <w:r>
              <w:rPr>
                <w:rFonts w:ascii="宋体" w:hAnsi="宋体" w:cs="宋体" w:eastAsia="宋体" w:hint="default"/>
                <w:spacing w:val="-41"/>
                <w:sz w:val="18"/>
                <w:szCs w:val="18"/>
              </w:rPr>
              <w:t> </w:t>
            </w:r>
            <w:r>
              <w:rPr>
                <w:rFonts w:ascii="Times New Roman" w:hAnsi="Times New Roman" w:cs="Times New Roman" w:eastAsia="Times New Roman" w:hint="default"/>
                <w:spacing w:val="-3"/>
                <w:sz w:val="18"/>
                <w:szCs w:val="18"/>
              </w:rPr>
              <w:t>Ewell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增资的交易总</w:t>
            </w:r>
            <w:r>
              <w:rPr>
                <w:rFonts w:ascii="宋体" w:hAnsi="宋体" w:cs="宋体" w:eastAsia="宋体" w:hint="default"/>
                <w:spacing w:val="-88"/>
                <w:sz w:val="18"/>
                <w:szCs w:val="18"/>
              </w:rPr>
              <w:t> </w:t>
            </w:r>
            <w:r>
              <w:rPr>
                <w:rFonts w:ascii="宋体" w:hAnsi="宋体" w:cs="宋体" w:eastAsia="宋体" w:hint="default"/>
                <w:spacing w:val="-3"/>
                <w:sz w:val="18"/>
                <w:szCs w:val="18"/>
              </w:rPr>
              <w:t>金额（港币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累计已补偿的金额。余志达应补偿股权数量</w:t>
            </w:r>
            <w:r>
              <w:rPr>
                <w:rFonts w:ascii="Times New Roman" w:hAnsi="Times New Roman" w:cs="Times New Roman" w:eastAsia="Times New Roman" w:hint="default"/>
                <w:sz w:val="18"/>
                <w:szCs w:val="18"/>
              </w:rPr>
              <w:t>=</w:t>
            </w:r>
            <w:r>
              <w:rPr>
                <w:rFonts w:ascii="宋体" w:hAnsi="宋体" w:cs="宋体" w:eastAsia="宋体" w:hint="default"/>
                <w:sz w:val="18"/>
                <w:szCs w:val="18"/>
              </w:rPr>
              <w:t>当年应补 偿现金金额</w:t>
            </w:r>
            <w:r>
              <w:rPr>
                <w:rFonts w:ascii="Times New Roman" w:hAnsi="Times New Roman" w:cs="Times New Roman" w:eastAsia="Times New Roman" w:hint="default"/>
                <w:sz w:val="18"/>
                <w:szCs w:val="18"/>
              </w:rPr>
              <w:t>÷</w:t>
            </w:r>
            <w:r>
              <w:rPr>
                <w:rFonts w:ascii="宋体" w:hAnsi="宋体" w:cs="宋体" w:eastAsia="宋体" w:hint="default"/>
                <w:sz w:val="18"/>
                <w:szCs w:val="18"/>
              </w:rPr>
              <w:t>本次思创香港认购</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Ewell </w:t>
            </w:r>
            <w:r>
              <w:rPr>
                <w:rFonts w:ascii="Times New Roman" w:hAnsi="Times New Roman" w:cs="Times New Roman" w:eastAsia="Times New Roman" w:hint="default"/>
                <w:sz w:val="18"/>
                <w:szCs w:val="18"/>
              </w:rPr>
              <w:t>HK</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新发行股份单价（本次思创香港认购</w:t>
            </w:r>
            <w:r>
              <w:rPr>
                <w:rFonts w:ascii="宋体" w:hAnsi="宋体" w:cs="宋体" w:eastAsia="宋体" w:hint="default"/>
                <w:spacing w:val="-88"/>
                <w:sz w:val="18"/>
                <w:szCs w:val="18"/>
              </w:rPr>
              <w:t> </w:t>
            </w:r>
            <w:r>
              <w:rPr>
                <w:rFonts w:ascii="Times New Roman" w:hAnsi="Times New Roman" w:cs="Times New Roman" w:eastAsia="Times New Roman" w:hint="default"/>
                <w:spacing w:val="-3"/>
                <w:w w:val="99"/>
                <w:sz w:val="18"/>
                <w:szCs w:val="18"/>
              </w:rPr>
              <w:t>Ewell </w:t>
            </w:r>
            <w:r>
              <w:rPr>
                <w:rFonts w:ascii="Times New Roman" w:hAnsi="Times New Roman" w:cs="Times New Roman" w:eastAsia="Times New Roman" w:hint="default"/>
                <w:spacing w:val="2"/>
                <w:w w:val="99"/>
                <w:sz w:val="18"/>
                <w:szCs w:val="18"/>
              </w:rPr>
              <w:t>HK</w:t>
            </w:r>
            <w:r>
              <w:rPr>
                <w:rFonts w:ascii="Times New Roman" w:hAnsi="Times New Roman" w:cs="Times New Roman" w:eastAsia="Times New Roman" w:hint="default"/>
                <w:spacing w:val="11"/>
                <w:w w:val="99"/>
                <w:sz w:val="18"/>
                <w:szCs w:val="18"/>
              </w:rPr>
              <w:t> </w:t>
            </w:r>
            <w:r>
              <w:rPr>
                <w:rFonts w:ascii="宋体" w:hAnsi="宋体" w:cs="宋体" w:eastAsia="宋体" w:hint="default"/>
                <w:sz w:val="18"/>
                <w:szCs w:val="18"/>
              </w:rPr>
              <w:t>新发行股份单价</w:t>
            </w:r>
            <w:r>
              <w:rPr>
                <w:rFonts w:ascii="Times New Roman" w:hAnsi="Times New Roman" w:cs="Times New Roman" w:eastAsia="Times New Roman" w:hint="default"/>
                <w:sz w:val="18"/>
                <w:szCs w:val="18"/>
              </w:rPr>
              <w:t>=</w:t>
            </w:r>
            <w:r>
              <w:rPr>
                <w:rFonts w:ascii="宋体" w:hAnsi="宋体" w:cs="宋体" w:eastAsia="宋体" w:hint="default"/>
                <w:sz w:val="18"/>
                <w:szCs w:val="18"/>
              </w:rPr>
              <w:t>港币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2"/>
                <w:sz w:val="18"/>
                <w:szCs w:val="18"/>
              </w:rPr>
              <w:t> </w:t>
            </w:r>
            <w:r>
              <w:rPr>
                <w:rFonts w:ascii="宋体" w:hAnsi="宋体" w:cs="宋体" w:eastAsia="宋体" w:hint="default"/>
                <w:spacing w:val="-10"/>
                <w:sz w:val="18"/>
                <w:szCs w:val="18"/>
              </w:rPr>
              <w:t>万股）。余志达累计补偿股权总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数以其在标的公司持有的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280 </w:t>
            </w:r>
            <w:r>
              <w:rPr>
                <w:rFonts w:ascii="宋体" w:hAnsi="宋体" w:cs="宋体" w:eastAsia="宋体" w:hint="default"/>
                <w:sz w:val="18"/>
                <w:szCs w:val="18"/>
              </w:rPr>
              <w:t>万股为限；不足部分，余志达应以现金方式继续 向思创香港进行补偿。</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06" w:hRule="exact"/>
        </w:trPr>
        <w:tc>
          <w:tcPr>
            <w:tcW w:w="283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4" w:lineRule="auto" w:before="45"/>
              <w:ind w:left="1141" w:right="60" w:hanging="108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vMerge/>
            <w:tcBorders>
              <w:left w:val="single" w:sz="12" w:space="0" w:color="D2D2D2"/>
              <w:right w:val="single" w:sz="6" w:space="0" w:color="000000"/>
            </w:tcBorders>
          </w:tcPr>
          <w:p>
            <w:pPr/>
          </w:p>
        </w:tc>
        <w:tc>
          <w:tcPr>
            <w:tcW w:w="1126" w:type="dxa"/>
            <w:vMerge/>
            <w:tcBorders>
              <w:left w:val="single" w:sz="6" w:space="0" w:color="000000"/>
              <w:right w:val="single" w:sz="6" w:space="0" w:color="000000"/>
            </w:tcBorders>
          </w:tcPr>
          <w:p>
            <w:pPr/>
          </w:p>
        </w:tc>
        <w:tc>
          <w:tcPr>
            <w:tcW w:w="62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2501" w:hRule="exact"/>
        </w:trPr>
        <w:tc>
          <w:tcPr>
            <w:tcW w:w="2838"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12" w:space="0" w:color="D2D2D2"/>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626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r>
      <w:tr>
        <w:trPr>
          <w:trHeight w:val="609" w:hRule="exact"/>
        </w:trPr>
        <w:tc>
          <w:tcPr>
            <w:tcW w:w="28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126" w:type="dxa"/>
            <w:vMerge w:val="restart"/>
            <w:tcBorders>
              <w:top w:val="single" w:sz="6" w:space="0" w:color="000000"/>
              <w:left w:val="single" w:sz="12" w:space="0" w:color="D2D2D2"/>
              <w:right w:val="single" w:sz="6" w:space="0" w:color="000000"/>
            </w:tcBorders>
          </w:tcPr>
          <w:p>
            <w:pPr>
              <w:pStyle w:val="TableParagraph"/>
              <w:spacing w:line="316" w:lineRule="auto" w:before="45"/>
              <w:ind w:left="22" w:right="0" w:hanging="30"/>
              <w:jc w:val="center"/>
              <w:rPr>
                <w:rFonts w:ascii="宋体" w:hAnsi="宋体" w:cs="宋体" w:eastAsia="宋体" w:hint="default"/>
                <w:sz w:val="18"/>
                <w:szCs w:val="18"/>
              </w:rPr>
            </w:pPr>
            <w:r>
              <w:rPr>
                <w:rFonts w:ascii="宋体" w:hAnsi="宋体" w:cs="宋体" w:eastAsia="宋体" w:hint="default"/>
                <w:sz w:val="18"/>
                <w:szCs w:val="18"/>
              </w:rPr>
              <w:t>杭州思创医 惠集团有限 公司（原：杭 州医惠投资 管理有限公</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352" w:lineRule="auto"/>
              <w:ind w:left="284" w:right="28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6261" w:type="dxa"/>
            <w:vMerge w:val="restart"/>
            <w:tcBorders>
              <w:top w:val="single" w:sz="6" w:space="0" w:color="000000"/>
              <w:left w:val="single" w:sz="6" w:space="0" w:color="000000"/>
              <w:right w:val="single" w:sz="6" w:space="0" w:color="000000"/>
            </w:tcBorders>
          </w:tcPr>
          <w:p>
            <w:pPr>
              <w:pStyle w:val="TableParagraph"/>
              <w:spacing w:line="304"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医惠科技有限公司股东杭州医惠投资管理有限公司，通过资产重组协议受让思 创医惠科技股份有限公司大股东路楠、俞国骅持有的上市公司股份</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50,507,007 </w:t>
            </w:r>
            <w:r>
              <w:rPr>
                <w:rFonts w:ascii="宋体" w:hAnsi="宋体" w:cs="宋体" w:eastAsia="宋体" w:hint="default"/>
                <w:sz w:val="18"/>
                <w:szCs w:val="18"/>
              </w:rPr>
              <w:t>股，杭州医惠投资管理有限公司自愿承诺，其所受让的思创医惠科技股份有限</w:t>
            </w:r>
          </w:p>
          <w:p>
            <w:pPr>
              <w:pStyle w:val="TableParagraph"/>
              <w:spacing w:line="290" w:lineRule="auto" w:before="46"/>
              <w:ind w:left="30" w:right="0"/>
              <w:jc w:val="left"/>
              <w:rPr>
                <w:rFonts w:ascii="宋体" w:hAnsi="宋体" w:cs="宋体" w:eastAsia="宋体" w:hint="default"/>
                <w:sz w:val="18"/>
                <w:szCs w:val="18"/>
              </w:rPr>
            </w:pPr>
            <w:r>
              <w:rPr>
                <w:rFonts w:ascii="宋体" w:hAnsi="宋体" w:cs="宋体" w:eastAsia="宋体" w:hint="default"/>
                <w:sz w:val="18"/>
                <w:szCs w:val="18"/>
              </w:rPr>
              <w:t>公司股份自变更登记到其名下之日起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个月内不得转让。限售期内，杭州医惠 投资管理有限公司如因公司实施送红股、资本公积转增股本事项而增持的公司</w:t>
            </w:r>
          </w:p>
        </w:tc>
        <w:tc>
          <w:tcPr>
            <w:tcW w:w="99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391" w:hRule="exact"/>
        </w:trPr>
        <w:tc>
          <w:tcPr>
            <w:tcW w:w="283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12" w:space="0" w:color="D2D2D2"/>
              <w:right w:val="single" w:sz="6" w:space="0" w:color="000000"/>
            </w:tcBorders>
          </w:tcPr>
          <w:p>
            <w:pPr/>
          </w:p>
        </w:tc>
        <w:tc>
          <w:tcPr>
            <w:tcW w:w="1126" w:type="dxa"/>
            <w:vMerge/>
            <w:tcBorders>
              <w:left w:val="single" w:sz="6" w:space="0" w:color="000000"/>
              <w:right w:val="single" w:sz="6" w:space="0" w:color="000000"/>
            </w:tcBorders>
          </w:tcPr>
          <w:p>
            <w:pPr/>
          </w:p>
        </w:tc>
        <w:tc>
          <w:tcPr>
            <w:tcW w:w="6261"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1126" w:type="dxa"/>
            <w:vMerge/>
            <w:tcBorders>
              <w:left w:val="single" w:sz="6" w:space="0" w:color="000000"/>
              <w:right w:val="single" w:sz="6" w:space="0" w:color="000000"/>
            </w:tcBorders>
          </w:tcPr>
          <w:p>
            <w:pPr/>
          </w:p>
        </w:tc>
      </w:tr>
      <w:tr>
        <w:trPr>
          <w:trHeight w:val="608" w:hRule="exact"/>
        </w:trPr>
        <w:tc>
          <w:tcPr>
            <w:tcW w:w="2838" w:type="dxa"/>
            <w:tcBorders>
              <w:top w:val="nil" w:sz="6" w:space="0" w:color="auto"/>
              <w:left w:val="single" w:sz="6" w:space="0" w:color="000000"/>
              <w:bottom w:val="single" w:sz="6" w:space="0" w:color="000000"/>
              <w:right w:val="single" w:sz="6" w:space="0" w:color="000000"/>
            </w:tcBorders>
            <w:shd w:val="clear" w:color="auto" w:fill="D2D2D2"/>
          </w:tcPr>
          <w:p>
            <w:pPr/>
          </w:p>
        </w:tc>
        <w:tc>
          <w:tcPr>
            <w:tcW w:w="1126" w:type="dxa"/>
            <w:vMerge/>
            <w:tcBorders>
              <w:left w:val="single" w:sz="12" w:space="0" w:color="D2D2D2"/>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c>
          <w:tcPr>
            <w:tcW w:w="6261"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126" w:type="dxa"/>
            <w:vMerge/>
            <w:tcBorders>
              <w:left w:val="single" w:sz="6" w:space="0" w:color="000000"/>
              <w:bottom w:val="single" w:sz="6" w:space="0" w:color="000000"/>
              <w:right w:val="single" w:sz="6" w:space="0" w:color="000000"/>
            </w:tcBorders>
          </w:tcPr>
          <w:p>
            <w:pPr/>
          </w:p>
        </w:tc>
      </w:tr>
    </w:tbl>
    <w:p>
      <w:pPr>
        <w:spacing w:after="0"/>
        <w:sectPr>
          <w:headerReference w:type="default" r:id="rId14"/>
          <w:footerReference w:type="default" r:id="rId15"/>
          <w:pgSz w:w="16850" w:h="11910" w:orient="landscape"/>
          <w:pgMar w:header="857" w:footer="981" w:top="1040" w:bottom="1180" w:left="1300" w:right="960"/>
          <w:pgNumType w:start="44"/>
        </w:sectPr>
      </w:pPr>
    </w:p>
    <w:p>
      <w:pPr>
        <w:spacing w:line="240" w:lineRule="auto" w:before="9"/>
        <w:rPr>
          <w:rFonts w:ascii="Times New Roman" w:hAnsi="Times New Roman" w:cs="Times New Roman" w:eastAsia="Times New Roman" w:hint="default"/>
          <w:sz w:val="4"/>
          <w:szCs w:val="4"/>
        </w:rPr>
      </w:pPr>
      <w:r>
        <w:rPr/>
        <w:pict>
          <v:group style="position:absolute;margin-left:633.470032pt;margin-top:149.455002pt;width:54.15pt;height:36.8pt;mso-position-horizontal-relative:page;mso-position-vertical-relative:page;z-index:-1276720" coordorigin="12669,2989" coordsize="1083,736">
            <v:group style="position:absolute;left:12807;top:3004;width:2;height:706" coordorigin="12807,3004" coordsize="2,706">
              <v:shape style="position:absolute;left:12807;top:3004;width:2;height:706" coordorigin="12807,3004" coordsize="0,706" path="m12807,3004l12807,3710e" filled="false" stroked="true" strokeweight="1.5pt" strokecolor="#ffffff">
                <v:path arrowok="t"/>
              </v:shape>
            </v:group>
            <v:group style="position:absolute;left:12822;top:3004;width:931;height:345" coordorigin="12822,3004" coordsize="931,345">
              <v:shape style="position:absolute;left:12822;top:3004;width:931;height:345" coordorigin="12822,3004" coordsize="931,345" path="m12822,3349l13752,3349,13752,3004,12822,3004,12822,3349xe" filled="true" fillcolor="#ffffff" stroked="false">
                <v:path arrowok="t"/>
                <v:fill type="solid"/>
              </v:shape>
            </v:group>
            <v:group style="position:absolute;left:12822;top:3349;width:931;height:361" coordorigin="12822,3349" coordsize="931,361">
              <v:shape style="position:absolute;left:12822;top:3349;width:931;height:361" coordorigin="12822,3349" coordsize="931,361" path="m12822,3710l13752,3710,13752,3349,12822,3349,12822,3710xe" filled="true" fillcolor="#ffffff" stroked="false">
                <v:path arrowok="t"/>
                <v:fill type="solid"/>
              </v:shape>
              <v:shape style="position:absolute;left:12669;top:325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06" w:type="dxa"/>
        <w:tblLayout w:type="fixed"/>
        <w:tblCellMar>
          <w:top w:w="0" w:type="dxa"/>
          <w:left w:w="0" w:type="dxa"/>
          <w:bottom w:w="0" w:type="dxa"/>
          <w:right w:w="0" w:type="dxa"/>
        </w:tblCellMar>
        <w:tblLook w:val="01E0"/>
      </w:tblPr>
      <w:tblGrid>
        <w:gridCol w:w="2838"/>
        <w:gridCol w:w="1126"/>
        <w:gridCol w:w="1126"/>
        <w:gridCol w:w="6261"/>
        <w:gridCol w:w="82"/>
        <w:gridCol w:w="909"/>
        <w:gridCol w:w="856"/>
        <w:gridCol w:w="1126"/>
      </w:tblGrid>
      <w:tr>
        <w:trPr>
          <w:trHeight w:val="375" w:hRule="exact"/>
        </w:trPr>
        <w:tc>
          <w:tcPr>
            <w:tcW w:w="2838" w:type="dxa"/>
            <w:tcBorders>
              <w:top w:val="single" w:sz="18" w:space="0" w:color="000000"/>
              <w:left w:val="single" w:sz="6" w:space="0" w:color="000000"/>
              <w:bottom w:val="single" w:sz="6" w:space="0" w:color="000000"/>
              <w:right w:val="single" w:sz="6" w:space="0" w:color="000000"/>
            </w:tcBorders>
            <w:shd w:val="clear" w:color="auto" w:fill="D2D2D2"/>
          </w:tcPr>
          <w:p>
            <w:pPr/>
          </w:p>
        </w:tc>
        <w:tc>
          <w:tcPr>
            <w:tcW w:w="1126" w:type="dxa"/>
            <w:tcBorders>
              <w:top w:val="single" w:sz="18" w:space="0" w:color="000000"/>
              <w:left w:val="single" w:sz="6" w:space="0" w:color="000000"/>
              <w:bottom w:val="single" w:sz="6" w:space="0" w:color="000000"/>
              <w:right w:val="single" w:sz="6" w:space="0" w:color="000000"/>
            </w:tcBorders>
          </w:tcPr>
          <w:p>
            <w:pPr>
              <w:pStyle w:val="TableParagraph"/>
              <w:spacing w:line="220" w:lineRule="exact"/>
              <w:ind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126" w:type="dxa"/>
            <w:tcBorders>
              <w:top w:val="single" w:sz="18" w:space="0" w:color="000000"/>
              <w:left w:val="single" w:sz="6" w:space="0" w:color="000000"/>
              <w:bottom w:val="single" w:sz="6" w:space="0" w:color="000000"/>
              <w:right w:val="single" w:sz="6" w:space="0" w:color="000000"/>
            </w:tcBorders>
          </w:tcPr>
          <w:p>
            <w:pPr/>
          </w:p>
        </w:tc>
        <w:tc>
          <w:tcPr>
            <w:tcW w:w="6261" w:type="dxa"/>
            <w:tcBorders>
              <w:top w:val="single" w:sz="18" w:space="0" w:color="000000"/>
              <w:left w:val="single" w:sz="6" w:space="0" w:color="000000"/>
              <w:bottom w:val="single" w:sz="6" w:space="0" w:color="000000"/>
              <w:right w:val="single" w:sz="6" w:space="0" w:color="000000"/>
            </w:tcBorders>
          </w:tcPr>
          <w:p>
            <w:pPr>
              <w:pStyle w:val="TableParagraph"/>
              <w:spacing w:line="220" w:lineRule="exact"/>
              <w:ind w:left="30" w:right="0"/>
              <w:jc w:val="left"/>
              <w:rPr>
                <w:rFonts w:ascii="宋体" w:hAnsi="宋体" w:cs="宋体" w:eastAsia="宋体" w:hint="default"/>
                <w:sz w:val="18"/>
                <w:szCs w:val="18"/>
              </w:rPr>
            </w:pPr>
            <w:r>
              <w:rPr>
                <w:rFonts w:ascii="宋体" w:hAnsi="宋体" w:cs="宋体" w:eastAsia="宋体" w:hint="default"/>
                <w:sz w:val="18"/>
                <w:szCs w:val="18"/>
              </w:rPr>
              <w:t>股份，应遵守上述关于限售期的约定锁定。</w:t>
            </w:r>
          </w:p>
        </w:tc>
        <w:tc>
          <w:tcPr>
            <w:tcW w:w="991" w:type="dxa"/>
            <w:gridSpan w:val="2"/>
            <w:tcBorders>
              <w:top w:val="single" w:sz="18" w:space="0" w:color="000000"/>
              <w:left w:val="single" w:sz="6" w:space="0" w:color="000000"/>
              <w:bottom w:val="single" w:sz="6" w:space="0" w:color="000000"/>
              <w:right w:val="single" w:sz="6" w:space="0" w:color="000000"/>
            </w:tcBorders>
          </w:tcPr>
          <w:p>
            <w:pPr/>
          </w:p>
        </w:tc>
        <w:tc>
          <w:tcPr>
            <w:tcW w:w="856" w:type="dxa"/>
            <w:tcBorders>
              <w:top w:val="single" w:sz="18" w:space="0" w:color="000000"/>
              <w:left w:val="single" w:sz="6" w:space="0" w:color="000000"/>
              <w:bottom w:val="single" w:sz="6" w:space="0" w:color="000000"/>
              <w:right w:val="single" w:sz="6" w:space="0" w:color="000000"/>
            </w:tcBorders>
          </w:tcPr>
          <w:p>
            <w:pPr/>
          </w:p>
        </w:tc>
        <w:tc>
          <w:tcPr>
            <w:tcW w:w="1126" w:type="dxa"/>
            <w:tcBorders>
              <w:top w:val="single" w:sz="18" w:space="0" w:color="000000"/>
              <w:left w:val="single" w:sz="6" w:space="0" w:color="000000"/>
              <w:bottom w:val="single" w:sz="6" w:space="0" w:color="000000"/>
              <w:right w:val="single" w:sz="6" w:space="0" w:color="000000"/>
            </w:tcBorders>
          </w:tcPr>
          <w:p>
            <w:pPr/>
          </w:p>
        </w:tc>
      </w:tr>
      <w:tr>
        <w:trPr>
          <w:trHeight w:val="1021" w:hRule="exact"/>
        </w:trPr>
        <w:tc>
          <w:tcPr>
            <w:tcW w:w="283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04" w:right="103"/>
              <w:jc w:val="center"/>
              <w:rPr>
                <w:rFonts w:ascii="宋体" w:hAnsi="宋体" w:cs="宋体" w:eastAsia="宋体" w:hint="default"/>
                <w:sz w:val="18"/>
                <w:szCs w:val="18"/>
              </w:rPr>
            </w:pPr>
            <w:r>
              <w:rPr>
                <w:rFonts w:ascii="宋体" w:hAnsi="宋体" w:cs="宋体" w:eastAsia="宋体" w:hint="default"/>
                <w:sz w:val="18"/>
                <w:szCs w:val="18"/>
              </w:rPr>
              <w:t>杭州博泰投 资管理有限 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首发承诺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29"/>
              <w:ind w:left="30" w:right="94"/>
              <w:jc w:val="both"/>
              <w:rPr>
                <w:rFonts w:ascii="宋体" w:hAnsi="宋体" w:cs="宋体" w:eastAsia="宋体" w:hint="default"/>
                <w:sz w:val="18"/>
                <w:szCs w:val="18"/>
              </w:rPr>
            </w:pPr>
            <w:r>
              <w:rPr>
                <w:rFonts w:ascii="宋体" w:hAnsi="宋体" w:cs="宋体" w:eastAsia="宋体" w:hint="default"/>
                <w:sz w:val="18"/>
                <w:szCs w:val="18"/>
              </w:rPr>
              <w:t>自公司股票上市之日起三十六个月内，不转让或者委托他人管理其已直接或间 接持有的公司股份，也不由公司回购该部分股份。承诺每年转让的股份不超过 所持有公司股份总数的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652" w:hRule="exact"/>
        </w:trPr>
        <w:tc>
          <w:tcPr>
            <w:tcW w:w="283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pacing w:val="-3"/>
                <w:sz w:val="18"/>
                <w:szCs w:val="18"/>
              </w:rPr>
              <w:t>路楠、俞国骅</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竞业承诺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94"/>
              <w:jc w:val="both"/>
              <w:rPr>
                <w:rFonts w:ascii="宋体" w:hAnsi="宋体" w:cs="宋体" w:eastAsia="宋体" w:hint="default"/>
                <w:sz w:val="18"/>
                <w:szCs w:val="18"/>
              </w:rPr>
            </w:pPr>
            <w:r>
              <w:rPr>
                <w:rFonts w:ascii="宋体" w:hAnsi="宋体" w:cs="宋体" w:eastAsia="宋体" w:hint="default"/>
                <w:sz w:val="18"/>
                <w:szCs w:val="18"/>
              </w:rPr>
              <w:t>本人目前没有、将来也不直接或间接从事与杭州中瑞思创科技股份有限公司及 其控股的子公司现有及将来从事的业务构成同业竞争的任何活动，包括但不限 于研制、生产和销售与杭州中瑞思创科技股份有限公司及其控股的子公司研制 生产和销售产品相同或相近似的任何产品，并愿意对违反上述承诺而给杭州中 瑞思创科技股份有限公司造成的经济损失承担赔偿责任。</w:t>
            </w:r>
          </w:p>
        </w:tc>
        <w:tc>
          <w:tcPr>
            <w:tcW w:w="82" w:type="dxa"/>
            <w:tcBorders>
              <w:top w:val="single" w:sz="6" w:space="0" w:color="000000"/>
              <w:left w:val="single" w:sz="6" w:space="0" w:color="000000"/>
              <w:bottom w:val="single" w:sz="6" w:space="0" w:color="000000"/>
              <w:right w:val="nil" w:sz="6" w:space="0" w:color="auto"/>
            </w:tcBorders>
          </w:tcPr>
          <w:p>
            <w:pPr/>
          </w:p>
        </w:tc>
        <w:tc>
          <w:tcPr>
            <w:tcW w:w="909" w:type="dxa"/>
            <w:tcBorders>
              <w:top w:val="single" w:sz="6" w:space="0" w:color="000000"/>
              <w:left w:val="nil" w:sz="6" w:space="0" w:color="auto"/>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0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83" w:hRule="exact"/>
        </w:trPr>
        <w:tc>
          <w:tcPr>
            <w:tcW w:w="283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29" w:right="0"/>
              <w:jc w:val="center"/>
              <w:rPr>
                <w:rFonts w:ascii="宋体" w:hAnsi="宋体" w:cs="宋体" w:eastAsia="宋体" w:hint="default"/>
                <w:sz w:val="18"/>
                <w:szCs w:val="18"/>
              </w:rPr>
            </w:pPr>
            <w:r>
              <w:rPr>
                <w:rFonts w:ascii="宋体" w:hAnsi="宋体" w:cs="宋体" w:eastAsia="宋体" w:hint="default"/>
                <w:sz w:val="18"/>
                <w:szCs w:val="18"/>
              </w:rPr>
              <w:t>路楠、商巍、 张佶、陈武 </w:t>
            </w:r>
            <w:r>
              <w:rPr>
                <w:rFonts w:ascii="宋体" w:hAnsi="宋体" w:cs="宋体" w:eastAsia="宋体" w:hint="default"/>
                <w:spacing w:val="-3"/>
                <w:sz w:val="18"/>
                <w:szCs w:val="18"/>
              </w:rPr>
              <w:t>军、杭州博泰</w:t>
            </w:r>
            <w:r>
              <w:rPr>
                <w:rFonts w:ascii="宋体" w:hAnsi="宋体" w:cs="宋体" w:eastAsia="宋体" w:hint="default"/>
                <w:sz w:val="18"/>
                <w:szCs w:val="18"/>
              </w:rPr>
              <w:t> 投资管理有 </w:t>
            </w:r>
            <w:r>
              <w:rPr>
                <w:rFonts w:ascii="宋体" w:hAnsi="宋体" w:cs="宋体" w:eastAsia="宋体" w:hint="default"/>
                <w:spacing w:val="-3"/>
                <w:sz w:val="18"/>
                <w:szCs w:val="18"/>
              </w:rPr>
              <w:t>限公司、俞国</w:t>
            </w:r>
            <w:r>
              <w:rPr>
                <w:rFonts w:ascii="宋体" w:hAnsi="宋体" w:cs="宋体" w:eastAsia="宋体" w:hint="default"/>
                <w:sz w:val="18"/>
                <w:szCs w:val="18"/>
              </w:rPr>
              <w:t> 骅、蒋士平、 </w:t>
            </w:r>
            <w:r>
              <w:rPr>
                <w:rFonts w:ascii="宋体" w:hAnsi="宋体" w:cs="宋体" w:eastAsia="宋体" w:hint="default"/>
                <w:spacing w:val="-3"/>
                <w:sz w:val="18"/>
                <w:szCs w:val="18"/>
              </w:rPr>
              <w:t>蓝宗烛、王勇</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60"/>
              <w:ind w:left="30" w:right="15"/>
              <w:jc w:val="left"/>
              <w:rPr>
                <w:rFonts w:ascii="宋体" w:hAnsi="宋体" w:cs="宋体" w:eastAsia="宋体" w:hint="default"/>
                <w:sz w:val="18"/>
                <w:szCs w:val="18"/>
              </w:rPr>
            </w:pPr>
            <w:r>
              <w:rPr>
                <w:rFonts w:ascii="宋体" w:hAnsi="宋体" w:cs="宋体" w:eastAsia="宋体" w:hint="default"/>
                <w:sz w:val="18"/>
                <w:szCs w:val="18"/>
              </w:rPr>
              <w:t>若发行人及其子公司因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年底至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年底期间实行劳务派遣而产生补偿或 赔偿责任，或被有关主管部门处罚的，由发行人现有全体股东按照持股比例承</w:t>
            </w:r>
          </w:p>
          <w:p>
            <w:pPr>
              <w:pStyle w:val="TableParagraph"/>
              <w:spacing w:line="288" w:lineRule="auto" w:before="68"/>
              <w:ind w:left="30" w:right="13"/>
              <w:jc w:val="left"/>
              <w:rPr>
                <w:rFonts w:ascii="宋体" w:hAnsi="宋体" w:cs="宋体" w:eastAsia="宋体" w:hint="default"/>
                <w:sz w:val="18"/>
                <w:szCs w:val="18"/>
              </w:rPr>
            </w:pPr>
            <w:r>
              <w:rPr>
                <w:rFonts w:ascii="宋体" w:hAnsi="宋体" w:cs="宋体" w:eastAsia="宋体" w:hint="default"/>
                <w:sz w:val="18"/>
                <w:szCs w:val="18"/>
              </w:rPr>
              <w:t>担相应的经济责任；若发行人及其子公司因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日以前未按规定为 职工缴纳住房公积金而被有关主管部门责令补缴、追缴或处罚的，由发行人现</w:t>
            </w:r>
          </w:p>
          <w:p>
            <w:pPr>
              <w:pStyle w:val="TableParagraph"/>
              <w:spacing w:line="297" w:lineRule="auto" w:before="59"/>
              <w:ind w:left="30" w:right="13"/>
              <w:jc w:val="left"/>
              <w:rPr>
                <w:rFonts w:ascii="宋体" w:hAnsi="宋体" w:cs="宋体" w:eastAsia="宋体" w:hint="default"/>
                <w:sz w:val="18"/>
                <w:szCs w:val="18"/>
              </w:rPr>
            </w:pPr>
            <w:r>
              <w:rPr>
                <w:rFonts w:ascii="宋体" w:hAnsi="宋体" w:cs="宋体" w:eastAsia="宋体" w:hint="default"/>
                <w:sz w:val="18"/>
                <w:szCs w:val="18"/>
              </w:rPr>
              <w:t>有全体股东按照持股比例承担相应的经济责任；若发行人因补缴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年及以前 年度企业所得税的行为而被有关主管部门处罚或追缴滞纳金的，由发行人现有 全体股东按照持股比例承担相应的经济责任。</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2" w:hRule="exact"/>
        </w:trPr>
        <w:tc>
          <w:tcPr>
            <w:tcW w:w="283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方振淳</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67" w:lineRule="auto"/>
              <w:ind w:left="284" w:right="28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7"/>
              <w:jc w:val="left"/>
              <w:rPr>
                <w:rFonts w:ascii="宋体" w:hAnsi="宋体" w:cs="宋体" w:eastAsia="宋体" w:hint="default"/>
                <w:sz w:val="18"/>
                <w:szCs w:val="18"/>
              </w:rPr>
            </w:pPr>
            <w:r>
              <w:rPr>
                <w:rFonts w:ascii="宋体" w:hAnsi="宋体" w:cs="宋体" w:eastAsia="宋体" w:hint="default"/>
                <w:sz w:val="18"/>
                <w:szCs w:val="18"/>
              </w:rPr>
              <w:t>本人本次认购的思创医惠的股份（包括该等股份未来因思创医惠资本公积转增 </w:t>
            </w:r>
            <w:r>
              <w:rPr>
                <w:rFonts w:ascii="宋体" w:hAnsi="宋体" w:cs="宋体" w:eastAsia="宋体" w:hint="default"/>
                <w:spacing w:val="-3"/>
                <w:sz w:val="18"/>
                <w:szCs w:val="18"/>
              </w:rPr>
              <w:t>或送红股等方式所滋生的股份），在该等股份发行上市之日起三十六个月内不转</w:t>
            </w:r>
            <w:r>
              <w:rPr>
                <w:rFonts w:ascii="宋体" w:hAnsi="宋体" w:cs="宋体" w:eastAsia="宋体" w:hint="default"/>
                <w:sz w:val="18"/>
                <w:szCs w:val="18"/>
              </w:rPr>
              <w:t> 让。</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67" w:hRule="exact"/>
        </w:trPr>
        <w:tc>
          <w:tcPr>
            <w:tcW w:w="283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29" w:right="-1" w:hanging="31"/>
              <w:jc w:val="center"/>
              <w:rPr>
                <w:rFonts w:ascii="宋体" w:hAnsi="宋体" w:cs="宋体" w:eastAsia="宋体" w:hint="default"/>
                <w:sz w:val="18"/>
                <w:szCs w:val="18"/>
              </w:rPr>
            </w:pPr>
            <w:r>
              <w:rPr>
                <w:rFonts w:ascii="宋体" w:hAnsi="宋体" w:cs="宋体" w:eastAsia="宋体" w:hint="default"/>
                <w:sz w:val="18"/>
                <w:szCs w:val="18"/>
              </w:rPr>
              <w:t>浙江鲲鹏资 产管理有限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鲲鹏资 本</w:t>
            </w:r>
            <w:r>
              <w:rPr>
                <w:rFonts w:ascii="Times New Roman" w:hAnsi="Times New Roman" w:cs="Times New Roman" w:eastAsia="Times New Roman" w:hint="default"/>
                <w:sz w:val="18"/>
                <w:szCs w:val="18"/>
              </w:rPr>
              <w:t>-</w:t>
            </w:r>
            <w:r>
              <w:rPr>
                <w:rFonts w:ascii="宋体" w:hAnsi="宋体" w:cs="宋体" w:eastAsia="宋体" w:hint="default"/>
                <w:sz w:val="18"/>
                <w:szCs w:val="18"/>
              </w:rPr>
              <w:t>中瑞思创</w:t>
            </w:r>
          </w:p>
          <w:p>
            <w:pPr>
              <w:pStyle w:val="TableParagraph"/>
              <w:spacing w:line="273" w:lineRule="auto" w:before="4"/>
              <w:ind w:left="29" w:right="-1"/>
              <w:jc w:val="center"/>
              <w:rPr>
                <w:rFonts w:ascii="宋体" w:hAnsi="宋体" w:cs="宋体" w:eastAsia="宋体" w:hint="default"/>
                <w:sz w:val="18"/>
                <w:szCs w:val="18"/>
              </w:rPr>
            </w:pPr>
            <w:r>
              <w:rPr>
                <w:rFonts w:ascii="宋体" w:hAnsi="宋体" w:cs="宋体" w:eastAsia="宋体" w:hint="default"/>
                <w:sz w:val="18"/>
                <w:szCs w:val="18"/>
              </w:rPr>
              <w:t>定增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号证券 投资基金</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52" w:lineRule="auto"/>
              <w:ind w:left="284" w:right="28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11"/>
              <w:ind w:left="30" w:right="60"/>
              <w:jc w:val="both"/>
              <w:rPr>
                <w:rFonts w:ascii="宋体" w:hAnsi="宋体" w:cs="宋体" w:eastAsia="宋体" w:hint="default"/>
                <w:sz w:val="18"/>
                <w:szCs w:val="18"/>
              </w:rPr>
            </w:pPr>
            <w:r>
              <w:rPr>
                <w:rFonts w:ascii="宋体" w:hAnsi="宋体" w:cs="宋体" w:eastAsia="宋体" w:hint="default"/>
                <w:sz w:val="18"/>
                <w:szCs w:val="18"/>
              </w:rPr>
              <w:t>本公司管理的</w:t>
            </w:r>
            <w:r>
              <w:rPr>
                <w:rFonts w:ascii="Times New Roman" w:hAnsi="Times New Roman" w:cs="Times New Roman" w:eastAsia="Times New Roman" w:hint="default"/>
                <w:sz w:val="18"/>
                <w:szCs w:val="18"/>
              </w:rPr>
              <w:t>"</w:t>
            </w:r>
            <w:r>
              <w:rPr>
                <w:rFonts w:ascii="宋体" w:hAnsi="宋体" w:cs="宋体" w:eastAsia="宋体" w:hint="default"/>
                <w:sz w:val="18"/>
                <w:szCs w:val="18"/>
              </w:rPr>
              <w:t>鲲鹏资本</w:t>
            </w:r>
            <w:r>
              <w:rPr>
                <w:rFonts w:ascii="Times New Roman" w:hAnsi="Times New Roman" w:cs="Times New Roman" w:eastAsia="Times New Roman" w:hint="default"/>
                <w:sz w:val="18"/>
                <w:szCs w:val="18"/>
              </w:rPr>
              <w:t>-</w:t>
            </w:r>
            <w:r>
              <w:rPr>
                <w:rFonts w:ascii="宋体" w:hAnsi="宋体" w:cs="宋体" w:eastAsia="宋体" w:hint="default"/>
                <w:sz w:val="18"/>
                <w:szCs w:val="18"/>
              </w:rPr>
              <w:t>中瑞思创定增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号证券投资基金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本次认购的思创医惠 的股份（包括该等股份未来因思创医惠资本公积转增或送红股等方式所滋生的 </w:t>
            </w:r>
            <w:r>
              <w:rPr>
                <w:rFonts w:ascii="宋体" w:hAnsi="宋体" w:cs="宋体" w:eastAsia="宋体" w:hint="default"/>
                <w:spacing w:val="-4"/>
                <w:sz w:val="18"/>
                <w:szCs w:val="18"/>
              </w:rPr>
              <w:t>股份），在该等股份发行上市之日起三十六个月内不转让。</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66"/>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1" w:hRule="exact"/>
        </w:trPr>
        <w:tc>
          <w:tcPr>
            <w:tcW w:w="2838"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04" w:right="103"/>
              <w:jc w:val="center"/>
              <w:rPr>
                <w:rFonts w:ascii="宋体" w:hAnsi="宋体" w:cs="宋体" w:eastAsia="宋体" w:hint="default"/>
                <w:sz w:val="18"/>
                <w:szCs w:val="18"/>
              </w:rPr>
            </w:pPr>
            <w:r>
              <w:rPr>
                <w:rFonts w:ascii="宋体" w:hAnsi="宋体" w:cs="宋体" w:eastAsia="宋体" w:hint="default"/>
                <w:sz w:val="18"/>
                <w:szCs w:val="18"/>
              </w:rPr>
              <w:t>西藏瑞华资 本管理有限 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50" w:lineRule="auto"/>
              <w:ind w:left="284" w:right="28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7"/>
              <w:jc w:val="left"/>
              <w:rPr>
                <w:rFonts w:ascii="宋体" w:hAnsi="宋体" w:cs="宋体" w:eastAsia="宋体" w:hint="default"/>
                <w:sz w:val="18"/>
                <w:szCs w:val="18"/>
              </w:rPr>
            </w:pPr>
            <w:r>
              <w:rPr>
                <w:rFonts w:ascii="宋体" w:hAnsi="宋体" w:cs="宋体" w:eastAsia="宋体" w:hint="default"/>
                <w:sz w:val="18"/>
                <w:szCs w:val="18"/>
              </w:rPr>
              <w:t>本公司本次认购的思创医惠的股份（包括该等股份未来因思创医惠资本公积转 </w:t>
            </w:r>
            <w:r>
              <w:rPr>
                <w:rFonts w:ascii="宋体" w:hAnsi="宋体" w:cs="宋体" w:eastAsia="宋体" w:hint="default"/>
                <w:spacing w:val="-3"/>
                <w:sz w:val="18"/>
                <w:szCs w:val="18"/>
              </w:rPr>
              <w:t>增或送红股等方式所滋生的股份），在该等股份发行上市之日起三十六个月内不</w:t>
            </w:r>
            <w:r>
              <w:rPr>
                <w:rFonts w:ascii="宋体" w:hAnsi="宋体" w:cs="宋体" w:eastAsia="宋体" w:hint="default"/>
                <w:sz w:val="18"/>
                <w:szCs w:val="18"/>
              </w:rPr>
              <w:t> 转让。</w:t>
            </w:r>
          </w:p>
        </w:tc>
        <w:tc>
          <w:tcPr>
            <w:tcW w:w="99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p>
          <w:p>
            <w:pPr>
              <w:pStyle w:val="TableParagraph"/>
              <w:spacing w:line="240" w:lineRule="auto" w:before="50"/>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center"/>
        <w:rPr>
          <w:rFonts w:ascii="宋体" w:hAnsi="宋体" w:cs="宋体" w:eastAsia="宋体" w:hint="default"/>
          <w:sz w:val="18"/>
          <w:szCs w:val="18"/>
        </w:rPr>
        <w:sectPr>
          <w:pgSz w:w="16850" w:h="11910" w:orient="landscape"/>
          <w:pgMar w:header="857" w:footer="981" w:top="1040" w:bottom="1180" w:left="1320" w:right="960"/>
        </w:sectPr>
      </w:pPr>
    </w:p>
    <w:p>
      <w:pPr>
        <w:spacing w:line="240" w:lineRule="auto" w:before="9"/>
        <w:rPr>
          <w:rFonts w:ascii="Times New Roman" w:hAnsi="Times New Roman" w:cs="Times New Roman" w:eastAsia="Times New Roman" w:hint="default"/>
          <w:sz w:val="4"/>
          <w:szCs w:val="4"/>
        </w:rPr>
      </w:pPr>
    </w:p>
    <w:tbl>
      <w:tblPr>
        <w:tblW w:w="0" w:type="auto"/>
        <w:jc w:val="left"/>
        <w:tblInd w:w="106" w:type="dxa"/>
        <w:tblLayout w:type="fixed"/>
        <w:tblCellMar>
          <w:top w:w="0" w:type="dxa"/>
          <w:left w:w="0" w:type="dxa"/>
          <w:bottom w:w="0" w:type="dxa"/>
          <w:right w:w="0" w:type="dxa"/>
        </w:tblCellMar>
        <w:tblLook w:val="01E0"/>
      </w:tblPr>
      <w:tblGrid>
        <w:gridCol w:w="2838"/>
        <w:gridCol w:w="1126"/>
        <w:gridCol w:w="1126"/>
        <w:gridCol w:w="6261"/>
        <w:gridCol w:w="991"/>
        <w:gridCol w:w="856"/>
        <w:gridCol w:w="1126"/>
      </w:tblGrid>
      <w:tr>
        <w:trPr>
          <w:trHeight w:val="1036" w:hRule="exact"/>
        </w:trPr>
        <w:tc>
          <w:tcPr>
            <w:tcW w:w="2838" w:type="dxa"/>
            <w:vMerge w:val="restart"/>
            <w:tcBorders>
              <w:top w:val="single" w:sz="18" w:space="0" w:color="000000"/>
              <w:left w:val="single" w:sz="6" w:space="0" w:color="000000"/>
              <w:right w:val="single" w:sz="6" w:space="0" w:color="000000"/>
            </w:tcBorders>
            <w:shd w:val="clear" w:color="auto" w:fill="D2D2D2"/>
          </w:tcPr>
          <w:p>
            <w:pPr/>
          </w:p>
        </w:tc>
        <w:tc>
          <w:tcPr>
            <w:tcW w:w="1126" w:type="dxa"/>
            <w:tcBorders>
              <w:top w:val="single" w:sz="18" w:space="0" w:color="000000"/>
              <w:left w:val="single" w:sz="6" w:space="0" w:color="000000"/>
              <w:bottom w:val="single" w:sz="6" w:space="0" w:color="000000"/>
              <w:right w:val="single" w:sz="6" w:space="0" w:color="000000"/>
            </w:tcBorders>
          </w:tcPr>
          <w:p>
            <w:pPr>
              <w:pStyle w:val="TableParagraph"/>
              <w:spacing w:line="321" w:lineRule="auto" w:before="29"/>
              <w:ind w:left="104" w:right="103"/>
              <w:jc w:val="center"/>
              <w:rPr>
                <w:rFonts w:ascii="宋体" w:hAnsi="宋体" w:cs="宋体" w:eastAsia="宋体" w:hint="default"/>
                <w:sz w:val="18"/>
                <w:szCs w:val="18"/>
              </w:rPr>
            </w:pPr>
            <w:r>
              <w:rPr>
                <w:rFonts w:ascii="宋体" w:hAnsi="宋体" w:cs="宋体" w:eastAsia="宋体" w:hint="default"/>
                <w:sz w:val="18"/>
                <w:szCs w:val="18"/>
              </w:rPr>
              <w:t>银华基金管 理股份有限 公司</w:t>
            </w:r>
          </w:p>
        </w:tc>
        <w:tc>
          <w:tcPr>
            <w:tcW w:w="1126"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52" w:lineRule="auto"/>
              <w:ind w:left="284" w:right="28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6261"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30" w:right="94"/>
              <w:jc w:val="left"/>
              <w:rPr>
                <w:rFonts w:ascii="宋体" w:hAnsi="宋体" w:cs="宋体" w:eastAsia="宋体" w:hint="default"/>
                <w:sz w:val="18"/>
                <w:szCs w:val="18"/>
              </w:rPr>
            </w:pPr>
            <w:r>
              <w:rPr>
                <w:rFonts w:ascii="宋体" w:hAnsi="宋体" w:cs="宋体" w:eastAsia="宋体" w:hint="default"/>
                <w:sz w:val="18"/>
                <w:szCs w:val="18"/>
              </w:rPr>
              <w:t>本公司本次认购思创医惠科技股份有限公司非公开发行股票的获配股份自上市 首日起十二个月内不上市交易。</w:t>
            </w:r>
          </w:p>
        </w:tc>
        <w:tc>
          <w:tcPr>
            <w:tcW w:w="991"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56"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26"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2" w:hRule="exact"/>
        </w:trPr>
        <w:tc>
          <w:tcPr>
            <w:tcW w:w="283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4" w:right="103"/>
              <w:jc w:val="center"/>
              <w:rPr>
                <w:rFonts w:ascii="宋体" w:hAnsi="宋体" w:cs="宋体" w:eastAsia="宋体" w:hint="default"/>
                <w:sz w:val="18"/>
                <w:szCs w:val="18"/>
              </w:rPr>
            </w:pPr>
            <w:r>
              <w:rPr>
                <w:rFonts w:ascii="宋体" w:hAnsi="宋体" w:cs="宋体" w:eastAsia="宋体" w:hint="default"/>
                <w:sz w:val="18"/>
                <w:szCs w:val="18"/>
              </w:rPr>
              <w:t>南方基金管 理股份有限 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52" w:lineRule="auto"/>
              <w:ind w:left="284" w:right="28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30" w:right="94"/>
              <w:jc w:val="left"/>
              <w:rPr>
                <w:rFonts w:ascii="宋体" w:hAnsi="宋体" w:cs="宋体" w:eastAsia="宋体" w:hint="default"/>
                <w:sz w:val="18"/>
                <w:szCs w:val="18"/>
              </w:rPr>
            </w:pPr>
            <w:r>
              <w:rPr>
                <w:rFonts w:ascii="宋体" w:hAnsi="宋体" w:cs="宋体" w:eastAsia="宋体" w:hint="default"/>
                <w:sz w:val="18"/>
                <w:szCs w:val="18"/>
              </w:rPr>
              <w:t>本公司本次认购思创医惠科技股份有限公司非公开发行股票的获配股份自上市 首日起十二个月内不上市交易。</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352" w:hRule="exact"/>
        </w:trPr>
        <w:tc>
          <w:tcPr>
            <w:tcW w:w="2838" w:type="dxa"/>
            <w:vMerge/>
            <w:tcBorders>
              <w:left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29" w:right="13" w:hanging="16"/>
              <w:jc w:val="center"/>
              <w:rPr>
                <w:rFonts w:ascii="宋体" w:hAnsi="宋体" w:cs="宋体" w:eastAsia="宋体" w:hint="default"/>
                <w:sz w:val="18"/>
                <w:szCs w:val="18"/>
              </w:rPr>
            </w:pPr>
            <w:r>
              <w:rPr>
                <w:rFonts w:ascii="宋体" w:hAnsi="宋体" w:cs="宋体" w:eastAsia="宋体" w:hint="default"/>
                <w:sz w:val="18"/>
                <w:szCs w:val="18"/>
              </w:rPr>
              <w:t>浙江深改产 业发展合伙 </w:t>
            </w:r>
            <w:r>
              <w:rPr>
                <w:rFonts w:ascii="宋体" w:hAnsi="宋体" w:cs="宋体" w:eastAsia="宋体" w:hint="default"/>
                <w:spacing w:val="-3"/>
                <w:sz w:val="18"/>
                <w:szCs w:val="18"/>
              </w:rPr>
              <w:t>企业（有限合</w:t>
            </w:r>
            <w:r>
              <w:rPr>
                <w:rFonts w:ascii="宋体" w:hAnsi="宋体" w:cs="宋体" w:eastAsia="宋体" w:hint="default"/>
                <w:sz w:val="18"/>
                <w:szCs w:val="18"/>
              </w:rPr>
              <w:t> 伙）</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52" w:lineRule="auto" w:before="138"/>
              <w:ind w:left="284" w:right="28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30" w:right="91"/>
              <w:jc w:val="left"/>
              <w:rPr>
                <w:rFonts w:ascii="宋体" w:hAnsi="宋体" w:cs="宋体" w:eastAsia="宋体" w:hint="default"/>
                <w:sz w:val="18"/>
                <w:szCs w:val="18"/>
              </w:rPr>
            </w:pPr>
            <w:r>
              <w:rPr>
                <w:rFonts w:ascii="宋体" w:hAnsi="宋体" w:cs="宋体" w:eastAsia="宋体" w:hint="default"/>
                <w:sz w:val="18"/>
                <w:szCs w:val="18"/>
              </w:rPr>
              <w:t>本公司本次认购思创医惠科技股份有限公司非公开发行股票的获配股份自上市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首日起十二个月内不上市交易。</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1" w:hRule="exact"/>
        </w:trPr>
        <w:tc>
          <w:tcPr>
            <w:tcW w:w="2838" w:type="dxa"/>
            <w:vMerge/>
            <w:tcBorders>
              <w:left w:val="single" w:sz="6" w:space="0" w:color="000000"/>
              <w:bottom w:val="single" w:sz="6" w:space="0" w:color="000000"/>
              <w:right w:val="single" w:sz="6" w:space="0" w:color="000000"/>
            </w:tcBorders>
            <w:shd w:val="clear" w:color="auto" w:fill="D2D2D2"/>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04" w:right="103"/>
              <w:jc w:val="center"/>
              <w:rPr>
                <w:rFonts w:ascii="宋体" w:hAnsi="宋体" w:cs="宋体" w:eastAsia="宋体" w:hint="default"/>
                <w:sz w:val="18"/>
                <w:szCs w:val="18"/>
              </w:rPr>
            </w:pPr>
            <w:r>
              <w:rPr>
                <w:rFonts w:ascii="宋体" w:hAnsi="宋体" w:cs="宋体" w:eastAsia="宋体" w:hint="default"/>
                <w:sz w:val="18"/>
                <w:szCs w:val="18"/>
              </w:rPr>
              <w:t>红土创新基 金管理有限 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52" w:lineRule="auto"/>
              <w:ind w:left="284" w:right="283"/>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30" w:right="94"/>
              <w:jc w:val="left"/>
              <w:rPr>
                <w:rFonts w:ascii="宋体" w:hAnsi="宋体" w:cs="宋体" w:eastAsia="宋体" w:hint="default"/>
                <w:sz w:val="18"/>
                <w:szCs w:val="18"/>
              </w:rPr>
            </w:pPr>
            <w:r>
              <w:rPr>
                <w:rFonts w:ascii="宋体" w:hAnsi="宋体" w:cs="宋体" w:eastAsia="宋体" w:hint="default"/>
                <w:sz w:val="18"/>
                <w:szCs w:val="18"/>
              </w:rPr>
              <w:t>本公司本次认购思创医惠科技股份有限公司非公开发行股票的获配股份自上市 首日起十二个月内不上市交易。</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1" w:hRule="exact"/>
        </w:trPr>
        <w:tc>
          <w:tcPr>
            <w:tcW w:w="2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04" w:right="103"/>
              <w:jc w:val="center"/>
              <w:rPr>
                <w:rFonts w:ascii="宋体" w:hAnsi="宋体" w:cs="宋体" w:eastAsia="宋体" w:hint="default"/>
                <w:sz w:val="18"/>
                <w:szCs w:val="18"/>
              </w:rPr>
            </w:pPr>
            <w:r>
              <w:rPr>
                <w:rFonts w:ascii="宋体" w:hAnsi="宋体" w:cs="宋体" w:eastAsia="宋体" w:hint="default"/>
                <w:sz w:val="18"/>
                <w:szCs w:val="18"/>
              </w:rPr>
              <w:t>思创医惠科 技股份有限 公司</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94"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26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94"/>
              <w:jc w:val="both"/>
              <w:rPr>
                <w:rFonts w:ascii="宋体" w:hAnsi="宋体" w:cs="宋体" w:eastAsia="宋体" w:hint="default"/>
                <w:sz w:val="18"/>
                <w:szCs w:val="18"/>
              </w:rPr>
            </w:pPr>
            <w:r>
              <w:rPr>
                <w:rFonts w:ascii="宋体" w:hAnsi="宋体" w:cs="宋体" w:eastAsia="宋体" w:hint="default"/>
                <w:sz w:val="18"/>
                <w:szCs w:val="18"/>
              </w:rPr>
              <w:t>本激励计划相关信息披露文件不存在虚假记载、误导性陈述或者重大遗漏；本 公司不为激励对象依本激励计划获取有关股票期权和限制性股票提供贷款以及 其他任何形式的财务资助，包括为其贷款提供担保。</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6"/>
              <w:ind w:left="18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长期</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9" w:right="0"/>
              <w:jc w:val="center"/>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6" w:hRule="exact"/>
        </w:trPr>
        <w:tc>
          <w:tcPr>
            <w:tcW w:w="2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c>
          <w:tcPr>
            <w:tcW w:w="6261"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48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8"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1" w:hRule="exact"/>
        </w:trPr>
        <w:tc>
          <w:tcPr>
            <w:tcW w:w="28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59" w:right="60"/>
              <w:jc w:val="center"/>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1148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8"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6850" w:h="11910" w:orient="landscape"/>
          <w:pgMar w:header="857" w:footer="981" w:top="1040" w:bottom="1180" w:left="1320" w:right="960"/>
        </w:sectPr>
      </w:pPr>
    </w:p>
    <w:p>
      <w:pPr>
        <w:spacing w:line="240" w:lineRule="auto" w:before="11"/>
        <w:rPr>
          <w:rFonts w:ascii="Times New Roman" w:hAnsi="Times New Roman" w:cs="Times New Roman" w:eastAsia="Times New Roman" w:hint="default"/>
          <w:sz w:val="23"/>
          <w:szCs w:val="23"/>
        </w:rPr>
      </w:pPr>
    </w:p>
    <w:p>
      <w:pPr>
        <w:pStyle w:val="Heading5"/>
        <w:spacing w:line="247" w:lineRule="auto" w:before="35"/>
        <w:ind w:right="1086"/>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086"/>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1"/>
        <w:rPr>
          <w:rFonts w:ascii="宋体" w:hAnsi="宋体" w:cs="宋体" w:eastAsia="宋体" w:hint="default"/>
          <w:b/>
          <w:bCs/>
          <w:sz w:val="26"/>
          <w:szCs w:val="26"/>
        </w:rPr>
      </w:pPr>
    </w:p>
    <w:p>
      <w:pPr>
        <w:pStyle w:val="BodyText"/>
        <w:spacing w:line="331" w:lineRule="auto" w:before="0"/>
        <w:ind w:right="49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公司报告期不存在控股股东及其关联方对上市公司的非经营性占用资金。</w:t>
      </w:r>
    </w:p>
    <w:p>
      <w:pPr>
        <w:spacing w:line="240" w:lineRule="auto" w:before="10"/>
        <w:rPr>
          <w:rFonts w:ascii="宋体" w:hAnsi="宋体" w:cs="宋体" w:eastAsia="宋体" w:hint="default"/>
          <w:sz w:val="20"/>
          <w:szCs w:val="20"/>
        </w:rPr>
      </w:pPr>
    </w:p>
    <w:p>
      <w:pPr>
        <w:pStyle w:val="Heading2"/>
        <w:spacing w:line="240" w:lineRule="auto"/>
        <w:ind w:right="1086"/>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086"/>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086"/>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p>
      <w:pPr>
        <w:pStyle w:val="BodyText"/>
        <w:spacing w:line="412" w:lineRule="auto" w:before="0"/>
        <w:ind w:right="1126" w:firstLine="360"/>
        <w:jc w:val="both"/>
      </w:pPr>
      <w:r>
        <w:rPr/>
        <w:pict>
          <v:shape style="position:absolute;margin-left:56.325001pt;margin-top:54.791725pt;width:494.9pt;height:108.1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8"/>
                    <w:gridCol w:w="2808"/>
                    <w:gridCol w:w="2118"/>
                    <w:gridCol w:w="2321"/>
                  </w:tblGrid>
                  <w:tr>
                    <w:trPr>
                      <w:trHeight w:val="436" w:hRule="exact"/>
                    </w:trPr>
                    <w:tc>
                      <w:tcPr>
                        <w:tcW w:w="54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802" w:right="0"/>
                          <w:jc w:val="left"/>
                          <w:rPr>
                            <w:rFonts w:ascii="宋体" w:hAnsi="宋体" w:cs="宋体" w:eastAsia="宋体" w:hint="default"/>
                            <w:sz w:val="18"/>
                            <w:szCs w:val="18"/>
                          </w:rPr>
                        </w:pPr>
                        <w:r>
                          <w:rPr>
                            <w:rFonts w:ascii="宋体" w:hAnsi="宋体" w:cs="宋体" w:eastAsia="宋体" w:hint="default"/>
                            <w:sz w:val="18"/>
                            <w:szCs w:val="18"/>
                          </w:rPr>
                          <w:t>原列报报表项目及金额</w:t>
                        </w:r>
                      </w:p>
                    </w:tc>
                    <w:tc>
                      <w:tcPr>
                        <w:tcW w:w="4439"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left="1307" w:right="0"/>
                          <w:jc w:val="left"/>
                          <w:rPr>
                            <w:rFonts w:ascii="宋体" w:hAnsi="宋体" w:cs="宋体" w:eastAsia="宋体" w:hint="default"/>
                            <w:sz w:val="18"/>
                            <w:szCs w:val="18"/>
                          </w:rPr>
                        </w:pPr>
                        <w:r>
                          <w:rPr>
                            <w:rFonts w:ascii="宋体" w:hAnsi="宋体" w:cs="宋体" w:eastAsia="宋体" w:hint="default"/>
                            <w:sz w:val="18"/>
                            <w:szCs w:val="18"/>
                          </w:rPr>
                          <w:t>新列报报表项目及金额</w:t>
                        </w:r>
                      </w:p>
                    </w:tc>
                  </w:tr>
                  <w:tr>
                    <w:trPr>
                      <w:trHeight w:val="420" w:hRule="exact"/>
                    </w:trPr>
                    <w:tc>
                      <w:tcPr>
                        <w:tcW w:w="2628" w:type="dxa"/>
                        <w:vMerge w:val="restart"/>
                        <w:tcBorders>
                          <w:top w:val="single" w:sz="6" w:space="0" w:color="000000"/>
                          <w:left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808" w:type="dxa"/>
                        <w:vMerge w:val="restart"/>
                        <w:tcBorders>
                          <w:top w:val="single" w:sz="6" w:space="0" w:color="000000"/>
                          <w:left w:val="single" w:sz="6" w:space="0" w:color="000000"/>
                          <w:right w:val="single" w:sz="6" w:space="0" w:color="000000"/>
                        </w:tcBorders>
                      </w:tcPr>
                      <w:p>
                        <w:pPr>
                          <w:pStyle w:val="TableParagraph"/>
                          <w:spacing w:line="240" w:lineRule="auto" w:before="59"/>
                          <w:ind w:left="1532" w:right="0"/>
                          <w:jc w:val="left"/>
                          <w:rPr>
                            <w:rFonts w:ascii="宋体" w:hAnsi="宋体" w:cs="宋体" w:eastAsia="宋体" w:hint="default"/>
                            <w:sz w:val="18"/>
                            <w:szCs w:val="18"/>
                          </w:rPr>
                        </w:pPr>
                        <w:r>
                          <w:rPr>
                            <w:rFonts w:ascii="宋体"/>
                            <w:sz w:val="18"/>
                          </w:rPr>
                          <w:t>778,910,478.69</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4"/>
                          <w:jc w:val="right"/>
                          <w:rPr>
                            <w:rFonts w:ascii="宋体" w:hAnsi="宋体" w:cs="宋体" w:eastAsia="宋体" w:hint="default"/>
                            <w:sz w:val="18"/>
                            <w:szCs w:val="18"/>
                          </w:rPr>
                        </w:pPr>
                        <w:r>
                          <w:rPr>
                            <w:rFonts w:ascii="宋体"/>
                            <w:sz w:val="18"/>
                          </w:rPr>
                          <w:t>3,209,541.77</w:t>
                        </w:r>
                      </w:p>
                    </w:tc>
                  </w:tr>
                  <w:tr>
                    <w:trPr>
                      <w:trHeight w:val="435" w:hRule="exact"/>
                    </w:trPr>
                    <w:tc>
                      <w:tcPr>
                        <w:tcW w:w="2628" w:type="dxa"/>
                        <w:vMerge/>
                        <w:tcBorders>
                          <w:left w:val="single" w:sz="6" w:space="0" w:color="000000"/>
                          <w:bottom w:val="single" w:sz="6" w:space="0" w:color="000000"/>
                          <w:right w:val="single" w:sz="6" w:space="0" w:color="000000"/>
                        </w:tcBorders>
                      </w:tcPr>
                      <w:p>
                        <w:pPr/>
                      </w:p>
                    </w:tc>
                    <w:tc>
                      <w:tcPr>
                        <w:tcW w:w="2808" w:type="dxa"/>
                        <w:vMerge/>
                        <w:tcBorders>
                          <w:left w:val="single" w:sz="6" w:space="0" w:color="000000"/>
                          <w:bottom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6"/>
                          <w:jc w:val="right"/>
                          <w:rPr>
                            <w:rFonts w:ascii="宋体" w:hAnsi="宋体" w:cs="宋体" w:eastAsia="宋体" w:hint="default"/>
                            <w:sz w:val="18"/>
                            <w:szCs w:val="18"/>
                          </w:rPr>
                        </w:pPr>
                        <w:r>
                          <w:rPr>
                            <w:rFonts w:ascii="宋体"/>
                            <w:sz w:val="18"/>
                          </w:rPr>
                          <w:t>775,700,936.92</w:t>
                        </w:r>
                      </w:p>
                    </w:tc>
                  </w:tr>
                  <w:tr>
                    <w:trPr>
                      <w:trHeight w:val="421" w:hRule="exact"/>
                    </w:trPr>
                    <w:tc>
                      <w:tcPr>
                        <w:tcW w:w="2628" w:type="dxa"/>
                        <w:vMerge w:val="restart"/>
                        <w:tcBorders>
                          <w:top w:val="single" w:sz="6" w:space="0" w:color="000000"/>
                          <w:left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808" w:type="dxa"/>
                        <w:vMerge w:val="restart"/>
                        <w:tcBorders>
                          <w:top w:val="single" w:sz="6" w:space="0" w:color="000000"/>
                          <w:left w:val="single" w:sz="6" w:space="0" w:color="000000"/>
                          <w:right w:val="single" w:sz="6" w:space="0" w:color="000000"/>
                        </w:tcBorders>
                      </w:tcPr>
                      <w:p>
                        <w:pPr>
                          <w:pStyle w:val="TableParagraph"/>
                          <w:spacing w:line="240" w:lineRule="auto" w:before="60"/>
                          <w:ind w:left="1532" w:right="0"/>
                          <w:jc w:val="left"/>
                          <w:rPr>
                            <w:rFonts w:ascii="宋体" w:hAnsi="宋体" w:cs="宋体" w:eastAsia="宋体" w:hint="default"/>
                            <w:sz w:val="18"/>
                            <w:szCs w:val="18"/>
                          </w:rPr>
                        </w:pPr>
                        <w:r>
                          <w:rPr>
                            <w:rFonts w:ascii="宋体"/>
                            <w:sz w:val="18"/>
                          </w:rPr>
                          <w:t>153,957,511.37</w:t>
                        </w: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4"/>
                          <w:jc w:val="right"/>
                          <w:rPr>
                            <w:rFonts w:ascii="宋体" w:hAnsi="宋体" w:cs="宋体" w:eastAsia="宋体" w:hint="default"/>
                            <w:sz w:val="18"/>
                            <w:szCs w:val="18"/>
                          </w:rPr>
                        </w:pPr>
                        <w:r>
                          <w:rPr>
                            <w:rFonts w:ascii="宋体"/>
                            <w:sz w:val="18"/>
                          </w:rPr>
                          <w:t>22,396,727.46</w:t>
                        </w:r>
                      </w:p>
                    </w:tc>
                  </w:tr>
                  <w:tr>
                    <w:trPr>
                      <w:trHeight w:val="435" w:hRule="exact"/>
                    </w:trPr>
                    <w:tc>
                      <w:tcPr>
                        <w:tcW w:w="2628" w:type="dxa"/>
                        <w:vMerge/>
                        <w:tcBorders>
                          <w:left w:val="single" w:sz="6" w:space="0" w:color="000000"/>
                          <w:bottom w:val="single" w:sz="6" w:space="0" w:color="000000"/>
                          <w:right w:val="single" w:sz="6" w:space="0" w:color="000000"/>
                        </w:tcBorders>
                      </w:tcPr>
                      <w:p>
                        <w:pPr/>
                      </w:p>
                    </w:tc>
                    <w:tc>
                      <w:tcPr>
                        <w:tcW w:w="2808" w:type="dxa"/>
                        <w:vMerge/>
                        <w:tcBorders>
                          <w:left w:val="single" w:sz="6" w:space="0" w:color="000000"/>
                          <w:bottom w:val="single" w:sz="6" w:space="0" w:color="000000"/>
                          <w:right w:val="single" w:sz="6" w:space="0" w:color="000000"/>
                        </w:tcBorders>
                      </w:tcPr>
                      <w:p>
                        <w:pPr/>
                      </w:p>
                    </w:tc>
                    <w:tc>
                      <w:tcPr>
                        <w:tcW w:w="2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2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0"/>
                          <w:ind w:right="16"/>
                          <w:jc w:val="right"/>
                          <w:rPr>
                            <w:rFonts w:ascii="宋体" w:hAnsi="宋体" w:cs="宋体" w:eastAsia="宋体" w:hint="default"/>
                            <w:sz w:val="18"/>
                            <w:szCs w:val="18"/>
                          </w:rPr>
                        </w:pPr>
                        <w:r>
                          <w:rPr>
                            <w:rFonts w:ascii="宋体"/>
                            <w:sz w:val="18"/>
                          </w:rPr>
                          <w:t>131,560,783.91</w:t>
                        </w:r>
                      </w:p>
                    </w:tc>
                  </w:tr>
                </w:tbl>
                <w:p>
                  <w:pPr/>
                </w:p>
              </w:txbxContent>
            </v:textbox>
            <w10:wrap type="none"/>
          </v:shape>
        </w:pict>
      </w:r>
      <w:r>
        <w:rPr>
          <w:rFonts w:ascii="宋体" w:hAnsi="宋体" w:cs="宋体" w:eastAsia="宋体" w:hint="default"/>
        </w:rPr>
        <w:t>1.</w:t>
      </w:r>
      <w:r>
        <w:rPr>
          <w:rFonts w:ascii="宋体" w:hAnsi="宋体" w:cs="宋体" w:eastAsia="宋体" w:hint="default"/>
          <w:spacing w:val="24"/>
        </w:rPr>
        <w:t> </w:t>
      </w:r>
      <w:r>
        <w:rPr>
          <w:spacing w:val="-2"/>
        </w:rPr>
        <w:t>本公司根据财政部《关于修订印发</w:t>
      </w:r>
      <w:r>
        <w:rPr>
          <w:rFonts w:ascii="宋体" w:hAnsi="宋体" w:cs="宋体" w:eastAsia="宋体" w:hint="default"/>
          <w:spacing w:val="-2"/>
        </w:rPr>
        <w:t>2019</w:t>
      </w:r>
      <w:r>
        <w:rPr>
          <w:spacing w:val="-2"/>
        </w:rPr>
        <w:t>年度一般企业财务报表格式的通知》</w:t>
      </w:r>
      <w:r>
        <w:rPr>
          <w:rFonts w:ascii="宋体" w:hAnsi="宋体" w:cs="宋体" w:eastAsia="宋体" w:hint="default"/>
          <w:spacing w:val="-2"/>
        </w:rPr>
        <w:t>(</w:t>
      </w:r>
      <w:r>
        <w:rPr>
          <w:spacing w:val="-2"/>
        </w:rPr>
        <w:t>财会〔</w:t>
      </w:r>
      <w:r>
        <w:rPr>
          <w:rFonts w:ascii="宋体" w:hAnsi="宋体" w:cs="宋体" w:eastAsia="宋体" w:hint="default"/>
          <w:spacing w:val="-2"/>
        </w:rPr>
        <w:t>2019</w:t>
      </w:r>
      <w:r>
        <w:rPr>
          <w:spacing w:val="-2"/>
        </w:rPr>
        <w:t>〕</w:t>
      </w:r>
      <w:r>
        <w:rPr>
          <w:rFonts w:ascii="宋体" w:hAnsi="宋体" w:cs="宋体" w:eastAsia="宋体" w:hint="default"/>
          <w:spacing w:val="-2"/>
        </w:rPr>
        <w:t>6</w:t>
      </w:r>
      <w:r>
        <w:rPr>
          <w:spacing w:val="-2"/>
        </w:rPr>
        <w:t>号</w:t>
      </w:r>
      <w:r>
        <w:rPr>
          <w:rFonts w:ascii="宋体" w:hAnsi="宋体" w:cs="宋体" w:eastAsia="宋体" w:hint="default"/>
          <w:spacing w:val="-2"/>
        </w:rPr>
        <w:t>)</w:t>
      </w:r>
      <w:r>
        <w:rPr>
          <w:spacing w:val="-2"/>
        </w:rPr>
        <w:t>、《关于修订印发合</w:t>
      </w:r>
      <w:r>
        <w:rPr/>
        <w:t> </w:t>
      </w:r>
      <w:r>
        <w:rPr>
          <w:spacing w:val="-2"/>
        </w:rPr>
        <w:t>并财务报表格式（</w:t>
      </w:r>
      <w:r>
        <w:rPr>
          <w:rFonts w:ascii="宋体" w:hAnsi="宋体" w:cs="宋体" w:eastAsia="宋体" w:hint="default"/>
          <w:spacing w:val="-2"/>
        </w:rPr>
        <w:t>2019</w:t>
      </w:r>
      <w:r>
        <w:rPr>
          <w:spacing w:val="-2"/>
        </w:rPr>
        <w:t>版）的通知》</w:t>
      </w:r>
      <w:r>
        <w:rPr>
          <w:rFonts w:ascii="宋体" w:hAnsi="宋体" w:cs="宋体" w:eastAsia="宋体" w:hint="default"/>
          <w:spacing w:val="-2"/>
        </w:rPr>
        <w:t>(</w:t>
      </w:r>
      <w:r>
        <w:rPr>
          <w:spacing w:val="-2"/>
        </w:rPr>
        <w:t>财会〔</w:t>
      </w:r>
      <w:r>
        <w:rPr>
          <w:rFonts w:ascii="宋体" w:hAnsi="宋体" w:cs="宋体" w:eastAsia="宋体" w:hint="default"/>
          <w:spacing w:val="-2"/>
        </w:rPr>
        <w:t>2019</w:t>
      </w:r>
      <w:r>
        <w:rPr>
          <w:spacing w:val="-2"/>
        </w:rPr>
        <w:t>〕</w:t>
      </w:r>
      <w:r>
        <w:rPr>
          <w:rFonts w:ascii="宋体" w:hAnsi="宋体" w:cs="宋体" w:eastAsia="宋体" w:hint="default"/>
          <w:spacing w:val="-2"/>
        </w:rPr>
        <w:t>16</w:t>
      </w:r>
      <w:r>
        <w:rPr>
          <w:spacing w:val="-2"/>
        </w:rPr>
        <w:t>号</w:t>
      </w:r>
      <w:r>
        <w:rPr>
          <w:rFonts w:ascii="宋体" w:hAnsi="宋体" w:cs="宋体" w:eastAsia="宋体" w:hint="default"/>
          <w:spacing w:val="-2"/>
        </w:rPr>
        <w:t>)</w:t>
      </w:r>
      <w:r>
        <w:rPr>
          <w:spacing w:val="-2"/>
        </w:rPr>
        <w:t>和企业会计准则的要求编制</w:t>
      </w:r>
      <w:r>
        <w:rPr>
          <w:rFonts w:ascii="宋体" w:hAnsi="宋体" w:cs="宋体" w:eastAsia="宋体" w:hint="default"/>
          <w:spacing w:val="-2"/>
        </w:rPr>
        <w:t>2019</w:t>
      </w:r>
      <w:r>
        <w:rPr>
          <w:spacing w:val="-2"/>
        </w:rPr>
        <w:t>年度财务报表，此项会计政策变更</w:t>
      </w:r>
      <w:r>
        <w:rPr>
          <w:spacing w:val="-52"/>
        </w:rPr>
        <w:t> </w:t>
      </w:r>
      <w:r>
        <w:rPr>
          <w:spacing w:val="-52"/>
        </w:rPr>
      </w:r>
      <w:r>
        <w:rPr/>
        <w:t>采用追溯调整法。</w:t>
      </w:r>
      <w:r>
        <w:rPr>
          <w:rFonts w:ascii="宋体" w:hAnsi="宋体" w:cs="宋体" w:eastAsia="宋体" w:hint="default"/>
        </w:rPr>
        <w:t>2018</w:t>
      </w:r>
      <w:r>
        <w:rPr/>
        <w:t>年度财务报表受重要影响的报表项目和金额如下：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ind w:left="501" w:right="1086"/>
        <w:jc w:val="left"/>
      </w:pPr>
      <w:r>
        <w:rPr>
          <w:rFonts w:ascii="宋体" w:hAnsi="宋体" w:cs="宋体" w:eastAsia="宋体" w:hint="default"/>
        </w:rPr>
        <w:t>2.</w:t>
      </w:r>
      <w:r>
        <w:rPr>
          <w:rFonts w:ascii="宋体" w:hAnsi="宋体" w:cs="宋体" w:eastAsia="宋体" w:hint="default"/>
          <w:spacing w:val="5"/>
        </w:rPr>
        <w:t> </w:t>
      </w:r>
      <w:r>
        <w:rPr/>
        <w:t>本公司自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日起执行财政部修订后的《企业会计准则第</w:t>
      </w:r>
      <w:r>
        <w:rPr>
          <w:rFonts w:ascii="宋体" w:hAnsi="宋体" w:cs="宋体" w:eastAsia="宋体" w:hint="default"/>
        </w:rPr>
        <w:t>22</w:t>
      </w:r>
      <w:r>
        <w:rPr/>
        <w:t>号——金融工具确认和计量》《企业会计准则第</w:t>
      </w:r>
    </w:p>
    <w:p>
      <w:pPr>
        <w:pStyle w:val="BodyText"/>
        <w:spacing w:line="412" w:lineRule="auto" w:before="154"/>
        <w:ind w:right="1106"/>
        <w:jc w:val="both"/>
      </w:pPr>
      <w:r>
        <w:rPr>
          <w:rFonts w:ascii="宋体" w:hAnsi="宋体" w:cs="宋体" w:eastAsia="宋体" w:hint="default"/>
          <w:spacing w:val="-2"/>
        </w:rPr>
        <w:t>23</w:t>
      </w:r>
      <w:r>
        <w:rPr>
          <w:spacing w:val="-2"/>
        </w:rPr>
        <w:t>号——金融资产转移》《企业会计准则第</w:t>
      </w:r>
      <w:r>
        <w:rPr>
          <w:rFonts w:ascii="宋体" w:hAnsi="宋体" w:cs="宋体" w:eastAsia="宋体" w:hint="default"/>
          <w:spacing w:val="-2"/>
        </w:rPr>
        <w:t>24</w:t>
      </w:r>
      <w:r>
        <w:rPr>
          <w:spacing w:val="-2"/>
        </w:rPr>
        <w:t>号——套期保值》以及《企业会计准则第</w:t>
      </w:r>
      <w:r>
        <w:rPr>
          <w:rFonts w:ascii="宋体" w:hAnsi="宋体" w:cs="宋体" w:eastAsia="宋体" w:hint="default"/>
          <w:spacing w:val="-2"/>
        </w:rPr>
        <w:t>37</w:t>
      </w:r>
      <w:r>
        <w:rPr>
          <w:spacing w:val="-2"/>
        </w:rPr>
        <w:t>号——金融工具列报》（以下简称</w:t>
      </w:r>
      <w:r>
        <w:rPr>
          <w:spacing w:val="-63"/>
        </w:rPr>
        <w:t> </w:t>
      </w:r>
      <w:r>
        <w:rPr>
          <w:spacing w:val="-63"/>
        </w:rPr>
      </w:r>
      <w:r>
        <w:rPr>
          <w:spacing w:val="-2"/>
        </w:rPr>
        <w:t>新金融工具准则）。根据相关新旧准则衔接规定，对可比期间信息不予调整，首次执行日执行新准则与原准则的差异追溯调</w:t>
      </w:r>
      <w:r>
        <w:rPr>
          <w:spacing w:val="-42"/>
        </w:rPr>
        <w:t> </w:t>
      </w:r>
      <w:r>
        <w:rPr>
          <w:spacing w:val="-42"/>
        </w:rPr>
      </w:r>
      <w:r>
        <w:rPr/>
        <w:t>整本报告期期初留存收益或其他综合收益。</w:t>
      </w:r>
    </w:p>
    <w:p>
      <w:pPr>
        <w:pStyle w:val="BodyText"/>
        <w:spacing w:line="408" w:lineRule="auto" w:before="25"/>
        <w:ind w:right="1125" w:firstLine="360"/>
        <w:jc w:val="both"/>
      </w:pPr>
      <w:r>
        <w:rPr>
          <w:spacing w:val="-2"/>
        </w:rPr>
        <w:t>新金融工具准则改变了金融资产的分类和计量方式，确定了三个计量类别：摊余成本；以公允价值计量且其变动计入其</w:t>
      </w:r>
      <w:r>
        <w:rPr/>
        <w:t> </w:t>
      </w:r>
      <w:r>
        <w:rPr>
          <w:spacing w:val="-2"/>
        </w:rPr>
        <w:t>他综合收益；以公允价值计量且其变动计入当期损益。公司考虑自身业务模式，以及金融资产的合同现金流特征进行上述分</w:t>
      </w:r>
      <w:r>
        <w:rPr>
          <w:spacing w:val="-64"/>
        </w:rPr>
        <w:t> </w:t>
      </w:r>
      <w:r>
        <w:rPr>
          <w:spacing w:val="-64"/>
        </w:rPr>
      </w:r>
      <w:r>
        <w:rPr>
          <w:spacing w:val="-2"/>
        </w:rPr>
        <w:t>类。权益类投资需按公允价值计量且其变动计入当期损益，但非交易性权益类投资在初始确认时可选择按公允价值计量且其</w:t>
      </w:r>
      <w:r>
        <w:rPr>
          <w:spacing w:val="-72"/>
        </w:rPr>
        <w:t> </w:t>
      </w:r>
      <w:r>
        <w:rPr>
          <w:spacing w:val="-72"/>
        </w:rPr>
      </w:r>
      <w:r>
        <w:rPr/>
        <w:t>变动计入其他综合收益</w:t>
      </w:r>
      <w:r>
        <w:rPr>
          <w:rFonts w:ascii="宋体" w:hAnsi="宋体" w:cs="宋体" w:eastAsia="宋体" w:hint="default"/>
        </w:rPr>
        <w:t>(</w:t>
      </w:r>
      <w:r>
        <w:rPr/>
        <w:t>处置时的利得或损失不能回转到损益，但股利收入计入当期损益</w:t>
      </w:r>
      <w:r>
        <w:rPr>
          <w:rFonts w:ascii="宋体" w:hAnsi="宋体" w:cs="宋体" w:eastAsia="宋体" w:hint="default"/>
        </w:rPr>
        <w:t>)</w:t>
      </w:r>
      <w:r>
        <w:rPr/>
        <w:t>，且该选择不可撤销。</w:t>
      </w:r>
    </w:p>
    <w:p>
      <w:pPr>
        <w:pStyle w:val="BodyText"/>
        <w:spacing w:line="412" w:lineRule="auto"/>
        <w:ind w:right="1112" w:firstLine="360"/>
        <w:jc w:val="both"/>
      </w:pPr>
      <w:r>
        <w:rPr>
          <w:spacing w:val="-2"/>
        </w:rPr>
        <w:t>新金融工具准则要求金融资产减值计量由“已发生损失模型”改为“预期信用损失模型”，适用于以摊余成本计量的金</w:t>
      </w:r>
      <w:r>
        <w:rPr/>
        <w:t> 融资产、以公允价值计量且其变动计入其他综合收益的金融资产、租赁应收款。</w:t>
      </w:r>
    </w:p>
    <w:p>
      <w:pPr>
        <w:spacing w:after="0" w:line="412" w:lineRule="auto"/>
        <w:jc w:val="both"/>
        <w:sectPr>
          <w:headerReference w:type="default" r:id="rId16"/>
          <w:footerReference w:type="default" r:id="rId17"/>
          <w:pgSz w:w="11910" w:h="16850"/>
          <w:pgMar w:header="866" w:footer="981" w:top="1120" w:bottom="1180" w:left="1000" w:right="0"/>
          <w:pgNumType w:start="47"/>
        </w:sectPr>
      </w:pPr>
    </w:p>
    <w:p>
      <w:pPr>
        <w:spacing w:line="240" w:lineRule="auto" w:before="10"/>
        <w:rPr>
          <w:rFonts w:ascii="宋体" w:hAnsi="宋体" w:cs="宋体" w:eastAsia="宋体" w:hint="default"/>
          <w:sz w:val="28"/>
          <w:szCs w:val="28"/>
        </w:rPr>
      </w:pPr>
    </w:p>
    <w:p>
      <w:pPr>
        <w:pStyle w:val="BodyText"/>
        <w:spacing w:line="240" w:lineRule="auto"/>
        <w:ind w:left="501" w:right="1086"/>
        <w:jc w:val="left"/>
      </w:pPr>
      <w:r>
        <w:rPr/>
        <w:t>（</w:t>
      </w:r>
      <w:r>
        <w:rPr>
          <w:rFonts w:ascii="宋体" w:hAnsi="宋体" w:cs="宋体" w:eastAsia="宋体" w:hint="default"/>
        </w:rPr>
        <w:t>1</w:t>
      </w:r>
      <w:r>
        <w:rPr/>
        <w:t>）执行新金融工具准则对公司</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日财务报表的主要影响如下：</w:t>
      </w:r>
    </w:p>
    <w:p>
      <w:pPr>
        <w:spacing w:line="240" w:lineRule="auto" w:before="12"/>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974"/>
        <w:gridCol w:w="1848"/>
        <w:gridCol w:w="2283"/>
        <w:gridCol w:w="1983"/>
      </w:tblGrid>
      <w:tr>
        <w:trPr>
          <w:trHeight w:val="330" w:hRule="exact"/>
        </w:trPr>
        <w:tc>
          <w:tcPr>
            <w:tcW w:w="2974"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195"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611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08" w:right="0"/>
              <w:jc w:val="center"/>
              <w:rPr>
                <w:rFonts w:ascii="宋体" w:hAnsi="宋体" w:cs="宋体" w:eastAsia="宋体" w:hint="default"/>
                <w:sz w:val="18"/>
                <w:szCs w:val="18"/>
              </w:rPr>
            </w:pPr>
            <w:r>
              <w:rPr>
                <w:rFonts w:ascii="宋体" w:hAnsi="宋体" w:cs="宋体" w:eastAsia="宋体" w:hint="default"/>
                <w:sz w:val="18"/>
                <w:szCs w:val="18"/>
              </w:rPr>
              <w:t>资产负债表</w:t>
            </w:r>
          </w:p>
        </w:tc>
      </w:tr>
      <w:tr>
        <w:trPr>
          <w:trHeight w:val="660" w:hRule="exact"/>
        </w:trPr>
        <w:tc>
          <w:tcPr>
            <w:tcW w:w="2974" w:type="dxa"/>
            <w:vMerge/>
            <w:tcBorders>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780" w:right="495" w:hanging="271"/>
              <w:jc w:val="left"/>
              <w:rPr>
                <w:rFonts w:ascii="宋体" w:hAnsi="宋体" w:cs="宋体" w:eastAsia="宋体" w:hint="default"/>
                <w:sz w:val="18"/>
                <w:szCs w:val="18"/>
              </w:rPr>
            </w:pPr>
            <w:r>
              <w:rPr>
                <w:rFonts w:ascii="宋体" w:hAnsi="宋体" w:cs="宋体" w:eastAsia="宋体" w:hint="default"/>
                <w:sz w:val="18"/>
                <w:szCs w:val="18"/>
              </w:rPr>
              <w:t>新金融工具准则 调整影响</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1</w:t>
            </w:r>
            <w:r>
              <w:rPr>
                <w:rFonts w:ascii="宋体" w:hAnsi="宋体" w:cs="宋体" w:eastAsia="宋体" w:hint="default"/>
                <w:sz w:val="18"/>
                <w:szCs w:val="18"/>
              </w:rPr>
              <w:t>月</w:t>
            </w:r>
            <w:r>
              <w:rPr>
                <w:rFonts w:ascii="宋体" w:hAnsi="宋体" w:cs="宋体" w:eastAsia="宋体" w:hint="default"/>
                <w:sz w:val="18"/>
                <w:szCs w:val="18"/>
              </w:rPr>
              <w:t>1</w:t>
            </w:r>
            <w:r>
              <w:rPr>
                <w:rFonts w:ascii="宋体" w:hAnsi="宋体" w:cs="宋体" w:eastAsia="宋体" w:hint="default"/>
                <w:sz w:val="18"/>
                <w:szCs w:val="18"/>
              </w:rPr>
              <w:t>日</w:t>
            </w:r>
          </w:p>
        </w:tc>
      </w:tr>
      <w:tr>
        <w:trPr>
          <w:trHeight w:val="346"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3,209,541.77</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-2,502,954.35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706,587.42</w:t>
            </w:r>
          </w:p>
        </w:tc>
      </w:tr>
      <w:tr>
        <w:trPr>
          <w:trHeight w:val="345"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184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2,502,954.35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2,502,954.35</w:t>
            </w:r>
          </w:p>
        </w:tc>
      </w:tr>
      <w:tr>
        <w:trPr>
          <w:trHeight w:val="330"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right"/>
              <w:rPr>
                <w:rFonts w:ascii="宋体" w:hAnsi="宋体" w:cs="宋体" w:eastAsia="宋体" w:hint="default"/>
                <w:sz w:val="18"/>
                <w:szCs w:val="18"/>
              </w:rPr>
            </w:pPr>
            <w:r>
              <w:rPr>
                <w:rFonts w:ascii="宋体"/>
                <w:sz w:val="18"/>
              </w:rPr>
              <w:t>144,293,265.00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-144,293,265.00</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144,293,265.00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144,293,265.00</w:t>
            </w:r>
          </w:p>
        </w:tc>
      </w:tr>
      <w:tr>
        <w:trPr>
          <w:trHeight w:val="346"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567,025,913.80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3,050,500.93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570,076,414.73</w:t>
            </w:r>
          </w:p>
        </w:tc>
      </w:tr>
      <w:tr>
        <w:trPr>
          <w:trHeight w:val="735"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ind w:left="930" w:right="46" w:hanging="901"/>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4,293,047.58</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-4,293,047.58</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1848" w:type="dxa"/>
            <w:tcBorders>
              <w:top w:val="single" w:sz="6" w:space="0" w:color="000000"/>
              <w:left w:val="single" w:sz="6" w:space="0" w:color="000000"/>
              <w:bottom w:val="single" w:sz="6" w:space="0" w:color="000000"/>
              <w:right w:val="single" w:sz="6" w:space="0" w:color="000000"/>
            </w:tcBorders>
          </w:tcPr>
          <w:p>
            <w:pP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4,293,047.58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4,293,047.58</w:t>
            </w:r>
          </w:p>
        </w:tc>
      </w:tr>
      <w:tr>
        <w:trPr>
          <w:trHeight w:val="346"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25,736,158.45</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-3,407,792.13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22,328,366.32</w:t>
            </w:r>
          </w:p>
        </w:tc>
      </w:tr>
      <w:tr>
        <w:trPr>
          <w:trHeight w:val="330"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95,935,080.00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128,689.80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96,063,769.80</w:t>
            </w:r>
          </w:p>
        </w:tc>
      </w:tr>
      <w:tr>
        <w:trPr>
          <w:trHeight w:val="345" w:hRule="exact"/>
        </w:trPr>
        <w:tc>
          <w:tcPr>
            <w:tcW w:w="2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192,948,000.00</w:t>
            </w:r>
          </w:p>
        </w:tc>
        <w:tc>
          <w:tcPr>
            <w:tcW w:w="22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228,601.40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193,176,601.40</w:t>
            </w:r>
          </w:p>
        </w:tc>
      </w:tr>
    </w:tbl>
    <w:p>
      <w:pPr>
        <w:spacing w:line="240" w:lineRule="auto" w:before="8"/>
        <w:rPr>
          <w:rFonts w:ascii="宋体" w:hAnsi="宋体" w:cs="宋体" w:eastAsia="宋体" w:hint="default"/>
          <w:sz w:val="4"/>
          <w:szCs w:val="4"/>
        </w:rPr>
      </w:pPr>
    </w:p>
    <w:p>
      <w:pPr>
        <w:pStyle w:val="BodyText"/>
        <w:spacing w:line="412" w:lineRule="auto"/>
        <w:ind w:right="1119" w:firstLine="360"/>
        <w:jc w:val="left"/>
      </w:pPr>
      <w:r>
        <w:rPr/>
        <w:pict>
          <v:shape style="position:absolute;margin-left:56.325001pt;margin-top:36.741730pt;width:467.45pt;height:386.6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37"/>
                    <w:gridCol w:w="1848"/>
                    <w:gridCol w:w="1697"/>
                    <w:gridCol w:w="1847"/>
                    <w:gridCol w:w="1697"/>
                  </w:tblGrid>
                  <w:tr>
                    <w:trPr>
                      <w:trHeight w:val="345" w:hRule="exact"/>
                    </w:trPr>
                    <w:tc>
                      <w:tcPr>
                        <w:tcW w:w="2237"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3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32"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354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231"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5" w:hRule="exact"/>
                    </w:trPr>
                    <w:tc>
                      <w:tcPr>
                        <w:tcW w:w="2237" w:type="dxa"/>
                        <w:vMerge/>
                        <w:tcBorders>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7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6"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7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09"/>
                          <w:jc w:val="right"/>
                          <w:rPr>
                            <w:rFonts w:ascii="宋体" w:hAnsi="宋体" w:cs="宋体" w:eastAsia="宋体" w:hint="default"/>
                            <w:sz w:val="18"/>
                            <w:szCs w:val="18"/>
                          </w:rPr>
                        </w:pPr>
                        <w:r>
                          <w:rPr>
                            <w:rFonts w:ascii="宋体"/>
                            <w:sz w:val="18"/>
                          </w:rPr>
                          <w:t>482,794,143.90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10" w:right="0"/>
                          <w:jc w:val="left"/>
                          <w:rPr>
                            <w:rFonts w:ascii="宋体" w:hAnsi="宋体" w:cs="宋体" w:eastAsia="宋体" w:hint="default"/>
                            <w:sz w:val="18"/>
                            <w:szCs w:val="18"/>
                          </w:rPr>
                        </w:pPr>
                        <w:r>
                          <w:rPr>
                            <w:rFonts w:ascii="宋体"/>
                            <w:sz w:val="18"/>
                          </w:rPr>
                          <w:t>482,794,143.90</w:t>
                        </w:r>
                      </w:p>
                    </w:tc>
                  </w:tr>
                  <w:tr>
                    <w:trPr>
                      <w:trHeight w:val="331"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70"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9"/>
                          <w:jc w:val="right"/>
                          <w:rPr>
                            <w:rFonts w:ascii="宋体" w:hAnsi="宋体" w:cs="宋体" w:eastAsia="宋体" w:hint="default"/>
                            <w:sz w:val="18"/>
                            <w:szCs w:val="18"/>
                          </w:rPr>
                        </w:pPr>
                        <w:r>
                          <w:rPr>
                            <w:rFonts w:ascii="宋体"/>
                            <w:sz w:val="18"/>
                          </w:rPr>
                          <w:t>3,209,541.77</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sz w:val="18"/>
                          </w:rPr>
                          <w:t>706,587.42</w:t>
                        </w:r>
                      </w:p>
                    </w:tc>
                  </w:tr>
                  <w:tr>
                    <w:trPr>
                      <w:trHeight w:val="661"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应收款项融资</w:t>
                        </w:r>
                      </w:p>
                    </w:tc>
                    <w:tc>
                      <w:tcPr>
                        <w:tcW w:w="184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105" w:right="15" w:hanging="91"/>
                          <w:jc w:val="left"/>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0" w:right="0"/>
                          <w:jc w:val="left"/>
                          <w:rPr>
                            <w:rFonts w:ascii="宋体" w:hAnsi="宋体" w:cs="宋体" w:eastAsia="宋体" w:hint="default"/>
                            <w:sz w:val="18"/>
                            <w:szCs w:val="18"/>
                          </w:rPr>
                        </w:pPr>
                        <w:r>
                          <w:rPr>
                            <w:rFonts w:ascii="宋体"/>
                            <w:sz w:val="18"/>
                          </w:rPr>
                          <w:t>2,502,954.35</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70"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9"/>
                          <w:jc w:val="right"/>
                          <w:rPr>
                            <w:rFonts w:ascii="宋体" w:hAnsi="宋体" w:cs="宋体" w:eastAsia="宋体" w:hint="default"/>
                            <w:sz w:val="18"/>
                            <w:szCs w:val="18"/>
                          </w:rPr>
                        </w:pPr>
                        <w:r>
                          <w:rPr>
                            <w:rFonts w:ascii="宋体"/>
                            <w:sz w:val="18"/>
                          </w:rPr>
                          <w:t>775,700,936.92</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10" w:right="0"/>
                          <w:jc w:val="left"/>
                          <w:rPr>
                            <w:rFonts w:ascii="宋体" w:hAnsi="宋体" w:cs="宋体" w:eastAsia="宋体" w:hint="default"/>
                            <w:sz w:val="18"/>
                            <w:szCs w:val="18"/>
                          </w:rPr>
                        </w:pPr>
                        <w:r>
                          <w:rPr>
                            <w:rFonts w:ascii="宋体"/>
                            <w:sz w:val="18"/>
                          </w:rPr>
                          <w:t>775,700,936.92</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54"/>
                          <w:jc w:val="right"/>
                          <w:rPr>
                            <w:rFonts w:ascii="宋体" w:hAnsi="宋体" w:cs="宋体" w:eastAsia="宋体" w:hint="default"/>
                            <w:sz w:val="18"/>
                            <w:szCs w:val="18"/>
                          </w:rPr>
                        </w:pPr>
                        <w:r>
                          <w:rPr>
                            <w:rFonts w:ascii="宋体"/>
                            <w:sz w:val="18"/>
                          </w:rPr>
                          <w:t>82,292,806.84</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55" w:right="0"/>
                          <w:jc w:val="left"/>
                          <w:rPr>
                            <w:rFonts w:ascii="宋体" w:hAnsi="宋体" w:cs="宋体" w:eastAsia="宋体" w:hint="default"/>
                            <w:sz w:val="18"/>
                            <w:szCs w:val="18"/>
                          </w:rPr>
                        </w:pPr>
                        <w:r>
                          <w:rPr>
                            <w:rFonts w:ascii="宋体"/>
                            <w:sz w:val="18"/>
                          </w:rPr>
                          <w:t>82,292,806.84</w:t>
                        </w:r>
                      </w:p>
                    </w:tc>
                  </w:tr>
                  <w:tr>
                    <w:trPr>
                      <w:trHeight w:val="33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长期应收款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70" w:right="0"/>
                          <w:jc w:val="left"/>
                          <w:rPr>
                            <w:rFonts w:ascii="宋体" w:hAnsi="宋体" w:cs="宋体" w:eastAsia="宋体" w:hint="default"/>
                            <w:sz w:val="18"/>
                            <w:szCs w:val="18"/>
                          </w:rPr>
                        </w:pPr>
                        <w:r>
                          <w:rPr>
                            <w:rFonts w:ascii="宋体" w:hAnsi="宋体" w:cs="宋体" w:eastAsia="宋体" w:hint="default"/>
                            <w:sz w:val="18"/>
                            <w:szCs w:val="18"/>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54"/>
                          <w:jc w:val="right"/>
                          <w:rPr>
                            <w:rFonts w:ascii="宋体" w:hAnsi="宋体" w:cs="宋体" w:eastAsia="宋体" w:hint="default"/>
                            <w:sz w:val="18"/>
                            <w:szCs w:val="18"/>
                          </w:rPr>
                        </w:pPr>
                        <w:r>
                          <w:rPr>
                            <w:rFonts w:ascii="宋体"/>
                            <w:sz w:val="18"/>
                          </w:rPr>
                          <w:t>53,659,554.80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55" w:right="0"/>
                          <w:jc w:val="left"/>
                          <w:rPr>
                            <w:rFonts w:ascii="宋体" w:hAnsi="宋体" w:cs="宋体" w:eastAsia="宋体" w:hint="default"/>
                            <w:sz w:val="18"/>
                            <w:szCs w:val="18"/>
                          </w:rPr>
                        </w:pPr>
                        <w:r>
                          <w:rPr>
                            <w:rFonts w:ascii="宋体"/>
                            <w:sz w:val="18"/>
                          </w:rPr>
                          <w:t>53,659,554.80</w:t>
                        </w:r>
                      </w:p>
                    </w:tc>
                  </w:tr>
                  <w:tr>
                    <w:trPr>
                      <w:trHeight w:val="661"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left="541" w:right="30" w:hanging="541"/>
                          <w:jc w:val="left"/>
                          <w:rPr>
                            <w:rFonts w:ascii="宋体" w:hAnsi="宋体" w:cs="宋体" w:eastAsia="宋体" w:hint="default"/>
                            <w:sz w:val="18"/>
                            <w:szCs w:val="18"/>
                          </w:rPr>
                        </w:pPr>
                        <w:r>
                          <w:rPr>
                            <w:rFonts w:ascii="宋体" w:hAnsi="宋体" w:cs="宋体" w:eastAsia="宋体" w:hint="default"/>
                            <w:sz w:val="18"/>
                            <w:szCs w:val="18"/>
                          </w:rPr>
                          <w:t>以成本计量的可供出售 金融资产</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9"/>
                          <w:jc w:val="right"/>
                          <w:rPr>
                            <w:rFonts w:ascii="宋体" w:hAnsi="宋体" w:cs="宋体" w:eastAsia="宋体" w:hint="default"/>
                            <w:sz w:val="18"/>
                            <w:szCs w:val="18"/>
                          </w:rPr>
                        </w:pPr>
                        <w:r>
                          <w:rPr>
                            <w:rFonts w:ascii="宋体"/>
                            <w:sz w:val="18"/>
                          </w:rPr>
                          <w:t>144,293,265.00</w:t>
                        </w:r>
                      </w:p>
                    </w:tc>
                    <w:tc>
                      <w:tcPr>
                        <w:tcW w:w="184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285" w:right="15" w:hanging="271"/>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10" w:right="0"/>
                          <w:jc w:val="left"/>
                          <w:rPr>
                            <w:rFonts w:ascii="宋体" w:hAnsi="宋体" w:cs="宋体" w:eastAsia="宋体" w:hint="default"/>
                            <w:sz w:val="18"/>
                            <w:szCs w:val="18"/>
                          </w:rPr>
                        </w:pPr>
                        <w:r>
                          <w:rPr>
                            <w:rFonts w:ascii="宋体"/>
                            <w:sz w:val="18"/>
                          </w:rPr>
                          <w:t>144,293,265.00</w:t>
                        </w:r>
                      </w:p>
                    </w:tc>
                  </w:tr>
                  <w:tr>
                    <w:trPr>
                      <w:trHeight w:val="33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9"/>
                          <w:jc w:val="right"/>
                          <w:rPr>
                            <w:rFonts w:ascii="宋体" w:hAnsi="宋体" w:cs="宋体" w:eastAsia="宋体" w:hint="default"/>
                            <w:sz w:val="18"/>
                            <w:szCs w:val="18"/>
                          </w:rPr>
                        </w:pPr>
                        <w:r>
                          <w:rPr>
                            <w:rFonts w:ascii="宋体"/>
                            <w:sz w:val="18"/>
                          </w:rPr>
                          <w:t>567,025,913.80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10" w:right="0"/>
                          <w:jc w:val="left"/>
                          <w:rPr>
                            <w:rFonts w:ascii="宋体" w:hAnsi="宋体" w:cs="宋体" w:eastAsia="宋体" w:hint="default"/>
                            <w:sz w:val="18"/>
                            <w:szCs w:val="18"/>
                          </w:rPr>
                        </w:pPr>
                        <w:r>
                          <w:rPr>
                            <w:rFonts w:ascii="宋体"/>
                            <w:sz w:val="18"/>
                          </w:rPr>
                          <w:t>570,076,414.73</w:t>
                        </w:r>
                      </w:p>
                    </w:tc>
                  </w:tr>
                  <w:tr>
                    <w:trPr>
                      <w:trHeight w:val="661"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210" w:right="31" w:hanging="180"/>
                          <w:jc w:val="left"/>
                          <w:rPr>
                            <w:rFonts w:ascii="宋体" w:hAnsi="宋体" w:cs="宋体" w:eastAsia="宋体" w:hint="default"/>
                            <w:sz w:val="18"/>
                            <w:szCs w:val="18"/>
                          </w:rPr>
                        </w:pPr>
                        <w:r>
                          <w:rPr>
                            <w:rFonts w:ascii="宋体" w:hAnsi="宋体" w:cs="宋体" w:eastAsia="宋体" w:hint="default"/>
                            <w:sz w:val="18"/>
                            <w:szCs w:val="18"/>
                          </w:rPr>
                          <w:t>以公允价值计量且其变动计 入当期损益的金融负债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270" w:right="30" w:hanging="271"/>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99"/>
                          <w:jc w:val="right"/>
                          <w:rPr>
                            <w:rFonts w:ascii="宋体" w:hAnsi="宋体" w:cs="宋体" w:eastAsia="宋体" w:hint="default"/>
                            <w:sz w:val="18"/>
                            <w:szCs w:val="18"/>
                          </w:rPr>
                        </w:pPr>
                        <w:r>
                          <w:rPr>
                            <w:rFonts w:ascii="宋体"/>
                            <w:sz w:val="18"/>
                          </w:rPr>
                          <w:t>4,293,047.58</w:t>
                        </w:r>
                      </w:p>
                    </w:tc>
                    <w:tc>
                      <w:tcPr>
                        <w:tcW w:w="184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184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285" w:right="15" w:hanging="271"/>
                          <w:jc w:val="left"/>
                          <w:rPr>
                            <w:rFonts w:ascii="宋体" w:hAnsi="宋体" w:cs="宋体" w:eastAsia="宋体" w:hint="default"/>
                            <w:sz w:val="18"/>
                            <w:szCs w:val="18"/>
                          </w:rPr>
                        </w:pPr>
                        <w:r>
                          <w:rPr>
                            <w:rFonts w:ascii="宋体" w:hAnsi="宋体" w:cs="宋体" w:eastAsia="宋体" w:hint="default"/>
                            <w:sz w:val="18"/>
                            <w:szCs w:val="18"/>
                          </w:rPr>
                          <w:t>以公允价值计量且其变 动计入当期损益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00" w:right="0"/>
                          <w:jc w:val="left"/>
                          <w:rPr>
                            <w:rFonts w:ascii="宋体" w:hAnsi="宋体" w:cs="宋体" w:eastAsia="宋体" w:hint="default"/>
                            <w:sz w:val="18"/>
                            <w:szCs w:val="18"/>
                          </w:rPr>
                        </w:pPr>
                        <w:r>
                          <w:rPr>
                            <w:rFonts w:ascii="宋体"/>
                            <w:sz w:val="18"/>
                          </w:rPr>
                          <w:t>4,293,047.58</w:t>
                        </w:r>
                      </w:p>
                    </w:tc>
                  </w:tr>
                  <w:tr>
                    <w:trPr>
                      <w:trHeight w:val="33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54"/>
                          <w:jc w:val="right"/>
                          <w:rPr>
                            <w:rFonts w:ascii="宋体" w:hAnsi="宋体" w:cs="宋体" w:eastAsia="宋体" w:hint="default"/>
                            <w:sz w:val="18"/>
                            <w:szCs w:val="18"/>
                          </w:rPr>
                        </w:pPr>
                        <w:r>
                          <w:rPr>
                            <w:rFonts w:ascii="宋体"/>
                            <w:sz w:val="18"/>
                          </w:rPr>
                          <w:t>22,396,727.46</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55" w:right="0"/>
                          <w:jc w:val="left"/>
                          <w:rPr>
                            <w:rFonts w:ascii="宋体" w:hAnsi="宋体" w:cs="宋体" w:eastAsia="宋体" w:hint="default"/>
                            <w:sz w:val="18"/>
                            <w:szCs w:val="18"/>
                          </w:rPr>
                        </w:pPr>
                        <w:r>
                          <w:rPr>
                            <w:rFonts w:ascii="宋体"/>
                            <w:sz w:val="18"/>
                          </w:rPr>
                          <w:t>22,396,727.46</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09"/>
                          <w:jc w:val="right"/>
                          <w:rPr>
                            <w:rFonts w:ascii="宋体" w:hAnsi="宋体" w:cs="宋体" w:eastAsia="宋体" w:hint="default"/>
                            <w:sz w:val="18"/>
                            <w:szCs w:val="18"/>
                          </w:rPr>
                        </w:pPr>
                        <w:r>
                          <w:rPr>
                            <w:rFonts w:ascii="宋体"/>
                            <w:sz w:val="18"/>
                          </w:rPr>
                          <w:t>131,560,783.91</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10" w:right="0"/>
                          <w:jc w:val="left"/>
                          <w:rPr>
                            <w:rFonts w:ascii="宋体" w:hAnsi="宋体" w:cs="宋体" w:eastAsia="宋体" w:hint="default"/>
                            <w:sz w:val="18"/>
                            <w:szCs w:val="18"/>
                          </w:rPr>
                        </w:pPr>
                        <w:r>
                          <w:rPr>
                            <w:rFonts w:ascii="宋体"/>
                            <w:sz w:val="18"/>
                          </w:rPr>
                          <w:t>131,560,783.91</w:t>
                        </w:r>
                      </w:p>
                    </w:tc>
                  </w:tr>
                  <w:tr>
                    <w:trPr>
                      <w:trHeight w:val="34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60" w:right="0"/>
                          <w:jc w:val="left"/>
                          <w:rPr>
                            <w:rFonts w:ascii="宋体" w:hAnsi="宋体" w:cs="宋体" w:eastAsia="宋体" w:hint="default"/>
                            <w:sz w:val="18"/>
                            <w:szCs w:val="18"/>
                          </w:rPr>
                        </w:pPr>
                        <w:r>
                          <w:rPr>
                            <w:rFonts w:ascii="宋体" w:hAnsi="宋体" w:cs="宋体" w:eastAsia="宋体" w:hint="default"/>
                            <w:sz w:val="18"/>
                            <w:szCs w:val="18"/>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254"/>
                          <w:jc w:val="right"/>
                          <w:rPr>
                            <w:rFonts w:ascii="宋体" w:hAnsi="宋体" w:cs="宋体" w:eastAsia="宋体" w:hint="default"/>
                            <w:sz w:val="18"/>
                            <w:szCs w:val="18"/>
                          </w:rPr>
                        </w:pPr>
                        <w:r>
                          <w:rPr>
                            <w:rFonts w:ascii="宋体"/>
                            <w:sz w:val="18"/>
                          </w:rPr>
                          <w:t>25,736,158.45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5" w:right="0"/>
                          <w:jc w:val="left"/>
                          <w:rPr>
                            <w:rFonts w:ascii="宋体" w:hAnsi="宋体" w:cs="宋体" w:eastAsia="宋体" w:hint="default"/>
                            <w:sz w:val="18"/>
                            <w:szCs w:val="18"/>
                          </w:rPr>
                        </w:pPr>
                        <w:r>
                          <w:rPr>
                            <w:rFonts w:ascii="宋体"/>
                            <w:sz w:val="18"/>
                          </w:rPr>
                          <w:t>22,328,366.32</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54"/>
                          <w:jc w:val="right"/>
                          <w:rPr>
                            <w:rFonts w:ascii="宋体" w:hAnsi="宋体" w:cs="宋体" w:eastAsia="宋体" w:hint="default"/>
                            <w:sz w:val="18"/>
                            <w:szCs w:val="18"/>
                          </w:rPr>
                        </w:pPr>
                        <w:r>
                          <w:rPr>
                            <w:rFonts w:ascii="宋体"/>
                            <w:sz w:val="18"/>
                          </w:rPr>
                          <w:t>95,935,080.00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55" w:right="0"/>
                          <w:jc w:val="left"/>
                          <w:rPr>
                            <w:rFonts w:ascii="宋体" w:hAnsi="宋体" w:cs="宋体" w:eastAsia="宋体" w:hint="default"/>
                            <w:sz w:val="18"/>
                            <w:szCs w:val="18"/>
                          </w:rPr>
                        </w:pPr>
                        <w:r>
                          <w:rPr>
                            <w:rFonts w:ascii="宋体"/>
                            <w:sz w:val="18"/>
                          </w:rPr>
                          <w:t>96,063,769.80</w:t>
                        </w:r>
                      </w:p>
                    </w:tc>
                  </w:tr>
                  <w:tr>
                    <w:trPr>
                      <w:trHeight w:val="33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209"/>
                          <w:jc w:val="right"/>
                          <w:rPr>
                            <w:rFonts w:ascii="宋体" w:hAnsi="宋体" w:cs="宋体" w:eastAsia="宋体" w:hint="default"/>
                            <w:sz w:val="18"/>
                            <w:szCs w:val="18"/>
                          </w:rPr>
                        </w:pPr>
                        <w:r>
                          <w:rPr>
                            <w:rFonts w:ascii="宋体"/>
                            <w:sz w:val="18"/>
                          </w:rPr>
                          <w:t>192,948,000.00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摊余成本计量</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10" w:right="0"/>
                          <w:jc w:val="left"/>
                          <w:rPr>
                            <w:rFonts w:ascii="宋体" w:hAnsi="宋体" w:cs="宋体" w:eastAsia="宋体" w:hint="default"/>
                            <w:sz w:val="18"/>
                            <w:szCs w:val="18"/>
                          </w:rPr>
                        </w:pPr>
                        <w:r>
                          <w:rPr>
                            <w:rFonts w:ascii="宋体"/>
                            <w:sz w:val="18"/>
                          </w:rPr>
                          <w:t>193,176,601.40</w:t>
                        </w:r>
                      </w:p>
                    </w:tc>
                  </w:tr>
                </w:tbl>
                <w:p>
                  <w:pPr/>
                </w:p>
              </w:txbxContent>
            </v:textbox>
            <w10:wrap type="none"/>
          </v:shape>
        </w:pict>
      </w:r>
      <w:r>
        <w:rPr/>
        <w:t>（</w:t>
      </w: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日，公司金融资产和金融负债按照新金融工具准则和按原金融工具准则的规定进行分类和计量结果对 比如下表：</w:t>
      </w:r>
    </w:p>
    <w:p>
      <w:pPr>
        <w:spacing w:after="0" w:line="412" w:lineRule="auto"/>
        <w:jc w:val="left"/>
        <w:sectPr>
          <w:pgSz w:w="11910" w:h="16850"/>
          <w:pgMar w:header="866" w:footer="981" w:top="1120" w:bottom="1180" w:left="1000" w:right="0"/>
        </w:sectPr>
      </w:pPr>
    </w:p>
    <w:p>
      <w:pPr>
        <w:spacing w:line="240" w:lineRule="auto" w:before="10"/>
        <w:rPr>
          <w:rFonts w:ascii="宋体" w:hAnsi="宋体" w:cs="宋体" w:eastAsia="宋体" w:hint="default"/>
          <w:sz w:val="28"/>
          <w:szCs w:val="28"/>
        </w:rPr>
      </w:pPr>
      <w:r>
        <w:rPr/>
        <w:pict>
          <v:shape style="position:absolute;margin-left:56.325001pt;margin-top:111.849998pt;width:475pt;height:659.1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52"/>
                    <w:gridCol w:w="571"/>
                    <w:gridCol w:w="1982"/>
                    <w:gridCol w:w="1848"/>
                    <w:gridCol w:w="1141"/>
                    <w:gridCol w:w="1982"/>
                  </w:tblGrid>
                  <w:tr>
                    <w:trPr>
                      <w:trHeight w:val="976"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5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321" w:lineRule="auto"/>
                          <w:ind w:left="360" w:right="17" w:hanging="361"/>
                          <w:jc w:val="left"/>
                          <w:rPr>
                            <w:rFonts w:ascii="宋体" w:hAnsi="宋体" w:cs="宋体" w:eastAsia="宋体" w:hint="default"/>
                            <w:sz w:val="18"/>
                            <w:szCs w:val="18"/>
                          </w:rPr>
                        </w:pPr>
                        <w:r>
                          <w:rPr>
                            <w:rFonts w:ascii="宋体" w:hAnsi="宋体" w:cs="宋体" w:eastAsia="宋体" w:hint="default"/>
                            <w:sz w:val="18"/>
                            <w:szCs w:val="18"/>
                          </w:rPr>
                          <w:t>按原金融工具准则列示的账面价 值（</w:t>
                        </w: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4"/>
                          <w:ind w:right="-1" w:hanging="17"/>
                          <w:jc w:val="center"/>
                          <w:rPr>
                            <w:rFonts w:ascii="宋体" w:hAnsi="宋体" w:cs="宋体" w:eastAsia="宋体" w:hint="default"/>
                            <w:sz w:val="18"/>
                            <w:szCs w:val="18"/>
                          </w:rPr>
                        </w:pPr>
                        <w:r>
                          <w:rPr>
                            <w:rFonts w:ascii="宋体" w:hAnsi="宋体" w:cs="宋体" w:eastAsia="宋体" w:hint="default"/>
                            <w:sz w:val="18"/>
                            <w:szCs w:val="18"/>
                          </w:rPr>
                          <w:t>按新金融工具准则列示 </w:t>
                        </w:r>
                        <w:r>
                          <w:rPr>
                            <w:rFonts w:ascii="宋体" w:hAnsi="宋体" w:cs="宋体" w:eastAsia="宋体" w:hint="default"/>
                            <w:spacing w:val="-2"/>
                            <w:sz w:val="18"/>
                            <w:szCs w:val="18"/>
                          </w:rPr>
                          <w:t>的账面价值（</w:t>
                        </w:r>
                        <w:r>
                          <w:rPr>
                            <w:rFonts w:ascii="宋体" w:hAnsi="宋体" w:cs="宋体" w:eastAsia="宋体" w:hint="default"/>
                            <w:spacing w:val="-2"/>
                            <w:sz w:val="18"/>
                            <w:szCs w:val="18"/>
                          </w:rPr>
                          <w:t>2019</w:t>
                        </w:r>
                        <w:r>
                          <w:rPr>
                            <w:rFonts w:ascii="宋体" w:hAnsi="宋体" w:cs="宋体" w:eastAsia="宋体" w:hint="default"/>
                            <w:spacing w:val="-2"/>
                            <w:sz w:val="18"/>
                            <w:szCs w:val="18"/>
                          </w:rPr>
                          <w:t>年</w:t>
                        </w:r>
                        <w:r>
                          <w:rPr>
                            <w:rFonts w:ascii="宋体" w:hAnsi="宋体" w:cs="宋体" w:eastAsia="宋体" w:hint="default"/>
                            <w:spacing w:val="-2"/>
                            <w:sz w:val="18"/>
                            <w:szCs w:val="18"/>
                          </w:rPr>
                          <w:t>1</w:t>
                        </w:r>
                        <w:r>
                          <w:rPr>
                            <w:rFonts w:ascii="宋体" w:hAnsi="宋体" w:cs="宋体" w:eastAsia="宋体" w:hint="default"/>
                            <w:spacing w:val="-2"/>
                            <w:sz w:val="18"/>
                            <w:szCs w:val="18"/>
                          </w:rPr>
                          <w:t>月</w:t>
                        </w:r>
                        <w:r>
                          <w:rPr>
                            <w:rFonts w:ascii="宋体" w:hAnsi="宋体" w:cs="宋体" w:eastAsia="宋体" w:hint="default"/>
                            <w:spacing w:val="-2"/>
                            <w:sz w:val="18"/>
                            <w:szCs w:val="18"/>
                          </w:rPr>
                          <w:t>1</w:t>
                        </w:r>
                        <w:r>
                          <w:rPr>
                            <w:rFonts w:ascii="宋体" w:hAnsi="宋体" w:cs="宋体" w:eastAsia="宋体" w:hint="default"/>
                            <w:sz w:val="18"/>
                            <w:szCs w:val="18"/>
                          </w:rPr>
                          <w:t> </w:t>
                        </w:r>
                        <w:r>
                          <w:rPr>
                            <w:rFonts w:ascii="宋体" w:hAnsi="宋体" w:cs="宋体" w:eastAsia="宋体" w:hint="default"/>
                            <w:sz w:val="18"/>
                            <w:szCs w:val="18"/>
                          </w:rPr>
                          <w:t>日）</w:t>
                        </w:r>
                      </w:p>
                    </w:tc>
                  </w:tr>
                  <w:tr>
                    <w:trPr>
                      <w:trHeight w:val="345" w:hRule="exact"/>
                    </w:trPr>
                    <w:tc>
                      <w:tcPr>
                        <w:tcW w:w="9477" w:type="dxa"/>
                        <w:gridSpan w:val="6"/>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 w:right="0"/>
                          <w:jc w:val="center"/>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z w:val="18"/>
                            <w:szCs w:val="18"/>
                          </w:rPr>
                          <w:t>金融资产</w:t>
                        </w:r>
                      </w:p>
                    </w:tc>
                  </w:tr>
                  <w:tr>
                    <w:trPr>
                      <w:trHeight w:val="330" w:hRule="exact"/>
                    </w:trPr>
                    <w:tc>
                      <w:tcPr>
                        <w:tcW w:w="947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z w:val="18"/>
                            <w:szCs w:val="18"/>
                          </w:rPr>
                          <w:t>摊余成本</w:t>
                        </w: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482,794,143.90</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482,794,143.90</w:t>
                        </w: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应收票据</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90"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right"/>
                          <w:rPr>
                            <w:rFonts w:ascii="宋体" w:hAnsi="宋体" w:cs="宋体" w:eastAsia="宋体" w:hint="default"/>
                            <w:sz w:val="18"/>
                            <w:szCs w:val="18"/>
                          </w:rPr>
                        </w:pPr>
                        <w:r>
                          <w:rPr>
                            <w:rFonts w:ascii="宋体"/>
                            <w:sz w:val="18"/>
                          </w:rPr>
                          <w:t>3,209,541.77</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930" w:right="91" w:hanging="856"/>
                          <w:jc w:val="left"/>
                          <w:rPr>
                            <w:rFonts w:ascii="宋体" w:hAnsi="宋体" w:cs="宋体" w:eastAsia="宋体" w:hint="default"/>
                            <w:sz w:val="18"/>
                            <w:szCs w:val="18"/>
                          </w:rPr>
                        </w:pPr>
                        <w:r>
                          <w:rPr>
                            <w:rFonts w:ascii="宋体" w:hAnsi="宋体" w:cs="宋体" w:eastAsia="宋体" w:hint="default"/>
                            <w:sz w:val="18"/>
                            <w:szCs w:val="18"/>
                          </w:rPr>
                          <w:t>减：转出至应收款项融资（新 </w:t>
                        </w:r>
                        <w:r>
                          <w:rPr>
                            <w:rFonts w:ascii="宋体" w:hAnsi="宋体" w:cs="宋体" w:eastAsia="宋体" w:hint="default"/>
                            <w:sz w:val="18"/>
                            <w:szCs w:val="18"/>
                          </w:rPr>
                          <w:t>CAS22</w:t>
                        </w:r>
                        <w:r>
                          <w:rPr>
                            <w:rFonts w:ascii="宋体" w:hAnsi="宋体" w:cs="宋体" w:eastAsia="宋体" w:hint="default"/>
                            <w:sz w:val="18"/>
                            <w:szCs w:val="18"/>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4"/>
                          <w:jc w:val="right"/>
                          <w:rPr>
                            <w:rFonts w:ascii="宋体" w:hAnsi="宋体" w:cs="宋体" w:eastAsia="宋体" w:hint="default"/>
                            <w:sz w:val="18"/>
                            <w:szCs w:val="18"/>
                          </w:rPr>
                        </w:pPr>
                        <w:r>
                          <w:rPr>
                            <w:rFonts w:ascii="宋体"/>
                            <w:sz w:val="18"/>
                          </w:rPr>
                          <w:t>-2,502,954.35</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706,587.42</w:t>
                        </w:r>
                      </w:p>
                    </w:tc>
                  </w:tr>
                  <w:tr>
                    <w:trPr>
                      <w:trHeight w:val="331" w:hRule="exact"/>
                    </w:trPr>
                    <w:tc>
                      <w:tcPr>
                        <w:tcW w:w="2523"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775,700,936.92</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775,700,936.92</w:t>
                        </w: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9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82,292,806.84</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z w:val="18"/>
                          </w:rPr>
                          <w:t>82,292,806.84</w:t>
                        </w: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2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31"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144,293,265.00</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pacing w:val="-2"/>
                            <w:sz w:val="18"/>
                            <w:szCs w:val="18"/>
                          </w:rPr>
                          <w:t>加：转出至其他非流动金融资产</w:t>
                        </w:r>
                      </w:p>
                      <w:p>
                        <w:pPr>
                          <w:pStyle w:val="TableParagraph"/>
                          <w:spacing w:line="240" w:lineRule="auto" w:before="65"/>
                          <w:ind w:right="14"/>
                          <w:jc w:val="center"/>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z w:val="18"/>
                          </w:rPr>
                          <w:t>-144,293,265.00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23"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96"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
                          <w:jc w:val="right"/>
                          <w:rPr>
                            <w:rFonts w:ascii="宋体" w:hAnsi="宋体" w:cs="宋体" w:eastAsia="宋体" w:hint="default"/>
                            <w:sz w:val="18"/>
                            <w:szCs w:val="18"/>
                          </w:rPr>
                        </w:pPr>
                        <w:r>
                          <w:rPr>
                            <w:rFonts w:ascii="宋体"/>
                            <w:sz w:val="18"/>
                          </w:rPr>
                          <w:t>53,659,554.80</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right"/>
                          <w:rPr>
                            <w:rFonts w:ascii="宋体" w:hAnsi="宋体" w:cs="宋体" w:eastAsia="宋体" w:hint="default"/>
                            <w:sz w:val="18"/>
                            <w:szCs w:val="18"/>
                          </w:rPr>
                        </w:pPr>
                        <w:r>
                          <w:rPr>
                            <w:rFonts w:ascii="宋体"/>
                            <w:sz w:val="18"/>
                          </w:rPr>
                          <w:t>53,659,554.80</w:t>
                        </w: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420"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5" w:right="0"/>
                          <w:jc w:val="left"/>
                          <w:rPr>
                            <w:rFonts w:ascii="宋体" w:hAnsi="宋体" w:cs="宋体" w:eastAsia="宋体" w:hint="default"/>
                            <w:sz w:val="18"/>
                            <w:szCs w:val="18"/>
                          </w:rPr>
                        </w:pPr>
                        <w:r>
                          <w:rPr>
                            <w:rFonts w:ascii="宋体" w:hAnsi="宋体" w:cs="宋体" w:eastAsia="宋体" w:hint="default"/>
                            <w:sz w:val="18"/>
                            <w:szCs w:val="18"/>
                          </w:rPr>
                          <w:t>以摊余成本计量的总金融资产</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1,541,950,249.23</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6"/>
                          <w:jc w:val="right"/>
                          <w:rPr>
                            <w:rFonts w:ascii="宋体" w:hAnsi="宋体" w:cs="宋体" w:eastAsia="宋体" w:hint="default"/>
                            <w:sz w:val="18"/>
                            <w:szCs w:val="18"/>
                          </w:rPr>
                        </w:pPr>
                        <w:r>
                          <w:rPr>
                            <w:rFonts w:ascii="宋体"/>
                            <w:sz w:val="18"/>
                          </w:rPr>
                          <w:t>-146,796,219.35</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宋体" w:hAnsi="宋体" w:cs="宋体" w:eastAsia="宋体" w:hint="default"/>
                            <w:sz w:val="18"/>
                            <w:szCs w:val="18"/>
                          </w:rPr>
                        </w:pPr>
                        <w:r>
                          <w:rPr>
                            <w:rFonts w:ascii="宋体"/>
                            <w:sz w:val="18"/>
                          </w:rPr>
                          <w:t>1,395,154,029.88</w:t>
                        </w:r>
                      </w:p>
                    </w:tc>
                  </w:tr>
                  <w:tr>
                    <w:trPr>
                      <w:trHeight w:val="345" w:hRule="exact"/>
                    </w:trPr>
                    <w:tc>
                      <w:tcPr>
                        <w:tcW w:w="9477"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063" w:right="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以公允价值计量且其变动计入当期损益</w:t>
                        </w:r>
                      </w:p>
                    </w:tc>
                  </w:tr>
                  <w:tr>
                    <w:trPr>
                      <w:trHeight w:val="330"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90"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52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6"/>
                          <w:jc w:val="center"/>
                          <w:rPr>
                            <w:rFonts w:ascii="宋体" w:hAnsi="宋体" w:cs="宋体" w:eastAsia="宋体" w:hint="default"/>
                            <w:sz w:val="18"/>
                            <w:szCs w:val="18"/>
                          </w:rPr>
                        </w:pPr>
                        <w:r>
                          <w:rPr>
                            <w:rFonts w:ascii="宋体" w:hAnsi="宋体" w:cs="宋体" w:eastAsia="宋体" w:hint="default"/>
                            <w:sz w:val="18"/>
                            <w:szCs w:val="18"/>
                          </w:rPr>
                          <w:t>加：自可供出售金融资产转入</w:t>
                        </w:r>
                      </w:p>
                      <w:p>
                        <w:pPr>
                          <w:pStyle w:val="TableParagraph"/>
                          <w:spacing w:line="240" w:lineRule="auto" w:before="65"/>
                          <w:ind w:right="14"/>
                          <w:jc w:val="center"/>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
                          <w:jc w:val="right"/>
                          <w:rPr>
                            <w:rFonts w:ascii="宋体" w:hAnsi="宋体" w:cs="宋体" w:eastAsia="宋体" w:hint="default"/>
                            <w:sz w:val="18"/>
                            <w:szCs w:val="18"/>
                          </w:rPr>
                        </w:pPr>
                        <w:r>
                          <w:rPr>
                            <w:rFonts w:ascii="宋体"/>
                            <w:sz w:val="18"/>
                          </w:rPr>
                          <w:t>144,293,265.00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p>
    <w:p>
      <w:pPr>
        <w:pStyle w:val="BodyText"/>
        <w:spacing w:line="412" w:lineRule="auto"/>
        <w:ind w:right="1102" w:firstLine="360"/>
        <w:jc w:val="left"/>
      </w:pPr>
      <w:r>
        <w:rPr>
          <w:rFonts w:ascii="宋体" w:hAnsi="宋体" w:cs="宋体" w:eastAsia="宋体" w:hint="default"/>
        </w:rPr>
        <w:t>(3)</w:t>
      </w:r>
      <w:r>
        <w:rPr>
          <w:rFonts w:ascii="宋体" w:hAnsi="宋体" w:cs="宋体" w:eastAsia="宋体" w:hint="default"/>
          <w:spacing w:val="-73"/>
        </w:rPr>
        <w:t> </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日，公司原金融资产和金融负债账面价值调整为按照新金融工具准则的规定进行分类和计量的新金融资 产和金融负债账面价值的调节表如下：</w:t>
      </w:r>
    </w:p>
    <w:p>
      <w:pPr>
        <w:spacing w:after="0" w:line="412" w:lineRule="auto"/>
        <w:jc w:val="left"/>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523"/>
        <w:gridCol w:w="1982"/>
        <w:gridCol w:w="1848"/>
        <w:gridCol w:w="1141"/>
        <w:gridCol w:w="1982"/>
      </w:tblGrid>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144,293,265.00</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345" w:right="91" w:hanging="271"/>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当期损益的总金融资产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6"/>
              <w:jc w:val="right"/>
              <w:rPr>
                <w:rFonts w:ascii="宋体" w:hAnsi="宋体" w:cs="宋体" w:eastAsia="宋体" w:hint="default"/>
                <w:sz w:val="18"/>
                <w:szCs w:val="18"/>
              </w:rPr>
            </w:pPr>
            <w:r>
              <w:rPr>
                <w:rFonts w:ascii="宋体"/>
                <w:sz w:val="18"/>
              </w:rPr>
              <w:t>144,293,265.00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right="1"/>
              <w:jc w:val="right"/>
              <w:rPr>
                <w:rFonts w:ascii="宋体" w:hAnsi="宋体" w:cs="宋体" w:eastAsia="宋体" w:hint="default"/>
                <w:sz w:val="18"/>
                <w:szCs w:val="18"/>
              </w:rPr>
            </w:pPr>
            <w:r>
              <w:rPr>
                <w:rFonts w:ascii="宋体"/>
                <w:sz w:val="18"/>
              </w:rPr>
              <w:t>144,293,265.00</w:t>
            </w:r>
          </w:p>
        </w:tc>
      </w:tr>
      <w:tr>
        <w:trPr>
          <w:trHeight w:val="345" w:hRule="exact"/>
        </w:trPr>
        <w:tc>
          <w:tcPr>
            <w:tcW w:w="947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2883" w:right="0"/>
              <w:jc w:val="left"/>
              <w:rPr>
                <w:rFonts w:ascii="宋体" w:hAnsi="宋体" w:cs="宋体" w:eastAsia="宋体" w:hint="default"/>
                <w:sz w:val="18"/>
                <w:szCs w:val="18"/>
              </w:rPr>
            </w:pPr>
            <w:r>
              <w:rPr>
                <w:rFonts w:ascii="宋体" w:hAnsi="宋体" w:cs="宋体" w:eastAsia="宋体" w:hint="default"/>
                <w:sz w:val="18"/>
                <w:szCs w:val="18"/>
              </w:rPr>
              <w:t>c. </w:t>
            </w:r>
            <w:r>
              <w:rPr>
                <w:rFonts w:ascii="宋体" w:hAnsi="宋体" w:cs="宋体" w:eastAsia="宋体" w:hint="default"/>
                <w:sz w:val="18"/>
                <w:szCs w:val="18"/>
              </w:rPr>
              <w:t>以公允价值计量且其变动计入其他综合收益</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06"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3"/>
              <w:jc w:val="right"/>
              <w:rPr>
                <w:rFonts w:ascii="宋体" w:hAnsi="宋体" w:cs="宋体" w:eastAsia="宋体" w:hint="default"/>
                <w:sz w:val="18"/>
                <w:szCs w:val="18"/>
              </w:rPr>
            </w:pPr>
            <w:r>
              <w:rPr>
                <w:rFonts w:ascii="宋体" w:hAnsi="宋体" w:cs="宋体" w:eastAsia="宋体" w:hint="default"/>
                <w:spacing w:val="-2"/>
                <w:sz w:val="18"/>
                <w:szCs w:val="18"/>
              </w:rPr>
              <w:t>加：自应收票据转入（新</w:t>
            </w:r>
            <w:r>
              <w:rPr>
                <w:rFonts w:ascii="宋体" w:hAnsi="宋体" w:cs="宋体" w:eastAsia="宋体" w:hint="default"/>
                <w:spacing w:val="-2"/>
                <w:sz w:val="18"/>
                <w:szCs w:val="18"/>
              </w:rPr>
              <w:t>CAS22</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right"/>
              <w:rPr>
                <w:rFonts w:ascii="宋体" w:hAnsi="宋体" w:cs="宋体" w:eastAsia="宋体" w:hint="default"/>
                <w:sz w:val="18"/>
                <w:szCs w:val="18"/>
              </w:rPr>
            </w:pPr>
            <w:r>
              <w:rPr>
                <w:rFonts w:ascii="宋体"/>
                <w:sz w:val="18"/>
              </w:rPr>
              <w:t>2,502,954.35</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390" w:right="0"/>
              <w:jc w:val="left"/>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2,502,954.35</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165" w:right="91" w:hanging="90"/>
              <w:jc w:val="left"/>
              <w:rPr>
                <w:rFonts w:ascii="宋体" w:hAnsi="宋体" w:cs="宋体" w:eastAsia="宋体" w:hint="default"/>
                <w:sz w:val="18"/>
                <w:szCs w:val="18"/>
              </w:rPr>
            </w:pPr>
            <w:r>
              <w:rPr>
                <w:rFonts w:ascii="宋体" w:hAnsi="宋体" w:cs="宋体" w:eastAsia="宋体" w:hint="default"/>
                <w:sz w:val="18"/>
                <w:szCs w:val="18"/>
              </w:rPr>
              <w:t>以公允价值计量且其变动计入 其他综合收益的总金融资产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2,502,954.35</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z w:val="18"/>
              </w:rPr>
              <w:t>2,502,954.35</w:t>
            </w:r>
          </w:p>
        </w:tc>
      </w:tr>
      <w:tr>
        <w:trPr>
          <w:trHeight w:val="330" w:hRule="exact"/>
        </w:trPr>
        <w:tc>
          <w:tcPr>
            <w:tcW w:w="9477" w:type="dxa"/>
            <w:gridSpan w:val="5"/>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79" w:right="0"/>
              <w:jc w:val="center"/>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金融负债</w:t>
            </w:r>
          </w:p>
        </w:tc>
      </w:tr>
      <w:tr>
        <w:trPr>
          <w:trHeight w:val="346" w:hRule="exact"/>
        </w:trPr>
        <w:tc>
          <w:tcPr>
            <w:tcW w:w="947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79" w:right="0"/>
              <w:jc w:val="center"/>
              <w:rPr>
                <w:rFonts w:ascii="宋体" w:hAnsi="宋体" w:cs="宋体" w:eastAsia="宋体" w:hint="default"/>
                <w:sz w:val="18"/>
                <w:szCs w:val="18"/>
              </w:rPr>
            </w:pPr>
            <w:r>
              <w:rPr>
                <w:rFonts w:ascii="宋体" w:hAnsi="宋体" w:cs="宋体" w:eastAsia="宋体" w:hint="default"/>
                <w:sz w:val="18"/>
                <w:szCs w:val="18"/>
              </w:rPr>
              <w:t>a. </w:t>
            </w:r>
            <w:r>
              <w:rPr>
                <w:rFonts w:ascii="宋体" w:hAnsi="宋体" w:cs="宋体" w:eastAsia="宋体" w:hint="default"/>
                <w:sz w:val="18"/>
                <w:szCs w:val="18"/>
              </w:rPr>
              <w:t>摊余成本</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4"/>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567,025,913.80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3,050,500.93</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570,076,414.73</w:t>
            </w:r>
          </w:p>
        </w:tc>
      </w:tr>
      <w:tr>
        <w:trPr>
          <w:trHeight w:val="330"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22,396,727.46</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z w:val="18"/>
              </w:rPr>
              <w:t>22,396,727.46</w:t>
            </w: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131,560,783.91</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131,560,783.91</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9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25,736,158.45</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-3,407,792.13</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0"/>
              <w:jc w:val="right"/>
              <w:rPr>
                <w:rFonts w:ascii="宋体" w:hAnsi="宋体" w:cs="宋体" w:eastAsia="宋体" w:hint="default"/>
                <w:sz w:val="18"/>
                <w:szCs w:val="18"/>
              </w:rPr>
            </w:pPr>
            <w:r>
              <w:rPr>
                <w:rFonts w:ascii="宋体"/>
                <w:sz w:val="18"/>
              </w:rPr>
              <w:t>22,328,366.32</w:t>
            </w:r>
          </w:p>
        </w:tc>
      </w:tr>
      <w:tr>
        <w:trPr>
          <w:trHeight w:val="330"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25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right"/>
              <w:rPr>
                <w:rFonts w:ascii="宋体" w:hAnsi="宋体" w:cs="宋体" w:eastAsia="宋体" w:hint="default"/>
                <w:sz w:val="18"/>
                <w:szCs w:val="18"/>
              </w:rPr>
            </w:pPr>
            <w:r>
              <w:rPr>
                <w:rFonts w:ascii="宋体"/>
                <w:sz w:val="18"/>
              </w:rPr>
              <w:t>95,935,080.00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宋体" w:hAnsi="宋体" w:cs="宋体" w:eastAsia="宋体" w:hint="default"/>
                <w:sz w:val="18"/>
                <w:szCs w:val="18"/>
              </w:rPr>
            </w:pPr>
            <w:r>
              <w:rPr>
                <w:rFonts w:ascii="宋体"/>
                <w:sz w:val="18"/>
              </w:rPr>
              <w:t>128,689.80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宋体" w:hAnsi="宋体" w:cs="宋体" w:eastAsia="宋体" w:hint="default"/>
                <w:sz w:val="18"/>
                <w:szCs w:val="18"/>
              </w:rPr>
            </w:pPr>
            <w:r>
              <w:rPr>
                <w:rFonts w:ascii="宋体"/>
                <w:sz w:val="18"/>
              </w:rPr>
              <w:t>96,063,769.80</w:t>
            </w: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73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570" w:right="135" w:hanging="451"/>
              <w:jc w:val="left"/>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列示的余额和按新 </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192,948,000.00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宋体" w:hAnsi="宋体" w:cs="宋体" w:eastAsia="宋体" w:hint="default"/>
                <w:sz w:val="18"/>
                <w:szCs w:val="18"/>
              </w:rPr>
            </w:pPr>
            <w:r>
              <w:rPr>
                <w:rFonts w:ascii="宋体"/>
                <w:sz w:val="18"/>
              </w:rPr>
              <w:t>228,601.40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18"/>
                <w:szCs w:val="18"/>
              </w:rPr>
            </w:pPr>
            <w:r>
              <w:rPr>
                <w:rFonts w:ascii="宋体"/>
                <w:sz w:val="18"/>
              </w:rPr>
              <w:t>193,176,601.40</w:t>
            </w:r>
          </w:p>
        </w:tc>
      </w:tr>
      <w:tr>
        <w:trPr>
          <w:trHeight w:val="330"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91"/>
              <w:jc w:val="right"/>
              <w:rPr>
                <w:rFonts w:ascii="宋体" w:hAnsi="宋体" w:cs="宋体" w:eastAsia="宋体" w:hint="default"/>
                <w:sz w:val="18"/>
                <w:szCs w:val="18"/>
              </w:rPr>
            </w:pPr>
            <w:r>
              <w:rPr>
                <w:rFonts w:ascii="宋体" w:hAnsi="宋体" w:cs="宋体" w:eastAsia="宋体" w:hint="default"/>
                <w:sz w:val="18"/>
                <w:szCs w:val="18"/>
              </w:rPr>
              <w:t>以摊余成本计量的总金融负债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1,035,602,663.62</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1,035,602,663.62</w:t>
            </w:r>
          </w:p>
        </w:tc>
      </w:tr>
      <w:tr>
        <w:trPr>
          <w:trHeight w:val="345" w:hRule="exact"/>
        </w:trPr>
        <w:tc>
          <w:tcPr>
            <w:tcW w:w="9477"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063" w:right="0"/>
              <w:jc w:val="left"/>
              <w:rPr>
                <w:rFonts w:ascii="宋体" w:hAnsi="宋体" w:cs="宋体" w:eastAsia="宋体" w:hint="default"/>
                <w:sz w:val="18"/>
                <w:szCs w:val="18"/>
              </w:rPr>
            </w:pPr>
            <w:r>
              <w:rPr>
                <w:rFonts w:ascii="宋体" w:hAnsi="宋体" w:cs="宋体" w:eastAsia="宋体" w:hint="default"/>
                <w:sz w:val="18"/>
                <w:szCs w:val="18"/>
              </w:rPr>
              <w:t>b. </w:t>
            </w:r>
            <w:r>
              <w:rPr>
                <w:rFonts w:ascii="宋体" w:hAnsi="宋体" w:cs="宋体" w:eastAsia="宋体" w:hint="default"/>
                <w:sz w:val="18"/>
                <w:szCs w:val="18"/>
              </w:rPr>
              <w:t>以公允价值计量且其变动计入当期损益</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523"/>
        <w:gridCol w:w="1982"/>
        <w:gridCol w:w="1848"/>
        <w:gridCol w:w="1141"/>
        <w:gridCol w:w="1982"/>
      </w:tblGrid>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435" w:right="91" w:hanging="361"/>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4"/>
              <w:jc w:val="center"/>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4,293,047.58</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left="930" w:right="15" w:hanging="931"/>
              <w:jc w:val="left"/>
              <w:rPr>
                <w:rFonts w:ascii="宋体" w:hAnsi="宋体" w:cs="宋体" w:eastAsia="宋体" w:hint="default"/>
                <w:sz w:val="18"/>
                <w:szCs w:val="18"/>
              </w:rPr>
            </w:pPr>
            <w:r>
              <w:rPr>
                <w:rFonts w:ascii="宋体" w:hAnsi="宋体" w:cs="宋体" w:eastAsia="宋体" w:hint="default"/>
                <w:spacing w:val="-3"/>
                <w:sz w:val="18"/>
                <w:szCs w:val="18"/>
              </w:rPr>
              <w:t>加：转出至交易性金融负债（新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CAS22</w:t>
            </w:r>
            <w:r>
              <w:rPr>
                <w:rFonts w:ascii="宋体" w:hAnsi="宋体" w:cs="宋体" w:eastAsia="宋体" w:hint="default"/>
                <w:sz w:val="18"/>
                <w:szCs w:val="18"/>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宋体" w:hAnsi="宋体" w:cs="宋体" w:eastAsia="宋体" w:hint="default"/>
                <w:sz w:val="18"/>
                <w:szCs w:val="18"/>
              </w:rPr>
            </w:pPr>
            <w:r>
              <w:rPr>
                <w:rFonts w:ascii="宋体"/>
                <w:sz w:val="18"/>
              </w:rPr>
              <w:t>-4,293,047.58</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5"/>
              <w:jc w:val="center"/>
              <w:rPr>
                <w:rFonts w:ascii="宋体" w:hAnsi="宋体" w:cs="宋体" w:eastAsia="宋体" w:hint="default"/>
                <w:sz w:val="18"/>
                <w:szCs w:val="18"/>
              </w:rPr>
            </w:pPr>
            <w:r>
              <w:rPr>
                <w:rFonts w:ascii="宋体" w:hAnsi="宋体" w:cs="宋体" w:eastAsia="宋体" w:hint="default"/>
                <w:sz w:val="18"/>
                <w:szCs w:val="18"/>
              </w:rPr>
              <w:t>交易性金融负债</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center"/>
              <w:rPr>
                <w:rFonts w:ascii="宋体" w:hAnsi="宋体" w:cs="宋体" w:eastAsia="宋体" w:hint="default"/>
                <w:sz w:val="18"/>
                <w:szCs w:val="18"/>
              </w:rPr>
            </w:pPr>
            <w:r>
              <w:rPr>
                <w:rFonts w:ascii="宋体" w:hAnsi="宋体" w:cs="宋体" w:eastAsia="宋体" w:hint="default"/>
                <w:sz w:val="18"/>
                <w:szCs w:val="18"/>
              </w:rPr>
              <w:t>按原</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97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1"/>
              <w:jc w:val="center"/>
              <w:rPr>
                <w:rFonts w:ascii="宋体" w:hAnsi="宋体" w:cs="宋体" w:eastAsia="宋体" w:hint="default"/>
                <w:sz w:val="18"/>
                <w:szCs w:val="18"/>
              </w:rPr>
            </w:pPr>
            <w:r>
              <w:rPr>
                <w:rFonts w:ascii="宋体" w:hAnsi="宋体" w:cs="宋体" w:eastAsia="宋体" w:hint="default"/>
                <w:spacing w:val="-2"/>
                <w:sz w:val="18"/>
                <w:szCs w:val="18"/>
              </w:rPr>
              <w:t>加：自以公允价值计量且其变动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计入当期损益的金融负债转入</w:t>
            </w:r>
          </w:p>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z w:val="18"/>
                <w:szCs w:val="18"/>
              </w:rPr>
              <w:t>CAS22</w:t>
            </w:r>
            <w:r>
              <w:rPr>
                <w:rFonts w:ascii="宋体" w:hAnsi="宋体" w:cs="宋体" w:eastAsia="宋体" w:hint="default"/>
                <w:sz w:val="18"/>
                <w:szCs w:val="18"/>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4"/>
              <w:jc w:val="right"/>
              <w:rPr>
                <w:rFonts w:ascii="宋体" w:hAnsi="宋体" w:cs="宋体" w:eastAsia="宋体" w:hint="default"/>
                <w:sz w:val="18"/>
                <w:szCs w:val="18"/>
              </w:rPr>
            </w:pPr>
            <w:r>
              <w:rPr>
                <w:rFonts w:ascii="宋体"/>
                <w:sz w:val="18"/>
              </w:rPr>
              <w:t>4,293,047.58</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33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center"/>
              <w:rPr>
                <w:rFonts w:ascii="宋体" w:hAnsi="宋体" w:cs="宋体" w:eastAsia="宋体" w:hint="default"/>
                <w:sz w:val="18"/>
                <w:szCs w:val="18"/>
              </w:rPr>
            </w:pPr>
            <w:r>
              <w:rPr>
                <w:rFonts w:ascii="宋体" w:hAnsi="宋体" w:cs="宋体" w:eastAsia="宋体" w:hint="default"/>
                <w:sz w:val="18"/>
                <w:szCs w:val="18"/>
              </w:rPr>
              <w:t>按新</w:t>
            </w:r>
            <w:r>
              <w:rPr>
                <w:rFonts w:ascii="宋体" w:hAnsi="宋体" w:cs="宋体" w:eastAsia="宋体" w:hint="default"/>
                <w:sz w:val="18"/>
                <w:szCs w:val="18"/>
              </w:rPr>
              <w:t>CAS22</w:t>
            </w:r>
            <w:r>
              <w:rPr>
                <w:rFonts w:ascii="宋体" w:hAnsi="宋体" w:cs="宋体" w:eastAsia="宋体" w:hint="default"/>
                <w:sz w:val="18"/>
                <w:szCs w:val="18"/>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4,293,047.58</w:t>
            </w: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r>
      <w:tr>
        <w:trPr>
          <w:trHeight w:val="6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left="345" w:right="91" w:hanging="271"/>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当期损益的总金融负债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
              <w:jc w:val="right"/>
              <w:rPr>
                <w:rFonts w:ascii="宋体" w:hAnsi="宋体" w:cs="宋体" w:eastAsia="宋体" w:hint="default"/>
                <w:sz w:val="18"/>
                <w:szCs w:val="18"/>
              </w:rPr>
            </w:pPr>
            <w:r>
              <w:rPr>
                <w:rFonts w:ascii="宋体"/>
                <w:sz w:val="18"/>
              </w:rPr>
              <w:t>4,293,047.58</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right"/>
              <w:rPr>
                <w:rFonts w:ascii="宋体" w:hAnsi="宋体" w:cs="宋体" w:eastAsia="宋体" w:hint="default"/>
                <w:sz w:val="18"/>
                <w:szCs w:val="18"/>
              </w:rPr>
            </w:pPr>
            <w:r>
              <w:rPr>
                <w:rFonts w:ascii="宋体"/>
                <w:sz w:val="18"/>
              </w:rPr>
              <w:t>4,293,047.58</w:t>
            </w:r>
          </w:p>
        </w:tc>
      </w:tr>
    </w:tbl>
    <w:p>
      <w:pPr>
        <w:spacing w:line="240" w:lineRule="auto" w:before="3"/>
        <w:rPr>
          <w:rFonts w:ascii="Times New Roman" w:hAnsi="Times New Roman" w:cs="Times New Roman" w:eastAsia="Times New Roman" w:hint="default"/>
          <w:sz w:val="5"/>
          <w:szCs w:val="5"/>
        </w:rPr>
      </w:pPr>
    </w:p>
    <w:p>
      <w:pPr>
        <w:pStyle w:val="BodyText"/>
        <w:spacing w:line="412" w:lineRule="auto"/>
        <w:ind w:right="1120" w:firstLine="360"/>
        <w:jc w:val="left"/>
      </w:pPr>
      <w:r>
        <w:rPr>
          <w:rFonts w:ascii="宋体" w:hAnsi="宋体" w:cs="宋体" w:eastAsia="宋体" w:hint="default"/>
        </w:rPr>
        <w:t>3.</w:t>
      </w:r>
      <w:r>
        <w:rPr>
          <w:rFonts w:ascii="宋体" w:hAnsi="宋体" w:cs="宋体" w:eastAsia="宋体" w:hint="default"/>
          <w:spacing w:val="25"/>
        </w:rPr>
        <w:t> </w:t>
      </w:r>
      <w:r>
        <w:rPr>
          <w:spacing w:val="-2"/>
        </w:rPr>
        <w:t>本公司自</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10</w:t>
      </w:r>
      <w:r>
        <w:rPr>
          <w:spacing w:val="-2"/>
        </w:rPr>
        <w:t>日起执行经修订的《企业会计准则第</w:t>
      </w:r>
      <w:r>
        <w:rPr>
          <w:rFonts w:ascii="宋体" w:hAnsi="宋体" w:cs="宋体" w:eastAsia="宋体" w:hint="default"/>
          <w:spacing w:val="-2"/>
        </w:rPr>
        <w:t>7</w:t>
      </w:r>
      <w:r>
        <w:rPr>
          <w:spacing w:val="-2"/>
        </w:rPr>
        <w:t>号——非货币性资产交换》，自</w:t>
      </w:r>
      <w:r>
        <w:rPr>
          <w:rFonts w:ascii="宋体" w:hAnsi="宋体" w:cs="宋体" w:eastAsia="宋体" w:hint="default"/>
          <w:spacing w:val="-2"/>
        </w:rPr>
        <w:t>2019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17</w:t>
      </w:r>
      <w:r>
        <w:rPr>
          <w:spacing w:val="-2"/>
        </w:rPr>
        <w:t>日起执行经</w:t>
      </w:r>
      <w:r>
        <w:rPr/>
        <w:t> 修订的《企业会计准则第</w:t>
      </w:r>
      <w:r>
        <w:rPr>
          <w:rFonts w:ascii="宋体" w:hAnsi="宋体" w:cs="宋体" w:eastAsia="宋体" w:hint="default"/>
        </w:rPr>
        <w:t>12</w:t>
      </w:r>
      <w:r>
        <w:rPr/>
        <w:t>号——债务重组》。该项会计政策变更采用未来适用法处理。</w:t>
      </w:r>
    </w:p>
    <w:p>
      <w:pPr>
        <w:spacing w:line="240" w:lineRule="auto" w:before="12"/>
        <w:rPr>
          <w:rFonts w:ascii="宋体" w:hAnsi="宋体" w:cs="宋体" w:eastAsia="宋体" w:hint="default"/>
          <w:sz w:val="14"/>
          <w:szCs w:val="14"/>
        </w:rPr>
      </w:pPr>
    </w:p>
    <w:p>
      <w:pPr>
        <w:pStyle w:val="Heading2"/>
        <w:spacing w:line="240" w:lineRule="auto"/>
        <w:ind w:right="1086"/>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3"/>
        <w:rPr>
          <w:rFonts w:ascii="宋体" w:hAnsi="宋体" w:cs="宋体" w:eastAsia="宋体" w:hint="default"/>
          <w:b/>
          <w:bCs/>
          <w:sz w:val="27"/>
          <w:szCs w:val="27"/>
        </w:rPr>
      </w:pPr>
    </w:p>
    <w:p>
      <w:pPr>
        <w:pStyle w:val="BodyText"/>
        <w:spacing w:line="420" w:lineRule="auto" w:before="0"/>
        <w:ind w:left="501" w:right="858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一、合并报表范围增加</w:t>
      </w:r>
    </w:p>
    <w:p>
      <w:pPr>
        <w:pStyle w:val="BodyText"/>
        <w:spacing w:line="240" w:lineRule="auto" w:before="35"/>
        <w:ind w:left="501" w:right="1086"/>
        <w:jc w:val="left"/>
      </w:pPr>
      <w:r>
        <w:rPr>
          <w:rFonts w:ascii="宋体" w:hAnsi="宋体" w:cs="宋体" w:eastAsia="宋体" w:hint="default"/>
        </w:rPr>
        <w:t>1</w:t>
      </w:r>
      <w:r>
        <w:rPr/>
        <w:t>、新昌医惠数字科技有限公司注册资本为</w:t>
      </w:r>
      <w:r>
        <w:rPr>
          <w:rFonts w:ascii="宋体" w:hAnsi="宋体" w:cs="宋体" w:eastAsia="宋体" w:hint="default"/>
        </w:rPr>
        <w:t>1,800</w:t>
      </w:r>
      <w:r>
        <w:rPr/>
        <w:t>万元，全部由本公司认缴，本公司已于</w:t>
      </w:r>
      <w:r>
        <w:rPr>
          <w:rFonts w:ascii="宋体" w:hAnsi="宋体" w:cs="宋体" w:eastAsia="宋体" w:hint="default"/>
        </w:rPr>
        <w:t>2019</w:t>
      </w:r>
      <w:r>
        <w:rPr/>
        <w:t>年</w:t>
      </w:r>
      <w:r>
        <w:rPr>
          <w:rFonts w:ascii="宋体" w:hAnsi="宋体" w:cs="宋体" w:eastAsia="宋体" w:hint="default"/>
        </w:rPr>
        <w:t>10</w:t>
      </w:r>
      <w:r>
        <w:rPr/>
        <w:t>月实缴注册资本</w:t>
      </w:r>
      <w:r>
        <w:rPr>
          <w:rFonts w:ascii="宋体" w:hAnsi="宋体" w:cs="宋体" w:eastAsia="宋体" w:hint="default"/>
        </w:rPr>
        <w:t>200</w:t>
      </w:r>
      <w:r>
        <w:rPr/>
        <w:t>万</w:t>
      </w:r>
    </w:p>
    <w:p>
      <w:pPr>
        <w:pStyle w:val="BodyText"/>
        <w:spacing w:line="240" w:lineRule="auto" w:before="155"/>
        <w:ind w:right="1086"/>
        <w:jc w:val="left"/>
      </w:pPr>
      <w:r>
        <w:rPr/>
        <w:t>元。</w:t>
      </w:r>
    </w:p>
    <w:p>
      <w:pPr>
        <w:spacing w:line="240" w:lineRule="auto" w:before="12"/>
        <w:rPr>
          <w:rFonts w:ascii="宋体" w:hAnsi="宋体" w:cs="宋体" w:eastAsia="宋体" w:hint="default"/>
          <w:sz w:val="12"/>
          <w:szCs w:val="12"/>
        </w:rPr>
      </w:pPr>
    </w:p>
    <w:p>
      <w:pPr>
        <w:pStyle w:val="BodyText"/>
        <w:spacing w:line="412" w:lineRule="auto" w:before="0"/>
        <w:ind w:left="501" w:right="1086"/>
        <w:jc w:val="left"/>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3</w:t>
      </w:r>
      <w:r>
        <w:rPr/>
        <w:t>月，由杭州医惠医疗智能科技有限公司更名为杭州医惠织物智能科技有限公司。 </w:t>
      </w:r>
      <w:r>
        <w:rPr>
          <w:spacing w:val="-2"/>
        </w:rPr>
        <w:t>杭州医惠织物智能科技有限公司注册资本为</w:t>
      </w:r>
      <w:r>
        <w:rPr>
          <w:rFonts w:ascii="宋体" w:hAnsi="宋体" w:cs="宋体" w:eastAsia="宋体" w:hint="default"/>
          <w:spacing w:val="-2"/>
        </w:rPr>
        <w:t>300</w:t>
      </w:r>
      <w:r>
        <w:rPr>
          <w:spacing w:val="-2"/>
        </w:rPr>
        <w:t>万元，子公司医惠科技公司认缴</w:t>
      </w:r>
      <w:r>
        <w:rPr>
          <w:rFonts w:ascii="宋体" w:hAnsi="宋体" w:cs="宋体" w:eastAsia="宋体" w:hint="default"/>
          <w:spacing w:val="-2"/>
        </w:rPr>
        <w:t>153</w:t>
      </w:r>
      <w:r>
        <w:rPr>
          <w:spacing w:val="-2"/>
        </w:rPr>
        <w:t>万元，子公司杭州思创医惠孵化器有</w:t>
      </w:r>
    </w:p>
    <w:p>
      <w:pPr>
        <w:pStyle w:val="BodyText"/>
        <w:spacing w:line="412" w:lineRule="auto" w:before="25"/>
        <w:ind w:right="1086"/>
        <w:jc w:val="left"/>
      </w:pPr>
      <w:r>
        <w:rPr/>
        <w:t>限公司认缴</w:t>
      </w:r>
      <w:r>
        <w:rPr>
          <w:rFonts w:ascii="宋体" w:hAnsi="宋体" w:cs="宋体" w:eastAsia="宋体" w:hint="default"/>
        </w:rPr>
        <w:t>12</w:t>
      </w:r>
      <w:r>
        <w:rPr/>
        <w:t>万元。子公司医惠科技公司已于</w:t>
      </w:r>
      <w:r>
        <w:rPr>
          <w:rFonts w:ascii="宋体" w:hAnsi="宋体" w:cs="宋体" w:eastAsia="宋体" w:hint="default"/>
        </w:rPr>
        <w:t>2019</w:t>
      </w:r>
      <w:r>
        <w:rPr/>
        <w:t>年</w:t>
      </w:r>
      <w:r>
        <w:rPr>
          <w:rFonts w:ascii="宋体" w:hAnsi="宋体" w:cs="宋体" w:eastAsia="宋体" w:hint="default"/>
        </w:rPr>
        <w:t>11</w:t>
      </w:r>
      <w:r>
        <w:rPr/>
        <w:t>月实缴注册资本</w:t>
      </w:r>
      <w:r>
        <w:rPr>
          <w:rFonts w:ascii="宋体" w:hAnsi="宋体" w:cs="宋体" w:eastAsia="宋体" w:hint="default"/>
        </w:rPr>
        <w:t>50</w:t>
      </w:r>
      <w:r>
        <w:rPr/>
        <w:t>万元，子公司杭州思创医惠孵化器有限公司已于</w:t>
      </w:r>
      <w:r>
        <w:rPr>
          <w:spacing w:val="-86"/>
        </w:rPr>
        <w:t> </w:t>
      </w: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月实缴注册资本</w:t>
      </w:r>
      <w:r>
        <w:rPr>
          <w:rFonts w:ascii="宋体" w:hAnsi="宋体" w:cs="宋体" w:eastAsia="宋体" w:hint="default"/>
          <w:spacing w:val="-2"/>
        </w:rPr>
        <w:t>6</w:t>
      </w:r>
      <w:r>
        <w:rPr>
          <w:spacing w:val="-2"/>
        </w:rPr>
        <w:t>万元。由于杭州医惠织物智能科技有限公司于</w:t>
      </w:r>
      <w:r>
        <w:rPr>
          <w:rFonts w:ascii="宋体" w:hAnsi="宋体" w:cs="宋体" w:eastAsia="宋体" w:hint="default"/>
          <w:spacing w:val="-2"/>
        </w:rPr>
        <w:t>2019</w:t>
      </w:r>
      <w:r>
        <w:rPr>
          <w:spacing w:val="-2"/>
        </w:rPr>
        <w:t>年开始开展业务，因而</w:t>
      </w:r>
      <w:r>
        <w:rPr>
          <w:rFonts w:ascii="宋体" w:hAnsi="宋体" w:cs="宋体" w:eastAsia="宋体" w:hint="default"/>
          <w:spacing w:val="-2"/>
        </w:rPr>
        <w:t>2019</w:t>
      </w:r>
      <w:r>
        <w:rPr>
          <w:spacing w:val="-2"/>
        </w:rPr>
        <w:t>年开始纳入合并范围</w:t>
      </w:r>
      <w:r>
        <w:rPr>
          <w:spacing w:val="-50"/>
        </w:rPr>
        <w:t> </w:t>
      </w:r>
      <w:r>
        <w:rPr>
          <w:spacing w:val="-50"/>
        </w:rPr>
      </w:r>
      <w:r>
        <w:rPr/>
        <w:t>内。</w:t>
      </w:r>
    </w:p>
    <w:p>
      <w:pPr>
        <w:pStyle w:val="BodyText"/>
        <w:spacing w:line="412" w:lineRule="auto" w:before="25"/>
        <w:ind w:right="1119" w:firstLine="360"/>
        <w:jc w:val="left"/>
      </w:pPr>
      <w:r>
        <w:rPr>
          <w:rFonts w:ascii="宋体" w:hAnsi="宋体" w:cs="宋体" w:eastAsia="宋体" w:hint="default"/>
        </w:rPr>
        <w:t>3</w:t>
      </w:r>
      <w:r>
        <w:rPr/>
        <w:t>、上海惠沪信息技术有限公司注册资本为</w:t>
      </w:r>
      <w:r>
        <w:rPr>
          <w:rFonts w:ascii="宋体" w:hAnsi="宋体" w:cs="宋体" w:eastAsia="宋体" w:hint="default"/>
        </w:rPr>
        <w:t>500</w:t>
      </w:r>
      <w:r>
        <w:rPr/>
        <w:t>万元，子公司医惠科技公司认缴</w:t>
      </w:r>
      <w:r>
        <w:rPr>
          <w:rFonts w:ascii="宋体" w:hAnsi="宋体" w:cs="宋体" w:eastAsia="宋体" w:hint="default"/>
        </w:rPr>
        <w:t>300</w:t>
      </w:r>
      <w:r>
        <w:rPr/>
        <w:t>万元，子公司医惠科技公司已于</w:t>
      </w:r>
      <w:r>
        <w:rPr>
          <w:rFonts w:ascii="宋体" w:hAnsi="宋体" w:cs="宋体" w:eastAsia="宋体" w:hint="default"/>
        </w:rPr>
        <w:t>2019 </w:t>
      </w:r>
      <w:r>
        <w:rPr/>
        <w:t>年</w:t>
      </w:r>
      <w:r>
        <w:rPr>
          <w:rFonts w:ascii="宋体" w:hAnsi="宋体" w:cs="宋体" w:eastAsia="宋体" w:hint="default"/>
        </w:rPr>
        <w:t>1</w:t>
      </w:r>
      <w:r>
        <w:rPr/>
        <w:t>月实缴注册资本</w:t>
      </w:r>
      <w:r>
        <w:rPr>
          <w:rFonts w:ascii="宋体" w:hAnsi="宋体" w:cs="宋体" w:eastAsia="宋体" w:hint="default"/>
        </w:rPr>
        <w:t>0.5</w:t>
      </w:r>
      <w:r>
        <w:rPr/>
        <w:t>万元。由于上海惠沪信息技术有限公司于</w:t>
      </w:r>
      <w:r>
        <w:rPr>
          <w:rFonts w:ascii="宋体" w:hAnsi="宋体" w:cs="宋体" w:eastAsia="宋体" w:hint="default"/>
        </w:rPr>
        <w:t>2019</w:t>
      </w:r>
      <w:r>
        <w:rPr/>
        <w:t>年开始开展业务，因而</w:t>
      </w:r>
      <w:r>
        <w:rPr>
          <w:rFonts w:ascii="宋体" w:hAnsi="宋体" w:cs="宋体" w:eastAsia="宋体" w:hint="default"/>
        </w:rPr>
        <w:t>2019</w:t>
      </w:r>
      <w:r>
        <w:rPr/>
        <w:t>年开始纳入合并范围内。</w:t>
      </w:r>
    </w:p>
    <w:p>
      <w:pPr>
        <w:pStyle w:val="BodyText"/>
        <w:spacing w:line="398" w:lineRule="auto" w:before="40"/>
        <w:ind w:left="501" w:right="0"/>
        <w:jc w:val="left"/>
      </w:pPr>
      <w:r>
        <w:rPr>
          <w:rFonts w:ascii="宋体" w:hAnsi="宋体" w:cs="宋体" w:eastAsia="宋体" w:hint="default"/>
        </w:rPr>
        <w:t>4</w:t>
      </w:r>
      <w:r>
        <w:rPr/>
        <w:t>、</w:t>
      </w:r>
      <w:r>
        <w:rPr>
          <w:rFonts w:ascii="宋体" w:hAnsi="宋体" w:cs="宋体" w:eastAsia="宋体" w:hint="default"/>
        </w:rPr>
        <w:t>2019</w:t>
      </w:r>
      <w:r>
        <w:rPr/>
        <w:t>年</w:t>
      </w:r>
      <w:r>
        <w:rPr>
          <w:rFonts w:ascii="宋体" w:hAnsi="宋体" w:cs="宋体" w:eastAsia="宋体" w:hint="default"/>
        </w:rPr>
        <w:t>8</w:t>
      </w:r>
      <w:r>
        <w:rPr/>
        <w:t>月，由福建医惠医疗信息服务有限公司更名为医惠科技（福建）有限公司。 </w:t>
      </w:r>
      <w:r>
        <w:rPr>
          <w:spacing w:val="-3"/>
        </w:rPr>
        <w:t>医惠科技（福建）有限公司注册资本为</w:t>
      </w:r>
      <w:r>
        <w:rPr>
          <w:rFonts w:ascii="宋体" w:hAnsi="宋体" w:cs="宋体" w:eastAsia="宋体" w:hint="default"/>
          <w:spacing w:val="-3"/>
        </w:rPr>
        <w:t>1,000</w:t>
      </w:r>
      <w:r>
        <w:rPr>
          <w:spacing w:val="-3"/>
        </w:rPr>
        <w:t>万元，子公司医惠科技公司认缴</w:t>
      </w:r>
      <w:r>
        <w:rPr>
          <w:rFonts w:ascii="宋体" w:hAnsi="宋体" w:cs="宋体" w:eastAsia="宋体" w:hint="default"/>
          <w:spacing w:val="-3"/>
        </w:rPr>
        <w:t>550</w:t>
      </w:r>
      <w:r>
        <w:rPr>
          <w:spacing w:val="-3"/>
        </w:rPr>
        <w:t>万元，截至</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日，尚未出资。</w:t>
      </w:r>
    </w:p>
    <w:p>
      <w:pPr>
        <w:pStyle w:val="BodyText"/>
        <w:spacing w:line="412" w:lineRule="auto" w:before="51"/>
        <w:ind w:left="501" w:right="3550" w:hanging="361"/>
        <w:jc w:val="left"/>
      </w:pPr>
      <w:r>
        <w:rPr/>
        <w:t>由于医惠科技（福建）有限公司于</w:t>
      </w:r>
      <w:r>
        <w:rPr>
          <w:rFonts w:ascii="宋体" w:hAnsi="宋体" w:cs="宋体" w:eastAsia="宋体" w:hint="default"/>
        </w:rPr>
        <w:t>2019</w:t>
      </w:r>
      <w:r>
        <w:rPr/>
        <w:t>年开始开展业务，因而</w:t>
      </w:r>
      <w:r>
        <w:rPr>
          <w:rFonts w:ascii="宋体" w:hAnsi="宋体" w:cs="宋体" w:eastAsia="宋体" w:hint="default"/>
        </w:rPr>
        <w:t>2019</w:t>
      </w:r>
      <w:r>
        <w:rPr/>
        <w:t>年开始纳入合并范围内。</w:t>
      </w:r>
      <w:r>
        <w:rPr>
          <w:spacing w:val="-85"/>
        </w:rPr>
        <w:t> </w:t>
      </w:r>
      <w:r>
        <w:rPr/>
        <w:t>二、合并报表范围减少</w:t>
      </w:r>
    </w:p>
    <w:p>
      <w:pPr>
        <w:pStyle w:val="BodyText"/>
        <w:spacing w:line="412" w:lineRule="auto" w:before="25"/>
        <w:ind w:right="1086" w:firstLine="360"/>
        <w:jc w:val="left"/>
      </w:pPr>
      <w:r>
        <w:rPr>
          <w:rFonts w:ascii="宋体" w:hAnsi="宋体" w:cs="宋体" w:eastAsia="宋体" w:hint="default"/>
        </w:rPr>
        <w:t>1</w:t>
      </w:r>
      <w:r>
        <w:rPr/>
        <w:t>、</w:t>
      </w:r>
      <w:r>
        <w:rPr>
          <w:rFonts w:ascii="宋体" w:hAnsi="宋体" w:cs="宋体" w:eastAsia="宋体" w:hint="default"/>
        </w:rPr>
        <w:t>2019</w:t>
      </w:r>
      <w:r>
        <w:rPr/>
        <w:t>年</w:t>
      </w:r>
      <w:r>
        <w:rPr>
          <w:rFonts w:ascii="宋体" w:hAnsi="宋体" w:cs="宋体" w:eastAsia="宋体" w:hint="default"/>
        </w:rPr>
        <w:t>12</w:t>
      </w:r>
      <w:r>
        <w:rPr/>
        <w:t>月，本公司、周日军和杭州琅玕科技有限公司签订了《杭州琅玕科技有限公司股权转让协议》，本公司将 </w:t>
      </w:r>
      <w:r>
        <w:rPr>
          <w:spacing w:val="-2"/>
        </w:rPr>
        <w:t>持有的杭州琅玕科技有限公司</w:t>
      </w:r>
      <w:r>
        <w:rPr>
          <w:rFonts w:ascii="宋体" w:hAnsi="宋体" w:cs="宋体" w:eastAsia="宋体" w:hint="default"/>
          <w:spacing w:val="-2"/>
        </w:rPr>
        <w:t>5%</w:t>
      </w:r>
      <w:r>
        <w:rPr>
          <w:spacing w:val="-2"/>
        </w:rPr>
        <w:t>的股权</w:t>
      </w:r>
      <w:r>
        <w:rPr>
          <w:rFonts w:ascii="宋体" w:hAnsi="宋体" w:cs="宋体" w:eastAsia="宋体" w:hint="default"/>
          <w:spacing w:val="-2"/>
        </w:rPr>
        <w:t>(</w:t>
      </w:r>
      <w:r>
        <w:rPr>
          <w:spacing w:val="-2"/>
        </w:rPr>
        <w:t>对应注册资本</w:t>
      </w:r>
      <w:r>
        <w:rPr>
          <w:rFonts w:ascii="宋体" w:hAnsi="宋体" w:cs="宋体" w:eastAsia="宋体" w:hint="default"/>
          <w:spacing w:val="-2"/>
        </w:rPr>
        <w:t>59.2222</w:t>
      </w:r>
      <w:r>
        <w:rPr>
          <w:spacing w:val="-2"/>
        </w:rPr>
        <w:t>万元</w:t>
      </w:r>
      <w:r>
        <w:rPr>
          <w:rFonts w:ascii="宋体" w:hAnsi="宋体" w:cs="宋体" w:eastAsia="宋体" w:hint="default"/>
          <w:spacing w:val="-2"/>
        </w:rPr>
        <w:t>)</w:t>
      </w:r>
      <w:r>
        <w:rPr>
          <w:spacing w:val="-2"/>
        </w:rPr>
        <w:t>以股权激励方式以</w:t>
      </w:r>
      <w:r>
        <w:rPr>
          <w:rFonts w:ascii="宋体" w:hAnsi="宋体" w:cs="宋体" w:eastAsia="宋体" w:hint="default"/>
          <w:spacing w:val="-2"/>
        </w:rPr>
        <w:t>160</w:t>
      </w:r>
      <w:r>
        <w:rPr>
          <w:spacing w:val="-2"/>
        </w:rPr>
        <w:t>万元的价格转让给周日军，股权转</w:t>
      </w:r>
    </w:p>
    <w:p>
      <w:pPr>
        <w:spacing w:after="0" w:line="412" w:lineRule="auto"/>
        <w:jc w:val="left"/>
        <w:sectPr>
          <w:pgSz w:w="11910" w:h="16850"/>
          <w:pgMar w:header="866" w:footer="981" w:top="1120" w:bottom="1180" w:left="1000" w:right="0"/>
        </w:sectPr>
      </w:pPr>
    </w:p>
    <w:p>
      <w:pPr>
        <w:spacing w:line="240" w:lineRule="auto" w:before="10"/>
        <w:rPr>
          <w:rFonts w:ascii="宋体" w:hAnsi="宋体" w:cs="宋体" w:eastAsia="宋体" w:hint="default"/>
          <w:sz w:val="28"/>
          <w:szCs w:val="28"/>
        </w:rPr>
      </w:pPr>
    </w:p>
    <w:p>
      <w:pPr>
        <w:pStyle w:val="BodyText"/>
        <w:spacing w:line="405" w:lineRule="auto"/>
        <w:ind w:right="1023"/>
        <w:jc w:val="left"/>
      </w:pPr>
      <w:r>
        <w:rPr/>
        <w:t>让后，本公司持股比例变更为</w:t>
      </w:r>
      <w:r>
        <w:rPr>
          <w:rFonts w:ascii="宋体" w:hAnsi="宋体" w:cs="宋体" w:eastAsia="宋体" w:hint="default"/>
        </w:rPr>
        <w:t>47%</w:t>
      </w:r>
      <w:r>
        <w:rPr/>
        <w:t>。同时，杭州琅玕科技有限公司董事会由本公司委派</w:t>
      </w:r>
      <w:r>
        <w:rPr>
          <w:rFonts w:ascii="宋体" w:hAnsi="宋体" w:cs="宋体" w:eastAsia="宋体" w:hint="default"/>
        </w:rPr>
        <w:t>2</w:t>
      </w:r>
      <w:r>
        <w:rPr/>
        <w:t>名，由周日军委派</w:t>
      </w:r>
      <w:r>
        <w:rPr>
          <w:rFonts w:ascii="宋体" w:hAnsi="宋体" w:cs="宋体" w:eastAsia="宋体" w:hint="default"/>
        </w:rPr>
        <w:t>3</w:t>
      </w:r>
      <w:r>
        <w:rPr/>
        <w:t>名，本公司无法</w:t>
      </w:r>
      <w:r>
        <w:rPr>
          <w:spacing w:val="-80"/>
        </w:rPr>
        <w:t> </w:t>
      </w:r>
      <w:r>
        <w:rPr>
          <w:spacing w:val="-3"/>
        </w:rPr>
        <w:t>控制杭州琅玕科技有限公司，故自</w:t>
      </w:r>
      <w:r>
        <w:rPr>
          <w:rFonts w:ascii="宋体" w:hAnsi="宋体" w:cs="宋体" w:eastAsia="宋体" w:hint="default"/>
          <w:spacing w:val="-3"/>
        </w:rPr>
        <w:t>2019</w:t>
      </w:r>
      <w:r>
        <w:rPr>
          <w:spacing w:val="-3"/>
        </w:rPr>
        <w:t>年</w:t>
      </w:r>
      <w:r>
        <w:rPr>
          <w:rFonts w:ascii="宋体" w:hAnsi="宋体" w:cs="宋体" w:eastAsia="宋体" w:hint="default"/>
          <w:spacing w:val="-3"/>
        </w:rPr>
        <w:t>12</w:t>
      </w:r>
      <w:r>
        <w:rPr>
          <w:spacing w:val="-3"/>
        </w:rPr>
        <w:t>月起，杭州琅玕科技有限公司及其下属子公司杭州好睡眠医疗投资管理有限公司、</w:t>
      </w:r>
      <w:r>
        <w:rPr>
          <w:spacing w:val="-86"/>
        </w:rPr>
        <w:t> </w:t>
      </w:r>
      <w:r>
        <w:rPr>
          <w:spacing w:val="-86"/>
        </w:rPr>
      </w:r>
      <w:r>
        <w:rPr/>
        <w:t>杭州思力普诊所有限公司不再纳入合并范围内。</w:t>
      </w:r>
    </w:p>
    <w:p>
      <w:pPr>
        <w:pStyle w:val="BodyText"/>
        <w:spacing w:line="408" w:lineRule="auto" w:before="45"/>
        <w:ind w:right="1121" w:firstLine="360"/>
        <w:jc w:val="both"/>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12</w:t>
      </w:r>
      <w:r>
        <w:rPr/>
        <w:t>月，江苏瑞康医惠医疗投资管理有限公司召开了股东会决议，经股东会决议通过，江苏瑞康医惠医疗投资 </w:t>
      </w:r>
      <w:r>
        <w:rPr>
          <w:spacing w:val="-2"/>
        </w:rPr>
        <w:t>管理有限公司董事会由子公司医惠科技公司推荐三人、西藏瑞华资本管理有限公司推荐两人变更为由子公司医惠科技公司推</w:t>
      </w:r>
      <w:r>
        <w:rPr>
          <w:spacing w:val="-58"/>
        </w:rPr>
        <w:t> </w:t>
      </w:r>
      <w:r>
        <w:rPr>
          <w:spacing w:val="-58"/>
        </w:rPr>
      </w:r>
      <w:r>
        <w:rPr>
          <w:spacing w:val="-2"/>
        </w:rPr>
        <w:t>荐两人、西藏瑞华资本管理有限公司推荐两人、刘名章推荐一人，医惠科技公司无法控制江苏瑞康医惠医疗投资管理有限公</w:t>
      </w:r>
      <w:r>
        <w:rPr>
          <w:spacing w:val="-75"/>
        </w:rPr>
        <w:t> </w:t>
      </w:r>
      <w:r>
        <w:rPr>
          <w:spacing w:val="-75"/>
        </w:rPr>
      </w:r>
      <w:r>
        <w:rPr/>
        <w:t>司，故自</w:t>
      </w:r>
      <w:r>
        <w:rPr>
          <w:rFonts w:ascii="宋体" w:hAnsi="宋体" w:cs="宋体" w:eastAsia="宋体" w:hint="default"/>
        </w:rPr>
        <w:t>2019</w:t>
      </w:r>
      <w:r>
        <w:rPr/>
        <w:t>年</w:t>
      </w:r>
      <w:r>
        <w:rPr>
          <w:rFonts w:ascii="宋体" w:hAnsi="宋体" w:cs="宋体" w:eastAsia="宋体" w:hint="default"/>
        </w:rPr>
        <w:t>12</w:t>
      </w:r>
      <w:r>
        <w:rPr/>
        <w:t>月起，江苏瑞康医惠医疗投资管理有限公司不再纳入合并范围内。</w:t>
      </w:r>
    </w:p>
    <w:p>
      <w:pPr>
        <w:pStyle w:val="BodyText"/>
        <w:spacing w:line="398" w:lineRule="auto"/>
        <w:ind w:right="1128" w:firstLine="360"/>
        <w:jc w:val="both"/>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11</w:t>
      </w:r>
      <w:r>
        <w:rPr/>
        <w:t>月，杭州思创宣道信息技术有限公司更名为杭州集嘉科技有限公司；</w:t>
      </w:r>
      <w:r>
        <w:rPr>
          <w:rFonts w:ascii="宋体" w:hAnsi="宋体" w:cs="宋体" w:eastAsia="宋体" w:hint="default"/>
        </w:rPr>
        <w:t>2019</w:t>
      </w:r>
      <w:r>
        <w:rPr/>
        <w:t>年</w:t>
      </w:r>
      <w:r>
        <w:rPr>
          <w:rFonts w:ascii="宋体" w:hAnsi="宋体" w:cs="宋体" w:eastAsia="宋体" w:hint="default"/>
        </w:rPr>
        <w:t>12</w:t>
      </w:r>
      <w:r>
        <w:rPr/>
        <w:t>月，思创医惠科技股份有限 公司将</w:t>
      </w:r>
      <w:r>
        <w:rPr>
          <w:rFonts w:ascii="宋体" w:hAnsi="宋体" w:cs="宋体" w:eastAsia="宋体" w:hint="default"/>
        </w:rPr>
        <w:t>70%</w:t>
      </w:r>
      <w:r>
        <w:rPr/>
        <w:t>的股权转让给赵哲，故自</w:t>
      </w:r>
      <w:r>
        <w:rPr>
          <w:rFonts w:ascii="宋体" w:hAnsi="宋体" w:cs="宋体" w:eastAsia="宋体" w:hint="default"/>
        </w:rPr>
        <w:t>2019</w:t>
      </w:r>
      <w:r>
        <w:rPr/>
        <w:t>年</w:t>
      </w:r>
      <w:r>
        <w:rPr>
          <w:rFonts w:ascii="宋体" w:hAnsi="宋体" w:cs="宋体" w:eastAsia="宋体" w:hint="default"/>
        </w:rPr>
        <w:t>12</w:t>
      </w:r>
      <w:r>
        <w:rPr/>
        <w:t>月起，思创医惠科技股份有限公司不再将其纳入合并范围。</w:t>
      </w:r>
    </w:p>
    <w:p>
      <w:pPr>
        <w:pStyle w:val="BodyText"/>
        <w:spacing w:line="410" w:lineRule="auto" w:before="50"/>
        <w:ind w:right="1098" w:firstLine="360"/>
        <w:jc w:val="both"/>
      </w:pPr>
      <w:r>
        <w:rPr>
          <w:rFonts w:ascii="宋体" w:hAnsi="宋体" w:cs="宋体" w:eastAsia="宋体" w:hint="default"/>
          <w:spacing w:val="-2"/>
        </w:rPr>
        <w:t>4</w:t>
      </w:r>
      <w:r>
        <w:rPr>
          <w:spacing w:val="-2"/>
        </w:rPr>
        <w:t>、</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月，子公司医惠科技公司与杨生鹏签订《出资协议》，协议约定，杭州睿杰信息技术有限公司于经营期限内</w:t>
      </w:r>
      <w:r>
        <w:rPr/>
        <w:t> </w:t>
      </w:r>
      <w:r>
        <w:rPr>
          <w:spacing w:val="-2"/>
        </w:rPr>
        <w:t>实现第二阶段工作目标且经医惠科技公司验收确实合格的前提下，将新增注册资本</w:t>
      </w:r>
      <w:r>
        <w:rPr>
          <w:rFonts w:ascii="宋体" w:hAnsi="宋体" w:cs="宋体" w:eastAsia="宋体" w:hint="default"/>
          <w:spacing w:val="-2"/>
        </w:rPr>
        <w:t>750</w:t>
      </w:r>
      <w:r>
        <w:rPr>
          <w:spacing w:val="-2"/>
        </w:rPr>
        <w:t>万元，其中医惠科技公司以</w:t>
      </w:r>
      <w:r>
        <w:rPr>
          <w:rFonts w:ascii="宋体" w:hAnsi="宋体" w:cs="宋体" w:eastAsia="宋体" w:hint="default"/>
          <w:spacing w:val="-2"/>
        </w:rPr>
        <w:t>200</w:t>
      </w:r>
      <w:r>
        <w:rPr>
          <w:spacing w:val="-2"/>
        </w:rPr>
        <w:t>万元认</w:t>
      </w:r>
      <w:r>
        <w:rPr>
          <w:spacing w:val="-56"/>
        </w:rPr>
        <w:t> </w:t>
      </w:r>
      <w:r>
        <w:rPr>
          <w:spacing w:val="-2"/>
        </w:rPr>
        <w:t>缴新增注册资本</w:t>
      </w:r>
      <w:r>
        <w:rPr>
          <w:rFonts w:ascii="宋体" w:hAnsi="宋体" w:cs="宋体" w:eastAsia="宋体" w:hint="default"/>
          <w:spacing w:val="-2"/>
        </w:rPr>
        <w:t>200</w:t>
      </w:r>
      <w:r>
        <w:rPr>
          <w:spacing w:val="-2"/>
        </w:rPr>
        <w:t>万元，杨生鹏以</w:t>
      </w:r>
      <w:r>
        <w:rPr>
          <w:rFonts w:ascii="宋体" w:hAnsi="宋体" w:cs="宋体" w:eastAsia="宋体" w:hint="default"/>
          <w:spacing w:val="-2"/>
        </w:rPr>
        <w:t>550</w:t>
      </w:r>
      <w:r>
        <w:rPr>
          <w:spacing w:val="-2"/>
        </w:rPr>
        <w:t>万元认缴新增注册资本</w:t>
      </w:r>
      <w:r>
        <w:rPr>
          <w:rFonts w:ascii="宋体" w:hAnsi="宋体" w:cs="宋体" w:eastAsia="宋体" w:hint="default"/>
          <w:spacing w:val="-2"/>
        </w:rPr>
        <w:t>550</w:t>
      </w:r>
      <w:r>
        <w:rPr>
          <w:spacing w:val="-2"/>
        </w:rPr>
        <w:t>万元。</w:t>
      </w:r>
      <w:r>
        <w:rPr>
          <w:rFonts w:ascii="宋体" w:hAnsi="宋体" w:cs="宋体" w:eastAsia="宋体" w:hint="default"/>
          <w:spacing w:val="-2"/>
        </w:rPr>
        <w:t>2019</w:t>
      </w:r>
      <w:r>
        <w:rPr>
          <w:spacing w:val="-2"/>
        </w:rPr>
        <w:t>年</w:t>
      </w:r>
      <w:r>
        <w:rPr>
          <w:rFonts w:ascii="宋体" w:hAnsi="宋体" w:cs="宋体" w:eastAsia="宋体" w:hint="default"/>
          <w:spacing w:val="-2"/>
        </w:rPr>
        <w:t>3</w:t>
      </w:r>
      <w:r>
        <w:rPr>
          <w:spacing w:val="-2"/>
        </w:rPr>
        <w:t>月，杭州睿杰信息技术有限公司已实现第二</w:t>
      </w:r>
      <w:r>
        <w:rPr>
          <w:spacing w:val="-56"/>
        </w:rPr>
        <w:t> </w:t>
      </w:r>
      <w:r>
        <w:rPr>
          <w:spacing w:val="-56"/>
        </w:rPr>
      </w:r>
      <w:r>
        <w:rPr>
          <w:spacing w:val="-1"/>
        </w:rPr>
        <w:t>阶段工作目标，双方增资后，医惠科技公司持股比例变更为</w:t>
      </w:r>
      <w:r>
        <w:rPr>
          <w:rFonts w:ascii="宋体" w:hAnsi="宋体" w:cs="宋体" w:eastAsia="宋体" w:hint="default"/>
          <w:spacing w:val="-1"/>
        </w:rPr>
        <w:t>40%</w:t>
      </w:r>
      <w:r>
        <w:rPr>
          <w:spacing w:val="-1"/>
        </w:rPr>
        <w:t>，故自</w:t>
      </w:r>
      <w:r>
        <w:rPr>
          <w:rFonts w:ascii="宋体" w:hAnsi="宋体" w:cs="宋体" w:eastAsia="宋体" w:hint="default"/>
          <w:spacing w:val="-1"/>
        </w:rPr>
        <w:t>2019</w:t>
      </w:r>
      <w:r>
        <w:rPr>
          <w:spacing w:val="-1"/>
        </w:rPr>
        <w:t>年</w:t>
      </w:r>
      <w:r>
        <w:rPr>
          <w:rFonts w:ascii="宋体" w:hAnsi="宋体" w:cs="宋体" w:eastAsia="宋体" w:hint="default"/>
          <w:spacing w:val="-1"/>
        </w:rPr>
        <w:t>3</w:t>
      </w:r>
      <w:r>
        <w:rPr>
          <w:spacing w:val="-1"/>
        </w:rPr>
        <w:t>月起，杭州睿杰信息技术有限公司不再纳入合</w:t>
      </w:r>
      <w:r>
        <w:rPr/>
        <w:t> 并范围内。</w:t>
      </w:r>
    </w:p>
    <w:p>
      <w:pPr>
        <w:spacing w:line="240" w:lineRule="auto" w:before="12"/>
        <w:rPr>
          <w:rFonts w:ascii="宋体" w:hAnsi="宋体" w:cs="宋体" w:eastAsia="宋体" w:hint="default"/>
          <w:sz w:val="13"/>
          <w:szCs w:val="13"/>
        </w:rPr>
      </w:pPr>
    </w:p>
    <w:p>
      <w:pPr>
        <w:pStyle w:val="Heading2"/>
        <w:spacing w:line="240" w:lineRule="auto"/>
        <w:ind w:right="1086"/>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086"/>
        <w:jc w:val="left"/>
      </w:pPr>
      <w:r>
        <w:rPr/>
        <w:t>现聘任的会计事务所</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right="16"/>
              <w:jc w:val="righ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sz w:val="18"/>
              </w:rPr>
              <w:t>107</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5"/>
                <w:sz w:val="18"/>
                <w:szCs w:val="18"/>
              </w:rPr>
              <w:t> </w:t>
            </w:r>
            <w:r>
              <w:rPr>
                <w:rFonts w:ascii="宋体" w:hAnsi="宋体" w:cs="宋体" w:eastAsia="宋体" w:hint="default"/>
                <w:sz w:val="18"/>
                <w:szCs w:val="18"/>
              </w:rPr>
              <w:t>年</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right="14"/>
              <w:jc w:val="right"/>
              <w:rPr>
                <w:rFonts w:ascii="宋体" w:hAnsi="宋体" w:cs="宋体" w:eastAsia="宋体" w:hint="default"/>
                <w:sz w:val="18"/>
                <w:szCs w:val="18"/>
              </w:rPr>
            </w:pPr>
            <w:r>
              <w:rPr>
                <w:rFonts w:ascii="宋体" w:hAnsi="宋体" w:cs="宋体" w:eastAsia="宋体" w:hint="default"/>
                <w:sz w:val="18"/>
                <w:szCs w:val="18"/>
              </w:rPr>
              <w:t>胡彦龙、徐莉丽</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right="13"/>
              <w:jc w:val="righ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年</w:t>
            </w:r>
          </w:p>
        </w:tc>
      </w:tr>
    </w:tbl>
    <w:p>
      <w:pPr>
        <w:pStyle w:val="BodyText"/>
        <w:spacing w:line="240" w:lineRule="auto" w:before="45"/>
        <w:ind w:right="1086"/>
        <w:jc w:val="left"/>
      </w:pPr>
      <w:r>
        <w:rPr/>
        <w:t>是否改聘会计师事务所</w:t>
      </w:r>
    </w:p>
    <w:p>
      <w:pPr>
        <w:pStyle w:val="BodyText"/>
        <w:spacing w:line="333" w:lineRule="auto" w:before="124"/>
        <w:ind w:right="62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聘请内部控制审计会计师事务所、财务顾问或保荐人情况</w:t>
      </w:r>
    </w:p>
    <w:p>
      <w:pPr>
        <w:pStyle w:val="BodyText"/>
        <w:spacing w:line="331" w:lineRule="auto" w:before="55"/>
        <w:ind w:right="12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本年度，公司聘请天健会计师事务所（特殊普通合伙）对公司内部控制情况进行审计，并出具了《内部控制鉴证报告》。</w:t>
      </w:r>
    </w:p>
    <w:p>
      <w:pPr>
        <w:spacing w:line="240" w:lineRule="auto" w:before="10"/>
        <w:rPr>
          <w:rFonts w:ascii="宋体" w:hAnsi="宋体" w:cs="宋体" w:eastAsia="宋体" w:hint="default"/>
          <w:sz w:val="20"/>
          <w:szCs w:val="20"/>
        </w:rPr>
      </w:pPr>
    </w:p>
    <w:p>
      <w:pPr>
        <w:pStyle w:val="Heading2"/>
        <w:spacing w:line="240" w:lineRule="auto"/>
        <w:ind w:right="1086"/>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086"/>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1"/>
        <w:rPr>
          <w:rFonts w:ascii="宋体" w:hAnsi="宋体" w:cs="宋体" w:eastAsia="宋体" w:hint="default"/>
          <w:b/>
          <w:bCs/>
          <w:sz w:val="26"/>
          <w:szCs w:val="26"/>
        </w:rPr>
      </w:pPr>
    </w:p>
    <w:p>
      <w:pPr>
        <w:pStyle w:val="BodyText"/>
        <w:spacing w:line="333" w:lineRule="auto" w:before="0"/>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after="0" w:line="333" w:lineRule="auto"/>
        <w:jc w:val="left"/>
        <w:sectPr>
          <w:pgSz w:w="11910" w:h="16850"/>
          <w:pgMar w:header="866" w:footer="981" w:top="1120" w:bottom="1180" w:left="1000" w:right="0"/>
        </w:sectPr>
      </w:pPr>
    </w:p>
    <w:p>
      <w:pPr>
        <w:spacing w:line="240" w:lineRule="auto" w:before="3"/>
        <w:rPr>
          <w:rFonts w:ascii="宋体" w:hAnsi="宋体" w:cs="宋体" w:eastAsia="宋体" w:hint="default"/>
          <w:sz w:val="20"/>
          <w:szCs w:val="20"/>
        </w:rPr>
      </w:pPr>
    </w:p>
    <w:p>
      <w:pPr>
        <w:pStyle w:val="Heading2"/>
        <w:spacing w:line="240" w:lineRule="auto" w:before="26"/>
        <w:ind w:right="1086"/>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1"/>
        <w:rPr>
          <w:rFonts w:ascii="宋体" w:hAnsi="宋体" w:cs="宋体" w:eastAsia="宋体" w:hint="default"/>
          <w:b/>
          <w:bCs/>
          <w:sz w:val="26"/>
          <w:szCs w:val="26"/>
        </w:rPr>
      </w:pPr>
    </w:p>
    <w:p>
      <w:pPr>
        <w:pStyle w:val="BodyText"/>
        <w:spacing w:line="319" w:lineRule="auto" w:before="0"/>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本年度公司无重大诉讼、仲裁事项。</w:t>
      </w:r>
    </w:p>
    <w:p>
      <w:pPr>
        <w:spacing w:line="240" w:lineRule="auto" w:before="8"/>
        <w:rPr>
          <w:rFonts w:ascii="宋体" w:hAnsi="宋体" w:cs="宋体" w:eastAsia="宋体" w:hint="default"/>
          <w:sz w:val="22"/>
          <w:szCs w:val="22"/>
        </w:rPr>
      </w:pPr>
    </w:p>
    <w:p>
      <w:pPr>
        <w:pStyle w:val="Heading2"/>
        <w:spacing w:line="240" w:lineRule="auto"/>
        <w:ind w:right="1086"/>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1"/>
        <w:rPr>
          <w:rFonts w:ascii="宋体" w:hAnsi="宋体" w:cs="宋体" w:eastAsia="宋体" w:hint="default"/>
          <w:b/>
          <w:bCs/>
          <w:sz w:val="26"/>
          <w:szCs w:val="26"/>
        </w:rPr>
      </w:pPr>
    </w:p>
    <w:p>
      <w:pPr>
        <w:pStyle w:val="BodyText"/>
        <w:spacing w:line="331" w:lineRule="auto" w:before="0"/>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公司报告期不存在处罚及整改情况。</w:t>
      </w:r>
    </w:p>
    <w:p>
      <w:pPr>
        <w:spacing w:line="240" w:lineRule="auto" w:before="10"/>
        <w:rPr>
          <w:rFonts w:ascii="宋体" w:hAnsi="宋体" w:cs="宋体" w:eastAsia="宋体" w:hint="default"/>
          <w:sz w:val="20"/>
          <w:szCs w:val="20"/>
        </w:rPr>
      </w:pPr>
    </w:p>
    <w:p>
      <w:pPr>
        <w:pStyle w:val="Heading2"/>
        <w:spacing w:line="240" w:lineRule="auto"/>
        <w:ind w:right="1086"/>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086"/>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1"/>
        <w:rPr>
          <w:rFonts w:ascii="宋体" w:hAnsi="宋体" w:cs="宋体" w:eastAsia="宋体" w:hint="default"/>
          <w:b/>
          <w:bCs/>
          <w:sz w:val="26"/>
          <w:szCs w:val="26"/>
        </w:rPr>
      </w:pPr>
    </w:p>
    <w:p>
      <w:pPr>
        <w:pStyle w:val="BodyText"/>
        <w:spacing w:line="420" w:lineRule="auto" w:before="0"/>
        <w:ind w:left="501" w:right="73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2019</w:t>
      </w:r>
      <w:r>
        <w:rPr/>
        <w:t>年股票期权与限制性股票激励计划</w:t>
      </w:r>
    </w:p>
    <w:p>
      <w:pPr>
        <w:pStyle w:val="BodyText"/>
        <w:spacing w:line="408" w:lineRule="auto" w:before="35"/>
        <w:ind w:right="1097" w:firstLine="360"/>
        <w:jc w:val="both"/>
      </w:pPr>
      <w:r>
        <w:rPr>
          <w:rFonts w:ascii="宋体" w:hAnsi="宋体" w:cs="宋体" w:eastAsia="宋体" w:hint="default"/>
          <w:spacing w:val="-4"/>
        </w:rPr>
        <w:t>1</w:t>
      </w:r>
      <w:r>
        <w:rPr>
          <w:spacing w:val="-4"/>
        </w:rPr>
        <w:t>、</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16</w:t>
      </w:r>
      <w:r>
        <w:rPr>
          <w:spacing w:val="-4"/>
        </w:rPr>
        <w:t>日，公司第四届董事会第十五次会议审议通过了《关于</w:t>
      </w:r>
      <w:r>
        <w:rPr>
          <w:rFonts w:ascii="宋体" w:hAnsi="宋体" w:cs="宋体" w:eastAsia="宋体" w:hint="default"/>
          <w:spacing w:val="-4"/>
        </w:rPr>
        <w:t>&lt;</w:t>
      </w:r>
      <w:r>
        <w:rPr>
          <w:spacing w:val="-4"/>
        </w:rPr>
        <w:t>公司</w:t>
      </w:r>
      <w:r>
        <w:rPr>
          <w:rFonts w:ascii="宋体" w:hAnsi="宋体" w:cs="宋体" w:eastAsia="宋体" w:hint="default"/>
          <w:spacing w:val="-4"/>
        </w:rPr>
        <w:t>2019</w:t>
      </w:r>
      <w:r>
        <w:rPr>
          <w:spacing w:val="-4"/>
        </w:rPr>
        <w:t>年股票期权与限制性股票激励计划（草</w:t>
      </w:r>
      <w:r>
        <w:rPr/>
        <w:t> 案）及其摘要</w:t>
      </w:r>
      <w:r>
        <w:rPr>
          <w:rFonts w:ascii="宋体" w:hAnsi="宋体" w:cs="宋体" w:eastAsia="宋体" w:hint="default"/>
        </w:rPr>
        <w:t>&gt;</w:t>
      </w:r>
      <w:r>
        <w:rPr/>
        <w:t>的议案》、《关于</w:t>
      </w:r>
      <w:r>
        <w:rPr>
          <w:rFonts w:ascii="宋体" w:hAnsi="宋体" w:cs="宋体" w:eastAsia="宋体" w:hint="default"/>
        </w:rPr>
        <w:t>&lt;</w:t>
      </w:r>
      <w:r>
        <w:rPr/>
        <w:t>公司</w:t>
      </w:r>
      <w:r>
        <w:rPr>
          <w:rFonts w:ascii="宋体" w:hAnsi="宋体" w:cs="宋体" w:eastAsia="宋体" w:hint="default"/>
        </w:rPr>
        <w:t>2019</w:t>
      </w:r>
      <w:r>
        <w:rPr/>
        <w:t>年股票期权与限制性股票激励计划实施考核办法</w:t>
      </w:r>
      <w:r>
        <w:rPr>
          <w:rFonts w:ascii="宋体" w:hAnsi="宋体" w:cs="宋体" w:eastAsia="宋体" w:hint="default"/>
        </w:rPr>
        <w:t>&gt;</w:t>
      </w:r>
      <w:r>
        <w:rPr/>
        <w:t>的议案》、《关于提请股东大</w:t>
      </w:r>
      <w:r>
        <w:rPr>
          <w:spacing w:val="-83"/>
        </w:rPr>
        <w:t> </w:t>
      </w:r>
      <w:r>
        <w:rPr/>
        <w:t>会授权董事会办理股权激励相关事宜的议案》；公司第四届监事会第十三次会议审议通过了《关于</w:t>
      </w:r>
      <w:r>
        <w:rPr>
          <w:rFonts w:ascii="宋体" w:hAnsi="宋体" w:cs="宋体" w:eastAsia="宋体" w:hint="default"/>
        </w:rPr>
        <w:t>&lt;</w:t>
      </w:r>
      <w:r>
        <w:rPr/>
        <w:t>公司</w:t>
      </w:r>
      <w:r>
        <w:rPr>
          <w:rFonts w:ascii="宋体" w:hAnsi="宋体" w:cs="宋体" w:eastAsia="宋体" w:hint="default"/>
        </w:rPr>
        <w:t>2019</w:t>
      </w:r>
      <w:r>
        <w:rPr/>
        <w:t>年股票期权与</w:t>
      </w:r>
      <w:r>
        <w:rPr>
          <w:spacing w:val="-81"/>
        </w:rPr>
        <w:t> </w:t>
      </w:r>
      <w:r>
        <w:rPr/>
        <w:t>限制性股票激励计划（草案）及其摘要</w:t>
      </w:r>
      <w:r>
        <w:rPr>
          <w:rFonts w:ascii="宋体" w:hAnsi="宋体" w:cs="宋体" w:eastAsia="宋体" w:hint="default"/>
        </w:rPr>
        <w:t>&gt;</w:t>
      </w:r>
      <w:r>
        <w:rPr/>
        <w:t>的议案》、《关于</w:t>
      </w:r>
      <w:r>
        <w:rPr>
          <w:rFonts w:ascii="宋体" w:hAnsi="宋体" w:cs="宋体" w:eastAsia="宋体" w:hint="default"/>
        </w:rPr>
        <w:t>&lt;</w:t>
      </w:r>
      <w:r>
        <w:rPr/>
        <w:t>公司</w:t>
      </w:r>
      <w:r>
        <w:rPr>
          <w:rFonts w:ascii="宋体" w:hAnsi="宋体" w:cs="宋体" w:eastAsia="宋体" w:hint="default"/>
        </w:rPr>
        <w:t>2019</w:t>
      </w:r>
      <w:r>
        <w:rPr/>
        <w:t>年股票期权与限制性股票激励计划实施考核办法</w:t>
      </w:r>
      <w:r>
        <w:rPr>
          <w:rFonts w:ascii="宋体" w:hAnsi="宋体" w:cs="宋体" w:eastAsia="宋体" w:hint="default"/>
        </w:rPr>
        <w:t>&gt;</w:t>
      </w:r>
      <w:r>
        <w:rPr/>
        <w:t>的议</w:t>
      </w:r>
      <w:r>
        <w:rPr>
          <w:spacing w:val="-81"/>
        </w:rPr>
        <w:t> </w:t>
      </w:r>
      <w:r>
        <w:rPr>
          <w:spacing w:val="-2"/>
        </w:rPr>
        <w:t>案》、《关于核查公司</w:t>
      </w:r>
      <w:r>
        <w:rPr>
          <w:rFonts w:ascii="宋体" w:hAnsi="宋体" w:cs="宋体" w:eastAsia="宋体" w:hint="default"/>
          <w:spacing w:val="-2"/>
        </w:rPr>
        <w:t>&lt;2019</w:t>
      </w:r>
      <w:r>
        <w:rPr>
          <w:spacing w:val="-2"/>
        </w:rPr>
        <w:t>年股票期权与限制性股票激励计划授予对象名单</w:t>
      </w:r>
      <w:r>
        <w:rPr>
          <w:rFonts w:ascii="宋体" w:hAnsi="宋体" w:cs="宋体" w:eastAsia="宋体" w:hint="default"/>
          <w:spacing w:val="-2"/>
        </w:rPr>
        <w:t>&gt;</w:t>
      </w:r>
      <w:r>
        <w:rPr>
          <w:spacing w:val="-2"/>
        </w:rPr>
        <w:t>的议案》；公司独立董事就第四届董事会第十</w:t>
      </w:r>
      <w:r>
        <w:rPr>
          <w:spacing w:val="-45"/>
        </w:rPr>
        <w:t> </w:t>
      </w:r>
      <w:r>
        <w:rPr>
          <w:spacing w:val="-45"/>
        </w:rPr>
      </w:r>
      <w:r>
        <w:rPr/>
        <w:t>五次会议相关事项发表了同意的独立意见。</w:t>
      </w:r>
    </w:p>
    <w:p>
      <w:pPr>
        <w:pStyle w:val="BodyText"/>
        <w:spacing w:line="412" w:lineRule="auto" w:before="43"/>
        <w:ind w:right="1126" w:firstLine="360"/>
        <w:jc w:val="both"/>
      </w:pPr>
      <w:r>
        <w:rPr>
          <w:rFonts w:ascii="宋体" w:hAnsi="宋体" w:cs="宋体" w:eastAsia="宋体" w:hint="default"/>
        </w:rPr>
        <w:t>2</w:t>
      </w:r>
      <w:r>
        <w:rPr/>
        <w:t>、</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17</w:t>
      </w:r>
      <w:r>
        <w:rPr/>
        <w:t>日至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30</w:t>
      </w:r>
      <w:r>
        <w:rPr/>
        <w:t>日，公司对激励对象的姓名及职务在公司网站进行了公示。监事会于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 </w:t>
      </w:r>
      <w:r>
        <w:rPr/>
        <w:t>日发布了《监事会关于公司</w:t>
      </w:r>
      <w:r>
        <w:rPr>
          <w:rFonts w:ascii="宋体" w:hAnsi="宋体" w:cs="宋体" w:eastAsia="宋体" w:hint="default"/>
        </w:rPr>
        <w:t>2019</w:t>
      </w:r>
      <w:r>
        <w:rPr/>
        <w:t>年股票期权与限制性股票激励计划激励对象名单的公示情况说明及核查意见》。</w:t>
      </w:r>
    </w:p>
    <w:p>
      <w:pPr>
        <w:pStyle w:val="BodyText"/>
        <w:spacing w:line="412" w:lineRule="auto" w:before="25"/>
        <w:ind w:right="1098" w:firstLine="360"/>
        <w:jc w:val="both"/>
      </w:pPr>
      <w:r>
        <w:rPr>
          <w:rFonts w:ascii="宋体" w:hAnsi="宋体" w:cs="宋体" w:eastAsia="宋体" w:hint="default"/>
          <w:spacing w:val="-1"/>
        </w:rPr>
        <w:t>3</w:t>
      </w:r>
      <w:r>
        <w:rPr>
          <w:spacing w:val="-1"/>
        </w:rPr>
        <w:t>、</w:t>
      </w:r>
      <w:r>
        <w:rPr>
          <w:rFonts w:ascii="宋体" w:hAnsi="宋体" w:cs="宋体" w:eastAsia="宋体" w:hint="default"/>
          <w:spacing w:val="-1"/>
        </w:rPr>
        <w:t>2020</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6</w:t>
      </w:r>
      <w:r>
        <w:rPr>
          <w:spacing w:val="-1"/>
        </w:rPr>
        <w:t>日，公司</w:t>
      </w:r>
      <w:r>
        <w:rPr>
          <w:rFonts w:ascii="宋体" w:hAnsi="宋体" w:cs="宋体" w:eastAsia="宋体" w:hint="default"/>
          <w:spacing w:val="-1"/>
        </w:rPr>
        <w:t>2020</w:t>
      </w:r>
      <w:r>
        <w:rPr>
          <w:spacing w:val="-1"/>
        </w:rPr>
        <w:t>年第一次临时股东大会审议通过了《关于</w:t>
      </w:r>
      <w:r>
        <w:rPr>
          <w:rFonts w:ascii="宋体" w:hAnsi="宋体" w:cs="宋体" w:eastAsia="宋体" w:hint="default"/>
          <w:spacing w:val="-1"/>
        </w:rPr>
        <w:t>&lt;</w:t>
      </w:r>
      <w:r>
        <w:rPr>
          <w:spacing w:val="-1"/>
        </w:rPr>
        <w:t>公司</w:t>
      </w:r>
      <w:r>
        <w:rPr>
          <w:rFonts w:ascii="宋体" w:hAnsi="宋体" w:cs="宋体" w:eastAsia="宋体" w:hint="default"/>
          <w:spacing w:val="-1"/>
        </w:rPr>
        <w:t>2019</w:t>
      </w:r>
      <w:r>
        <w:rPr>
          <w:spacing w:val="-1"/>
        </w:rPr>
        <w:t>年股票期权与限制性股票激励计划（草</w:t>
      </w:r>
      <w:r>
        <w:rPr/>
        <w:t> 案）及其摘要</w:t>
      </w:r>
      <w:r>
        <w:rPr>
          <w:rFonts w:ascii="宋体" w:hAnsi="宋体" w:cs="宋体" w:eastAsia="宋体" w:hint="default"/>
        </w:rPr>
        <w:t>&gt;</w:t>
      </w:r>
      <w:r>
        <w:rPr/>
        <w:t>的议案》、《关于</w:t>
      </w:r>
      <w:r>
        <w:rPr>
          <w:rFonts w:ascii="宋体" w:hAnsi="宋体" w:cs="宋体" w:eastAsia="宋体" w:hint="default"/>
        </w:rPr>
        <w:t>&lt;</w:t>
      </w:r>
      <w:r>
        <w:rPr/>
        <w:t>公司</w:t>
      </w:r>
      <w:r>
        <w:rPr>
          <w:rFonts w:ascii="宋体" w:hAnsi="宋体" w:cs="宋体" w:eastAsia="宋体" w:hint="default"/>
        </w:rPr>
        <w:t>2019</w:t>
      </w:r>
      <w:r>
        <w:rPr/>
        <w:t>年股票期权与限制性股票激励计划实施考核办法</w:t>
      </w:r>
      <w:r>
        <w:rPr>
          <w:rFonts w:ascii="宋体" w:hAnsi="宋体" w:cs="宋体" w:eastAsia="宋体" w:hint="default"/>
        </w:rPr>
        <w:t>&gt;</w:t>
      </w:r>
      <w:r>
        <w:rPr/>
        <w:t>的议案》、《关于提请股东大</w:t>
      </w:r>
      <w:r>
        <w:rPr>
          <w:spacing w:val="-83"/>
        </w:rPr>
        <w:t> </w:t>
      </w:r>
      <w:r>
        <w:rPr/>
        <w:t>会授权董事会办理股权激励相关事宜的议案》。</w:t>
      </w:r>
    </w:p>
    <w:p>
      <w:pPr>
        <w:pStyle w:val="BodyText"/>
        <w:spacing w:line="408" w:lineRule="auto" w:before="25"/>
        <w:ind w:right="1124" w:firstLine="360"/>
        <w:jc w:val="right"/>
      </w:pPr>
      <w:r>
        <w:rPr>
          <w:rFonts w:ascii="宋体" w:hAnsi="宋体" w:cs="宋体" w:eastAsia="宋体" w:hint="default"/>
          <w:spacing w:val="-2"/>
        </w:rPr>
        <w:t>4</w:t>
      </w:r>
      <w:r>
        <w:rPr>
          <w:spacing w:val="-2"/>
        </w:rPr>
        <w:t>、</w:t>
      </w:r>
      <w:r>
        <w:rPr>
          <w:rFonts w:ascii="宋体" w:hAnsi="宋体" w:cs="宋体" w:eastAsia="宋体" w:hint="default"/>
          <w:spacing w:val="-2"/>
        </w:rPr>
        <w:t>2020</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14</w:t>
      </w:r>
      <w:r>
        <w:rPr>
          <w:spacing w:val="-2"/>
        </w:rPr>
        <w:t>日，公司第四届董事会第十七次会议和第四届监事会第十四次会议审议通过了《关于向激励对象授予股</w:t>
      </w:r>
      <w:r>
        <w:rPr/>
        <w:t> 票期权与限制性股票的议案》。公司独立董事对该事项发表了同意的独立意见。同意以</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14</w:t>
      </w:r>
      <w:r>
        <w:rPr/>
        <w:t>日为股权激励权益授予 </w:t>
      </w:r>
      <w:r>
        <w:rPr>
          <w:spacing w:val="-2"/>
        </w:rPr>
        <w:t>日，向</w:t>
      </w:r>
      <w:r>
        <w:rPr>
          <w:rFonts w:ascii="宋体" w:hAnsi="宋体" w:cs="宋体" w:eastAsia="宋体" w:hint="default"/>
          <w:spacing w:val="-2"/>
        </w:rPr>
        <w:t>66</w:t>
      </w:r>
      <w:r>
        <w:rPr>
          <w:spacing w:val="-2"/>
        </w:rPr>
        <w:t>名激励对象授予</w:t>
      </w:r>
      <w:r>
        <w:rPr>
          <w:rFonts w:ascii="宋体" w:hAnsi="宋体" w:cs="宋体" w:eastAsia="宋体" w:hint="default"/>
          <w:spacing w:val="-2"/>
        </w:rPr>
        <w:t>1,232.10</w:t>
      </w:r>
      <w:r>
        <w:rPr>
          <w:spacing w:val="-2"/>
        </w:rPr>
        <w:t>万份股票期权；向</w:t>
      </w:r>
      <w:r>
        <w:rPr>
          <w:rFonts w:ascii="宋体" w:hAnsi="宋体" w:cs="宋体" w:eastAsia="宋体" w:hint="default"/>
          <w:spacing w:val="-2"/>
        </w:rPr>
        <w:t>63</w:t>
      </w:r>
      <w:r>
        <w:rPr>
          <w:spacing w:val="-2"/>
        </w:rPr>
        <w:t>名激励对象授予</w:t>
      </w:r>
      <w:r>
        <w:rPr>
          <w:rFonts w:ascii="宋体" w:hAnsi="宋体" w:cs="宋体" w:eastAsia="宋体" w:hint="default"/>
          <w:spacing w:val="-2"/>
        </w:rPr>
        <w:t>1,013.60</w:t>
      </w:r>
      <w:r>
        <w:rPr>
          <w:spacing w:val="-2"/>
        </w:rPr>
        <w:t>万股限制性股票。具体内容详见公司在巨潮</w:t>
      </w:r>
      <w:r>
        <w:rPr>
          <w:spacing w:val="-65"/>
        </w:rPr>
        <w:t> </w:t>
      </w:r>
      <w:r>
        <w:rPr>
          <w:spacing w:val="-65"/>
        </w:rPr>
      </w:r>
      <w:r>
        <w:rPr/>
        <w:t>资讯网站（</w:t>
      </w:r>
      <w:hyperlink r:id="rId13">
        <w:r>
          <w:rPr>
            <w:rFonts w:ascii="宋体" w:hAnsi="宋体" w:cs="宋体" w:eastAsia="宋体" w:hint="default"/>
          </w:rPr>
          <w:t>www.cninfo.com.cn</w:t>
        </w:r>
      </w:hyperlink>
      <w:r>
        <w:rPr/>
        <w:t>）披露的《关于向激励对象授予股票期权与限制性股票的公告》（公告编号：</w:t>
      </w:r>
      <w:r>
        <w:rPr>
          <w:rFonts w:ascii="宋体" w:hAnsi="宋体" w:cs="宋体" w:eastAsia="宋体" w:hint="default"/>
        </w:rPr>
        <w:t>2020-017</w:t>
      </w:r>
      <w:r>
        <w:rPr/>
        <w:t>）。</w:t>
      </w:r>
      <w:r>
        <w:rPr>
          <w:spacing w:val="-88"/>
        </w:rPr>
        <w:t> </w:t>
      </w:r>
      <w:r>
        <w:rPr>
          <w:rFonts w:ascii="宋体" w:hAnsi="宋体" w:cs="宋体" w:eastAsia="宋体" w:hint="default"/>
        </w:rPr>
        <w:t>5</w:t>
      </w:r>
      <w:r>
        <w:rPr/>
        <w:t>、</w:t>
      </w:r>
      <w:r>
        <w:rPr>
          <w:rFonts w:ascii="宋体" w:hAnsi="宋体" w:cs="宋体" w:eastAsia="宋体" w:hint="default"/>
        </w:rPr>
        <w:t>2020</w:t>
      </w:r>
      <w:r>
        <w:rPr/>
        <w:t>年</w:t>
      </w:r>
      <w:r>
        <w:rPr>
          <w:rFonts w:ascii="宋体" w:hAnsi="宋体" w:cs="宋体" w:eastAsia="宋体" w:hint="default"/>
        </w:rPr>
        <w:t>2</w:t>
      </w:r>
      <w:r>
        <w:rPr/>
        <w:t>月</w:t>
      </w:r>
      <w:r>
        <w:rPr>
          <w:rFonts w:ascii="宋体" w:hAnsi="宋体" w:cs="宋体" w:eastAsia="宋体" w:hint="default"/>
        </w:rPr>
        <w:t>26</w:t>
      </w:r>
      <w:r>
        <w:rPr/>
        <w:t>日，公司</w:t>
      </w:r>
      <w:r>
        <w:rPr>
          <w:rFonts w:ascii="宋体" w:hAnsi="宋体" w:cs="宋体" w:eastAsia="宋体" w:hint="default"/>
        </w:rPr>
        <w:t>2019</w:t>
      </w:r>
      <w:r>
        <w:rPr/>
        <w:t>年股票期权与限制性股票完成授予登记工作，本次授予限制性股票的上市日期为</w:t>
      </w:r>
      <w:r>
        <w:rPr>
          <w:rFonts w:ascii="宋体" w:hAnsi="宋体" w:cs="宋体" w:eastAsia="宋体" w:hint="default"/>
        </w:rPr>
        <w:t>2020</w:t>
      </w:r>
      <w:r>
        <w:rPr/>
        <w:t>年</w:t>
      </w:r>
      <w:r>
        <w:rPr>
          <w:rFonts w:ascii="宋体" w:hAnsi="宋体" w:cs="宋体" w:eastAsia="宋体" w:hint="default"/>
        </w:rPr>
        <w:t>2 </w:t>
      </w:r>
      <w:r>
        <w:rPr/>
        <w:t>月</w:t>
      </w:r>
      <w:r>
        <w:rPr>
          <w:rFonts w:ascii="宋体" w:hAnsi="宋体" w:cs="宋体" w:eastAsia="宋体" w:hint="default"/>
        </w:rPr>
        <w:t>28</w:t>
      </w:r>
      <w:r>
        <w:rPr/>
        <w:t>日，具体内容详见公司在巨潮资讯网站（</w:t>
      </w:r>
      <w:hyperlink r:id="rId13">
        <w:r>
          <w:rPr>
            <w:rFonts w:ascii="宋体" w:hAnsi="宋体" w:cs="宋体" w:eastAsia="宋体" w:hint="default"/>
          </w:rPr>
          <w:t>www.cninfo.com.cn</w:t>
        </w:r>
      </w:hyperlink>
      <w:r>
        <w:rPr/>
        <w:t>）披露的《关于</w:t>
      </w:r>
      <w:r>
        <w:rPr>
          <w:rFonts w:ascii="宋体" w:hAnsi="宋体" w:cs="宋体" w:eastAsia="宋体" w:hint="default"/>
        </w:rPr>
        <w:t>2019</w:t>
      </w:r>
      <w:r>
        <w:rPr/>
        <w:t>年股票期权与限制性股票激励计划股 </w:t>
      </w:r>
      <w:r>
        <w:rPr>
          <w:spacing w:val="-2"/>
        </w:rPr>
        <w:t>票期权授予登记完成的公告》（公告编号：</w:t>
      </w:r>
      <w:r>
        <w:rPr>
          <w:rFonts w:ascii="宋体" w:hAnsi="宋体" w:cs="宋体" w:eastAsia="宋体" w:hint="default"/>
          <w:spacing w:val="-2"/>
        </w:rPr>
        <w:t>2020-020</w:t>
      </w:r>
      <w:r>
        <w:rPr>
          <w:spacing w:val="-2"/>
        </w:rPr>
        <w:t>）、《关于</w:t>
      </w:r>
      <w:r>
        <w:rPr>
          <w:rFonts w:ascii="宋体" w:hAnsi="宋体" w:cs="宋体" w:eastAsia="宋体" w:hint="default"/>
          <w:spacing w:val="-2"/>
        </w:rPr>
        <w:t>2019</w:t>
      </w:r>
      <w:r>
        <w:rPr>
          <w:spacing w:val="-2"/>
        </w:rPr>
        <w:t>年股票期权与限制性股票激励计划限制性股票授予登记</w:t>
      </w:r>
    </w:p>
    <w:p>
      <w:pPr>
        <w:pStyle w:val="BodyText"/>
        <w:spacing w:line="240" w:lineRule="auto"/>
        <w:ind w:right="1086"/>
        <w:jc w:val="left"/>
      </w:pPr>
      <w:r>
        <w:rPr/>
        <w:t>完成的公告》（公告编号：</w:t>
      </w:r>
      <w:r>
        <w:rPr>
          <w:rFonts w:ascii="宋体" w:hAnsi="宋体" w:cs="宋体" w:eastAsia="宋体" w:hint="default"/>
        </w:rPr>
        <w:t>2020-021</w:t>
      </w:r>
      <w:r>
        <w:rPr/>
        <w:t>）。</w:t>
      </w:r>
    </w:p>
    <w:p>
      <w:pPr>
        <w:spacing w:after="0" w:line="240" w:lineRule="auto"/>
        <w:jc w:val="left"/>
        <w:sectPr>
          <w:pgSz w:w="11910" w:h="16850"/>
          <w:pgMar w:header="866" w:footer="981" w:top="1120" w:bottom="1180" w:left="1000" w:right="0"/>
        </w:sectPr>
      </w:pPr>
    </w:p>
    <w:p>
      <w:pPr>
        <w:spacing w:line="240" w:lineRule="auto" w:before="1"/>
        <w:rPr>
          <w:rFonts w:ascii="宋体" w:hAnsi="宋体" w:cs="宋体" w:eastAsia="宋体" w:hint="default"/>
          <w:sz w:val="19"/>
          <w:szCs w:val="19"/>
        </w:rPr>
      </w:pPr>
    </w:p>
    <w:p>
      <w:pPr>
        <w:pStyle w:val="Heading2"/>
        <w:spacing w:line="240" w:lineRule="auto" w:before="26"/>
        <w:ind w:right="1086"/>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1086"/>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5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公司报告期未发生与日常经营相关的关联交易。</w:t>
      </w:r>
    </w:p>
    <w:p>
      <w:pPr>
        <w:spacing w:line="240" w:lineRule="auto" w:before="3"/>
        <w:rPr>
          <w:rFonts w:ascii="宋体" w:hAnsi="宋体" w:cs="宋体" w:eastAsia="宋体" w:hint="default"/>
          <w:sz w:val="25"/>
          <w:szCs w:val="25"/>
        </w:rPr>
      </w:pPr>
    </w:p>
    <w:p>
      <w:pPr>
        <w:pStyle w:val="Heading5"/>
        <w:spacing w:line="240" w:lineRule="auto"/>
        <w:ind w:right="1086"/>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64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公司报告期未发生资产或股权收购、出售的关联交易。</w:t>
      </w:r>
    </w:p>
    <w:p>
      <w:pPr>
        <w:spacing w:line="240" w:lineRule="auto" w:before="6"/>
        <w:rPr>
          <w:rFonts w:ascii="宋体" w:hAnsi="宋体" w:cs="宋体" w:eastAsia="宋体" w:hint="default"/>
          <w:sz w:val="25"/>
          <w:szCs w:val="25"/>
        </w:rPr>
      </w:pPr>
    </w:p>
    <w:p>
      <w:pPr>
        <w:pStyle w:val="Heading5"/>
        <w:spacing w:line="240" w:lineRule="auto"/>
        <w:ind w:right="1086"/>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5"/>
        <w:rPr>
          <w:rFonts w:ascii="宋体" w:hAnsi="宋体" w:cs="宋体" w:eastAsia="宋体" w:hint="default"/>
          <w:sz w:val="23"/>
          <w:szCs w:val="23"/>
        </w:rPr>
      </w:pPr>
    </w:p>
    <w:p>
      <w:pPr>
        <w:pStyle w:val="Heading5"/>
        <w:spacing w:line="240" w:lineRule="auto"/>
        <w:ind w:right="1086"/>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5"/>
          <w:szCs w:val="25"/>
        </w:rPr>
      </w:pPr>
    </w:p>
    <w:p>
      <w:pPr>
        <w:pStyle w:val="BodyText"/>
        <w:spacing w:line="333" w:lineRule="auto" w:before="0"/>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4"/>
        <w:rPr>
          <w:rFonts w:ascii="宋体" w:hAnsi="宋体" w:cs="宋体" w:eastAsia="宋体" w:hint="default"/>
          <w:sz w:val="23"/>
          <w:szCs w:val="23"/>
        </w:rPr>
      </w:pPr>
    </w:p>
    <w:p>
      <w:pPr>
        <w:pStyle w:val="Heading5"/>
        <w:spacing w:line="240" w:lineRule="auto"/>
        <w:ind w:right="1086"/>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5"/>
          <w:szCs w:val="25"/>
        </w:rPr>
      </w:pPr>
    </w:p>
    <w:p>
      <w:pPr>
        <w:pStyle w:val="BodyText"/>
        <w:spacing w:line="434" w:lineRule="auto" w:before="0"/>
        <w:ind w:left="501" w:right="111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28</w:t>
      </w:r>
      <w:r>
        <w:rPr/>
        <w:t>日，经公司第四届董事会第八次会议审议通过了《关于</w:t>
      </w:r>
      <w:r>
        <w:rPr>
          <w:rFonts w:ascii="宋体" w:hAnsi="宋体" w:cs="宋体" w:eastAsia="宋体" w:hint="default"/>
        </w:rPr>
        <w:t>2019</w:t>
      </w:r>
      <w:r>
        <w:rPr/>
        <w:t>年度日常关联交易预计的议案》，公司全资子</w:t>
      </w:r>
    </w:p>
    <w:p>
      <w:pPr>
        <w:pStyle w:val="BodyText"/>
        <w:spacing w:line="408" w:lineRule="auto" w:before="24"/>
        <w:ind w:right="1086"/>
        <w:jc w:val="left"/>
      </w:pPr>
      <w:r>
        <w:rPr>
          <w:spacing w:val="-2"/>
        </w:rPr>
        <w:t>公司医惠科技有限公司根据其实际经营发展的需要，</w:t>
      </w:r>
      <w:r>
        <w:rPr>
          <w:rFonts w:ascii="宋体" w:hAnsi="宋体" w:cs="宋体" w:eastAsia="宋体" w:hint="default"/>
          <w:spacing w:val="-2"/>
        </w:rPr>
        <w:t>2019</w:t>
      </w:r>
      <w:r>
        <w:rPr>
          <w:spacing w:val="-2"/>
        </w:rPr>
        <w:t>年度预计与关联法人杭州连帆科技有限公司、苏州智康信息科技股</w:t>
      </w:r>
      <w:r>
        <w:rPr>
          <w:spacing w:val="-63"/>
        </w:rPr>
        <w:t> </w:t>
      </w:r>
      <w:r>
        <w:rPr>
          <w:spacing w:val="-63"/>
        </w:rPr>
      </w:r>
      <w:r>
        <w:rPr>
          <w:spacing w:val="-2"/>
        </w:rPr>
        <w:t>份有限公司、杭州健海科技有限公司、天津医康互联科技有限公司、上海泽信软件有限公司、云南医惠科技有限公司发生总</w:t>
      </w:r>
      <w:r>
        <w:rPr>
          <w:spacing w:val="-42"/>
        </w:rPr>
        <w:t> </w:t>
      </w:r>
      <w:r>
        <w:rPr>
          <w:spacing w:val="-42"/>
        </w:rPr>
      </w:r>
      <w:r>
        <w:rPr/>
        <w:t>额不超过人民币</w:t>
      </w:r>
      <w:r>
        <w:rPr>
          <w:rFonts w:ascii="宋体" w:hAnsi="宋体" w:cs="宋体" w:eastAsia="宋体" w:hint="default"/>
        </w:rPr>
        <w:t>9,500</w:t>
      </w:r>
      <w:r>
        <w:rPr/>
        <w:t>万元的日常关联交易。具体内容详见公司</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30</w:t>
      </w:r>
      <w:r>
        <w:rPr/>
        <w:t>日披露在巨潮资讯网站的相关公告。截至</w:t>
      </w:r>
      <w:r>
        <w:rPr>
          <w:rFonts w:ascii="宋体" w:hAnsi="宋体" w:cs="宋体" w:eastAsia="宋体" w:hint="default"/>
        </w:rPr>
        <w:t>2019</w:t>
      </w:r>
      <w:r>
        <w:rPr>
          <w:rFonts w:ascii="宋体" w:hAnsi="宋体" w:cs="宋体" w:eastAsia="宋体" w:hint="default"/>
          <w:spacing w:val="-82"/>
        </w:rPr>
        <w:t> </w:t>
      </w:r>
      <w:r>
        <w:rPr/>
        <w:t>年</w:t>
      </w:r>
      <w:r>
        <w:rPr>
          <w:rFonts w:ascii="宋体" w:hAnsi="宋体" w:cs="宋体" w:eastAsia="宋体" w:hint="default"/>
        </w:rPr>
        <w:t>12</w:t>
      </w:r>
      <w:r>
        <w:rPr/>
        <w:t>月</w:t>
      </w:r>
      <w:r>
        <w:rPr>
          <w:rFonts w:ascii="宋体" w:hAnsi="宋体" w:cs="宋体" w:eastAsia="宋体" w:hint="default"/>
        </w:rPr>
        <w:t>31</w:t>
      </w:r>
      <w:r>
        <w:rPr/>
        <w:t>日，公司与以上关联法人发生的关联交易总额在年初预计额度之内。</w:t>
      </w:r>
    </w:p>
    <w:p>
      <w:pPr>
        <w:pStyle w:val="BodyText"/>
        <w:spacing w:line="204" w:lineRule="exact" w:before="0"/>
        <w:ind w:right="1086"/>
        <w:jc w:val="left"/>
      </w:pPr>
      <w:r>
        <w:rPr/>
        <w:t>重大关联交易临时报告披露网站相关查询</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69"/>
        <w:gridCol w:w="2643"/>
        <w:gridCol w:w="3469"/>
      </w:tblGrid>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年度日常关联交易预计的公告</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3"/>
                <w:sz w:val="18"/>
                <w:szCs w:val="18"/>
              </w:rPr>
              <w:t> </w:t>
            </w:r>
            <w:hyperlink r:id="rId13">
              <w:r>
                <w:rPr>
                  <w:rFonts w:ascii="Times New Roman" w:hAnsi="Times New Roman" w:cs="Times New Roman" w:eastAsia="Times New Roman" w:hint="default"/>
                  <w:sz w:val="18"/>
                  <w:szCs w:val="18"/>
                </w:rPr>
                <w:t>www.cninfo.com.cn</w:t>
              </w:r>
            </w:hyperlink>
          </w:p>
        </w:tc>
      </w:tr>
    </w:tbl>
    <w:p>
      <w:pPr>
        <w:spacing w:line="240" w:lineRule="auto" w:before="12"/>
        <w:rPr>
          <w:rFonts w:ascii="宋体" w:hAnsi="宋体" w:cs="宋体" w:eastAsia="宋体" w:hint="default"/>
          <w:sz w:val="17"/>
          <w:szCs w:val="17"/>
        </w:rPr>
      </w:pPr>
    </w:p>
    <w:p>
      <w:pPr>
        <w:pStyle w:val="Heading2"/>
        <w:spacing w:line="240" w:lineRule="auto" w:before="26"/>
        <w:ind w:right="1086"/>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86"/>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5"/>
        <w:rPr>
          <w:rFonts w:ascii="宋体" w:hAnsi="宋体" w:cs="宋体" w:eastAsia="宋体" w:hint="default"/>
          <w:b/>
          <w:bCs/>
          <w:sz w:val="26"/>
          <w:szCs w:val="26"/>
        </w:rPr>
      </w:pPr>
    </w:p>
    <w:p>
      <w:pPr>
        <w:pStyle w:val="BodyText"/>
        <w:spacing w:line="333"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公司报告期不存在托管情况。</w:t>
      </w:r>
    </w:p>
    <w:p>
      <w:pPr>
        <w:spacing w:after="0" w:line="333"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line="240" w:lineRule="auto" w:before="3"/>
        <w:rPr>
          <w:rFonts w:ascii="宋体" w:hAnsi="宋体" w:cs="宋体" w:eastAsia="宋体" w:hint="default"/>
          <w:sz w:val="25"/>
          <w:szCs w:val="25"/>
        </w:rPr>
      </w:pPr>
    </w:p>
    <w:p>
      <w:pPr>
        <w:pStyle w:val="Heading5"/>
        <w:spacing w:line="240" w:lineRule="auto"/>
        <w:ind w:right="1086"/>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公司报告期不存在租赁情况。</w:t>
      </w:r>
    </w:p>
    <w:p>
      <w:pPr>
        <w:spacing w:line="240" w:lineRule="auto" w:before="6"/>
        <w:rPr>
          <w:rFonts w:ascii="宋体" w:hAnsi="宋体" w:cs="宋体" w:eastAsia="宋体" w:hint="default"/>
          <w:sz w:val="23"/>
          <w:szCs w:val="23"/>
        </w:rPr>
      </w:pPr>
    </w:p>
    <w:p>
      <w:pPr>
        <w:pStyle w:val="Heading5"/>
        <w:spacing w:line="240" w:lineRule="auto"/>
        <w:ind w:right="1086"/>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75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公司报告期不存在担保情况。</w:t>
      </w:r>
    </w:p>
    <w:p>
      <w:pPr>
        <w:spacing w:line="240" w:lineRule="auto" w:before="6"/>
        <w:rPr>
          <w:rFonts w:ascii="宋体" w:hAnsi="宋体" w:cs="宋体" w:eastAsia="宋体" w:hint="default"/>
          <w:sz w:val="23"/>
          <w:szCs w:val="23"/>
        </w:rPr>
      </w:pPr>
    </w:p>
    <w:p>
      <w:pPr>
        <w:pStyle w:val="Heading5"/>
        <w:spacing w:line="240" w:lineRule="auto"/>
        <w:ind w:right="1086"/>
        <w:jc w:val="left"/>
        <w:rPr>
          <w:b w:val="0"/>
          <w:bCs w:val="0"/>
        </w:rPr>
      </w:pPr>
      <w:bookmarkStart w:name="3、委托他人进行现金资产管理情况" w:id="91"/>
      <w:bookmarkEnd w:id="91"/>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委托理财情况" w:id="92"/>
      <w:bookmarkEnd w:id="92"/>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3"/>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866" w:footer="981" w:top="1120" w:bottom="1180" w:left="1000" w:right="0"/>
        </w:sectPr>
      </w:pPr>
    </w:p>
    <w:p>
      <w:pPr>
        <w:pStyle w:val="BodyText"/>
        <w:spacing w:line="333"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单位：万元</w:t>
      </w:r>
    </w:p>
    <w:p>
      <w:pPr>
        <w:spacing w:after="0" w:line="240" w:lineRule="auto"/>
        <w:jc w:val="left"/>
        <w:sectPr>
          <w:type w:val="continuous"/>
          <w:pgSz w:w="11910" w:h="16850"/>
          <w:pgMar w:top="1040" w:bottom="1180" w:left="1000" w:right="0"/>
          <w:cols w:num="2" w:equalWidth="0">
            <w:col w:w="1942" w:space="6814"/>
            <w:col w:w="215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877"/>
        <w:gridCol w:w="1952"/>
        <w:gridCol w:w="1983"/>
        <w:gridCol w:w="1922"/>
        <w:gridCol w:w="1847"/>
      </w:tblGrid>
      <w:tr>
        <w:trPr>
          <w:trHeight w:val="391" w:hRule="exact"/>
        </w:trPr>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55"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0"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0"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1"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0"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5" w:hRule="exact"/>
        </w:trPr>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ind w:right="1086"/>
        <w:jc w:val="left"/>
      </w:pPr>
      <w:r>
        <w:rPr/>
        <w:t>单项金额重大或安全性较低、流动性较差、不保本的高风险委托理财具体情况</w:t>
      </w:r>
    </w:p>
    <w:p>
      <w:pPr>
        <w:pStyle w:val="BodyText"/>
        <w:spacing w:line="319" w:lineRule="auto" w:before="125"/>
        <w:ind w:right="57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委托理财出现预期无法收回本金或存在其他可能导致减值的情形</w:t>
      </w:r>
    </w:p>
    <w:p>
      <w:pPr>
        <w:pStyle w:val="BodyText"/>
        <w:spacing w:line="240" w:lineRule="auto" w:before="8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2）委托贷款情况" w:id="93"/>
      <w:bookmarkEnd w:id="93"/>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before="0"/>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line="240" w:lineRule="auto" w:before="6"/>
        <w:rPr>
          <w:rFonts w:ascii="宋体" w:hAnsi="宋体" w:cs="宋体" w:eastAsia="宋体" w:hint="default"/>
          <w:sz w:val="23"/>
          <w:szCs w:val="23"/>
        </w:rPr>
      </w:pPr>
    </w:p>
    <w:p>
      <w:pPr>
        <w:pStyle w:val="Heading5"/>
        <w:spacing w:line="240" w:lineRule="auto"/>
        <w:ind w:right="1086"/>
        <w:jc w:val="left"/>
        <w:rPr>
          <w:b w:val="0"/>
          <w:bCs w:val="0"/>
        </w:rPr>
      </w:pPr>
      <w:bookmarkStart w:name="4、其他重大合同" w:id="94"/>
      <w:bookmarkEnd w:id="94"/>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after="0" w:line="319" w:lineRule="auto"/>
        <w:jc w:val="left"/>
        <w:sectPr>
          <w:type w:val="continuous"/>
          <w:pgSz w:w="11910" w:h="16850"/>
          <w:pgMar w:top="1040" w:bottom="1180" w:left="1000" w:right="0"/>
        </w:sectPr>
      </w:pPr>
    </w:p>
    <w:p>
      <w:pPr>
        <w:spacing w:line="240" w:lineRule="auto" w:before="3"/>
        <w:rPr>
          <w:rFonts w:ascii="宋体" w:hAnsi="宋体" w:cs="宋体" w:eastAsia="宋体" w:hint="default"/>
          <w:sz w:val="20"/>
          <w:szCs w:val="20"/>
        </w:rPr>
      </w:pPr>
    </w:p>
    <w:p>
      <w:pPr>
        <w:pStyle w:val="Heading2"/>
        <w:spacing w:line="240" w:lineRule="auto" w:before="26"/>
        <w:ind w:right="1086"/>
        <w:jc w:val="left"/>
        <w:rPr>
          <w:b w:val="0"/>
          <w:bCs w:val="0"/>
        </w:rPr>
      </w:pPr>
      <w:bookmarkStart w:name="十七、社会责任情况" w:id="95"/>
      <w:bookmarkEnd w:id="95"/>
      <w:r>
        <w:rPr>
          <w:b w:val="0"/>
          <w:bCs w:val="0"/>
        </w:rPr>
      </w:r>
      <w:r>
        <w:rPr/>
        <w:t>十七、社会责任情况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86"/>
        <w:jc w:val="left"/>
        <w:rPr>
          <w:b w:val="0"/>
          <w:bCs w:val="0"/>
        </w:rPr>
      </w:pPr>
      <w:bookmarkStart w:name="1、履行社会责任情况" w:id="96"/>
      <w:bookmarkEnd w:id="96"/>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0"/>
        <w:rPr>
          <w:rFonts w:ascii="宋体" w:hAnsi="宋体" w:cs="宋体" w:eastAsia="宋体" w:hint="default"/>
          <w:b/>
          <w:bCs/>
          <w:sz w:val="22"/>
          <w:szCs w:val="22"/>
        </w:rPr>
      </w:pPr>
    </w:p>
    <w:p>
      <w:pPr>
        <w:pStyle w:val="BodyText"/>
        <w:spacing w:line="398" w:lineRule="auto" w:before="147"/>
        <w:ind w:right="1086" w:firstLine="360"/>
        <w:jc w:val="left"/>
      </w:pPr>
      <w:r>
        <w:rPr>
          <w:spacing w:val="-2"/>
        </w:rPr>
        <w:t>公司积极履行企业应尽的义务，承担社会责任。公司在不断为股东创造价值的同时，也积极承担对职工、客户、社会等</w:t>
      </w:r>
      <w:r>
        <w:rPr/>
        <w:t> 其他利益相关者的责任。</w:t>
      </w:r>
    </w:p>
    <w:p>
      <w:pPr>
        <w:pStyle w:val="BodyText"/>
        <w:spacing w:line="412" w:lineRule="auto" w:before="51"/>
        <w:ind w:left="501" w:right="1133"/>
        <w:jc w:val="left"/>
      </w:pPr>
      <w:r>
        <w:rPr/>
        <w:t>（一）股东权益保护 </w:t>
      </w:r>
      <w:r>
        <w:rPr>
          <w:spacing w:val="-2"/>
        </w:rPr>
        <w:t>公司按照《中华人民共和国公司法》、《中华人民共和国证券法》、《深圳证券交易所创业板股票上市规则》、《上市</w:t>
      </w:r>
    </w:p>
    <w:p>
      <w:pPr>
        <w:pStyle w:val="BodyText"/>
        <w:spacing w:line="410" w:lineRule="auto" w:before="25"/>
        <w:ind w:right="0"/>
        <w:jc w:val="left"/>
      </w:pPr>
      <w:r>
        <w:rPr>
          <w:spacing w:val="-4"/>
        </w:rPr>
        <w:t>公司信息披露管理办法》等相关法律法规的有关规定，不断完善公司法人治理结构，健全内部控制体系。通过完善内部制度，</w:t>
      </w:r>
      <w:r>
        <w:rPr>
          <w:spacing w:val="-49"/>
        </w:rPr>
        <w:t> </w:t>
      </w:r>
      <w:r>
        <w:rPr>
          <w:spacing w:val="-49"/>
        </w:rPr>
      </w:r>
      <w:r>
        <w:rPr>
          <w:spacing w:val="-2"/>
        </w:rPr>
        <w:t>明确规定股东大会、董事会、监事会的职责权限，确保上市公司股东、董事、监事切实履行职责，及时、准确、真实、完整</w:t>
      </w:r>
      <w:r>
        <w:rPr>
          <w:spacing w:val="-76"/>
        </w:rPr>
        <w:t> </w:t>
      </w:r>
      <w:r>
        <w:rPr>
          <w:spacing w:val="-76"/>
        </w:rPr>
      </w:r>
      <w:r>
        <w:rPr>
          <w:spacing w:val="-4"/>
        </w:rPr>
        <w:t>地进行信息披露，及时向全体股东及投资者披露公司已发生或拟发生的重大事项，并保证所有投资者有平等的机会获得信息。</w:t>
      </w:r>
      <w:r>
        <w:rPr>
          <w:spacing w:val="-50"/>
        </w:rPr>
        <w:t> </w:t>
      </w:r>
      <w:r>
        <w:rPr>
          <w:spacing w:val="-50"/>
        </w:rPr>
      </w:r>
      <w:r>
        <w:rPr>
          <w:spacing w:val="-2"/>
        </w:rPr>
        <w:t>公司通过深圳证券交易所互动易、投资者电话、传真、电子邮箱和建立投资者关系互动平台等多种方式与投资者进行沟通交</w:t>
      </w:r>
      <w:r>
        <w:rPr>
          <w:spacing w:val="-75"/>
        </w:rPr>
        <w:t> </w:t>
      </w:r>
      <w:r>
        <w:rPr>
          <w:spacing w:val="-75"/>
        </w:rPr>
      </w:r>
      <w:r>
        <w:rPr>
          <w:spacing w:val="-2"/>
        </w:rPr>
        <w:t>流，建立了良好的互动平台，提高了公司的透明度和诚信度。同时，公司非常重视对投资者的合理回报，制定了相对稳定的</w:t>
      </w:r>
      <w:r>
        <w:rPr>
          <w:spacing w:val="-48"/>
        </w:rPr>
        <w:t> </w:t>
      </w:r>
      <w:r>
        <w:rPr>
          <w:spacing w:val="-48"/>
        </w:rPr>
      </w:r>
      <w:r>
        <w:rPr/>
        <w:t>利润分配政策和分红方案以回报股东。</w:t>
      </w:r>
    </w:p>
    <w:p>
      <w:pPr>
        <w:pStyle w:val="BodyText"/>
        <w:spacing w:line="412" w:lineRule="auto" w:before="26"/>
        <w:ind w:left="501" w:right="1133"/>
        <w:jc w:val="left"/>
      </w:pPr>
      <w:r>
        <w:rPr/>
        <w:t>（二）重视员工权益 </w:t>
      </w:r>
      <w:r>
        <w:rPr>
          <w:spacing w:val="-2"/>
        </w:rPr>
        <w:t>公司坚持以人为本，把人才战略作为企业发展的重点，严格遵守《中华人民共和国劳动法》、《中华人民共和国劳动合</w:t>
      </w:r>
    </w:p>
    <w:p>
      <w:pPr>
        <w:pStyle w:val="BodyText"/>
        <w:spacing w:line="405" w:lineRule="auto" w:before="40"/>
        <w:ind w:right="1121"/>
        <w:jc w:val="both"/>
      </w:pPr>
      <w:r>
        <w:rPr>
          <w:spacing w:val="-2"/>
        </w:rPr>
        <w:t>同法》等相关法律法规，尊重和维护员工的个人权益，切实关注员工健康、安全和满意度。通过知识技能的理论培训及实践</w:t>
      </w:r>
      <w:r>
        <w:rPr>
          <w:spacing w:val="-57"/>
        </w:rPr>
        <w:t> </w:t>
      </w:r>
      <w:r>
        <w:rPr>
          <w:spacing w:val="-57"/>
        </w:rPr>
      </w:r>
      <w:r>
        <w:rPr>
          <w:spacing w:val="-2"/>
        </w:rPr>
        <w:t>操作技能培训等方式使员工得到切实的提高和发展，维护员工权益。公司重视人才培养，不定期对员工进行知识和技能的培</w:t>
      </w:r>
      <w:r>
        <w:rPr>
          <w:spacing w:val="-75"/>
        </w:rPr>
        <w:t> </w:t>
      </w:r>
      <w:r>
        <w:rPr>
          <w:spacing w:val="-75"/>
        </w:rPr>
      </w:r>
      <w:r>
        <w:rPr/>
        <w:t>训，鼓励在职教育、加强内部职业素质提升培训等员工发展与深造计划，提升员工素质，实现员工与企业的共同成长。</w:t>
      </w:r>
    </w:p>
    <w:p>
      <w:pPr>
        <w:pStyle w:val="BodyText"/>
        <w:spacing w:line="398" w:lineRule="auto" w:before="46"/>
        <w:ind w:left="501" w:right="0"/>
        <w:jc w:val="left"/>
      </w:pPr>
      <w:r>
        <w:rPr/>
        <w:t>（三）社会公共事业 </w:t>
      </w:r>
      <w:r>
        <w:rPr>
          <w:spacing w:val="-4"/>
        </w:rPr>
        <w:t>公司始终将依法经营作为公司运行的基本原则，注重企业经济效益与社会效益的同步共赢。公司严格遵守国家法律法规、</w:t>
      </w:r>
    </w:p>
    <w:p>
      <w:pPr>
        <w:pStyle w:val="BodyText"/>
        <w:spacing w:line="412" w:lineRule="auto" w:before="50"/>
        <w:ind w:right="1086"/>
        <w:jc w:val="left"/>
      </w:pPr>
      <w:r>
        <w:rPr>
          <w:spacing w:val="-2"/>
        </w:rPr>
        <w:t>政策的规定，始终依法经营，积极纳税，发展就业岗位，支持地方经济的发展，在力所能及的范围内，努力创造和谐公共关</w:t>
      </w:r>
      <w:r>
        <w:rPr>
          <w:spacing w:val="-72"/>
        </w:rPr>
        <w:t> </w:t>
      </w:r>
      <w:r>
        <w:rPr>
          <w:spacing w:val="-72"/>
        </w:rPr>
      </w:r>
      <w:r>
        <w:rPr/>
        <w:t>系。</w:t>
      </w:r>
    </w:p>
    <w:p>
      <w:pPr>
        <w:spacing w:line="240" w:lineRule="auto" w:before="6"/>
        <w:rPr>
          <w:rFonts w:ascii="宋体" w:hAnsi="宋体" w:cs="宋体" w:eastAsia="宋体" w:hint="default"/>
          <w:sz w:val="16"/>
          <w:szCs w:val="16"/>
        </w:rPr>
      </w:pPr>
    </w:p>
    <w:p>
      <w:pPr>
        <w:pStyle w:val="Heading5"/>
        <w:spacing w:line="240" w:lineRule="auto"/>
        <w:ind w:right="1086"/>
        <w:jc w:val="left"/>
        <w:rPr>
          <w:b w:val="0"/>
          <w:bCs w:val="0"/>
        </w:rPr>
      </w:pPr>
      <w:bookmarkStart w:name="2、履行精准扶贫社会责任情况" w:id="97"/>
      <w:bookmarkEnd w:id="97"/>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本报告期，公司暂未开展精准扶贫工作，也暂无后续精准扶贫计划。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环境保护相关的情况" w:id="98"/>
      <w:bookmarkEnd w:id="98"/>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宋体" w:hAnsi="宋体" w:cs="宋体" w:eastAsia="宋体" w:hint="default"/>
          <w:b/>
          <w:bCs/>
          <w:sz w:val="25"/>
          <w:szCs w:val="25"/>
        </w:rPr>
      </w:pPr>
    </w:p>
    <w:p>
      <w:pPr>
        <w:pStyle w:val="BodyText"/>
        <w:spacing w:line="352" w:lineRule="auto" w:before="0"/>
        <w:ind w:right="5709"/>
        <w:jc w:val="left"/>
      </w:pPr>
      <w:r>
        <w:rPr/>
        <w:t>上市公司及其子公司是否属于环境保护部门公布的重点排污单位 自愿披露</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961"/>
        <w:gridCol w:w="962"/>
        <w:gridCol w:w="961"/>
        <w:gridCol w:w="946"/>
        <w:gridCol w:w="962"/>
        <w:gridCol w:w="961"/>
        <w:gridCol w:w="961"/>
        <w:gridCol w:w="946"/>
        <w:gridCol w:w="961"/>
        <w:gridCol w:w="961"/>
      </w:tblGrid>
      <w:tr>
        <w:trPr>
          <w:trHeight w:val="1021" w:hRule="exact"/>
        </w:trPr>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28" w:hanging="180"/>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2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0" w:right="14" w:hanging="271"/>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4" w:right="2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0" w:right="15" w:hanging="271"/>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90" w:right="14" w:hanging="361"/>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406"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PH</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上园北路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7.55</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sz w:val="18"/>
              </w:rPr>
              <w:t>6.5-9.5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405"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COD</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上园北路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150</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390"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总磷</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上园北路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sz w:val="18"/>
              </w:rPr>
              <w:t>1.91</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8</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正常</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526" w:type="dxa"/>
        <w:tblLayout w:type="fixed"/>
        <w:tblCellMar>
          <w:top w:w="0" w:type="dxa"/>
          <w:left w:w="0" w:type="dxa"/>
          <w:bottom w:w="0" w:type="dxa"/>
          <w:right w:w="0" w:type="dxa"/>
        </w:tblCellMar>
        <w:tblLook w:val="01E0"/>
      </w:tblPr>
      <w:tblGrid>
        <w:gridCol w:w="961"/>
        <w:gridCol w:w="962"/>
        <w:gridCol w:w="961"/>
        <w:gridCol w:w="946"/>
        <w:gridCol w:w="962"/>
        <w:gridCol w:w="961"/>
        <w:gridCol w:w="961"/>
        <w:gridCol w:w="946"/>
        <w:gridCol w:w="961"/>
        <w:gridCol w:w="961"/>
      </w:tblGrid>
      <w:tr>
        <w:trPr>
          <w:trHeight w:val="405"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SS</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4"/>
              <w:jc w:val="center"/>
              <w:rPr>
                <w:rFonts w:ascii="宋体" w:hAnsi="宋体" w:cs="宋体" w:eastAsia="宋体" w:hint="default"/>
                <w:sz w:val="18"/>
                <w:szCs w:val="18"/>
              </w:rPr>
            </w:pPr>
            <w:r>
              <w:rPr>
                <w:rFonts w:ascii="宋体" w:hAnsi="宋体" w:cs="宋体" w:eastAsia="宋体" w:hint="default"/>
                <w:sz w:val="18"/>
                <w:szCs w:val="18"/>
              </w:rPr>
              <w:t>上园北路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sz w:val="18"/>
              </w:rPr>
              <w:t>58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400</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405"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思创医惠</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氨氮</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纳管</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sz w:val="18"/>
              </w:rPr>
              <w:t>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64"/>
              <w:jc w:val="center"/>
              <w:rPr>
                <w:rFonts w:ascii="宋体" w:hAnsi="宋体" w:cs="宋体" w:eastAsia="宋体" w:hint="default"/>
                <w:sz w:val="18"/>
                <w:szCs w:val="18"/>
              </w:rPr>
            </w:pPr>
            <w:r>
              <w:rPr>
                <w:rFonts w:ascii="宋体" w:hAnsi="宋体" w:cs="宋体" w:eastAsia="宋体" w:hint="default"/>
                <w:sz w:val="18"/>
                <w:szCs w:val="18"/>
              </w:rPr>
              <w:t>上园北路</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sz w:val="18"/>
              </w:rPr>
              <w:t>44.8</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45</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705"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思越科技</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非甲烷总烃</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高空排放</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2</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号楼楼顶</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5.55mg/m^3</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sz w:val="18"/>
              </w:rPr>
              <w:t>GBZ1-20106</w:t>
            </w:r>
          </w:p>
          <w:p>
            <w:pPr>
              <w:pStyle w:val="TableParagraph"/>
              <w:spacing w:line="240" w:lineRule="auto" w:before="80"/>
              <w:ind w:left="14" w:right="0"/>
              <w:jc w:val="left"/>
              <w:rPr>
                <w:rFonts w:ascii="宋体" w:hAnsi="宋体" w:cs="宋体" w:eastAsia="宋体" w:hint="default"/>
                <w:sz w:val="18"/>
                <w:szCs w:val="18"/>
              </w:rPr>
            </w:pPr>
            <w:r>
              <w:rPr>
                <w:rFonts w:ascii="宋体"/>
                <w:sz w:val="18"/>
              </w:rPr>
              <w:t>.1.1.2</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sz w:val="18"/>
              </w:rPr>
              <w:t>7215m^3/h</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正常</w:t>
            </w:r>
          </w:p>
        </w:tc>
      </w:tr>
      <w:tr>
        <w:trPr>
          <w:trHeight w:val="1021" w:hRule="exact"/>
        </w:trPr>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思越科技</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z w:val="18"/>
                <w:szCs w:val="18"/>
              </w:rPr>
              <w:t>锡及其化合 物</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高空排放</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sz w:val="18"/>
              </w:rPr>
              <w:t>1</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号楼楼顶</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1.69</w:t>
            </w:r>
            <w:r>
              <w:rPr>
                <w:rFonts w:ascii="宋体" w:hAnsi="宋体" w:cs="宋体" w:eastAsia="宋体" w:hint="default"/>
                <w:sz w:val="18"/>
                <w:szCs w:val="18"/>
              </w:rPr>
              <w:t>×</w:t>
            </w:r>
          </w:p>
          <w:p>
            <w:pPr>
              <w:pStyle w:val="TableParagraph"/>
              <w:spacing w:line="240" w:lineRule="auto" w:before="64"/>
              <w:ind w:left="15" w:right="0"/>
              <w:jc w:val="left"/>
              <w:rPr>
                <w:rFonts w:ascii="宋体" w:hAnsi="宋体" w:cs="宋体" w:eastAsia="宋体" w:hint="default"/>
                <w:sz w:val="18"/>
                <w:szCs w:val="18"/>
              </w:rPr>
            </w:pPr>
            <w:r>
              <w:rPr>
                <w:rFonts w:ascii="宋体"/>
                <w:sz w:val="18"/>
              </w:rPr>
              <w:t>0.001</w:t>
            </w:r>
          </w:p>
          <w:p>
            <w:pPr>
              <w:pStyle w:val="TableParagraph"/>
              <w:spacing w:line="240" w:lineRule="auto" w:before="80"/>
              <w:ind w:left="15" w:right="0"/>
              <w:jc w:val="left"/>
              <w:rPr>
                <w:rFonts w:ascii="宋体" w:hAnsi="宋体" w:cs="宋体" w:eastAsia="宋体" w:hint="default"/>
                <w:sz w:val="18"/>
                <w:szCs w:val="18"/>
              </w:rPr>
            </w:pPr>
            <w:r>
              <w:rPr>
                <w:rFonts w:ascii="宋体"/>
                <w:sz w:val="18"/>
              </w:rPr>
              <w:t>mg/m^3</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sz w:val="18"/>
              </w:rPr>
              <w:t>GBZ1-20106</w:t>
            </w:r>
          </w:p>
          <w:p>
            <w:pPr>
              <w:pStyle w:val="TableParagraph"/>
              <w:spacing w:line="240" w:lineRule="auto" w:before="79"/>
              <w:ind w:left="14" w:right="0"/>
              <w:jc w:val="left"/>
              <w:rPr>
                <w:rFonts w:ascii="宋体" w:hAnsi="宋体" w:cs="宋体" w:eastAsia="宋体" w:hint="default"/>
                <w:sz w:val="18"/>
                <w:szCs w:val="18"/>
              </w:rPr>
            </w:pPr>
            <w:r>
              <w:rPr>
                <w:rFonts w:ascii="宋体"/>
                <w:sz w:val="18"/>
              </w:rPr>
              <w:t>.1.1.2</w:t>
            </w:r>
          </w:p>
        </w:tc>
        <w:tc>
          <w:tcPr>
            <w:tcW w:w="9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sz w:val="18"/>
              </w:rPr>
              <w:t>6723m^3/h</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0"/>
              <w:jc w:val="left"/>
              <w:rPr>
                <w:rFonts w:ascii="宋体" w:hAnsi="宋体" w:cs="宋体" w:eastAsia="宋体" w:hint="default"/>
                <w:sz w:val="18"/>
                <w:szCs w:val="18"/>
              </w:rPr>
            </w:pPr>
            <w:r>
              <w:rPr>
                <w:rFonts w:ascii="宋体" w:hAnsi="宋体" w:cs="宋体" w:eastAsia="宋体" w:hint="default"/>
                <w:sz w:val="18"/>
                <w:szCs w:val="18"/>
              </w:rPr>
              <w:t>正常</w:t>
            </w:r>
          </w:p>
        </w:tc>
      </w:tr>
    </w:tbl>
    <w:p>
      <w:pPr>
        <w:pStyle w:val="BodyText"/>
        <w:spacing w:line="352" w:lineRule="auto"/>
        <w:ind w:left="541" w:right="8229"/>
        <w:jc w:val="left"/>
      </w:pPr>
      <w:r>
        <w:rPr/>
        <w:t>防治污染设施的建设和运行情况 废气</w:t>
      </w:r>
    </w:p>
    <w:tbl>
      <w:tblPr>
        <w:tblW w:w="0" w:type="auto"/>
        <w:jc w:val="left"/>
        <w:tblInd w:w="526" w:type="dxa"/>
        <w:tblLayout w:type="fixed"/>
        <w:tblCellMar>
          <w:top w:w="0" w:type="dxa"/>
          <w:left w:w="0" w:type="dxa"/>
          <w:bottom w:w="0" w:type="dxa"/>
          <w:right w:w="0" w:type="dxa"/>
        </w:tblCellMar>
        <w:tblLook w:val="01E0"/>
      </w:tblPr>
      <w:tblGrid>
        <w:gridCol w:w="1712"/>
        <w:gridCol w:w="1712"/>
        <w:gridCol w:w="1712"/>
        <w:gridCol w:w="1712"/>
        <w:gridCol w:w="1697"/>
      </w:tblGrid>
      <w:tr>
        <w:trPr>
          <w:trHeight w:val="34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5"/>
              <w:jc w:val="center"/>
              <w:rPr>
                <w:rFonts w:ascii="宋体" w:hAnsi="宋体" w:cs="宋体" w:eastAsia="宋体" w:hint="default"/>
                <w:sz w:val="18"/>
                <w:szCs w:val="18"/>
              </w:rPr>
            </w:pPr>
            <w:r>
              <w:rPr>
                <w:rFonts w:ascii="宋体" w:hAnsi="宋体" w:cs="宋体" w:eastAsia="宋体" w:hint="default"/>
                <w:b/>
                <w:bCs/>
                <w:sz w:val="18"/>
                <w:szCs w:val="18"/>
              </w:rPr>
              <w:t>防治污染设施名称</w:t>
            </w:r>
            <w:r>
              <w:rPr>
                <w:rFonts w:ascii="宋体" w:hAnsi="宋体" w:cs="宋体" w:eastAsia="宋体" w:hint="default"/>
                <w:sz w:val="18"/>
                <w:szCs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80" w:right="0"/>
              <w:jc w:val="left"/>
              <w:rPr>
                <w:rFonts w:ascii="宋体" w:hAnsi="宋体" w:cs="宋体" w:eastAsia="宋体" w:hint="default"/>
                <w:sz w:val="18"/>
                <w:szCs w:val="18"/>
              </w:rPr>
            </w:pPr>
            <w:r>
              <w:rPr>
                <w:rFonts w:ascii="宋体" w:hAnsi="宋体" w:cs="宋体" w:eastAsia="宋体" w:hint="default"/>
                <w:b/>
                <w:bCs/>
                <w:sz w:val="18"/>
                <w:szCs w:val="18"/>
              </w:rPr>
              <w:t>处理工艺</w:t>
            </w:r>
            <w:r>
              <w:rPr>
                <w:rFonts w:ascii="宋体" w:hAnsi="宋体" w:cs="宋体" w:eastAsia="宋体" w:hint="default"/>
                <w:sz w:val="18"/>
                <w:szCs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81" w:right="0"/>
              <w:jc w:val="left"/>
              <w:rPr>
                <w:rFonts w:ascii="宋体" w:hAnsi="宋体" w:cs="宋体" w:eastAsia="宋体" w:hint="default"/>
                <w:sz w:val="18"/>
                <w:szCs w:val="18"/>
              </w:rPr>
            </w:pPr>
            <w:r>
              <w:rPr>
                <w:rFonts w:ascii="宋体" w:hAnsi="宋体" w:cs="宋体" w:eastAsia="宋体" w:hint="default"/>
                <w:b/>
                <w:bCs/>
                <w:sz w:val="18"/>
                <w:szCs w:val="18"/>
              </w:rPr>
              <w:t>处理能力</w:t>
            </w:r>
            <w:r>
              <w:rPr>
                <w:rFonts w:ascii="宋体" w:hAnsi="宋体" w:cs="宋体" w:eastAsia="宋体" w:hint="default"/>
                <w:sz w:val="18"/>
                <w:szCs w:val="18"/>
              </w:rPr>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80" w:right="0"/>
              <w:jc w:val="left"/>
              <w:rPr>
                <w:rFonts w:ascii="宋体" w:hAnsi="宋体" w:cs="宋体" w:eastAsia="宋体" w:hint="default"/>
                <w:sz w:val="18"/>
                <w:szCs w:val="18"/>
              </w:rPr>
            </w:pPr>
            <w:r>
              <w:rPr>
                <w:rFonts w:ascii="宋体" w:hAnsi="宋体" w:cs="宋体" w:eastAsia="宋体" w:hint="default"/>
                <w:b/>
                <w:bCs/>
                <w:sz w:val="18"/>
                <w:szCs w:val="18"/>
              </w:rPr>
              <w:t>运行时间</w:t>
            </w:r>
            <w:r>
              <w:rPr>
                <w:rFonts w:ascii="宋体" w:hAnsi="宋体" w:cs="宋体" w:eastAsia="宋体" w:hint="default"/>
                <w:sz w:val="18"/>
                <w:szCs w:val="18"/>
              </w:rPr>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80" w:right="0"/>
              <w:jc w:val="left"/>
              <w:rPr>
                <w:rFonts w:ascii="宋体" w:hAnsi="宋体" w:cs="宋体" w:eastAsia="宋体" w:hint="default"/>
                <w:sz w:val="18"/>
                <w:szCs w:val="18"/>
              </w:rPr>
            </w:pPr>
            <w:r>
              <w:rPr>
                <w:rFonts w:ascii="宋体" w:hAnsi="宋体" w:cs="宋体" w:eastAsia="宋体" w:hint="default"/>
                <w:b/>
                <w:bCs/>
                <w:sz w:val="18"/>
                <w:szCs w:val="18"/>
              </w:rPr>
              <w:t>运行状态</w:t>
            </w:r>
            <w:r>
              <w:rPr>
                <w:rFonts w:ascii="宋体" w:hAnsi="宋体" w:cs="宋体" w:eastAsia="宋体" w:hint="default"/>
                <w:sz w:val="18"/>
                <w:szCs w:val="18"/>
              </w:rPr>
            </w:r>
          </w:p>
        </w:tc>
      </w:tr>
      <w:tr>
        <w:trPr>
          <w:trHeight w:val="345" w:hRule="exact"/>
        </w:trPr>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75"/>
              <w:jc w:val="center"/>
              <w:rPr>
                <w:rFonts w:ascii="宋体" w:hAnsi="宋体" w:cs="宋体" w:eastAsia="宋体" w:hint="default"/>
                <w:sz w:val="18"/>
                <w:szCs w:val="18"/>
              </w:rPr>
            </w:pPr>
            <w:r>
              <w:rPr>
                <w:rFonts w:ascii="宋体" w:hAnsi="宋体" w:cs="宋体" w:eastAsia="宋体" w:hint="default"/>
                <w:sz w:val="18"/>
                <w:szCs w:val="18"/>
              </w:rPr>
              <w:t>排气装置、轴流风机</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集中收集高空排放</w:t>
            </w: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r>
              <w:rPr>
                <w:rFonts w:ascii="宋体" w:hAnsi="宋体" w:cs="宋体" w:eastAsia="宋体" w:hint="default"/>
                <w:sz w:val="18"/>
                <w:szCs w:val="18"/>
              </w:rPr>
              <w:t>8:00</w:t>
            </w:r>
            <w:r>
              <w:rPr>
                <w:rFonts w:ascii="宋体" w:hAnsi="宋体" w:cs="宋体" w:eastAsia="宋体" w:hint="default"/>
                <w:sz w:val="18"/>
                <w:szCs w:val="18"/>
              </w:rPr>
              <w:t>—</w:t>
            </w:r>
            <w:r>
              <w:rPr>
                <w:rFonts w:ascii="宋体" w:hAnsi="宋体" w:cs="宋体" w:eastAsia="宋体" w:hint="default"/>
                <w:sz w:val="18"/>
                <w:szCs w:val="18"/>
              </w:rPr>
              <w:t>19</w:t>
            </w:r>
            <w:r>
              <w:rPr>
                <w:rFonts w:ascii="宋体" w:hAnsi="宋体" w:cs="宋体" w:eastAsia="宋体" w:hint="default"/>
                <w:sz w:val="18"/>
                <w:szCs w:val="18"/>
              </w:rPr>
              <w:t>：</w:t>
            </w:r>
            <w:r>
              <w:rPr>
                <w:rFonts w:ascii="宋体" w:hAnsi="宋体" w:cs="宋体" w:eastAsia="宋体" w:hint="default"/>
                <w:sz w:val="18"/>
                <w:szCs w:val="18"/>
              </w:rPr>
              <w:t>00</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5" w:right="0"/>
              <w:jc w:val="left"/>
              <w:rPr>
                <w:rFonts w:ascii="宋体" w:hAnsi="宋体" w:cs="宋体" w:eastAsia="宋体" w:hint="default"/>
                <w:sz w:val="18"/>
                <w:szCs w:val="18"/>
              </w:rPr>
            </w:pPr>
            <w:r>
              <w:rPr>
                <w:rFonts w:ascii="宋体" w:hAnsi="宋体" w:cs="宋体" w:eastAsia="宋体" w:hint="default"/>
                <w:sz w:val="18"/>
                <w:szCs w:val="18"/>
              </w:rPr>
              <w:t>良好</w:t>
            </w:r>
          </w:p>
        </w:tc>
      </w:tr>
    </w:tbl>
    <w:p>
      <w:pPr>
        <w:spacing w:line="240" w:lineRule="auto" w:before="10"/>
        <w:rPr>
          <w:rFonts w:ascii="宋体" w:hAnsi="宋体" w:cs="宋体" w:eastAsia="宋体" w:hint="default"/>
          <w:sz w:val="23"/>
          <w:szCs w:val="23"/>
        </w:rPr>
      </w:pPr>
    </w:p>
    <w:p>
      <w:pPr>
        <w:pStyle w:val="BodyText"/>
        <w:spacing w:line="350" w:lineRule="auto"/>
        <w:ind w:left="541" w:right="6609"/>
        <w:jc w:val="left"/>
      </w:pPr>
      <w:r>
        <w:rPr/>
        <w:t>建设项目环境影响评价及其他环境保护行政许可情况 不适用</w:t>
      </w:r>
    </w:p>
    <w:p>
      <w:pPr>
        <w:pStyle w:val="BodyText"/>
        <w:spacing w:line="357" w:lineRule="auto" w:before="42"/>
        <w:ind w:left="541" w:right="8949"/>
        <w:jc w:val="left"/>
      </w:pPr>
      <w:r>
        <w:rPr/>
        <w:t>突发环境事件应急预案 不适用 环境自行监测方案 不适用</w:t>
      </w:r>
    </w:p>
    <w:p>
      <w:pPr>
        <w:pStyle w:val="BodyText"/>
        <w:spacing w:line="352" w:lineRule="auto" w:before="36"/>
        <w:ind w:left="541" w:right="8769"/>
        <w:jc w:val="left"/>
      </w:pPr>
      <w:r>
        <w:rPr/>
        <w:t>其他应当公开的环境信息 不适用</w:t>
      </w:r>
    </w:p>
    <w:p>
      <w:pPr>
        <w:pStyle w:val="BodyText"/>
        <w:spacing w:line="352" w:lineRule="auto" w:before="40"/>
        <w:ind w:left="541" w:right="9309"/>
        <w:jc w:val="left"/>
      </w:pPr>
      <w:r>
        <w:rPr/>
        <w:t>其他环保相关信息 不适用</w:t>
      </w:r>
    </w:p>
    <w:p>
      <w:pPr>
        <w:spacing w:line="240" w:lineRule="auto" w:before="7"/>
        <w:rPr>
          <w:rFonts w:ascii="宋体" w:hAnsi="宋体" w:cs="宋体" w:eastAsia="宋体" w:hint="default"/>
          <w:sz w:val="19"/>
          <w:szCs w:val="19"/>
        </w:rPr>
      </w:pPr>
    </w:p>
    <w:p>
      <w:pPr>
        <w:pStyle w:val="Heading2"/>
        <w:spacing w:line="240" w:lineRule="auto"/>
        <w:ind w:left="541" w:right="6609"/>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left="541" w:right="8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931"/>
        <w:gridCol w:w="1112"/>
        <w:gridCol w:w="7254"/>
        <w:gridCol w:w="1201"/>
      </w:tblGrid>
      <w:tr>
        <w:trPr>
          <w:trHeight w:val="435" w:hRule="exact"/>
        </w:trPr>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公告编号</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80" w:right="0"/>
              <w:jc w:val="left"/>
              <w:rPr>
                <w:rFonts w:ascii="宋体" w:hAnsi="宋体" w:cs="宋体" w:eastAsia="宋体" w:hint="default"/>
                <w:sz w:val="18"/>
                <w:szCs w:val="18"/>
              </w:rPr>
            </w:pPr>
            <w:r>
              <w:rPr>
                <w:rFonts w:ascii="宋体" w:hAnsi="宋体" w:cs="宋体" w:eastAsia="宋体" w:hint="default"/>
                <w:sz w:val="18"/>
                <w:szCs w:val="18"/>
              </w:rPr>
              <w:t>刊登日期</w:t>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重大事项披露情况</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公告索引</w:t>
            </w:r>
          </w:p>
        </w:tc>
      </w:tr>
      <w:tr>
        <w:trPr>
          <w:trHeight w:val="420" w:hRule="exact"/>
        </w:trPr>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2019-001</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5" w:right="0"/>
              <w:jc w:val="left"/>
              <w:rPr>
                <w:rFonts w:ascii="Times New Roman" w:hAnsi="Times New Roman" w:cs="Times New Roman" w:eastAsia="Times New Roman" w:hint="default"/>
                <w:sz w:val="18"/>
                <w:szCs w:val="18"/>
              </w:rPr>
            </w:pPr>
            <w:r>
              <w:rPr>
                <w:rFonts w:ascii="Times New Roman"/>
                <w:sz w:val="18"/>
              </w:rPr>
              <w:t>2019.01.04</w:t>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关于收到《中国证监会行政许可项目审查一次反馈意见通知书》的公告</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36" w:hRule="exact"/>
        </w:trPr>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5" w:right="0"/>
              <w:jc w:val="left"/>
              <w:rPr>
                <w:rFonts w:ascii="Times New Roman" w:hAnsi="Times New Roman" w:cs="Times New Roman" w:eastAsia="Times New Roman" w:hint="default"/>
                <w:sz w:val="18"/>
                <w:szCs w:val="18"/>
              </w:rPr>
            </w:pPr>
            <w:r>
              <w:rPr>
                <w:rFonts w:ascii="Times New Roman"/>
                <w:sz w:val="18"/>
              </w:rPr>
              <w:t>2019-002</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35" w:right="0"/>
              <w:jc w:val="left"/>
              <w:rPr>
                <w:rFonts w:ascii="Times New Roman" w:hAnsi="Times New Roman" w:cs="Times New Roman" w:eastAsia="Times New Roman" w:hint="default"/>
                <w:sz w:val="18"/>
                <w:szCs w:val="18"/>
              </w:rPr>
            </w:pPr>
            <w:r>
              <w:rPr>
                <w:rFonts w:ascii="Times New Roman"/>
                <w:sz w:val="18"/>
              </w:rPr>
              <w:t>2019.01.24</w:t>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5" w:right="0"/>
              <w:jc w:val="left"/>
              <w:rPr>
                <w:rFonts w:ascii="宋体" w:hAnsi="宋体" w:cs="宋体" w:eastAsia="宋体" w:hint="default"/>
                <w:sz w:val="18"/>
                <w:szCs w:val="18"/>
              </w:rPr>
            </w:pPr>
            <w:r>
              <w:rPr>
                <w:rFonts w:ascii="宋体" w:hAnsi="宋体" w:cs="宋体" w:eastAsia="宋体" w:hint="default"/>
                <w:sz w:val="18"/>
                <w:szCs w:val="18"/>
              </w:rPr>
              <w:t>关于公司创业板非公开发行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股股票申请文件反馈意见回复的提示性公告</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0" w:hRule="exact"/>
        </w:trPr>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2019-030</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5" w:right="0"/>
              <w:jc w:val="left"/>
              <w:rPr>
                <w:rFonts w:ascii="Times New Roman" w:hAnsi="Times New Roman" w:cs="Times New Roman" w:eastAsia="Times New Roman" w:hint="default"/>
                <w:sz w:val="18"/>
                <w:szCs w:val="18"/>
              </w:rPr>
            </w:pPr>
            <w:r>
              <w:rPr>
                <w:rFonts w:ascii="Times New Roman"/>
                <w:sz w:val="18"/>
              </w:rPr>
              <w:t>2019.04.27</w:t>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股股票预案修订情况说明的公告</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35" w:hRule="exact"/>
        </w:trPr>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5" w:right="0"/>
              <w:jc w:val="left"/>
              <w:rPr>
                <w:rFonts w:ascii="Times New Roman" w:hAnsi="Times New Roman" w:cs="Times New Roman" w:eastAsia="Times New Roman" w:hint="default"/>
                <w:sz w:val="18"/>
                <w:szCs w:val="18"/>
              </w:rPr>
            </w:pPr>
            <w:r>
              <w:rPr>
                <w:rFonts w:ascii="Times New Roman"/>
                <w:sz w:val="18"/>
              </w:rPr>
              <w:t>2019-035</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35" w:right="0"/>
              <w:jc w:val="left"/>
              <w:rPr>
                <w:rFonts w:ascii="Times New Roman" w:hAnsi="Times New Roman" w:cs="Times New Roman" w:eastAsia="Times New Roman" w:hint="default"/>
                <w:sz w:val="18"/>
                <w:szCs w:val="18"/>
              </w:rPr>
            </w:pPr>
            <w:r>
              <w:rPr>
                <w:rFonts w:ascii="Times New Roman"/>
                <w:sz w:val="18"/>
              </w:rPr>
              <w:t>2019.05.20</w:t>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关于非公开发行股票告知函有关问题回复及全资子公司涉诉事项进展情况说明的公告</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1" w:hRule="exact"/>
        </w:trPr>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2019-042</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5" w:right="0"/>
              <w:jc w:val="left"/>
              <w:rPr>
                <w:rFonts w:ascii="Times New Roman" w:hAnsi="Times New Roman" w:cs="Times New Roman" w:eastAsia="Times New Roman" w:hint="default"/>
                <w:sz w:val="18"/>
                <w:szCs w:val="18"/>
              </w:rPr>
            </w:pPr>
            <w:r>
              <w:rPr>
                <w:rFonts w:ascii="Times New Roman"/>
                <w:sz w:val="18"/>
              </w:rPr>
              <w:t>2019.06.21</w:t>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关于公司创业板非公开发行</w:t>
            </w:r>
            <w:r>
              <w:rPr>
                <w:rFonts w:ascii="Times New Roman" w:hAnsi="Times New Roman" w:cs="Times New Roman" w:eastAsia="Times New Roman" w:hint="default"/>
                <w:sz w:val="18"/>
                <w:szCs w:val="18"/>
              </w:rPr>
              <w:t>A</w:t>
            </w:r>
            <w:r>
              <w:rPr>
                <w:rFonts w:ascii="宋体" w:hAnsi="宋体" w:cs="宋体" w:eastAsia="宋体" w:hint="default"/>
                <w:sz w:val="18"/>
                <w:szCs w:val="18"/>
              </w:rPr>
              <w:t>股股票申请获得中国证监会发行审核委员会审核通过的公告</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35" w:hRule="exact"/>
        </w:trPr>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5" w:right="0"/>
              <w:jc w:val="left"/>
              <w:rPr>
                <w:rFonts w:ascii="Times New Roman" w:hAnsi="Times New Roman" w:cs="Times New Roman" w:eastAsia="Times New Roman" w:hint="default"/>
                <w:sz w:val="18"/>
                <w:szCs w:val="18"/>
              </w:rPr>
            </w:pPr>
            <w:r>
              <w:rPr>
                <w:rFonts w:ascii="Times New Roman"/>
                <w:sz w:val="18"/>
              </w:rPr>
              <w:t>2019-044</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35" w:right="0"/>
              <w:jc w:val="left"/>
              <w:rPr>
                <w:rFonts w:ascii="Times New Roman" w:hAnsi="Times New Roman" w:cs="Times New Roman" w:eastAsia="Times New Roman" w:hint="default"/>
                <w:sz w:val="18"/>
                <w:szCs w:val="18"/>
              </w:rPr>
            </w:pPr>
            <w:r>
              <w:rPr>
                <w:rFonts w:ascii="Times New Roman"/>
                <w:sz w:val="18"/>
              </w:rPr>
              <w:t>2019.08.14</w:t>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关于非公开发行股票申请获得中国证监会核准批复的公告</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0" w:hRule="exact"/>
        </w:trPr>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2019-069</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5" w:right="0"/>
              <w:jc w:val="left"/>
              <w:rPr>
                <w:rFonts w:ascii="Times New Roman" w:hAnsi="Times New Roman" w:cs="Times New Roman" w:eastAsia="Times New Roman" w:hint="default"/>
                <w:sz w:val="18"/>
                <w:szCs w:val="18"/>
              </w:rPr>
            </w:pPr>
            <w:r>
              <w:rPr>
                <w:rFonts w:ascii="Times New Roman"/>
                <w:sz w:val="18"/>
              </w:rPr>
              <w:t>2019.12.06</w:t>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关于非公开发行股票发行情况报告书披露的提示性公告</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0" w:hRule="exact"/>
        </w:trPr>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05" w:right="0"/>
              <w:jc w:val="left"/>
              <w:rPr>
                <w:rFonts w:ascii="Times New Roman" w:hAnsi="Times New Roman" w:cs="Times New Roman" w:eastAsia="Times New Roman" w:hint="default"/>
                <w:sz w:val="18"/>
                <w:szCs w:val="18"/>
              </w:rPr>
            </w:pPr>
            <w:r>
              <w:rPr>
                <w:rFonts w:ascii="Times New Roman"/>
                <w:sz w:val="18"/>
              </w:rPr>
              <w:t>2019-076</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35" w:right="0"/>
              <w:jc w:val="left"/>
              <w:rPr>
                <w:rFonts w:ascii="Times New Roman" w:hAnsi="Times New Roman" w:cs="Times New Roman" w:eastAsia="Times New Roman" w:hint="default"/>
                <w:sz w:val="18"/>
                <w:szCs w:val="18"/>
              </w:rPr>
            </w:pPr>
            <w:r>
              <w:rPr>
                <w:rFonts w:ascii="Times New Roman"/>
                <w:sz w:val="18"/>
              </w:rPr>
              <w:t>2019.12.07</w:t>
            </w:r>
          </w:p>
        </w:tc>
        <w:tc>
          <w:tcPr>
            <w:tcW w:w="7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关于使用募集资金向全资子公司增资用于实施募投项目的公告</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60" w:hRule="exact"/>
        </w:trPr>
        <w:tc>
          <w:tcPr>
            <w:tcW w:w="931"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
        </w:tc>
        <w:tc>
          <w:tcPr>
            <w:tcW w:w="7254"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600" w:right="0"/>
        </w:sectPr>
      </w:pPr>
    </w:p>
    <w:p>
      <w:pPr>
        <w:spacing w:line="240" w:lineRule="auto" w:before="3"/>
        <w:rPr>
          <w:rFonts w:ascii="宋体" w:hAnsi="宋体" w:cs="宋体" w:eastAsia="宋体" w:hint="default"/>
          <w:sz w:val="20"/>
          <w:szCs w:val="20"/>
        </w:rPr>
      </w:pPr>
    </w:p>
    <w:p>
      <w:pPr>
        <w:pStyle w:val="Heading2"/>
        <w:spacing w:line="240" w:lineRule="auto" w:before="26"/>
        <w:ind w:left="581" w:right="1037"/>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581" w:right="103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991"/>
        <w:gridCol w:w="1142"/>
        <w:gridCol w:w="7134"/>
        <w:gridCol w:w="1321"/>
      </w:tblGrid>
      <w:tr>
        <w:trPr>
          <w:trHeight w:val="43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
              <w:jc w:val="center"/>
              <w:rPr>
                <w:rFonts w:ascii="宋体" w:hAnsi="宋体" w:cs="宋体" w:eastAsia="宋体" w:hint="default"/>
                <w:sz w:val="18"/>
                <w:szCs w:val="18"/>
              </w:rPr>
            </w:pPr>
            <w:r>
              <w:rPr>
                <w:rFonts w:ascii="宋体" w:hAnsi="宋体" w:cs="宋体" w:eastAsia="宋体" w:hint="default"/>
                <w:sz w:val="18"/>
                <w:szCs w:val="18"/>
              </w:rPr>
              <w:t>公告编号</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95" w:right="0"/>
              <w:jc w:val="left"/>
              <w:rPr>
                <w:rFonts w:ascii="宋体" w:hAnsi="宋体" w:cs="宋体" w:eastAsia="宋体" w:hint="default"/>
                <w:sz w:val="18"/>
                <w:szCs w:val="18"/>
              </w:rPr>
            </w:pPr>
            <w:r>
              <w:rPr>
                <w:rFonts w:ascii="宋体" w:hAnsi="宋体" w:cs="宋体" w:eastAsia="宋体" w:hint="default"/>
                <w:sz w:val="18"/>
                <w:szCs w:val="18"/>
              </w:rPr>
              <w:t>刊登日期</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宋体" w:hAnsi="宋体" w:cs="宋体" w:eastAsia="宋体" w:hint="default"/>
                <w:sz w:val="18"/>
                <w:szCs w:val="18"/>
              </w:rPr>
            </w:pPr>
            <w:r>
              <w:rPr>
                <w:rFonts w:ascii="宋体" w:hAnsi="宋体" w:cs="宋体" w:eastAsia="宋体" w:hint="default"/>
                <w:sz w:val="18"/>
                <w:szCs w:val="18"/>
              </w:rPr>
              <w:t>重大事项披露情况</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3"/>
              <w:jc w:val="center"/>
              <w:rPr>
                <w:rFonts w:ascii="宋体" w:hAnsi="宋体" w:cs="宋体" w:eastAsia="宋体" w:hint="default"/>
                <w:sz w:val="18"/>
                <w:szCs w:val="18"/>
              </w:rPr>
            </w:pPr>
            <w:r>
              <w:rPr>
                <w:rFonts w:ascii="宋体" w:hAnsi="宋体" w:cs="宋体" w:eastAsia="宋体" w:hint="default"/>
                <w:sz w:val="18"/>
                <w:szCs w:val="18"/>
              </w:rPr>
              <w:t>公告索引</w:t>
            </w:r>
          </w:p>
        </w:tc>
      </w:tr>
      <w:tr>
        <w:trPr>
          <w:trHeight w:val="421"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2019-007</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0" w:right="0"/>
              <w:jc w:val="left"/>
              <w:rPr>
                <w:rFonts w:ascii="Times New Roman" w:hAnsi="Times New Roman" w:cs="Times New Roman" w:eastAsia="Times New Roman" w:hint="default"/>
                <w:sz w:val="18"/>
                <w:szCs w:val="18"/>
              </w:rPr>
            </w:pPr>
            <w:r>
              <w:rPr>
                <w:rFonts w:ascii="Times New Roman"/>
                <w:sz w:val="18"/>
              </w:rPr>
              <w:t>2019.03.02</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关于全资子公司涉及诉讼事项的公告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35"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center"/>
              <w:rPr>
                <w:rFonts w:ascii="Times New Roman" w:hAnsi="Times New Roman" w:cs="Times New Roman" w:eastAsia="Times New Roman" w:hint="default"/>
                <w:sz w:val="18"/>
                <w:szCs w:val="18"/>
              </w:rPr>
            </w:pPr>
            <w:r>
              <w:rPr>
                <w:rFonts w:ascii="Times New Roman"/>
                <w:sz w:val="18"/>
              </w:rPr>
              <w:t>2019-033</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50" w:right="0"/>
              <w:jc w:val="left"/>
              <w:rPr>
                <w:rFonts w:ascii="Times New Roman" w:hAnsi="Times New Roman" w:cs="Times New Roman" w:eastAsia="Times New Roman" w:hint="default"/>
                <w:sz w:val="18"/>
                <w:szCs w:val="18"/>
              </w:rPr>
            </w:pPr>
            <w:r>
              <w:rPr>
                <w:rFonts w:ascii="Times New Roman"/>
                <w:sz w:val="18"/>
              </w:rPr>
              <w:t>2019.05.16</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关于全资子公司涉及诉讼事项的进展公告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center"/>
              <w:rPr>
                <w:rFonts w:ascii="Times New Roman" w:hAnsi="Times New Roman" w:cs="Times New Roman" w:eastAsia="Times New Roman" w:hint="default"/>
                <w:sz w:val="18"/>
                <w:szCs w:val="18"/>
              </w:rPr>
            </w:pPr>
            <w:r>
              <w:rPr>
                <w:rFonts w:ascii="Times New Roman"/>
                <w:sz w:val="18"/>
              </w:rPr>
              <w:t>2019-008</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150" w:right="0"/>
              <w:jc w:val="left"/>
              <w:rPr>
                <w:rFonts w:ascii="Times New Roman" w:hAnsi="Times New Roman" w:cs="Times New Roman" w:eastAsia="Times New Roman" w:hint="default"/>
                <w:sz w:val="18"/>
                <w:szCs w:val="18"/>
              </w:rPr>
            </w:pPr>
            <w:r>
              <w:rPr>
                <w:rFonts w:ascii="Times New Roman"/>
                <w:sz w:val="18"/>
              </w:rPr>
              <w:t>2019.03.04</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关于全资子公司承担</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年度浙江省重点研发计划项目的公告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3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center"/>
              <w:rPr>
                <w:rFonts w:ascii="Times New Roman" w:hAnsi="Times New Roman" w:cs="Times New Roman" w:eastAsia="Times New Roman" w:hint="default"/>
                <w:sz w:val="18"/>
                <w:szCs w:val="18"/>
              </w:rPr>
            </w:pPr>
            <w:r>
              <w:rPr>
                <w:rFonts w:ascii="Times New Roman"/>
                <w:sz w:val="18"/>
              </w:rPr>
              <w:t>2019-009</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50" w:right="0"/>
              <w:jc w:val="left"/>
              <w:rPr>
                <w:rFonts w:ascii="Times New Roman" w:hAnsi="Times New Roman" w:cs="Times New Roman" w:eastAsia="Times New Roman" w:hint="default"/>
                <w:sz w:val="18"/>
                <w:szCs w:val="18"/>
              </w:rPr>
            </w:pPr>
            <w:r>
              <w:rPr>
                <w:rFonts w:ascii="Times New Roman"/>
                <w:sz w:val="18"/>
              </w:rPr>
              <w:t>2019.03.04</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left"/>
              <w:rPr>
                <w:rFonts w:ascii="宋体" w:hAnsi="宋体" w:cs="宋体" w:eastAsia="宋体" w:hint="default"/>
                <w:sz w:val="18"/>
                <w:szCs w:val="18"/>
              </w:rPr>
            </w:pPr>
            <w:r>
              <w:rPr>
                <w:rFonts w:ascii="宋体" w:hAnsi="宋体" w:cs="宋体" w:eastAsia="宋体" w:hint="default"/>
                <w:sz w:val="18"/>
                <w:szCs w:val="18"/>
              </w:rPr>
              <w:t>关于全资子公司通过高新技术企业资格认定的公告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2019-025</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0" w:right="0"/>
              <w:jc w:val="left"/>
              <w:rPr>
                <w:rFonts w:ascii="Times New Roman" w:hAnsi="Times New Roman" w:cs="Times New Roman" w:eastAsia="Times New Roman" w:hint="default"/>
                <w:sz w:val="18"/>
                <w:szCs w:val="18"/>
              </w:rPr>
            </w:pPr>
            <w:r>
              <w:rPr>
                <w:rFonts w:ascii="Times New Roman"/>
                <w:sz w:val="18"/>
              </w:rPr>
              <w:t>2019.04.22</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关于全资子公司获得高新技术企业证书的公告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3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center"/>
              <w:rPr>
                <w:rFonts w:ascii="Times New Roman" w:hAnsi="Times New Roman" w:cs="Times New Roman" w:eastAsia="Times New Roman" w:hint="default"/>
                <w:sz w:val="18"/>
                <w:szCs w:val="18"/>
              </w:rPr>
            </w:pPr>
            <w:r>
              <w:rPr>
                <w:rFonts w:ascii="Times New Roman"/>
                <w:sz w:val="18"/>
              </w:rPr>
              <w:t>2019-036</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50" w:right="0"/>
              <w:jc w:val="left"/>
              <w:rPr>
                <w:rFonts w:ascii="Times New Roman" w:hAnsi="Times New Roman" w:cs="Times New Roman" w:eastAsia="Times New Roman" w:hint="default"/>
                <w:sz w:val="18"/>
                <w:szCs w:val="18"/>
              </w:rPr>
            </w:pPr>
            <w:r>
              <w:rPr>
                <w:rFonts w:ascii="Times New Roman"/>
                <w:sz w:val="18"/>
              </w:rPr>
              <w:t>2019.05.22</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宋体" w:hAnsi="宋体" w:cs="宋体" w:eastAsia="宋体" w:hint="default"/>
                <w:sz w:val="18"/>
                <w:szCs w:val="18"/>
              </w:rPr>
            </w:pPr>
            <w:r>
              <w:rPr>
                <w:rFonts w:ascii="宋体" w:hAnsi="宋体" w:cs="宋体" w:eastAsia="宋体" w:hint="default"/>
                <w:sz w:val="18"/>
                <w:szCs w:val="18"/>
              </w:rPr>
              <w:t>关于全资子公司获得浙江省科学技术进步奖二等奖的公告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2019-037</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0" w:right="0"/>
              <w:jc w:val="left"/>
              <w:rPr>
                <w:rFonts w:ascii="Times New Roman" w:hAnsi="Times New Roman" w:cs="Times New Roman" w:eastAsia="Times New Roman" w:hint="default"/>
                <w:sz w:val="18"/>
                <w:szCs w:val="18"/>
              </w:rPr>
            </w:pPr>
            <w:r>
              <w:rPr>
                <w:rFonts w:ascii="Times New Roman"/>
                <w:sz w:val="18"/>
              </w:rPr>
              <w:t>2019.05.22</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关于公司主导编制的国际标准正式发布的公告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36"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3"/>
              <w:jc w:val="center"/>
              <w:rPr>
                <w:rFonts w:ascii="Times New Roman" w:hAnsi="Times New Roman" w:cs="Times New Roman" w:eastAsia="Times New Roman" w:hint="default"/>
                <w:sz w:val="18"/>
                <w:szCs w:val="18"/>
              </w:rPr>
            </w:pPr>
            <w:r>
              <w:rPr>
                <w:rFonts w:ascii="Times New Roman"/>
                <w:sz w:val="18"/>
              </w:rPr>
              <w:t>2019-038</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50" w:right="0"/>
              <w:jc w:val="left"/>
              <w:rPr>
                <w:rFonts w:ascii="Times New Roman" w:hAnsi="Times New Roman" w:cs="Times New Roman" w:eastAsia="Times New Roman" w:hint="default"/>
                <w:sz w:val="18"/>
                <w:szCs w:val="18"/>
              </w:rPr>
            </w:pPr>
            <w:r>
              <w:rPr>
                <w:rFonts w:ascii="Times New Roman"/>
                <w:sz w:val="18"/>
              </w:rPr>
              <w:t>2019.05.22</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left"/>
              <w:rPr>
                <w:rFonts w:ascii="宋体" w:hAnsi="宋体" w:cs="宋体" w:eastAsia="宋体" w:hint="default"/>
                <w:sz w:val="18"/>
                <w:szCs w:val="18"/>
              </w:rPr>
            </w:pPr>
            <w:r>
              <w:rPr>
                <w:rFonts w:ascii="宋体" w:hAnsi="宋体" w:cs="宋体" w:eastAsia="宋体" w:hint="default"/>
                <w:sz w:val="18"/>
                <w:szCs w:val="18"/>
              </w:rPr>
              <w:t>关于全资子公司承担</w:t>
            </w:r>
            <w:r>
              <w:rPr>
                <w:rFonts w:ascii="Times New Roman" w:hAnsi="Times New Roman" w:cs="Times New Roman" w:eastAsia="Times New Roman" w:hint="default"/>
                <w:sz w:val="18"/>
                <w:szCs w:val="18"/>
              </w:rPr>
              <w:t>2018</w:t>
            </w:r>
            <w:r>
              <w:rPr>
                <w:rFonts w:ascii="宋体" w:hAnsi="宋体" w:cs="宋体" w:eastAsia="宋体" w:hint="default"/>
                <w:sz w:val="18"/>
                <w:szCs w:val="18"/>
              </w:rPr>
              <w:t>年杭州市重大科技创新项目的公告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20" w:hRule="exact"/>
        </w:trPr>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2019-060</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0" w:right="0"/>
              <w:jc w:val="left"/>
              <w:rPr>
                <w:rFonts w:ascii="Times New Roman" w:hAnsi="Times New Roman" w:cs="Times New Roman" w:eastAsia="Times New Roman" w:hint="default"/>
                <w:sz w:val="18"/>
                <w:szCs w:val="18"/>
              </w:rPr>
            </w:pPr>
            <w:r>
              <w:rPr>
                <w:rFonts w:ascii="Times New Roman"/>
                <w:sz w:val="18"/>
              </w:rPr>
              <w:t>2019.10.30</w:t>
            </w:r>
          </w:p>
        </w:tc>
        <w:tc>
          <w:tcPr>
            <w:tcW w:w="7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关于全资子公司与北京百度网讯科技有限公司签署深度合作协议的公告</w:t>
            </w:r>
          </w:p>
        </w:tc>
        <w:tc>
          <w:tcPr>
            <w:tcW w:w="13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429" w:lineRule="auto" w:before="0"/>
        <w:ind w:left="941" w:right="1037" w:hanging="361"/>
        <w:jc w:val="left"/>
      </w:pPr>
      <w:r>
        <w:rPr/>
        <w:t>关于全资子公司涉及诉讼事项的进展情况： </w:t>
      </w:r>
      <w:r>
        <w:rPr>
          <w:rFonts w:ascii="宋体" w:hAnsi="宋体" w:cs="宋体" w:eastAsia="宋体" w:hint="default"/>
          <w:spacing w:val="-4"/>
        </w:rPr>
        <w:t>2019</w:t>
      </w:r>
      <w:r>
        <w:rPr>
          <w:spacing w:val="-4"/>
        </w:rPr>
        <w:t>年</w:t>
      </w:r>
      <w:r>
        <w:rPr>
          <w:rFonts w:ascii="宋体" w:hAnsi="宋体" w:cs="宋体" w:eastAsia="宋体" w:hint="default"/>
          <w:spacing w:val="-4"/>
        </w:rPr>
        <w:t>1</w:t>
      </w:r>
      <w:r>
        <w:rPr>
          <w:spacing w:val="-4"/>
        </w:rPr>
        <w:t>月，原告杭州冠道机械设备制造有限公司以医惠科技为被告，向杭州市滨江区人民法院提起诉讼，主要诉求：</w:t>
      </w:r>
      <w:r>
        <w:rPr>
          <w:rFonts w:ascii="宋体" w:hAnsi="宋体" w:cs="宋体" w:eastAsia="宋体" w:hint="default"/>
          <w:spacing w:val="-4"/>
        </w:rPr>
        <w:t>1</w:t>
      </w:r>
      <w:r>
        <w:rPr>
          <w:spacing w:val="-4"/>
        </w:rPr>
        <w:t>、</w:t>
      </w:r>
    </w:p>
    <w:p>
      <w:pPr>
        <w:pStyle w:val="BodyText"/>
        <w:spacing w:line="408" w:lineRule="auto" w:before="12"/>
        <w:ind w:left="581" w:right="1125"/>
        <w:jc w:val="left"/>
      </w:pPr>
      <w:r>
        <w:rPr/>
        <w:t>要求被告收购原告持有的杭州智海医惠信息科技有限公司</w:t>
      </w:r>
      <w:r>
        <w:rPr>
          <w:rFonts w:ascii="宋体" w:hAnsi="宋体" w:cs="宋体" w:eastAsia="宋体" w:hint="default"/>
        </w:rPr>
        <w:t>300</w:t>
      </w:r>
      <w:r>
        <w:rPr/>
        <w:t>万股股权，并支付股权转让款</w:t>
      </w:r>
      <w:r>
        <w:rPr>
          <w:rFonts w:ascii="宋体" w:hAnsi="宋体" w:cs="宋体" w:eastAsia="宋体" w:hint="default"/>
        </w:rPr>
        <w:t>6,000,000</w:t>
      </w:r>
      <w:r>
        <w:rPr/>
        <w:t>元，支付利息</w:t>
      </w:r>
      <w:r>
        <w:rPr>
          <w:spacing w:val="-82"/>
        </w:rPr>
        <w:t> </w:t>
      </w:r>
      <w:r>
        <w:rPr>
          <w:rFonts w:ascii="宋体" w:hAnsi="宋体" w:cs="宋体" w:eastAsia="宋体" w:hint="default"/>
        </w:rPr>
        <w:t>7,939,726.03</w:t>
      </w:r>
      <w:r>
        <w:rPr/>
        <w:t>元，两项合计</w:t>
      </w:r>
      <w:r>
        <w:rPr>
          <w:rFonts w:ascii="宋体" w:hAnsi="宋体" w:cs="宋体" w:eastAsia="宋体" w:hint="default"/>
        </w:rPr>
        <w:t>13,939,726.03</w:t>
      </w:r>
      <w:r>
        <w:rPr/>
        <w:t>元；</w:t>
      </w:r>
      <w:r>
        <w:rPr>
          <w:rFonts w:ascii="宋体" w:hAnsi="宋体" w:cs="宋体" w:eastAsia="宋体" w:hint="default"/>
        </w:rPr>
        <w:t>2</w:t>
      </w:r>
      <w:r>
        <w:rPr/>
        <w:t>、要求被告向原告支付违约损害赔偿金人民币</w:t>
      </w:r>
      <w:r>
        <w:rPr>
          <w:rFonts w:ascii="宋体" w:hAnsi="宋体" w:cs="宋体" w:eastAsia="宋体" w:hint="default"/>
        </w:rPr>
        <w:t>36,100,000</w:t>
      </w:r>
      <w:r>
        <w:rPr/>
        <w:t>元；</w:t>
      </w:r>
      <w:r>
        <w:rPr>
          <w:rFonts w:ascii="宋体" w:hAnsi="宋体" w:cs="宋体" w:eastAsia="宋体" w:hint="default"/>
        </w:rPr>
        <w:t>3</w:t>
      </w:r>
      <w:r>
        <w:rPr/>
        <w:t>、请求判令</w:t>
      </w:r>
      <w:r>
        <w:rPr>
          <w:spacing w:val="-83"/>
        </w:rPr>
        <w:t> </w:t>
      </w:r>
      <w:r>
        <w:rPr/>
        <w:t>诉讼费用由被告方承担。具体内容详见公司于</w:t>
      </w:r>
      <w:r>
        <w:rPr>
          <w:rFonts w:ascii="宋体" w:hAnsi="宋体" w:cs="宋体" w:eastAsia="宋体" w:hint="default"/>
        </w:rPr>
        <w:t>2019</w:t>
      </w:r>
      <w:r>
        <w:rPr/>
        <w:t>年</w:t>
      </w:r>
      <w:r>
        <w:rPr>
          <w:rFonts w:ascii="宋体" w:hAnsi="宋体" w:cs="宋体" w:eastAsia="宋体" w:hint="default"/>
        </w:rPr>
        <w:t>3</w:t>
      </w:r>
      <w:r>
        <w:rPr/>
        <w:t>月</w:t>
      </w:r>
      <w:r>
        <w:rPr>
          <w:rFonts w:ascii="宋体" w:hAnsi="宋体" w:cs="宋体" w:eastAsia="宋体" w:hint="default"/>
        </w:rPr>
        <w:t>2</w:t>
      </w:r>
      <w:r>
        <w:rPr/>
        <w:t>日披露在中国证监会指定的创业板信息披露网站巨潮资讯网</w:t>
      </w:r>
      <w:r>
        <w:rPr>
          <w:spacing w:val="-86"/>
        </w:rPr>
        <w:t> </w:t>
      </w:r>
      <w:r>
        <w:rPr>
          <w:rFonts w:ascii="宋体" w:hAnsi="宋体" w:cs="宋体" w:eastAsia="宋体" w:hint="default"/>
        </w:rPr>
        <w:t>(www.cninfo.com.cn)</w:t>
      </w:r>
      <w:r>
        <w:rPr/>
        <w:t>的《关于全资子公司涉及诉讼事项的公告》（公告编号：</w:t>
      </w:r>
      <w:r>
        <w:rPr>
          <w:rFonts w:ascii="宋体" w:hAnsi="宋体" w:cs="宋体" w:eastAsia="宋体" w:hint="default"/>
        </w:rPr>
        <w:t>2019-007</w:t>
      </w:r>
      <w:r>
        <w:rPr/>
        <w:t>）。</w:t>
      </w:r>
    </w:p>
    <w:p>
      <w:pPr>
        <w:pStyle w:val="BodyText"/>
        <w:spacing w:line="240" w:lineRule="auto" w:before="43"/>
        <w:ind w:left="941" w:right="1037"/>
        <w:jc w:val="left"/>
      </w:pPr>
      <w:r>
        <w:rPr>
          <w:rFonts w:ascii="宋体" w:hAnsi="宋体" w:cs="宋体" w:eastAsia="宋体" w:hint="default"/>
        </w:rPr>
        <w:t>2019</w:t>
      </w:r>
      <w:r>
        <w:rPr/>
        <w:t>年</w:t>
      </w:r>
      <w:r>
        <w:rPr>
          <w:rFonts w:ascii="宋体" w:hAnsi="宋体" w:cs="宋体" w:eastAsia="宋体" w:hint="default"/>
        </w:rPr>
        <w:t>5</w:t>
      </w:r>
      <w:r>
        <w:rPr/>
        <w:t>月，杭州市滨江区人民法院作出一审判决，判令医惠科技支付原告杭州冠道机械设备制造有限公司股权回购款</w:t>
      </w:r>
    </w:p>
    <w:p>
      <w:pPr>
        <w:spacing w:line="240" w:lineRule="auto" w:before="13"/>
        <w:rPr>
          <w:rFonts w:ascii="宋体" w:hAnsi="宋体" w:cs="宋体" w:eastAsia="宋体" w:hint="default"/>
          <w:sz w:val="12"/>
          <w:szCs w:val="12"/>
        </w:rPr>
      </w:pPr>
    </w:p>
    <w:p>
      <w:pPr>
        <w:pStyle w:val="BodyText"/>
        <w:spacing w:line="405" w:lineRule="auto" w:before="0"/>
        <w:ind w:left="581" w:right="1037"/>
        <w:jc w:val="left"/>
      </w:pPr>
      <w:r>
        <w:rPr>
          <w:rFonts w:ascii="宋体" w:hAnsi="宋体" w:cs="宋体" w:eastAsia="宋体" w:hint="default"/>
        </w:rPr>
        <w:t>600</w:t>
      </w:r>
      <w:r>
        <w:rPr/>
        <w:t>万元及从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7</w:t>
      </w:r>
      <w:r>
        <w:rPr/>
        <w:t>日至实际付清为止按照年利率</w:t>
      </w:r>
      <w:r>
        <w:rPr>
          <w:rFonts w:ascii="宋体" w:hAnsi="宋体" w:cs="宋体" w:eastAsia="宋体" w:hint="default"/>
        </w:rPr>
        <w:t>15%</w:t>
      </w:r>
      <w:r>
        <w:rPr/>
        <w:t>的利息损失。具体内容详见公司于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16</w:t>
      </w:r>
      <w:r>
        <w:rPr/>
        <w:t>日披露在中国证监</w:t>
      </w:r>
      <w:r>
        <w:rPr>
          <w:spacing w:val="-85"/>
        </w:rPr>
        <w:t> </w:t>
      </w:r>
      <w:r>
        <w:rPr>
          <w:spacing w:val="-2"/>
        </w:rPr>
        <w:t>会指定的创业板信息披露网站巨潮资讯网</w:t>
      </w:r>
      <w:r>
        <w:rPr>
          <w:rFonts w:ascii="宋体" w:hAnsi="宋体" w:cs="宋体" w:eastAsia="宋体" w:hint="default"/>
          <w:spacing w:val="-2"/>
        </w:rPr>
        <w:t>(www.cninfo.com.cn)</w:t>
      </w:r>
      <w:r>
        <w:rPr>
          <w:spacing w:val="-2"/>
        </w:rPr>
        <w:t>的《关于全资子公司涉及诉讼事项的进展公告》（公告编号：</w:t>
      </w:r>
      <w:r>
        <w:rPr>
          <w:spacing w:val="-47"/>
        </w:rPr>
        <w:t> </w:t>
      </w:r>
      <w:r>
        <w:rPr>
          <w:spacing w:val="-47"/>
        </w:rPr>
      </w:r>
      <w:r>
        <w:rPr>
          <w:rFonts w:ascii="宋体" w:hAnsi="宋体" w:cs="宋体" w:eastAsia="宋体" w:hint="default"/>
        </w:rPr>
        <w:t>2019-033</w:t>
      </w:r>
      <w:r>
        <w:rPr/>
        <w:t>）。</w:t>
      </w:r>
    </w:p>
    <w:p>
      <w:pPr>
        <w:pStyle w:val="BodyText"/>
        <w:spacing w:line="405" w:lineRule="auto" w:before="45"/>
        <w:ind w:left="581" w:right="1093" w:firstLine="360"/>
        <w:jc w:val="left"/>
      </w:pPr>
      <w:r>
        <w:rPr/>
        <w:t>根据</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9</w:t>
      </w:r>
      <w:r>
        <w:rPr/>
        <w:t>日杭州市滨江区人民法院下达的《民事判决书》（〔</w:t>
      </w:r>
      <w:r>
        <w:rPr>
          <w:rFonts w:ascii="宋体" w:hAnsi="宋体" w:cs="宋体" w:eastAsia="宋体" w:hint="default"/>
        </w:rPr>
        <w:t>2019</w:t>
      </w:r>
      <w:r>
        <w:rPr/>
        <w:t>〕浙</w:t>
      </w:r>
      <w:r>
        <w:rPr>
          <w:rFonts w:ascii="宋体" w:hAnsi="宋体" w:cs="宋体" w:eastAsia="宋体" w:hint="default"/>
        </w:rPr>
        <w:t>0108</w:t>
      </w:r>
      <w:r>
        <w:rPr/>
        <w:t>民初</w:t>
      </w:r>
      <w:r>
        <w:rPr>
          <w:rFonts w:ascii="宋体" w:hAnsi="宋体" w:cs="宋体" w:eastAsia="宋体" w:hint="default"/>
        </w:rPr>
        <w:t>423</w:t>
      </w:r>
      <w:r>
        <w:rPr/>
        <w:t>号），子公司医惠科技公司 于判决生效之日起十日内支付原告杭州冠道机械设备制造有限公司股权回购款</w:t>
      </w:r>
      <w:r>
        <w:rPr>
          <w:rFonts w:ascii="宋体" w:hAnsi="宋体" w:cs="宋体" w:eastAsia="宋体" w:hint="default"/>
        </w:rPr>
        <w:t>600</w:t>
      </w:r>
      <w:r>
        <w:rPr/>
        <w:t>万元</w:t>
      </w:r>
      <w:r>
        <w:rPr>
          <w:rFonts w:ascii="宋体" w:hAnsi="宋体" w:cs="宋体" w:eastAsia="宋体" w:hint="default"/>
        </w:rPr>
        <w:t>(</w:t>
      </w:r>
      <w:r>
        <w:rPr/>
        <w:t>对应杭州智海医惠信息科技有限公</w:t>
      </w:r>
      <w:r>
        <w:rPr>
          <w:spacing w:val="-83"/>
        </w:rPr>
        <w:t> </w:t>
      </w:r>
      <w:r>
        <w:rPr>
          <w:spacing w:val="-1"/>
        </w:rPr>
        <w:t>司</w:t>
      </w:r>
      <w:r>
        <w:rPr>
          <w:rFonts w:ascii="宋体" w:hAnsi="宋体" w:cs="宋体" w:eastAsia="宋体" w:hint="default"/>
          <w:spacing w:val="-1"/>
        </w:rPr>
        <w:t>30%</w:t>
      </w:r>
      <w:r>
        <w:rPr>
          <w:spacing w:val="-1"/>
        </w:rPr>
        <w:t>股权</w:t>
      </w:r>
      <w:r>
        <w:rPr>
          <w:rFonts w:ascii="宋体" w:hAnsi="宋体" w:cs="宋体" w:eastAsia="宋体" w:hint="default"/>
          <w:spacing w:val="-1"/>
        </w:rPr>
        <w:t>300</w:t>
      </w:r>
      <w:r>
        <w:rPr>
          <w:spacing w:val="-1"/>
        </w:rPr>
        <w:t>万元</w:t>
      </w:r>
      <w:r>
        <w:rPr>
          <w:rFonts w:ascii="宋体" w:hAnsi="宋体" w:cs="宋体" w:eastAsia="宋体" w:hint="default"/>
          <w:spacing w:val="-1"/>
        </w:rPr>
        <w:t>)</w:t>
      </w:r>
      <w:r>
        <w:rPr>
          <w:spacing w:val="-1"/>
        </w:rPr>
        <w:t>，并支付利息损失（</w:t>
      </w:r>
      <w:r>
        <w:rPr>
          <w:rFonts w:ascii="宋体" w:hAnsi="宋体" w:cs="宋体" w:eastAsia="宋体" w:hint="default"/>
          <w:spacing w:val="-1"/>
        </w:rPr>
        <w:t>2010</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7</w:t>
      </w:r>
      <w:r>
        <w:rPr>
          <w:spacing w:val="-1"/>
        </w:rPr>
        <w:t>日至实际付清为止按照年利率</w:t>
      </w:r>
      <w:r>
        <w:rPr>
          <w:rFonts w:ascii="宋体" w:hAnsi="宋体" w:cs="宋体" w:eastAsia="宋体" w:hint="default"/>
          <w:spacing w:val="-1"/>
        </w:rPr>
        <w:t>15%</w:t>
      </w:r>
      <w:r>
        <w:rPr>
          <w:spacing w:val="-1"/>
        </w:rPr>
        <w:t>计算），子公司医惠科技公司已于</w:t>
      </w:r>
      <w:r>
        <w:rPr>
          <w:rFonts w:ascii="宋体" w:hAnsi="宋体" w:cs="宋体" w:eastAsia="宋体" w:hint="default"/>
          <w:spacing w:val="-1"/>
        </w:rPr>
        <w:t>2019</w:t>
      </w:r>
      <w:r>
        <w:rPr>
          <w:rFonts w:ascii="宋体" w:hAnsi="宋体" w:cs="宋体" w:eastAsia="宋体" w:hint="default"/>
          <w:spacing w:val="-80"/>
        </w:rPr>
        <w:t> </w:t>
      </w:r>
      <w:r>
        <w:rPr/>
        <w:t>年</w:t>
      </w:r>
      <w:r>
        <w:rPr>
          <w:rFonts w:ascii="宋体" w:hAnsi="宋体" w:cs="宋体" w:eastAsia="宋体" w:hint="default"/>
        </w:rPr>
        <w:t>8</w:t>
      </w:r>
      <w:r>
        <w:rPr/>
        <w:t>月</w:t>
      </w:r>
      <w:r>
        <w:rPr>
          <w:rFonts w:ascii="宋体" w:hAnsi="宋体" w:cs="宋体" w:eastAsia="宋体" w:hint="default"/>
        </w:rPr>
        <w:t>21</w:t>
      </w:r>
      <w:r>
        <w:rPr/>
        <w:t>日支付股权回购款</w:t>
      </w:r>
      <w:r>
        <w:rPr>
          <w:rFonts w:ascii="宋体" w:hAnsi="宋体" w:cs="宋体" w:eastAsia="宋体" w:hint="default"/>
        </w:rPr>
        <w:t>600</w:t>
      </w:r>
      <w:r>
        <w:rPr/>
        <w:t>万元及利息损失</w:t>
      </w:r>
      <w:r>
        <w:rPr>
          <w:rFonts w:ascii="宋体" w:hAnsi="宋体" w:cs="宋体" w:eastAsia="宋体" w:hint="default"/>
        </w:rPr>
        <w:t>844</w:t>
      </w:r>
      <w:r>
        <w:rPr/>
        <w:t>万元。由于杭州冠道机械设备制造有限公司不配合子公司医惠科技公司办</w:t>
      </w:r>
      <w:r>
        <w:rPr>
          <w:spacing w:val="-82"/>
        </w:rPr>
        <w:t> </w:t>
      </w:r>
      <w:r>
        <w:rPr>
          <w:spacing w:val="-82"/>
        </w:rPr>
      </w:r>
      <w:r>
        <w:rPr/>
        <w:t>理股权变更手续，截至本财务报表报出日，股权交割尚未完成，本公司将该股权款</w:t>
      </w:r>
      <w:r>
        <w:rPr>
          <w:rFonts w:ascii="宋体" w:hAnsi="宋体" w:cs="宋体" w:eastAsia="宋体" w:hint="default"/>
        </w:rPr>
        <w:t>1,444</w:t>
      </w:r>
      <w:r>
        <w:rPr/>
        <w:t>万元计入其他非流动资产。</w:t>
      </w:r>
    </w:p>
    <w:p>
      <w:pPr>
        <w:pStyle w:val="BodyText"/>
        <w:spacing w:line="408" w:lineRule="auto" w:before="46"/>
        <w:ind w:left="581" w:right="349" w:firstLine="360"/>
        <w:jc w:val="left"/>
      </w:pPr>
      <w:r>
        <w:rPr>
          <w:spacing w:val="-2"/>
        </w:rPr>
        <w:t>根据</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月股东章笠中和杭州思创医惠集团有限公司出具的承诺，如因该纠纷给子公司医惠科技公司带来任何支出，</w:t>
      </w:r>
      <w:r>
        <w:rPr/>
        <w:t> </w:t>
      </w:r>
      <w:r>
        <w:rPr>
          <w:spacing w:val="-2"/>
        </w:rPr>
        <w:t>包括但不限于原始本金、利息、违约金、赔偿金或其他损失，概由股东章笠中和杭州思创医惠集团有限公司连带承担，确保</w:t>
      </w:r>
      <w:r>
        <w:rPr>
          <w:spacing w:val="-57"/>
        </w:rPr>
        <w:t> </w:t>
      </w:r>
      <w:r>
        <w:rPr>
          <w:spacing w:val="-57"/>
        </w:rPr>
      </w:r>
      <w:r>
        <w:rPr/>
        <w:t>本公司及其股东利益不致遭受损害。子公司医惠科技公司已于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28</w:t>
      </w:r>
      <w:r>
        <w:rPr/>
        <w:t>日收到杭州思创医惠集团有限公司转入的款项</w:t>
      </w:r>
      <w:r>
        <w:rPr>
          <w:spacing w:val="-84"/>
        </w:rPr>
        <w:t> </w:t>
      </w:r>
      <w:r>
        <w:rPr>
          <w:rFonts w:ascii="宋体" w:hAnsi="宋体" w:cs="宋体" w:eastAsia="宋体" w:hint="default"/>
        </w:rPr>
        <w:t>1,444</w:t>
      </w:r>
      <w:r>
        <w:rPr/>
        <w:t>万元。</w:t>
      </w:r>
    </w:p>
    <w:p>
      <w:pPr>
        <w:spacing w:after="0" w:line="408" w:lineRule="auto"/>
        <w:jc w:val="left"/>
        <w:sectPr>
          <w:pgSz w:w="11910" w:h="16850"/>
          <w:pgMar w:header="866" w:footer="981" w:top="1120" w:bottom="1180" w:left="56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040" w:right="1086"/>
        <w:jc w:val="left"/>
        <w:rPr>
          <w:b w:val="0"/>
          <w:bCs w:val="0"/>
        </w:rPr>
      </w:pPr>
      <w:bookmarkStart w:name="_TOC_250007" w:id="101"/>
      <w:bookmarkStart w:name="第六节股份变动及股东情况" w:id="102"/>
      <w:r>
        <w:rPr>
          <w:b w:val="0"/>
          <w:bCs w:val="0"/>
        </w:rPr>
      </w:r>
      <w:r>
        <w:rPr>
          <w:spacing w:val="5"/>
        </w:rPr>
        <w:t>第六节股份变动及股东情况</w:t>
      </w:r>
      <w:bookmarkEnd w:id="101"/>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1086"/>
        <w:jc w:val="left"/>
        <w:rPr>
          <w:b w:val="0"/>
          <w:bCs w:val="0"/>
        </w:rPr>
      </w:pPr>
      <w:bookmarkStart w:name="一、股份变动情况" w:id="103"/>
      <w:bookmarkEnd w:id="103"/>
      <w:r>
        <w:rPr>
          <w:b w:val="0"/>
          <w:bCs w:val="0"/>
        </w:rPr>
      </w:r>
      <w:r>
        <w:rPr/>
        <w:t>一、股份变动情况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1086"/>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29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22"/>
        <w:gridCol w:w="819"/>
        <w:gridCol w:w="826"/>
        <w:gridCol w:w="826"/>
        <w:gridCol w:w="826"/>
        <w:gridCol w:w="826"/>
        <w:gridCol w:w="811"/>
        <w:gridCol w:w="826"/>
        <w:gridCol w:w="796"/>
        <w:gridCol w:w="796"/>
      </w:tblGrid>
      <w:tr>
        <w:trPr>
          <w:trHeight w:val="405"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222" w:type="dxa"/>
            <w:vMerge/>
            <w:tcBorders>
              <w:left w:val="single" w:sz="6" w:space="0" w:color="000000"/>
              <w:bottom w:val="nil" w:sz="6" w:space="0" w:color="auto"/>
              <w:right w:val="single" w:sz="6" w:space="0" w:color="000000"/>
            </w:tcBorders>
            <w:shd w:val="clear" w:color="auto" w:fill="D2D2D2"/>
          </w:tcPr>
          <w:p>
            <w:pPr/>
          </w:p>
        </w:tc>
        <w:tc>
          <w:tcPr>
            <w:tcW w:w="81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222" w:type="dxa"/>
            <w:vMerge w:val="restart"/>
            <w:tcBorders>
              <w:top w:val="nil" w:sz="6" w:space="0" w:color="auto"/>
              <w:left w:val="single" w:sz="6" w:space="0" w:color="000000"/>
              <w:right w:val="single" w:sz="6" w:space="0" w:color="000000"/>
            </w:tcBorders>
            <w:shd w:val="clear" w:color="auto" w:fill="D2D2D2"/>
          </w:tcPr>
          <w:p>
            <w:pPr/>
          </w:p>
        </w:tc>
        <w:tc>
          <w:tcPr>
            <w:tcW w:w="819"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58" w:hRule="exact"/>
        </w:trPr>
        <w:tc>
          <w:tcPr>
            <w:tcW w:w="2222" w:type="dxa"/>
            <w:vMerge/>
            <w:tcBorders>
              <w:left w:val="single" w:sz="6" w:space="0" w:color="000000"/>
              <w:bottom w:val="single" w:sz="6" w:space="0" w:color="000000"/>
              <w:right w:val="single" w:sz="6" w:space="0" w:color="000000"/>
            </w:tcBorders>
            <w:shd w:val="clear" w:color="auto" w:fill="D2D2D2"/>
          </w:tcPr>
          <w:p>
            <w:pPr/>
          </w:p>
        </w:tc>
        <w:tc>
          <w:tcPr>
            <w:tcW w:w="819"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171,507,8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21.23%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51,390,13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-92,914,8</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-41,524,7</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129,983,1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15.13%</w:t>
            </w:r>
          </w:p>
        </w:tc>
      </w:tr>
      <w:tr>
        <w:trPr>
          <w:trHeight w:val="406"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171,507,8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83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21.23%</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51,390,13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-92,914,8</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-41,524,7</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129,983,1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45</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15.13%</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135,011,8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69</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16.71%</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51,390,13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-92,914,8</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-41,524,7</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38</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93,487,13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10.88%</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73"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36,496,01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8"/>
                <w:szCs w:val="18"/>
              </w:rPr>
            </w:pPr>
            <w:r>
              <w:rPr>
                <w:rFonts w:ascii="Times New Roman"/>
                <w:sz w:val="18"/>
              </w:rPr>
              <w:t>4.52%</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36,496,01</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4.25%</w:t>
            </w:r>
          </w:p>
        </w:tc>
      </w:tr>
      <w:tr>
        <w:trPr>
          <w:trHeight w:val="391"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39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6"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9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636,377,4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51</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78.77%</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92,914,87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92,914,87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729,292,3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84.87%</w:t>
            </w:r>
          </w:p>
        </w:tc>
      </w:tr>
      <w:tr>
        <w:trPr>
          <w:trHeight w:val="390"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636,377,4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51</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78.77%</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92,914,87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92,914,87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729,292,3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21</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84.87%</w:t>
            </w:r>
          </w:p>
        </w:tc>
      </w:tr>
      <w:tr>
        <w:trPr>
          <w:trHeight w:val="406"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5"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1" w:hRule="exact"/>
        </w:trPr>
        <w:tc>
          <w:tcPr>
            <w:tcW w:w="2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1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8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82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157" w:hRule="exact"/>
        </w:trPr>
        <w:tc>
          <w:tcPr>
            <w:tcW w:w="2222" w:type="dxa"/>
            <w:tcBorders>
              <w:top w:val="single" w:sz="6" w:space="0" w:color="000000"/>
              <w:left w:val="single" w:sz="6" w:space="0" w:color="000000"/>
              <w:bottom w:val="nil" w:sz="6" w:space="0" w:color="auto"/>
              <w:right w:val="single" w:sz="6" w:space="0" w:color="000000"/>
            </w:tcBorders>
            <w:shd w:val="clear" w:color="auto" w:fill="D2D2D2"/>
          </w:tcPr>
          <w:p>
            <w:pPr/>
          </w:p>
        </w:tc>
        <w:tc>
          <w:tcPr>
            <w:tcW w:w="819" w:type="dxa"/>
            <w:vMerge w:val="restart"/>
            <w:tcBorders>
              <w:top w:val="single" w:sz="6" w:space="0" w:color="000000"/>
              <w:left w:val="single" w:sz="12" w:space="0" w:color="D2D2D2"/>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807,885,3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34</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51,390,13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51,390,13</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859,275,4</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66</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405" w:hRule="exact"/>
        </w:trPr>
        <w:tc>
          <w:tcPr>
            <w:tcW w:w="22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19"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22" w:type="dxa"/>
            <w:tcBorders>
              <w:top w:val="nil" w:sz="6" w:space="0" w:color="auto"/>
              <w:left w:val="single" w:sz="6" w:space="0" w:color="000000"/>
              <w:bottom w:val="single" w:sz="6" w:space="0" w:color="000000"/>
              <w:right w:val="single" w:sz="6" w:space="0" w:color="000000"/>
            </w:tcBorders>
            <w:shd w:val="clear" w:color="auto" w:fill="D2D2D2"/>
          </w:tcPr>
          <w:p>
            <w:pPr/>
          </w:p>
        </w:tc>
        <w:tc>
          <w:tcPr>
            <w:tcW w:w="819"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1086"/>
        <w:jc w:val="left"/>
      </w:pPr>
      <w:r>
        <w:rPr/>
        <w:t>股份变动的原因</w:t>
      </w:r>
    </w:p>
    <w:p>
      <w:pPr>
        <w:pStyle w:val="BodyText"/>
        <w:spacing w:line="420" w:lineRule="auto" w:before="124"/>
        <w:ind w:left="501" w:right="408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1</w:t>
      </w:r>
      <w:r>
        <w:rPr/>
        <w:t>、每年的第一个交易日，董监高股份按照其上年末持有股份数量</w:t>
      </w:r>
      <w:r>
        <w:rPr>
          <w:rFonts w:ascii="宋体" w:hAnsi="宋体" w:cs="宋体" w:eastAsia="宋体" w:hint="default"/>
        </w:rPr>
        <w:t>75%</w:t>
      </w:r>
      <w:r>
        <w:rPr/>
        <w:t>予以锁定。</w:t>
      </w:r>
    </w:p>
    <w:p>
      <w:pPr>
        <w:pStyle w:val="BodyText"/>
        <w:spacing w:line="240" w:lineRule="auto" w:before="35"/>
        <w:ind w:left="501" w:right="0"/>
        <w:jc w:val="left"/>
      </w:pPr>
      <w:r>
        <w:rPr>
          <w:rFonts w:ascii="宋体" w:hAnsi="宋体" w:cs="宋体" w:eastAsia="宋体" w:hint="default"/>
        </w:rPr>
        <w:t>2</w:t>
      </w:r>
      <w:r>
        <w:rPr/>
        <w:t>、根据公司法人股东杭州博泰投资管理有限公司于</w:t>
      </w:r>
      <w:r>
        <w:rPr>
          <w:rFonts w:ascii="宋体" w:hAnsi="宋体" w:cs="宋体" w:eastAsia="宋体" w:hint="default"/>
        </w:rPr>
        <w:t>2010</w:t>
      </w:r>
      <w:r>
        <w:rPr/>
        <w:t>年</w:t>
      </w:r>
      <w:r>
        <w:rPr>
          <w:rFonts w:ascii="宋体" w:hAnsi="宋体" w:cs="宋体" w:eastAsia="宋体" w:hint="default"/>
        </w:rPr>
        <w:t>4</w:t>
      </w:r>
      <w:r>
        <w:rPr/>
        <w:t>月</w:t>
      </w:r>
      <w:r>
        <w:rPr>
          <w:rFonts w:ascii="宋体" w:hAnsi="宋体" w:cs="宋体" w:eastAsia="宋体" w:hint="default"/>
        </w:rPr>
        <w:t>30</w:t>
      </w:r>
      <w:r>
        <w:rPr/>
        <w:t>日公司首次公开发行所作出的承诺，自公司股票上市之</w:t>
      </w:r>
    </w:p>
    <w:p>
      <w:pPr>
        <w:spacing w:after="0" w:line="240" w:lineRule="auto"/>
        <w:jc w:val="left"/>
        <w:sectPr>
          <w:pgSz w:w="11910" w:h="16850"/>
          <w:pgMar w:header="866" w:footer="981" w:top="1120" w:bottom="1180" w:left="1000" w:right="0"/>
        </w:sectPr>
      </w:pPr>
    </w:p>
    <w:p>
      <w:pPr>
        <w:spacing w:line="240" w:lineRule="auto" w:before="10"/>
        <w:rPr>
          <w:rFonts w:ascii="宋体" w:hAnsi="宋体" w:cs="宋体" w:eastAsia="宋体" w:hint="default"/>
          <w:sz w:val="28"/>
          <w:szCs w:val="28"/>
        </w:rPr>
      </w:pPr>
    </w:p>
    <w:p>
      <w:pPr>
        <w:pStyle w:val="BodyText"/>
        <w:spacing w:line="405" w:lineRule="auto"/>
        <w:ind w:right="1132"/>
        <w:jc w:val="both"/>
      </w:pPr>
      <w:r>
        <w:rPr>
          <w:spacing w:val="-2"/>
        </w:rPr>
        <w:t>日起三十六个月内，不转让或者委托他人管理其已直接或间接持有的公司股份，也不由公司回购该部分股份。承诺每年转让</w:t>
      </w:r>
      <w:r>
        <w:rPr>
          <w:spacing w:val="-75"/>
        </w:rPr>
        <w:t> </w:t>
      </w:r>
      <w:r>
        <w:rPr>
          <w:spacing w:val="-75"/>
        </w:rPr>
      </w:r>
      <w:r>
        <w:rPr/>
        <w:t>的股份不超过所持有公司股份总数的</w:t>
      </w:r>
      <w:r>
        <w:rPr>
          <w:rFonts w:ascii="宋体" w:hAnsi="宋体" w:cs="宋体" w:eastAsia="宋体" w:hint="default"/>
        </w:rPr>
        <w:t>25%</w:t>
      </w:r>
      <w:r>
        <w:rPr/>
        <w:t>。报告期内，公司向深圳证券交易所提出申请，经交易所批准后，其所持有的公司</w:t>
      </w:r>
      <w:r>
        <w:rPr>
          <w:spacing w:val="-87"/>
        </w:rPr>
        <w:t> </w:t>
      </w:r>
      <w:r>
        <w:rPr/>
        <w:t>首次公开发行前已发行股份</w:t>
      </w:r>
      <w:r>
        <w:rPr>
          <w:rFonts w:ascii="宋体" w:hAnsi="宋体" w:cs="宋体" w:eastAsia="宋体" w:hint="default"/>
        </w:rPr>
        <w:t>2,002,258</w:t>
      </w:r>
      <w:r>
        <w:rPr/>
        <w:t>股于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20</w:t>
      </w:r>
      <w:r>
        <w:rPr/>
        <w:t>日起开始上市流通。</w:t>
      </w:r>
    </w:p>
    <w:p>
      <w:pPr>
        <w:pStyle w:val="BodyText"/>
        <w:spacing w:line="408" w:lineRule="auto" w:before="45"/>
        <w:ind w:right="1029" w:firstLine="360"/>
        <w:jc w:val="left"/>
      </w:pPr>
      <w:r>
        <w:rPr>
          <w:rFonts w:ascii="宋体" w:hAnsi="宋体" w:cs="宋体" w:eastAsia="宋体" w:hint="default"/>
          <w:spacing w:val="-2"/>
        </w:rPr>
        <w:t>3</w:t>
      </w:r>
      <w:r>
        <w:rPr>
          <w:spacing w:val="-2"/>
        </w:rPr>
        <w:t>、根据公司法人股东杭州思创医惠集团有限公司于</w:t>
      </w:r>
      <w:r>
        <w:rPr>
          <w:rFonts w:ascii="宋体" w:hAnsi="宋体" w:cs="宋体" w:eastAsia="宋体" w:hint="default"/>
          <w:spacing w:val="-2"/>
        </w:rPr>
        <w:t>2015</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27</w:t>
      </w:r>
      <w:r>
        <w:rPr>
          <w:spacing w:val="-2"/>
        </w:rPr>
        <w:t>日公司重大资产重组时作出的承诺，因本次重大资产重</w:t>
      </w:r>
      <w:r>
        <w:rPr/>
        <w:t> 组交易所受让的思创医惠股份自变更登记到其名下之日起</w:t>
      </w:r>
      <w:r>
        <w:rPr>
          <w:rFonts w:ascii="宋体" w:hAnsi="宋体" w:cs="宋体" w:eastAsia="宋体" w:hint="default"/>
        </w:rPr>
        <w:t>36</w:t>
      </w:r>
      <w:r>
        <w:rPr/>
        <w:t>个月内不得转让。报告期内，公司向深圳证券交易所提出申请，</w:t>
      </w:r>
      <w:r>
        <w:rPr>
          <w:spacing w:val="-85"/>
        </w:rPr>
        <w:t> </w:t>
      </w:r>
      <w:r>
        <w:rPr/>
        <w:t>经交易所批准后，其所持有的公司股份</w:t>
      </w:r>
      <w:r>
        <w:rPr>
          <w:rFonts w:ascii="宋体" w:hAnsi="宋体" w:cs="宋体" w:eastAsia="宋体" w:hint="default"/>
        </w:rPr>
        <w:t>90,912,612</w:t>
      </w:r>
      <w:r>
        <w:rPr/>
        <w:t>股于</w:t>
      </w:r>
      <w:r>
        <w:rPr>
          <w:rFonts w:ascii="宋体" w:hAnsi="宋体" w:cs="宋体" w:eastAsia="宋体" w:hint="default"/>
        </w:rPr>
        <w:t>2019</w:t>
      </w:r>
      <w:r>
        <w:rPr/>
        <w:t>年</w:t>
      </w:r>
      <w:r>
        <w:rPr>
          <w:rFonts w:ascii="宋体" w:hAnsi="宋体" w:cs="宋体" w:eastAsia="宋体" w:hint="default"/>
        </w:rPr>
        <w:t>2</w:t>
      </w:r>
      <w:r>
        <w:rPr/>
        <w:t>月</w:t>
      </w:r>
      <w:r>
        <w:rPr>
          <w:rFonts w:ascii="宋体" w:hAnsi="宋体" w:cs="宋体" w:eastAsia="宋体" w:hint="default"/>
        </w:rPr>
        <w:t>20</w:t>
      </w:r>
      <w:r>
        <w:rPr/>
        <w:t>日起开始上市流通。（其中：</w:t>
      </w:r>
      <w:r>
        <w:rPr>
          <w:rFonts w:ascii="宋体" w:hAnsi="宋体" w:cs="宋体" w:eastAsia="宋体" w:hint="default"/>
        </w:rPr>
        <w:t>55,998,800</w:t>
      </w:r>
      <w:r>
        <w:rPr/>
        <w:t>股处于质押冻</w:t>
      </w:r>
      <w:r>
        <w:rPr>
          <w:spacing w:val="-83"/>
        </w:rPr>
        <w:t> </w:t>
      </w:r>
      <w:r>
        <w:rPr/>
        <w:t>结状态，该部分的股份解除质押后即可上市流通。）</w:t>
      </w:r>
    </w:p>
    <w:p>
      <w:pPr>
        <w:pStyle w:val="BodyText"/>
        <w:spacing w:line="240" w:lineRule="auto"/>
        <w:ind w:left="501" w:right="1086"/>
        <w:jc w:val="left"/>
      </w:pPr>
      <w:r>
        <w:rPr>
          <w:rFonts w:ascii="宋体" w:hAnsi="宋体" w:cs="宋体" w:eastAsia="宋体" w:hint="default"/>
        </w:rPr>
        <w:t>4</w:t>
      </w:r>
      <w:r>
        <w:rPr/>
        <w:t>、报告期内，经中国证券监督管理委员会发行审核委员会审核批准，公司</w:t>
      </w:r>
      <w:r>
        <w:rPr>
          <w:rFonts w:ascii="宋体" w:hAnsi="宋体" w:cs="宋体" w:eastAsia="宋体" w:hint="default"/>
        </w:rPr>
        <w:t>2018</w:t>
      </w:r>
      <w:r>
        <w:rPr/>
        <w:t>年非公开发行新增股份</w:t>
      </w:r>
      <w:r>
        <w:rPr>
          <w:rFonts w:ascii="宋体" w:hAnsi="宋体" w:cs="宋体" w:eastAsia="宋体" w:hint="default"/>
        </w:rPr>
        <w:t>51,390,132</w:t>
      </w:r>
      <w:r>
        <w:rPr/>
        <w:t>股于</w:t>
      </w:r>
    </w:p>
    <w:p>
      <w:pPr>
        <w:pStyle w:val="BodyText"/>
        <w:spacing w:line="350" w:lineRule="auto" w:before="155"/>
        <w:ind w:right="7599"/>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日在深圳证券交易所上市。 股份变动的批准情况</w:t>
      </w:r>
    </w:p>
    <w:p>
      <w:pPr>
        <w:pStyle w:val="BodyText"/>
        <w:spacing w:line="434" w:lineRule="auto" w:before="42"/>
        <w:ind w:left="501" w:right="1209" w:hanging="361"/>
        <w:jc w:val="left"/>
        <w:rPr>
          <w:rFonts w:ascii="宋体" w:hAnsi="宋体" w:cs="宋体" w:eastAsia="宋体"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1</w:t>
      </w:r>
      <w:r>
        <w:rPr/>
        <w:t>、公司于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9</w:t>
      </w:r>
      <w:r>
        <w:rPr/>
        <w:t>日召开第四届董事会第七次会议、第四届监事会第五次会议，于</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26</w:t>
      </w:r>
      <w:r>
        <w:rPr/>
        <w:t>日召开公司</w:t>
      </w:r>
      <w:r>
        <w:rPr>
          <w:rFonts w:ascii="宋体" w:hAnsi="宋体" w:cs="宋体" w:eastAsia="宋体" w:hint="default"/>
        </w:rPr>
        <w:t>2018</w:t>
      </w:r>
    </w:p>
    <w:p>
      <w:pPr>
        <w:pStyle w:val="BodyText"/>
        <w:spacing w:line="412" w:lineRule="auto" w:before="8"/>
        <w:ind w:right="1112"/>
        <w:jc w:val="left"/>
      </w:pPr>
      <w:r>
        <w:rPr/>
        <w:t>年第三次临时股东大会，审议通过了《关于</w:t>
      </w:r>
      <w:r>
        <w:rPr>
          <w:rFonts w:ascii="宋体" w:hAnsi="宋体" w:cs="宋体" w:eastAsia="宋体" w:hint="default"/>
        </w:rPr>
        <w:t>&lt;</w:t>
      </w:r>
      <w:r>
        <w:rPr/>
        <w:t>公司非公开发行 </w:t>
      </w:r>
      <w:r>
        <w:rPr>
          <w:rFonts w:ascii="宋体" w:hAnsi="宋体" w:cs="宋体" w:eastAsia="宋体" w:hint="default"/>
        </w:rPr>
        <w:t>A </w:t>
      </w:r>
      <w:r>
        <w:rPr/>
        <w:t>股股票方案</w:t>
      </w:r>
      <w:r>
        <w:rPr>
          <w:rFonts w:ascii="宋体" w:hAnsi="宋体" w:cs="宋体" w:eastAsia="宋体" w:hint="default"/>
        </w:rPr>
        <w:t>&gt;</w:t>
      </w:r>
      <w:r>
        <w:rPr/>
        <w:t>的议案》、《关于</w:t>
      </w:r>
      <w:r>
        <w:rPr>
          <w:rFonts w:ascii="宋体" w:hAnsi="宋体" w:cs="宋体" w:eastAsia="宋体" w:hint="default"/>
        </w:rPr>
        <w:t>&lt;</w:t>
      </w:r>
      <w:r>
        <w:rPr/>
        <w:t>公司非公开发行 </w:t>
      </w:r>
      <w:r>
        <w:rPr>
          <w:rFonts w:ascii="宋体" w:hAnsi="宋体" w:cs="宋体" w:eastAsia="宋体" w:hint="default"/>
        </w:rPr>
        <w:t>A</w:t>
      </w:r>
      <w:r>
        <w:rPr>
          <w:rFonts w:ascii="宋体" w:hAnsi="宋体" w:cs="宋体" w:eastAsia="宋体" w:hint="default"/>
          <w:spacing w:val="7"/>
        </w:rPr>
        <w:t> </w:t>
      </w:r>
      <w:r>
        <w:rPr/>
        <w:t>股股票 预案</w:t>
      </w:r>
      <w:r>
        <w:rPr>
          <w:rFonts w:ascii="宋体" w:hAnsi="宋体" w:cs="宋体" w:eastAsia="宋体" w:hint="default"/>
        </w:rPr>
        <w:t>&gt;</w:t>
      </w:r>
      <w:r>
        <w:rPr/>
        <w:t>的议案》等议案；</w:t>
      </w:r>
    </w:p>
    <w:p>
      <w:pPr>
        <w:pStyle w:val="BodyText"/>
        <w:spacing w:line="405" w:lineRule="auto" w:before="40"/>
        <w:ind w:right="1125" w:firstLine="360"/>
        <w:jc w:val="both"/>
      </w:pPr>
      <w:r>
        <w:rPr>
          <w:rFonts w:ascii="宋体" w:hAnsi="宋体" w:cs="宋体" w:eastAsia="宋体" w:hint="default"/>
        </w:rPr>
        <w:t>2</w:t>
      </w:r>
      <w:r>
        <w:rPr/>
        <w:t>、公司于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日召开第四届董事会第十次会议、第四届监事会第八次会议，审议通过了《关于调整</w:t>
      </w:r>
      <w:r>
        <w:rPr>
          <w:rFonts w:ascii="宋体" w:hAnsi="宋体" w:cs="宋体" w:eastAsia="宋体" w:hint="default"/>
        </w:rPr>
        <w:t>&lt;</w:t>
      </w:r>
      <w:r>
        <w:rPr/>
        <w:t>公司非公 开发行 </w:t>
      </w:r>
      <w:r>
        <w:rPr>
          <w:rFonts w:ascii="宋体" w:hAnsi="宋体" w:cs="宋体" w:eastAsia="宋体" w:hint="default"/>
        </w:rPr>
        <w:t>A</w:t>
      </w:r>
      <w:r>
        <w:rPr>
          <w:rFonts w:ascii="宋体" w:hAnsi="宋体" w:cs="宋体" w:eastAsia="宋体" w:hint="default"/>
          <w:spacing w:val="7"/>
        </w:rPr>
        <w:t> </w:t>
      </w:r>
      <w:r>
        <w:rPr/>
        <w:t>股股票方案</w:t>
      </w:r>
      <w:r>
        <w:rPr>
          <w:rFonts w:ascii="宋体" w:hAnsi="宋体" w:cs="宋体" w:eastAsia="宋体" w:hint="default"/>
        </w:rPr>
        <w:t>&gt;</w:t>
      </w:r>
      <w:r>
        <w:rPr/>
        <w:t>的议案》、《关于修订</w:t>
      </w:r>
      <w:r>
        <w:rPr>
          <w:rFonts w:ascii="宋体" w:hAnsi="宋体" w:cs="宋体" w:eastAsia="宋体" w:hint="default"/>
        </w:rPr>
        <w:t>&lt;</w:t>
      </w:r>
      <w:r>
        <w:rPr/>
        <w:t>思创医惠科技股份有限公司</w:t>
      </w:r>
      <w:r>
        <w:rPr>
          <w:rFonts w:ascii="宋体" w:hAnsi="宋体" w:cs="宋体" w:eastAsia="宋体" w:hint="default"/>
        </w:rPr>
        <w:t>2018</w:t>
      </w:r>
      <w:r>
        <w:rPr/>
        <w:t>年度非公开发行</w:t>
      </w:r>
      <w:r>
        <w:rPr>
          <w:rFonts w:ascii="宋体" w:hAnsi="宋体" w:cs="宋体" w:eastAsia="宋体" w:hint="default"/>
        </w:rPr>
        <w:t>A</w:t>
      </w:r>
      <w:r>
        <w:rPr/>
        <w:t>股股票预案</w:t>
      </w:r>
      <w:r>
        <w:rPr>
          <w:rFonts w:ascii="宋体" w:hAnsi="宋体" w:cs="宋体" w:eastAsia="宋体" w:hint="default"/>
        </w:rPr>
        <w:t>&gt;</w:t>
      </w:r>
      <w:r>
        <w:rPr/>
        <w:t>的议案》等议 案；</w:t>
      </w:r>
    </w:p>
    <w:p>
      <w:pPr>
        <w:pStyle w:val="BodyText"/>
        <w:spacing w:line="398" w:lineRule="auto" w:before="45"/>
        <w:ind w:right="1119" w:firstLine="360"/>
        <w:jc w:val="left"/>
      </w:pPr>
      <w:r>
        <w:rPr>
          <w:rFonts w:ascii="宋体" w:hAnsi="宋体" w:cs="宋体" w:eastAsia="宋体" w:hint="default"/>
        </w:rPr>
        <w:t>3</w:t>
      </w:r>
      <w:r>
        <w:rPr/>
        <w:t>、</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21</w:t>
      </w:r>
      <w:r>
        <w:rPr/>
        <w:t>日，公司</w:t>
      </w:r>
      <w:r>
        <w:rPr>
          <w:rFonts w:ascii="宋体" w:hAnsi="宋体" w:cs="宋体" w:eastAsia="宋体" w:hint="default"/>
        </w:rPr>
        <w:t>2018</w:t>
      </w:r>
      <w:r>
        <w:rPr/>
        <w:t>年非公开发行股票申请获得中国证监会发行审核委员会审核通过，公司于</w:t>
      </w:r>
      <w:r>
        <w:rPr>
          <w:rFonts w:ascii="宋体" w:hAnsi="宋体" w:cs="宋体" w:eastAsia="宋体" w:hint="default"/>
        </w:rPr>
        <w:t>2019</w:t>
      </w:r>
      <w:r>
        <w:rPr/>
        <w:t>年</w:t>
      </w:r>
      <w:r>
        <w:rPr>
          <w:rFonts w:ascii="宋体" w:hAnsi="宋体" w:cs="宋体" w:eastAsia="宋体" w:hint="default"/>
        </w:rPr>
        <w:t>8</w:t>
      </w:r>
      <w:r>
        <w:rPr/>
        <w:t>月</w:t>
      </w:r>
      <w:r>
        <w:rPr>
          <w:rFonts w:ascii="宋体" w:hAnsi="宋体" w:cs="宋体" w:eastAsia="宋体" w:hint="default"/>
        </w:rPr>
        <w:t>14</w:t>
      </w:r>
      <w:r>
        <w:rPr/>
        <w:t>日 收到中国证券监督管理委员会出具的《关于核准思创医惠科技股份有限公司非公开发行股票的批复》；</w:t>
      </w:r>
    </w:p>
    <w:p>
      <w:pPr>
        <w:pStyle w:val="BodyText"/>
        <w:spacing w:line="412" w:lineRule="auto" w:before="50"/>
        <w:ind w:right="1086" w:firstLine="360"/>
        <w:jc w:val="left"/>
      </w:pPr>
      <w:r>
        <w:rPr>
          <w:rFonts w:ascii="宋体" w:hAnsi="宋体" w:cs="宋体" w:eastAsia="宋体" w:hint="default"/>
          <w:spacing w:val="-5"/>
        </w:rPr>
        <w:t>4</w:t>
      </w:r>
      <w:r>
        <w:rPr>
          <w:spacing w:val="-5"/>
        </w:rPr>
        <w:t>、公司于</w:t>
      </w:r>
      <w:r>
        <w:rPr>
          <w:rFonts w:ascii="宋体" w:hAnsi="宋体" w:cs="宋体" w:eastAsia="宋体" w:hint="default"/>
          <w:spacing w:val="-5"/>
        </w:rPr>
        <w:t>2019</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8</w:t>
      </w:r>
      <w:r>
        <w:rPr>
          <w:spacing w:val="-5"/>
        </w:rPr>
        <w:t>日召开第四届董事会第十三次会议、第四届监事会第十一次会议，于</w:t>
      </w:r>
      <w:r>
        <w:rPr>
          <w:rFonts w:ascii="宋体" w:hAnsi="宋体" w:cs="宋体" w:eastAsia="宋体" w:hint="default"/>
          <w:spacing w:val="-5"/>
        </w:rPr>
        <w:t>2019</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26</w:t>
      </w:r>
      <w:r>
        <w:rPr>
          <w:spacing w:val="-5"/>
        </w:rPr>
        <w:t>日召开公司</w:t>
      </w:r>
      <w:r>
        <w:rPr>
          <w:rFonts w:ascii="宋体" w:hAnsi="宋体" w:cs="宋体" w:eastAsia="宋体" w:hint="default"/>
          <w:spacing w:val="-5"/>
        </w:rPr>
        <w:t>2019</w:t>
      </w:r>
      <w:r>
        <w:rPr>
          <w:rFonts w:ascii="宋体" w:hAnsi="宋体" w:cs="宋体" w:eastAsia="宋体" w:hint="default"/>
        </w:rPr>
        <w:t> </w:t>
      </w:r>
      <w:r>
        <w:rPr/>
        <w:t>年第一次临时股东大会，审议通过了《关于延长非公开发行 </w:t>
      </w:r>
      <w:r>
        <w:rPr>
          <w:rFonts w:ascii="宋体" w:hAnsi="宋体" w:cs="宋体" w:eastAsia="宋体" w:hint="default"/>
        </w:rPr>
        <w:t>A</w:t>
      </w:r>
      <w:r>
        <w:rPr>
          <w:rFonts w:ascii="宋体" w:hAnsi="宋体" w:cs="宋体" w:eastAsia="宋体" w:hint="default"/>
          <w:spacing w:val="6"/>
        </w:rPr>
        <w:t> </w:t>
      </w:r>
      <w:r>
        <w:rPr/>
        <w:t>股股票股东大会决议有效期的议案》。</w:t>
      </w:r>
    </w:p>
    <w:p>
      <w:pPr>
        <w:pStyle w:val="BodyText"/>
        <w:spacing w:line="201" w:lineRule="exact" w:before="0"/>
        <w:ind w:right="1086"/>
        <w:jc w:val="left"/>
      </w:pPr>
      <w:r>
        <w:rPr/>
        <w:t>股份变动的过户情况</w:t>
      </w:r>
    </w:p>
    <w:p>
      <w:pPr>
        <w:pStyle w:val="BodyText"/>
        <w:spacing w:line="434" w:lineRule="auto" w:before="124"/>
        <w:ind w:left="501" w:right="120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公司</w:t>
      </w:r>
      <w:r>
        <w:rPr>
          <w:rFonts w:ascii="宋体" w:hAnsi="宋体" w:cs="宋体" w:eastAsia="宋体" w:hint="default"/>
        </w:rPr>
        <w:t>2018</w:t>
      </w:r>
      <w:r>
        <w:rPr/>
        <w:t>年度非公开发行新增</w:t>
      </w:r>
      <w:r>
        <w:rPr>
          <w:rFonts w:ascii="宋体" w:hAnsi="宋体" w:cs="宋体" w:eastAsia="宋体" w:hint="default"/>
        </w:rPr>
        <w:t>51,390,132</w:t>
      </w:r>
      <w:r>
        <w:rPr/>
        <w:t>股股份已于</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22</w:t>
      </w:r>
      <w:r>
        <w:rPr/>
        <w:t>日在中国证券登记结算有限责任公司深圳分公司办</w:t>
      </w:r>
    </w:p>
    <w:p>
      <w:pPr>
        <w:pStyle w:val="BodyText"/>
        <w:spacing w:line="336" w:lineRule="auto" w:before="24"/>
        <w:ind w:right="2109"/>
        <w:jc w:val="left"/>
      </w:pPr>
      <w:r>
        <w:rPr/>
        <w:t>理完毕登记托管手续并取得中国证券登记结算有限责任公司深圳分公司出具的《股份登记申请受理确认书》。 股份回购的实施进展情况</w:t>
      </w:r>
    </w:p>
    <w:p>
      <w:pPr>
        <w:pStyle w:val="BodyText"/>
        <w:spacing w:line="333" w:lineRule="auto" w:before="53"/>
        <w:ind w:right="6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采用集中竞价方式减持回购股份的实施进展情况</w:t>
      </w:r>
    </w:p>
    <w:p>
      <w:pPr>
        <w:pStyle w:val="BodyText"/>
        <w:spacing w:line="434" w:lineRule="auto" w:before="54"/>
        <w:ind w:left="501" w:right="1086"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w:t>
      </w:r>
      <w:r>
        <w:rPr>
          <w:spacing w:val="-2"/>
        </w:rPr>
        <w:t>股份变动对最近一年和最近一期基本每股收益和稀释每股收益、归属于公司普通股股东的每股净资产等财务指标的影响</w:t>
      </w:r>
    </w:p>
    <w:p>
      <w:pPr>
        <w:pStyle w:val="BodyText"/>
        <w:spacing w:line="213" w:lineRule="exact"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40" w:lineRule="auto" w:before="96"/>
        <w:ind w:right="1086"/>
        <w:jc w:val="left"/>
      </w:pPr>
      <w:r>
        <w:rPr/>
        <w:t>公司认为必要或证券监管机构要求披露的其他内容</w:t>
      </w:r>
    </w:p>
    <w:p>
      <w:pPr>
        <w:pStyle w:val="BodyText"/>
        <w:spacing w:line="240" w:lineRule="auto" w:before="125"/>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单位：股</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5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30" w:right="119" w:hanging="541"/>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631" w:right="119" w:hanging="541"/>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10" w:right="59" w:hanging="451"/>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89"/>
              <w:jc w:val="left"/>
              <w:rPr>
                <w:rFonts w:ascii="宋体" w:hAnsi="宋体" w:cs="宋体" w:eastAsia="宋体" w:hint="default"/>
                <w:sz w:val="18"/>
                <w:szCs w:val="18"/>
              </w:rPr>
            </w:pPr>
            <w:r>
              <w:rPr>
                <w:rFonts w:ascii="宋体" w:hAnsi="宋体" w:cs="宋体" w:eastAsia="宋体" w:hint="default"/>
                <w:sz w:val="18"/>
                <w:szCs w:val="18"/>
              </w:rPr>
              <w:t>杭州思创医惠 集团有限公司</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90,912,612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90,912,612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74"/>
              <w:jc w:val="both"/>
              <w:rPr>
                <w:rFonts w:ascii="宋体" w:hAnsi="宋体" w:cs="宋体" w:eastAsia="宋体" w:hint="default"/>
                <w:sz w:val="18"/>
                <w:szCs w:val="18"/>
              </w:rPr>
            </w:pPr>
            <w:r>
              <w:rPr>
                <w:rFonts w:ascii="宋体" w:hAnsi="宋体" w:cs="宋体" w:eastAsia="宋体" w:hint="default"/>
                <w:sz w:val="18"/>
                <w:szCs w:val="18"/>
              </w:rPr>
              <w:t>根据重组收购 协议自愿承诺 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9"/>
              <w:jc w:val="right"/>
              <w:rPr>
                <w:rFonts w:ascii="Times New Roman" w:hAnsi="Times New Roman" w:cs="Times New Roman" w:eastAsia="Times New Roman" w:hint="default"/>
                <w:sz w:val="18"/>
                <w:szCs w:val="18"/>
              </w:rPr>
            </w:pPr>
            <w:r>
              <w:rPr>
                <w:rFonts w:ascii="Times New Roman"/>
                <w:sz w:val="18"/>
              </w:rPr>
              <w:t>18,450,902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8"/>
              <w:jc w:val="right"/>
              <w:rPr>
                <w:rFonts w:ascii="Times New Roman" w:hAnsi="Times New Roman" w:cs="Times New Roman" w:eastAsia="Times New Roman" w:hint="default"/>
                <w:sz w:val="18"/>
                <w:szCs w:val="18"/>
              </w:rPr>
            </w:pPr>
            <w:r>
              <w:rPr>
                <w:rFonts w:ascii="Times New Roman"/>
                <w:sz w:val="18"/>
              </w:rPr>
              <w:t>18,450,902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58"/>
              <w:jc w:val="both"/>
              <w:rPr>
                <w:rFonts w:ascii="Times New Roman" w:hAnsi="Times New Roman" w:cs="Times New Roman" w:eastAsia="Times New Roman" w:hint="default"/>
                <w:sz w:val="18"/>
                <w:szCs w:val="18"/>
              </w:rPr>
            </w:pPr>
            <w:r>
              <w:rPr>
                <w:rFonts w:ascii="宋体" w:hAnsi="宋体" w:cs="宋体" w:eastAsia="宋体" w:hint="default"/>
                <w:sz w:val="18"/>
                <w:szCs w:val="18"/>
              </w:rPr>
              <w:t>高管锁定股， 每年的第一个 交易日，按照 上年末持有股 份数量的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p>
            <w:pPr>
              <w:pStyle w:val="TableParagraph"/>
              <w:spacing w:line="219" w:lineRule="exact"/>
              <w:ind w:left="30" w:right="0"/>
              <w:jc w:val="both"/>
              <w:rPr>
                <w:rFonts w:ascii="宋体" w:hAnsi="宋体" w:cs="宋体" w:eastAsia="宋体" w:hint="default"/>
                <w:sz w:val="18"/>
                <w:szCs w:val="18"/>
              </w:rPr>
            </w:pPr>
            <w:r>
              <w:rPr>
                <w:rFonts w:ascii="宋体" w:hAnsi="宋体" w:cs="宋体" w:eastAsia="宋体" w:hint="default"/>
                <w:sz w:val="18"/>
                <w:szCs w:val="18"/>
              </w:rPr>
              <w:t>解除限售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方振淳</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18,045,112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18,045,112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74"/>
              <w:jc w:val="both"/>
              <w:rPr>
                <w:rFonts w:ascii="宋体" w:hAnsi="宋体" w:cs="宋体" w:eastAsia="宋体" w:hint="default"/>
                <w:sz w:val="18"/>
                <w:szCs w:val="18"/>
              </w:rPr>
            </w:pPr>
            <w:r>
              <w:rPr>
                <w:rFonts w:ascii="宋体" w:hAnsi="宋体" w:cs="宋体" w:eastAsia="宋体" w:hint="default"/>
                <w:sz w:val="18"/>
                <w:szCs w:val="18"/>
              </w:rPr>
              <w:t>根据非公开发 行协议自愿承 诺限售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89"/>
              <w:jc w:val="left"/>
              <w:rPr>
                <w:rFonts w:ascii="宋体" w:hAnsi="宋体" w:cs="宋体" w:eastAsia="宋体" w:hint="default"/>
                <w:sz w:val="18"/>
                <w:szCs w:val="18"/>
              </w:rPr>
            </w:pPr>
            <w:r>
              <w:rPr>
                <w:rFonts w:ascii="宋体" w:hAnsi="宋体" w:cs="宋体" w:eastAsia="宋体" w:hint="default"/>
                <w:sz w:val="18"/>
                <w:szCs w:val="18"/>
              </w:rPr>
              <w:t>西藏瑞华资本 管理有限公司</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18,045,112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18,045,112</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74"/>
              <w:jc w:val="both"/>
              <w:rPr>
                <w:rFonts w:ascii="宋体" w:hAnsi="宋体" w:cs="宋体" w:eastAsia="宋体" w:hint="default"/>
                <w:sz w:val="18"/>
                <w:szCs w:val="18"/>
              </w:rPr>
            </w:pPr>
            <w:r>
              <w:rPr>
                <w:rFonts w:ascii="宋体" w:hAnsi="宋体" w:cs="宋体" w:eastAsia="宋体" w:hint="default"/>
                <w:sz w:val="18"/>
                <w:szCs w:val="18"/>
              </w:rPr>
              <w:t>根据非公开发 行协议自愿承 诺限售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浙江鲲鹏资产 管理有限公司</w:t>
            </w:r>
          </w:p>
          <w:p>
            <w:pPr>
              <w:pStyle w:val="TableParagraph"/>
              <w:spacing w:line="321" w:lineRule="auto" w:before="3"/>
              <w:ind w:left="15" w:right="89"/>
              <w:jc w:val="left"/>
              <w:rPr>
                <w:rFonts w:ascii="宋体" w:hAnsi="宋体" w:cs="宋体" w:eastAsia="宋体" w:hint="default"/>
                <w:sz w:val="18"/>
                <w:szCs w:val="18"/>
              </w:rPr>
            </w:pPr>
            <w:r>
              <w:rPr>
                <w:rFonts w:ascii="宋体" w:hAnsi="宋体" w:cs="宋体" w:eastAsia="宋体" w:hint="default"/>
                <w:sz w:val="18"/>
                <w:szCs w:val="18"/>
              </w:rPr>
              <w:t>－鲲鹏资本－ 中瑞思创定增</w:t>
            </w:r>
          </w:p>
          <w:p>
            <w:pPr>
              <w:pStyle w:val="TableParagraph"/>
              <w:spacing w:line="288" w:lineRule="auto" w:before="34"/>
              <w:ind w:left="15"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号证券投资 基金</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18,045,111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18,045,111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21" w:lineRule="auto"/>
              <w:ind w:left="30" w:right="74"/>
              <w:jc w:val="both"/>
              <w:rPr>
                <w:rFonts w:ascii="宋体" w:hAnsi="宋体" w:cs="宋体" w:eastAsia="宋体" w:hint="default"/>
                <w:sz w:val="18"/>
                <w:szCs w:val="18"/>
              </w:rPr>
            </w:pPr>
            <w:r>
              <w:rPr>
                <w:rFonts w:ascii="宋体" w:hAnsi="宋体" w:cs="宋体" w:eastAsia="宋体" w:hint="default"/>
                <w:sz w:val="18"/>
                <w:szCs w:val="18"/>
              </w:rPr>
              <w:t>根据非公开发 行协议自愿承 诺限售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89"/>
              <w:jc w:val="left"/>
              <w:rPr>
                <w:rFonts w:ascii="宋体" w:hAnsi="宋体" w:cs="宋体" w:eastAsia="宋体" w:hint="default"/>
                <w:sz w:val="18"/>
                <w:szCs w:val="18"/>
              </w:rPr>
            </w:pPr>
            <w:r>
              <w:rPr>
                <w:rFonts w:ascii="宋体" w:hAnsi="宋体" w:cs="宋体" w:eastAsia="宋体" w:hint="default"/>
                <w:sz w:val="18"/>
                <w:szCs w:val="18"/>
              </w:rPr>
              <w:t>杭州博泰投资 管理有限公司</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8,009,034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2,002,258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6,006,776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首发承诺</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每年解锁</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89"/>
              <w:jc w:val="left"/>
              <w:rPr>
                <w:rFonts w:ascii="宋体" w:hAnsi="宋体" w:cs="宋体" w:eastAsia="宋体" w:hint="default"/>
                <w:sz w:val="18"/>
                <w:szCs w:val="18"/>
              </w:rPr>
            </w:pPr>
            <w:r>
              <w:rPr>
                <w:rFonts w:ascii="宋体" w:hAnsi="宋体" w:cs="宋体" w:eastAsia="宋体" w:hint="default"/>
                <w:sz w:val="18"/>
                <w:szCs w:val="18"/>
              </w:rPr>
              <w:t>全国社保基金 一零一组合</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17,399,103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17,399,103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74"/>
              <w:jc w:val="both"/>
              <w:rPr>
                <w:rFonts w:ascii="宋体" w:hAnsi="宋体" w:cs="宋体" w:eastAsia="宋体" w:hint="default"/>
                <w:sz w:val="18"/>
                <w:szCs w:val="18"/>
              </w:rPr>
            </w:pPr>
            <w:r>
              <w:rPr>
                <w:rFonts w:ascii="宋体" w:hAnsi="宋体" w:cs="宋体" w:eastAsia="宋体" w:hint="default"/>
                <w:sz w:val="18"/>
                <w:szCs w:val="18"/>
              </w:rPr>
              <w:t>根据非公开发 行协议自愿承 诺限售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96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89"/>
              <w:jc w:val="both"/>
              <w:rPr>
                <w:rFonts w:ascii="宋体" w:hAnsi="宋体" w:cs="宋体" w:eastAsia="宋体" w:hint="default"/>
                <w:sz w:val="18"/>
                <w:szCs w:val="18"/>
              </w:rPr>
            </w:pPr>
            <w:r>
              <w:rPr>
                <w:rFonts w:ascii="宋体" w:hAnsi="宋体" w:cs="宋体" w:eastAsia="宋体" w:hint="default"/>
                <w:sz w:val="18"/>
                <w:szCs w:val="18"/>
              </w:rPr>
              <w:t>浙江富浙股权 投资基金管理 有限公司－浙 江深改产业发 展合伙企业</w:t>
            </w:r>
          </w:p>
          <w:p>
            <w:pPr>
              <w:pStyle w:val="TableParagraph"/>
              <w:spacing w:line="240" w:lineRule="auto" w:before="22"/>
              <w:ind w:left="15" w:right="0"/>
              <w:jc w:val="both"/>
              <w:rPr>
                <w:rFonts w:ascii="宋体" w:hAnsi="宋体" w:cs="宋体" w:eastAsia="宋体" w:hint="default"/>
                <w:sz w:val="18"/>
                <w:szCs w:val="18"/>
              </w:rPr>
            </w:pPr>
            <w:r>
              <w:rPr>
                <w:rFonts w:ascii="宋体" w:hAnsi="宋体" w:cs="宋体" w:eastAsia="宋体" w:hint="default"/>
                <w:sz w:val="18"/>
                <w:szCs w:val="18"/>
              </w:rPr>
              <w:t>（有限合伙）</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13,452,914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13,452,914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4" w:lineRule="auto"/>
              <w:ind w:left="30" w:right="74"/>
              <w:jc w:val="both"/>
              <w:rPr>
                <w:rFonts w:ascii="宋体" w:hAnsi="宋体" w:cs="宋体" w:eastAsia="宋体" w:hint="default"/>
                <w:sz w:val="18"/>
                <w:szCs w:val="18"/>
              </w:rPr>
            </w:pPr>
            <w:r>
              <w:rPr>
                <w:rFonts w:ascii="宋体" w:hAnsi="宋体" w:cs="宋体" w:eastAsia="宋体" w:hint="default"/>
                <w:sz w:val="18"/>
                <w:szCs w:val="18"/>
              </w:rPr>
              <w:t>根据非公开发 行协议自愿承 诺限售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89"/>
              <w:jc w:val="left"/>
              <w:rPr>
                <w:rFonts w:ascii="宋体" w:hAnsi="宋体" w:cs="宋体" w:eastAsia="宋体" w:hint="default"/>
                <w:sz w:val="18"/>
                <w:szCs w:val="18"/>
              </w:rPr>
            </w:pPr>
            <w:r>
              <w:rPr>
                <w:rFonts w:ascii="宋体" w:hAnsi="宋体" w:cs="宋体" w:eastAsia="宋体" w:hint="default"/>
                <w:sz w:val="18"/>
                <w:szCs w:val="18"/>
              </w:rPr>
              <w:t>全国社保基金 一一八组合</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12,914,798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12,914,798</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74"/>
              <w:jc w:val="both"/>
              <w:rPr>
                <w:rFonts w:ascii="宋体" w:hAnsi="宋体" w:cs="宋体" w:eastAsia="宋体" w:hint="default"/>
                <w:sz w:val="18"/>
                <w:szCs w:val="18"/>
              </w:rPr>
            </w:pPr>
            <w:r>
              <w:rPr>
                <w:rFonts w:ascii="宋体" w:hAnsi="宋体" w:cs="宋体" w:eastAsia="宋体" w:hint="default"/>
                <w:sz w:val="18"/>
                <w:szCs w:val="18"/>
              </w:rPr>
              <w:t>根据非公开发 行协议自愿承 诺限售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r>
        <w:rPr/>
        <w:pict>
          <v:group style="position:absolute;margin-left:117.150002pt;margin-top:118.595001pt;width:72.850pt;height:21.05pt;mso-position-horizontal-relative:page;mso-position-vertical-relative:page;z-index:-1276624" coordorigin="2343,2372" coordsize="1457,421">
            <v:group style="position:absolute;left:2358;top:2387;width:2;height:391" coordorigin="2358,2387" coordsize="2,391">
              <v:shape style="position:absolute;left:2358;top:2387;width:2;height:391" coordorigin="2358,2387" coordsize="0,391" path="m2358,2387l2358,2777e" filled="false" stroked="true" strokeweight="1.5pt" strokecolor="#ffffff">
                <v:path arrowok="t"/>
              </v:shape>
            </v:group>
            <v:group style="position:absolute;left:2373;top:2387;width:1427;height:391" coordorigin="2373,2387" coordsize="1427,391">
              <v:shape style="position:absolute;left:2373;top:2387;width:1427;height:391" coordorigin="2373,2387" coordsize="1427,391" path="m2373,2777l3800,2777,3800,2387,2373,2387,2373,2777xe" filled="true" fillcolor="#ffffff" stroked="false">
                <v:path arrowok="t"/>
                <v:fill type="solid"/>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1202"/>
        <w:gridCol w:w="1502"/>
        <w:gridCol w:w="1487"/>
        <w:gridCol w:w="1487"/>
        <w:gridCol w:w="1487"/>
        <w:gridCol w:w="1202"/>
        <w:gridCol w:w="1216"/>
      </w:tblGrid>
      <w:tr>
        <w:trPr>
          <w:trHeight w:val="228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both"/>
              <w:rPr>
                <w:rFonts w:ascii="宋体" w:hAnsi="宋体" w:cs="宋体" w:eastAsia="宋体" w:hint="default"/>
                <w:sz w:val="18"/>
                <w:szCs w:val="18"/>
              </w:rPr>
            </w:pPr>
            <w:r>
              <w:rPr>
                <w:rFonts w:ascii="宋体" w:hAnsi="宋体" w:cs="宋体" w:eastAsia="宋体" w:hint="default"/>
                <w:sz w:val="18"/>
                <w:szCs w:val="18"/>
              </w:rPr>
              <w:t>红土创新基金</w:t>
            </w:r>
          </w:p>
          <w:p>
            <w:pPr>
              <w:pStyle w:val="TableParagraph"/>
              <w:spacing w:line="321" w:lineRule="auto" w:before="65"/>
              <w:ind w:left="15" w:right="89"/>
              <w:jc w:val="both"/>
              <w:rPr>
                <w:rFonts w:ascii="宋体" w:hAnsi="宋体" w:cs="宋体" w:eastAsia="宋体" w:hint="default"/>
                <w:sz w:val="18"/>
                <w:szCs w:val="18"/>
              </w:rPr>
            </w:pPr>
            <w:r>
              <w:rPr>
                <w:rFonts w:ascii="宋体" w:hAnsi="宋体" w:cs="宋体" w:eastAsia="宋体" w:hint="default"/>
                <w:sz w:val="18"/>
                <w:szCs w:val="18"/>
              </w:rPr>
              <w:t>－嘉兴景美中 和投资合伙企 </w:t>
            </w:r>
            <w:r>
              <w:rPr>
                <w:rFonts w:ascii="宋体" w:hAnsi="宋体" w:cs="宋体" w:eastAsia="宋体" w:hint="default"/>
                <w:spacing w:val="-3"/>
                <w:sz w:val="18"/>
                <w:szCs w:val="18"/>
              </w:rPr>
              <w:t>业（有限合伙</w:t>
            </w:r>
          </w:p>
          <w:p>
            <w:pPr>
              <w:pStyle w:val="TableParagraph"/>
              <w:spacing w:line="304" w:lineRule="auto" w:before="18"/>
              <w:ind w:left="15" w:right="30"/>
              <w:jc w:val="both"/>
              <w:rPr>
                <w:rFonts w:ascii="宋体" w:hAnsi="宋体" w:cs="宋体" w:eastAsia="宋体" w:hint="default"/>
                <w:sz w:val="18"/>
                <w:szCs w:val="18"/>
              </w:rPr>
            </w:pPr>
            <w:r>
              <w:rPr>
                <w:rFonts w:ascii="宋体" w:hAnsi="宋体" w:cs="宋体" w:eastAsia="宋体" w:hint="default"/>
                <w:sz w:val="18"/>
                <w:szCs w:val="18"/>
              </w:rPr>
              <w:t>－红土创新红 人</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86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号单一资 产管理计划</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4"/>
                <w:szCs w:val="14"/>
              </w:rPr>
            </w:pPr>
          </w:p>
          <w:p>
            <w:pPr>
              <w:pStyle w:val="TableParagraph"/>
              <w:tabs>
                <w:tab w:pos="1366" w:val="left" w:leader="none"/>
              </w:tabs>
              <w:spacing w:line="240" w:lineRule="auto"/>
              <w:ind w:left="-122" w:right="28"/>
              <w:jc w:val="right"/>
              <w:rPr>
                <w:rFonts w:ascii="Times New Roman" w:hAnsi="Times New Roman" w:cs="Times New Roman" w:eastAsia="Times New Roman" w:hint="default"/>
                <w:sz w:val="18"/>
                <w:szCs w:val="18"/>
              </w:rPr>
            </w:pPr>
            <w:r>
              <w:rPr>
                <w:rFonts w:ascii="宋体" w:hAnsi="宋体" w:cs="宋体" w:eastAsia="宋体" w:hint="default"/>
                <w:position w:val="1"/>
                <w:sz w:val="18"/>
                <w:szCs w:val="18"/>
              </w:rPr>
              <w:t>）</w:t>
              <w:tab/>
            </w:r>
            <w:r>
              <w:rPr>
                <w:rFonts w:ascii="Times New Roman" w:hAnsi="Times New Roman" w:cs="Times New Roman" w:eastAsia="Times New Roman" w:hint="default"/>
                <w:sz w:val="18"/>
                <w:szCs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4,484,304</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4,484,304</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21" w:lineRule="auto"/>
              <w:ind w:left="30" w:right="74"/>
              <w:jc w:val="both"/>
              <w:rPr>
                <w:rFonts w:ascii="宋体" w:hAnsi="宋体" w:cs="宋体" w:eastAsia="宋体" w:hint="default"/>
                <w:sz w:val="18"/>
                <w:szCs w:val="18"/>
              </w:rPr>
            </w:pPr>
            <w:r>
              <w:rPr>
                <w:rFonts w:ascii="宋体" w:hAnsi="宋体" w:cs="宋体" w:eastAsia="宋体" w:hint="default"/>
                <w:sz w:val="18"/>
                <w:szCs w:val="18"/>
              </w:rPr>
              <w:t>根据非公开发 行协议自愿承 诺限售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88"/>
              <w:jc w:val="both"/>
              <w:rPr>
                <w:rFonts w:ascii="宋体" w:hAnsi="宋体" w:cs="宋体" w:eastAsia="宋体" w:hint="default"/>
                <w:sz w:val="18"/>
                <w:szCs w:val="18"/>
              </w:rPr>
            </w:pPr>
            <w:r>
              <w:rPr>
                <w:rFonts w:ascii="宋体" w:hAnsi="宋体" w:cs="宋体" w:eastAsia="宋体" w:hint="default"/>
                <w:sz w:val="18"/>
                <w:szCs w:val="18"/>
              </w:rPr>
              <w:t>中国银行－南 方高增长股票 型开放式证券 投资基金</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2,690,583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2,690,583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74"/>
              <w:jc w:val="both"/>
              <w:rPr>
                <w:rFonts w:ascii="宋体" w:hAnsi="宋体" w:cs="宋体" w:eastAsia="宋体" w:hint="default"/>
                <w:sz w:val="18"/>
                <w:szCs w:val="18"/>
              </w:rPr>
            </w:pPr>
            <w:r>
              <w:rPr>
                <w:rFonts w:ascii="宋体" w:hAnsi="宋体" w:cs="宋体" w:eastAsia="宋体" w:hint="default"/>
                <w:sz w:val="18"/>
                <w:szCs w:val="18"/>
              </w:rPr>
              <w:t>根据非公开发 行协议自愿承 诺限售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both"/>
              <w:rPr>
                <w:rFonts w:ascii="宋体" w:hAnsi="宋体" w:cs="宋体" w:eastAsia="宋体" w:hint="default"/>
                <w:sz w:val="18"/>
                <w:szCs w:val="18"/>
              </w:rPr>
            </w:pPr>
            <w:r>
              <w:rPr>
                <w:rFonts w:ascii="宋体" w:hAnsi="宋体" w:cs="宋体" w:eastAsia="宋体" w:hint="default"/>
                <w:sz w:val="18"/>
                <w:szCs w:val="18"/>
              </w:rPr>
              <w:t>银华基金－中 信证券－银华 乐水二号资产 管理计划</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448,430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448,430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30" w:right="74"/>
              <w:jc w:val="both"/>
              <w:rPr>
                <w:rFonts w:ascii="宋体" w:hAnsi="宋体" w:cs="宋体" w:eastAsia="宋体" w:hint="default"/>
                <w:sz w:val="18"/>
                <w:szCs w:val="18"/>
              </w:rPr>
            </w:pPr>
            <w:r>
              <w:rPr>
                <w:rFonts w:ascii="宋体" w:hAnsi="宋体" w:cs="宋体" w:eastAsia="宋体" w:hint="default"/>
                <w:sz w:val="18"/>
                <w:szCs w:val="18"/>
              </w:rPr>
              <w:t>根据非公开发 行协议自愿承 诺限售</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171,507,883</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51,390,132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92,914,870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129,983,145</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2"/>
        <w:rPr>
          <w:rFonts w:ascii="宋体" w:hAnsi="宋体" w:cs="宋体" w:eastAsia="宋体" w:hint="default"/>
          <w:sz w:val="17"/>
          <w:szCs w:val="17"/>
        </w:rPr>
      </w:pPr>
    </w:p>
    <w:p>
      <w:pPr>
        <w:pStyle w:val="Heading2"/>
        <w:spacing w:line="240" w:lineRule="auto" w:before="26"/>
        <w:ind w:right="1086"/>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1086"/>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412"/>
        <w:gridCol w:w="1292"/>
        <w:gridCol w:w="1307"/>
        <w:gridCol w:w="1291"/>
        <w:gridCol w:w="1292"/>
        <w:gridCol w:w="1307"/>
        <w:gridCol w:w="1682"/>
      </w:tblGrid>
      <w:tr>
        <w:trPr>
          <w:trHeight w:val="70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20" w:right="74"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65" w:right="13" w:hanging="436"/>
              <w:jc w:val="left"/>
              <w:rPr>
                <w:rFonts w:ascii="宋体" w:hAnsi="宋体" w:cs="宋体" w:eastAsia="宋体" w:hint="default"/>
                <w:sz w:val="18"/>
                <w:szCs w:val="18"/>
              </w:rPr>
            </w:pPr>
            <w:r>
              <w:rPr>
                <w:rFonts w:ascii="宋体" w:hAnsi="宋体" w:cs="宋体" w:eastAsia="宋体" w:hint="default"/>
                <w:spacing w:val="-3"/>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65" w:right="104"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非公开发行股票</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1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11.15</w:t>
            </w:r>
          </w:p>
        </w:tc>
        <w:tc>
          <w:tcPr>
            <w:tcW w:w="1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51,390,132</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51,390,132</w:t>
            </w:r>
          </w:p>
        </w:tc>
        <w:tc>
          <w:tcPr>
            <w:tcW w:w="168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390"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458" w:lineRule="auto"/>
        <w:ind w:left="501" w:right="1086" w:hanging="361"/>
        <w:jc w:val="left"/>
      </w:pPr>
      <w:r>
        <w:rPr/>
        <w:t>报告期内证券发行（不含优先股）情况的说明 </w:t>
      </w:r>
      <w:r>
        <w:rPr>
          <w:spacing w:val="-2"/>
        </w:rPr>
        <w:t>公司</w:t>
      </w:r>
      <w:r>
        <w:rPr>
          <w:rFonts w:ascii="宋体" w:hAnsi="宋体" w:cs="宋体" w:eastAsia="宋体" w:hint="default"/>
          <w:spacing w:val="-2"/>
        </w:rPr>
        <w:t>2018</w:t>
      </w:r>
      <w:r>
        <w:rPr>
          <w:spacing w:val="-2"/>
        </w:rPr>
        <w:t>年非公开发行股票方案，经公司第四届董事会第七次会议、第四届监事会第五次会议、</w:t>
      </w:r>
      <w:r>
        <w:rPr>
          <w:rFonts w:ascii="宋体" w:hAnsi="宋体" w:cs="宋体" w:eastAsia="宋体" w:hint="default"/>
          <w:spacing w:val="-2"/>
        </w:rPr>
        <w:t>2018</w:t>
      </w:r>
      <w:r>
        <w:rPr>
          <w:spacing w:val="-2"/>
        </w:rPr>
        <w:t>年第三次临时股东</w:t>
      </w:r>
    </w:p>
    <w:p>
      <w:pPr>
        <w:pStyle w:val="BodyText"/>
        <w:spacing w:line="408" w:lineRule="auto" w:before="6"/>
        <w:ind w:right="1020"/>
        <w:jc w:val="left"/>
      </w:pPr>
      <w:r>
        <w:rPr>
          <w:spacing w:val="-3"/>
        </w:rPr>
        <w:t>大会审议通过；公司</w:t>
      </w:r>
      <w:r>
        <w:rPr>
          <w:rFonts w:ascii="宋体" w:hAnsi="宋体" w:cs="宋体" w:eastAsia="宋体" w:hint="default"/>
          <w:spacing w:val="-3"/>
        </w:rPr>
        <w:t>2018</w:t>
      </w:r>
      <w:r>
        <w:rPr>
          <w:spacing w:val="-3"/>
        </w:rPr>
        <w:t>年非公开发行股票方案（修订稿）经第四届董事会第十次会议、第四届监事会第八次会议审议通过，</w:t>
      </w:r>
      <w:r>
        <w:rPr/>
        <w:t> </w:t>
      </w:r>
      <w:r>
        <w:rPr>
          <w:spacing w:val="-1"/>
        </w:rPr>
        <w:t>并经中国证券监督管理委员会《关于核准思创医惠科技股份有限公司非公开发行股票的批复》（证监许可</w:t>
      </w:r>
      <w:r>
        <w:rPr>
          <w:rFonts w:ascii="宋体" w:hAnsi="宋体" w:cs="宋体" w:eastAsia="宋体" w:hint="default"/>
          <w:spacing w:val="-1"/>
        </w:rPr>
        <w:t>(2019)1442</w:t>
      </w:r>
      <w:r>
        <w:rPr>
          <w:spacing w:val="-1"/>
        </w:rPr>
        <w:t>号）核</w:t>
      </w:r>
      <w:r>
        <w:rPr>
          <w:spacing w:val="-81"/>
        </w:rPr>
        <w:t> </w:t>
      </w:r>
      <w:r>
        <w:rPr>
          <w:spacing w:val="-81"/>
        </w:rPr>
      </w:r>
      <w:r>
        <w:rPr>
          <w:spacing w:val="-2"/>
        </w:rPr>
        <w:t>准，以</w:t>
      </w:r>
      <w:r>
        <w:rPr>
          <w:rFonts w:ascii="宋体" w:hAnsi="宋体" w:cs="宋体" w:eastAsia="宋体" w:hint="default"/>
          <w:spacing w:val="-2"/>
        </w:rPr>
        <w:t>11.15</w:t>
      </w:r>
      <w:r>
        <w:rPr>
          <w:spacing w:val="-2"/>
        </w:rPr>
        <w:t>元</w:t>
      </w:r>
      <w:r>
        <w:rPr>
          <w:rFonts w:ascii="宋体" w:hAnsi="宋体" w:cs="宋体" w:eastAsia="宋体" w:hint="default"/>
          <w:spacing w:val="-2"/>
        </w:rPr>
        <w:t>/</w:t>
      </w:r>
      <w:r>
        <w:rPr>
          <w:spacing w:val="-2"/>
        </w:rPr>
        <w:t>股的发行价格向浙江深改产业发展合伙企业（有限合伙）、南方基金管理股份有限公司、银华基金管理股份</w:t>
      </w:r>
      <w:r>
        <w:rPr>
          <w:spacing w:val="-51"/>
        </w:rPr>
        <w:t> </w:t>
      </w:r>
      <w:r>
        <w:rPr>
          <w:spacing w:val="-51"/>
        </w:rPr>
      </w:r>
      <w:r>
        <w:rPr>
          <w:spacing w:val="-5"/>
        </w:rPr>
        <w:t>有限公司和红土创新基金管理有限公司</w:t>
      </w:r>
      <w:r>
        <w:rPr>
          <w:rFonts w:ascii="宋体" w:hAnsi="宋体" w:cs="宋体" w:eastAsia="宋体" w:hint="default"/>
          <w:spacing w:val="-5"/>
        </w:rPr>
        <w:t>4</w:t>
      </w:r>
      <w:r>
        <w:rPr>
          <w:spacing w:val="-5"/>
        </w:rPr>
        <w:t>名特定对象非公开发行人民币普通股（</w:t>
      </w:r>
      <w:r>
        <w:rPr>
          <w:rFonts w:ascii="宋体" w:hAnsi="宋体" w:cs="宋体" w:eastAsia="宋体" w:hint="default"/>
          <w:spacing w:val="-5"/>
        </w:rPr>
        <w:t>A</w:t>
      </w:r>
      <w:r>
        <w:rPr>
          <w:spacing w:val="-5"/>
        </w:rPr>
        <w:t>股）共计</w:t>
      </w:r>
      <w:r>
        <w:rPr>
          <w:rFonts w:ascii="宋体" w:hAnsi="宋体" w:cs="宋体" w:eastAsia="宋体" w:hint="default"/>
          <w:spacing w:val="-5"/>
        </w:rPr>
        <w:t>51,390,132</w:t>
      </w:r>
      <w:r>
        <w:rPr>
          <w:spacing w:val="-5"/>
        </w:rPr>
        <w:t>股。该部分股份已于</w:t>
      </w:r>
      <w:r>
        <w:rPr>
          <w:rFonts w:ascii="宋体" w:hAnsi="宋体" w:cs="宋体" w:eastAsia="宋体" w:hint="default"/>
          <w:spacing w:val="-5"/>
        </w:rPr>
        <w:t>2019</w:t>
      </w:r>
      <w:r>
        <w:rPr>
          <w:rFonts w:ascii="宋体" w:hAnsi="宋体" w:cs="宋体" w:eastAsia="宋体" w:hint="default"/>
          <w:spacing w:val="-36"/>
        </w:rPr>
        <w:t> </w:t>
      </w:r>
      <w:r>
        <w:rPr/>
        <w:t>年</w:t>
      </w:r>
      <w:r>
        <w:rPr>
          <w:rFonts w:ascii="宋体" w:hAnsi="宋体" w:cs="宋体" w:eastAsia="宋体" w:hint="default"/>
        </w:rPr>
        <w:t>11</w:t>
      </w:r>
      <w:r>
        <w:rPr/>
        <w:t>月</w:t>
      </w:r>
      <w:r>
        <w:rPr>
          <w:rFonts w:ascii="宋体" w:hAnsi="宋体" w:cs="宋体" w:eastAsia="宋体" w:hint="default"/>
        </w:rPr>
        <w:t>22</w:t>
      </w:r>
      <w:r>
        <w:rPr/>
        <w:t>日在中国证券登记结算有限责任公司深圳分公司办理完毕登记托管手续，并于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9</w:t>
      </w:r>
      <w:r>
        <w:rPr/>
        <w:t>日在深圳证券交易所上</w:t>
      </w:r>
      <w:r>
        <w:rPr>
          <w:spacing w:val="-83"/>
        </w:rPr>
        <w:t> </w:t>
      </w:r>
      <w:r>
        <w:rPr/>
        <w:t>市。</w:t>
      </w:r>
    </w:p>
    <w:p>
      <w:pPr>
        <w:spacing w:after="0" w:line="408"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left="501" w:right="174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rFonts w:ascii="宋体" w:hAnsi="宋体" w:cs="宋体" w:eastAsia="宋体" w:hint="default"/>
        </w:rPr>
        <w:t>2019</w:t>
      </w:r>
      <w:r>
        <w:rPr/>
        <w:t>年</w:t>
      </w:r>
      <w:r>
        <w:rPr>
          <w:rFonts w:ascii="宋体" w:hAnsi="宋体" w:cs="宋体" w:eastAsia="宋体" w:hint="default"/>
        </w:rPr>
        <w:t>11</w:t>
      </w:r>
      <w:r>
        <w:rPr/>
        <w:t>月</w:t>
      </w:r>
      <w:r>
        <w:rPr>
          <w:rFonts w:ascii="宋体" w:hAnsi="宋体" w:cs="宋体" w:eastAsia="宋体" w:hint="default"/>
        </w:rPr>
        <w:t>22</w:t>
      </w:r>
      <w:r>
        <w:rPr/>
        <w:t>日，公司在中国证券登记结算有限责任公司深圳分公司办理完毕</w:t>
      </w:r>
      <w:r>
        <w:rPr>
          <w:rFonts w:ascii="宋体" w:hAnsi="宋体" w:cs="宋体" w:eastAsia="宋体" w:hint="default"/>
        </w:rPr>
        <w:t>2018</w:t>
      </w:r>
      <w:r>
        <w:rPr/>
        <w:t>年非公开发行股票新增股份</w:t>
      </w:r>
    </w:p>
    <w:p>
      <w:pPr>
        <w:pStyle w:val="BodyText"/>
        <w:spacing w:line="321" w:lineRule="auto" w:before="20"/>
        <w:ind w:right="1119"/>
        <w:jc w:val="left"/>
      </w:pPr>
      <w:r>
        <w:rPr>
          <w:rFonts w:ascii="宋体" w:hAnsi="宋体" w:cs="宋体" w:eastAsia="宋体" w:hint="default"/>
        </w:rPr>
        <w:t>51,390,132</w:t>
      </w:r>
      <w:r>
        <w:rPr/>
        <w:t>股的登记托管手续，公司总股本增加至</w:t>
      </w:r>
      <w:r>
        <w:rPr>
          <w:rFonts w:ascii="宋体" w:hAnsi="宋体" w:cs="宋体" w:eastAsia="宋体" w:hint="default"/>
        </w:rPr>
        <w:t>859,275,466</w:t>
      </w:r>
      <w:r>
        <w:rPr/>
        <w:t>股。本次非公开发行增加</w:t>
      </w:r>
      <w:r>
        <w:rPr>
          <w:rFonts w:ascii="宋体" w:hAnsi="宋体" w:cs="宋体" w:eastAsia="宋体" w:hint="default"/>
        </w:rPr>
        <w:t>51,390,132</w:t>
      </w:r>
      <w:r>
        <w:rPr/>
        <w:t>股有限售条件股份，具</w:t>
      </w:r>
      <w:r>
        <w:rPr>
          <w:spacing w:val="-83"/>
        </w:rPr>
        <w:t> </w:t>
      </w:r>
      <w:r>
        <w:rPr/>
        <w:t>体股份变动情况如下：</w:t>
      </w:r>
    </w:p>
    <w:tbl>
      <w:tblPr>
        <w:tblW w:w="0" w:type="auto"/>
        <w:jc w:val="left"/>
        <w:tblInd w:w="126" w:type="dxa"/>
        <w:tblLayout w:type="fixed"/>
        <w:tblCellMar>
          <w:top w:w="0" w:type="dxa"/>
          <w:left w:w="0" w:type="dxa"/>
          <w:bottom w:w="0" w:type="dxa"/>
          <w:right w:w="0" w:type="dxa"/>
        </w:tblCellMar>
        <w:tblLook w:val="01E0"/>
      </w:tblPr>
      <w:tblGrid>
        <w:gridCol w:w="1802"/>
        <w:gridCol w:w="1712"/>
        <w:gridCol w:w="1141"/>
        <w:gridCol w:w="1277"/>
        <w:gridCol w:w="1562"/>
        <w:gridCol w:w="1727"/>
      </w:tblGrid>
      <w:tr>
        <w:trPr>
          <w:trHeight w:val="345" w:hRule="exact"/>
        </w:trPr>
        <w:tc>
          <w:tcPr>
            <w:tcW w:w="1802" w:type="dxa"/>
            <w:vMerge w:val="restart"/>
            <w:tcBorders>
              <w:top w:val="single" w:sz="6" w:space="0" w:color="000000"/>
              <w:left w:val="single" w:sz="6" w:space="0" w:color="000000"/>
              <w:right w:val="single" w:sz="6" w:space="0" w:color="000000"/>
            </w:tcBorders>
          </w:tcPr>
          <w:p>
            <w:pPr>
              <w:pStyle w:val="TableParagraph"/>
              <w:spacing w:line="235" w:lineRule="exact"/>
              <w:ind w:left="525" w:right="0"/>
              <w:jc w:val="left"/>
              <w:rPr>
                <w:rFonts w:ascii="宋体" w:hAnsi="宋体" w:cs="宋体" w:eastAsia="宋体" w:hint="default"/>
                <w:sz w:val="18"/>
                <w:szCs w:val="18"/>
              </w:rPr>
            </w:pPr>
            <w:r>
              <w:rPr>
                <w:rFonts w:ascii="宋体" w:hAnsi="宋体" w:cs="宋体" w:eastAsia="宋体" w:hint="default"/>
                <w:b/>
                <w:bCs/>
                <w:sz w:val="18"/>
                <w:szCs w:val="18"/>
              </w:rPr>
              <w:t>股份类型</w:t>
            </w:r>
            <w:r>
              <w:rPr>
                <w:rFonts w:ascii="宋体" w:hAnsi="宋体" w:cs="宋体" w:eastAsia="宋体" w:hint="default"/>
                <w:sz w:val="18"/>
                <w:szCs w:val="18"/>
              </w:rPr>
            </w:r>
          </w:p>
        </w:tc>
        <w:tc>
          <w:tcPr>
            <w:tcW w:w="2853"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b/>
                <w:bCs/>
                <w:sz w:val="18"/>
                <w:szCs w:val="18"/>
              </w:rPr>
              <w:t>本次发行前</w:t>
            </w:r>
            <w:r>
              <w:rPr>
                <w:rFonts w:ascii="宋体" w:hAnsi="宋体" w:cs="宋体" w:eastAsia="宋体" w:hint="default"/>
                <w:sz w:val="18"/>
                <w:szCs w:val="18"/>
              </w:rPr>
            </w:r>
          </w:p>
        </w:tc>
        <w:tc>
          <w:tcPr>
            <w:tcW w:w="1277" w:type="dxa"/>
            <w:vMerge w:val="restart"/>
            <w:tcBorders>
              <w:top w:val="single" w:sz="6" w:space="0" w:color="000000"/>
              <w:left w:val="single" w:sz="6" w:space="0" w:color="000000"/>
              <w:right w:val="single" w:sz="6" w:space="0" w:color="000000"/>
            </w:tcBorders>
          </w:tcPr>
          <w:p>
            <w:pPr>
              <w:pStyle w:val="TableParagraph"/>
              <w:spacing w:line="321" w:lineRule="auto"/>
              <w:ind w:left="180" w:right="89" w:hanging="90"/>
              <w:jc w:val="left"/>
              <w:rPr>
                <w:rFonts w:ascii="宋体" w:hAnsi="宋体" w:cs="宋体" w:eastAsia="宋体" w:hint="default"/>
                <w:sz w:val="18"/>
                <w:szCs w:val="18"/>
              </w:rPr>
            </w:pPr>
            <w:r>
              <w:rPr>
                <w:rFonts w:ascii="宋体" w:hAnsi="宋体" w:cs="宋体" w:eastAsia="宋体" w:hint="default"/>
                <w:b/>
                <w:bCs/>
                <w:sz w:val="18"/>
                <w:szCs w:val="18"/>
              </w:rPr>
              <w:t>本次变动股份</w:t>
            </w:r>
            <w:r>
              <w:rPr>
                <w:rFonts w:ascii="宋体" w:hAnsi="宋体" w:cs="宋体" w:eastAsia="宋体" w:hint="default"/>
                <w:b/>
                <w:bCs/>
                <w:w w:val="99"/>
                <w:sz w:val="18"/>
                <w:szCs w:val="18"/>
              </w:rPr>
              <w:t> </w:t>
            </w:r>
            <w:r>
              <w:rPr>
                <w:rFonts w:ascii="宋体" w:hAnsi="宋体" w:cs="宋体" w:eastAsia="宋体" w:hint="default"/>
                <w:b/>
                <w:bCs/>
                <w:sz w:val="18"/>
                <w:szCs w:val="18"/>
              </w:rPr>
              <w:t>数量（股）</w:t>
            </w:r>
            <w:r>
              <w:rPr>
                <w:rFonts w:ascii="宋体" w:hAnsi="宋体" w:cs="宋体" w:eastAsia="宋体" w:hint="default"/>
                <w:sz w:val="18"/>
                <w:szCs w:val="18"/>
              </w:rPr>
            </w:r>
          </w:p>
        </w:tc>
        <w:tc>
          <w:tcPr>
            <w:tcW w:w="3289"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b/>
                <w:bCs/>
                <w:sz w:val="18"/>
                <w:szCs w:val="18"/>
              </w:rPr>
              <w:t>本次发行后</w:t>
            </w:r>
            <w:r>
              <w:rPr>
                <w:rFonts w:ascii="宋体" w:hAnsi="宋体" w:cs="宋体" w:eastAsia="宋体" w:hint="default"/>
                <w:sz w:val="18"/>
                <w:szCs w:val="18"/>
              </w:rPr>
            </w:r>
          </w:p>
        </w:tc>
      </w:tr>
      <w:tr>
        <w:trPr>
          <w:trHeight w:val="330" w:hRule="exact"/>
        </w:trPr>
        <w:tc>
          <w:tcPr>
            <w:tcW w:w="1802" w:type="dxa"/>
            <w:vMerge/>
            <w:tcBorders>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数量（股）</w:t>
            </w:r>
            <w:r>
              <w:rPr>
                <w:rFonts w:ascii="宋体" w:hAnsi="宋体" w:cs="宋体" w:eastAsia="宋体" w:hint="default"/>
                <w:sz w:val="18"/>
                <w:szCs w:val="18"/>
              </w:rPr>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4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c>
          <w:tcPr>
            <w:tcW w:w="1277" w:type="dxa"/>
            <w:vMerge/>
            <w:tcBorders>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5" w:right="0"/>
              <w:jc w:val="left"/>
              <w:rPr>
                <w:rFonts w:ascii="宋体" w:hAnsi="宋体" w:cs="宋体" w:eastAsia="宋体" w:hint="default"/>
                <w:sz w:val="18"/>
                <w:szCs w:val="18"/>
              </w:rPr>
            </w:pPr>
            <w:r>
              <w:rPr>
                <w:rFonts w:ascii="宋体" w:hAnsi="宋体" w:cs="宋体" w:eastAsia="宋体" w:hint="default"/>
                <w:b/>
                <w:bCs/>
                <w:sz w:val="18"/>
                <w:szCs w:val="18"/>
              </w:rPr>
              <w:t>数量（股）</w:t>
            </w:r>
            <w:r>
              <w:rPr>
                <w:rFonts w:ascii="宋体" w:hAnsi="宋体" w:cs="宋体" w:eastAsia="宋体" w:hint="default"/>
                <w:sz w:val="18"/>
                <w:szCs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540" w:right="0"/>
              <w:jc w:val="left"/>
              <w:rPr>
                <w:rFonts w:ascii="宋体" w:hAnsi="宋体" w:cs="宋体" w:eastAsia="宋体" w:hint="default"/>
                <w:sz w:val="18"/>
                <w:szCs w:val="18"/>
              </w:rPr>
            </w:pPr>
            <w:r>
              <w:rPr>
                <w:rFonts w:ascii="宋体" w:hAnsi="宋体" w:cs="宋体" w:eastAsia="宋体" w:hint="default"/>
                <w:b/>
                <w:bCs/>
                <w:sz w:val="18"/>
                <w:szCs w:val="18"/>
              </w:rPr>
              <w:t>比例</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有限售条件股份</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78,593,013</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4"/>
              <w:jc w:val="right"/>
              <w:rPr>
                <w:rFonts w:ascii="宋体" w:hAnsi="宋体" w:cs="宋体" w:eastAsia="宋体" w:hint="default"/>
                <w:sz w:val="18"/>
                <w:szCs w:val="18"/>
              </w:rPr>
            </w:pPr>
            <w:r>
              <w:rPr>
                <w:rFonts w:ascii="宋体"/>
                <w:sz w:val="18"/>
              </w:rPr>
              <w:t>9.73</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51,390,132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
              <w:jc w:val="right"/>
              <w:rPr>
                <w:rFonts w:ascii="宋体" w:hAnsi="宋体" w:cs="宋体" w:eastAsia="宋体" w:hint="default"/>
                <w:sz w:val="18"/>
                <w:szCs w:val="18"/>
              </w:rPr>
            </w:pPr>
            <w:r>
              <w:rPr>
                <w:rFonts w:ascii="宋体"/>
                <w:sz w:val="18"/>
              </w:rPr>
              <w:t>129,983,145</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right"/>
              <w:rPr>
                <w:rFonts w:ascii="宋体" w:hAnsi="宋体" w:cs="宋体" w:eastAsia="宋体" w:hint="default"/>
                <w:sz w:val="18"/>
                <w:szCs w:val="18"/>
              </w:rPr>
            </w:pPr>
            <w:r>
              <w:rPr>
                <w:rFonts w:ascii="宋体"/>
                <w:sz w:val="18"/>
              </w:rPr>
              <w:t>15.13</w:t>
            </w:r>
          </w:p>
        </w:tc>
      </w:tr>
      <w:tr>
        <w:trPr>
          <w:trHeight w:val="345"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无限售条件股份</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729,292,321</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3"/>
              <w:jc w:val="right"/>
              <w:rPr>
                <w:rFonts w:ascii="宋体" w:hAnsi="宋体" w:cs="宋体" w:eastAsia="宋体" w:hint="default"/>
                <w:sz w:val="18"/>
                <w:szCs w:val="18"/>
              </w:rPr>
            </w:pPr>
            <w:r>
              <w:rPr>
                <w:rFonts w:ascii="宋体"/>
                <w:sz w:val="18"/>
              </w:rPr>
              <w:t>90.27</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right"/>
              <w:rPr>
                <w:rFonts w:ascii="宋体" w:hAnsi="宋体" w:cs="宋体" w:eastAsia="宋体" w:hint="default"/>
                <w:sz w:val="18"/>
                <w:szCs w:val="18"/>
              </w:rPr>
            </w:pPr>
            <w:r>
              <w:rPr>
                <w:rFonts w:ascii="宋体"/>
                <w:sz w:val="18"/>
              </w:rPr>
              <w:t>729,292,321</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right"/>
              <w:rPr>
                <w:rFonts w:ascii="宋体" w:hAnsi="宋体" w:cs="宋体" w:eastAsia="宋体" w:hint="default"/>
                <w:sz w:val="18"/>
                <w:szCs w:val="18"/>
              </w:rPr>
            </w:pPr>
            <w:r>
              <w:rPr>
                <w:rFonts w:ascii="宋体"/>
                <w:sz w:val="18"/>
              </w:rPr>
              <w:t>84.87</w:t>
            </w:r>
          </w:p>
        </w:tc>
      </w:tr>
      <w:tr>
        <w:trPr>
          <w:trHeight w:val="33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807,885,334</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3"/>
              <w:jc w:val="right"/>
              <w:rPr>
                <w:rFonts w:ascii="宋体" w:hAnsi="宋体" w:cs="宋体" w:eastAsia="宋体" w:hint="default"/>
                <w:sz w:val="18"/>
                <w:szCs w:val="18"/>
              </w:rPr>
            </w:pPr>
            <w:r>
              <w:rPr>
                <w:rFonts w:ascii="宋体"/>
                <w:sz w:val="18"/>
              </w:rPr>
              <w:t>100.00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51,390,132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
              <w:jc w:val="right"/>
              <w:rPr>
                <w:rFonts w:ascii="宋体" w:hAnsi="宋体" w:cs="宋体" w:eastAsia="宋体" w:hint="default"/>
                <w:sz w:val="18"/>
                <w:szCs w:val="18"/>
              </w:rPr>
            </w:pPr>
            <w:r>
              <w:rPr>
                <w:rFonts w:ascii="宋体"/>
                <w:sz w:val="18"/>
              </w:rPr>
              <w:t>859,275,466</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right"/>
              <w:rPr>
                <w:rFonts w:ascii="宋体" w:hAnsi="宋体" w:cs="宋体" w:eastAsia="宋体" w:hint="default"/>
                <w:sz w:val="18"/>
                <w:szCs w:val="18"/>
              </w:rPr>
            </w:pPr>
            <w:r>
              <w:rPr>
                <w:rFonts w:ascii="宋体"/>
                <w:sz w:val="18"/>
              </w:rPr>
              <w:t>100.00</w:t>
            </w:r>
          </w:p>
        </w:tc>
      </w:tr>
    </w:tbl>
    <w:p>
      <w:pPr>
        <w:spacing w:line="240" w:lineRule="auto" w:before="4"/>
        <w:rPr>
          <w:rFonts w:ascii="宋体" w:hAnsi="宋体" w:cs="宋体" w:eastAsia="宋体" w:hint="default"/>
          <w:sz w:val="21"/>
          <w:szCs w:val="21"/>
        </w:rPr>
      </w:pPr>
    </w:p>
    <w:p>
      <w:pPr>
        <w:pStyle w:val="Heading5"/>
        <w:spacing w:line="240" w:lineRule="auto" w:before="35"/>
        <w:ind w:right="1086"/>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086"/>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86"/>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10"/>
        <w:jc w:val="right"/>
      </w:pPr>
      <w:r>
        <w:rPr/>
        <w:pict>
          <v:group style="position:absolute;margin-left:329.649994pt;margin-top:71.266716pt;width:53.35pt;height:30.8pt;mso-position-horizontal-relative:page;mso-position-vertical-relative:paragraph;z-index:-1276600" coordorigin="6593,1425" coordsize="1067,616">
            <v:shape style="position:absolute;left:6593;top:1425;width:1067;height:616" coordorigin="6593,1425" coordsize="1067,616" path="m6593,2041l7659,2041,7659,1425,6593,1425,6593,2041xe" filled="true" fillcolor="#ffffff" stroked="false">
              <v:path arrowok="t"/>
              <v:fill type="solid"/>
            </v:shape>
            <w10:wrap type="none"/>
          </v:group>
        </w:pict>
      </w:r>
      <w:r>
        <w:rPr/>
        <w:t>单位：股</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1205"/>
        <w:gridCol w:w="924"/>
        <w:gridCol w:w="1074"/>
        <w:gridCol w:w="1055"/>
        <w:gridCol w:w="1066"/>
        <w:gridCol w:w="923"/>
        <w:gridCol w:w="1063"/>
        <w:gridCol w:w="1070"/>
      </w:tblGrid>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21" w:lineRule="auto"/>
              <w:ind w:left="15" w:right="8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5"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32,731</w:t>
            </w:r>
          </w:p>
        </w:tc>
        <w:tc>
          <w:tcPr>
            <w:tcW w:w="924"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5"/>
              <w:ind w:left="11" w:right="175"/>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74" w:type="dxa"/>
            <w:vMerge w:val="restart"/>
            <w:tcBorders>
              <w:top w:val="single" w:sz="6" w:space="0" w:color="000000"/>
              <w:left w:val="single" w:sz="12" w:space="0" w:color="000000"/>
              <w:right w:val="single" w:sz="1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left="521" w:right="0"/>
              <w:jc w:val="left"/>
              <w:rPr>
                <w:rFonts w:ascii="Times New Roman" w:hAnsi="Times New Roman" w:cs="Times New Roman" w:eastAsia="Times New Roman" w:hint="default"/>
                <w:sz w:val="18"/>
                <w:szCs w:val="18"/>
              </w:rPr>
            </w:pPr>
            <w:r>
              <w:rPr>
                <w:rFonts w:ascii="Times New Roman"/>
                <w:sz w:val="18"/>
              </w:rPr>
              <w:t>37,260</w:t>
            </w:r>
          </w:p>
        </w:tc>
        <w:tc>
          <w:tcPr>
            <w:tcW w:w="1055"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45"/>
              <w:ind w:left="11" w:right="-52"/>
              <w:jc w:val="left"/>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37"/>
              <w:ind w:left="11" w:right="-8"/>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6" w:type="dxa"/>
            <w:vMerge w:val="restart"/>
            <w:tcBorders>
              <w:top w:val="single" w:sz="6" w:space="0" w:color="000000"/>
              <w:left w:val="single" w:sz="18" w:space="0" w:color="D2D2D2"/>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0</w:t>
            </w:r>
          </w:p>
        </w:tc>
        <w:tc>
          <w:tcPr>
            <w:tcW w:w="1986"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070" w:type="dxa"/>
            <w:vMerge w:val="restart"/>
            <w:tcBorders>
              <w:top w:val="single" w:sz="6" w:space="0" w:color="000000"/>
              <w:left w:val="single" w:sz="12" w:space="0" w:color="D2D2D2"/>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r>
        <w:trPr>
          <w:trHeight w:val="1336" w:hRule="exact"/>
        </w:trPr>
        <w:tc>
          <w:tcPr>
            <w:tcW w:w="1202" w:type="dxa"/>
            <w:vMerge/>
            <w:tcBorders>
              <w:left w:val="single" w:sz="6" w:space="0" w:color="000000"/>
              <w:right w:val="single" w:sz="6" w:space="0" w:color="000000"/>
            </w:tcBorders>
            <w:shd w:val="clear" w:color="auto" w:fill="D2D2D2"/>
          </w:tcPr>
          <w:p>
            <w:pPr/>
          </w:p>
        </w:tc>
        <w:tc>
          <w:tcPr>
            <w:tcW w:w="1205" w:type="dxa"/>
            <w:vMerge/>
            <w:tcBorders>
              <w:left w:val="single" w:sz="6" w:space="0" w:color="000000"/>
              <w:right w:val="single" w:sz="12" w:space="0" w:color="000000"/>
            </w:tcBorders>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12" w:space="0" w:color="000000"/>
              <w:right w:val="single" w:sz="12" w:space="0" w:color="000000"/>
            </w:tcBorders>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18" w:space="0" w:color="D2D2D2"/>
              <w:right w:val="single" w:sz="18" w:space="0" w:color="D2D2D2"/>
            </w:tcBorders>
          </w:tcPr>
          <w:p>
            <w:pPr/>
          </w:p>
        </w:tc>
        <w:tc>
          <w:tcPr>
            <w:tcW w:w="1986" w:type="dxa"/>
            <w:gridSpan w:val="2"/>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4"/>
              <w:ind w:left="22" w:right="56"/>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0" w:type="dxa"/>
            <w:vMerge/>
            <w:tcBorders>
              <w:left w:val="single" w:sz="12" w:space="0" w:color="D2D2D2"/>
              <w:right w:val="single" w:sz="6" w:space="0" w:color="000000"/>
            </w:tcBorders>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5" w:type="dxa"/>
            <w:vMerge/>
            <w:tcBorders>
              <w:left w:val="single" w:sz="6" w:space="0" w:color="000000"/>
              <w:bottom w:val="single" w:sz="6" w:space="0" w:color="000000"/>
              <w:right w:val="single" w:sz="12" w:space="0" w:color="000000"/>
            </w:tcBorders>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074" w:type="dxa"/>
            <w:vMerge/>
            <w:tcBorders>
              <w:left w:val="single" w:sz="12" w:space="0" w:color="000000"/>
              <w:bottom w:val="single" w:sz="6" w:space="0" w:color="000000"/>
              <w:right w:val="single" w:sz="12" w:space="0" w:color="000000"/>
            </w:tcBorders>
          </w:tcPr>
          <w:p>
            <w:pPr/>
          </w:p>
        </w:tc>
        <w:tc>
          <w:tcPr>
            <w:tcW w:w="1055"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18" w:space="0" w:color="D2D2D2"/>
              <w:bottom w:val="single" w:sz="6" w:space="0" w:color="000000"/>
              <w:right w:val="single" w:sz="18" w:space="0" w:color="D2D2D2"/>
            </w:tcBorders>
          </w:tcPr>
          <w:p>
            <w:pPr/>
          </w:p>
        </w:tc>
        <w:tc>
          <w:tcPr>
            <w:tcW w:w="1986"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070" w:type="dxa"/>
            <w:vMerge/>
            <w:tcBorders>
              <w:left w:val="single" w:sz="12" w:space="0" w:color="D2D2D2"/>
              <w:bottom w:val="single" w:sz="6" w:space="0" w:color="000000"/>
              <w:right w:val="single" w:sz="6" w:space="0" w:color="000000"/>
            </w:tcBorders>
          </w:tcPr>
          <w:p>
            <w:pPr/>
          </w:p>
        </w:tc>
      </w:tr>
      <w:tr>
        <w:trPr>
          <w:trHeight w:val="398"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4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165" w:hRule="exact"/>
        </w:trPr>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205" w:type="dxa"/>
            <w:vMerge w:val="restart"/>
            <w:tcBorders>
              <w:top w:val="single" w:sz="6" w:space="0" w:color="000000"/>
              <w:left w:val="single" w:sz="6" w:space="0" w:color="000000"/>
              <w:right w:val="single" w:sz="6" w:space="0" w:color="000000"/>
            </w:tcBorders>
            <w:shd w:val="clear" w:color="auto" w:fill="D2D2D2"/>
          </w:tcPr>
          <w:p>
            <w:pPr/>
          </w:p>
        </w:tc>
        <w:tc>
          <w:tcPr>
            <w:tcW w:w="924" w:type="dxa"/>
            <w:vMerge w:val="restart"/>
            <w:tcBorders>
              <w:top w:val="single" w:sz="6" w:space="0" w:color="000000"/>
              <w:left w:val="single" w:sz="6" w:space="0" w:color="000000"/>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5"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67" w:right="8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3"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97" w:right="88"/>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436"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66" w:hRule="exact"/>
        </w:trPr>
        <w:tc>
          <w:tcPr>
            <w:tcW w:w="1202" w:type="dxa"/>
            <w:vMerge/>
            <w:tcBorders>
              <w:left w:val="single" w:sz="6" w:space="0" w:color="000000"/>
              <w:bottom w:val="nil" w:sz="6" w:space="0" w:color="auto"/>
              <w:right w:val="single" w:sz="6" w:space="0" w:color="000000"/>
            </w:tcBorders>
            <w:shd w:val="clear" w:color="auto" w:fill="D2D2D2"/>
          </w:tcPr>
          <w:p>
            <w:pPr/>
          </w:p>
        </w:tc>
        <w:tc>
          <w:tcPr>
            <w:tcW w:w="1205" w:type="dxa"/>
            <w:vMerge/>
            <w:tcBorders>
              <w:left w:val="single" w:sz="6" w:space="0" w:color="000000"/>
              <w:bottom w:val="nil" w:sz="6" w:space="0" w:color="auto"/>
              <w:right w:val="single" w:sz="6" w:space="0" w:color="000000"/>
            </w:tcBorders>
            <w:shd w:val="clear" w:color="auto" w:fill="D2D2D2"/>
          </w:tcPr>
          <w:p>
            <w:pPr/>
          </w:p>
        </w:tc>
        <w:tc>
          <w:tcPr>
            <w:tcW w:w="924" w:type="dxa"/>
            <w:vMerge/>
            <w:tcBorders>
              <w:left w:val="single" w:sz="6" w:space="0" w:color="000000"/>
              <w:bottom w:val="nil" w:sz="6" w:space="0" w:color="auto"/>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44" w:right="93" w:hanging="181"/>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5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56" w:right="8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2133" w:type="dxa"/>
            <w:gridSpan w:val="2"/>
            <w:vMerge/>
            <w:tcBorders>
              <w:left w:val="single" w:sz="6" w:space="0" w:color="000000"/>
              <w:right w:val="single" w:sz="6" w:space="0" w:color="000000"/>
            </w:tcBorders>
            <w:shd w:val="clear" w:color="auto" w:fill="D2D2D2"/>
          </w:tcPr>
          <w:p>
            <w:pPr/>
          </w:p>
        </w:tc>
      </w:tr>
      <w:tr>
        <w:trPr>
          <w:trHeight w:val="135" w:hRule="exact"/>
        </w:trPr>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4" w:type="dxa"/>
            <w:vMerge/>
            <w:tcBorders>
              <w:left w:val="single" w:sz="6" w:space="0" w:color="000000"/>
              <w:right w:val="single" w:sz="6" w:space="0" w:color="000000"/>
            </w:tcBorders>
            <w:shd w:val="clear" w:color="auto" w:fill="D2D2D2"/>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2133" w:type="dxa"/>
            <w:gridSpan w:val="2"/>
            <w:vMerge/>
            <w:tcBorders>
              <w:left w:val="single" w:sz="6" w:space="0" w:color="000000"/>
              <w:bottom w:val="single" w:sz="6" w:space="0" w:color="000000"/>
              <w:right w:val="single" w:sz="6" w:space="0" w:color="000000"/>
            </w:tcBorders>
            <w:shd w:val="clear" w:color="auto" w:fill="D2D2D2"/>
          </w:tcPr>
          <w:p>
            <w:pPr/>
          </w:p>
        </w:tc>
      </w:tr>
      <w:tr>
        <w:trPr>
          <w:trHeight w:val="255" w:hRule="exact"/>
        </w:trPr>
        <w:tc>
          <w:tcPr>
            <w:tcW w:w="1202" w:type="dxa"/>
            <w:vMerge/>
            <w:tcBorders>
              <w:left w:val="single" w:sz="6" w:space="0" w:color="000000"/>
              <w:right w:val="single" w:sz="6" w:space="0" w:color="000000"/>
            </w:tcBorders>
            <w:shd w:val="clear" w:color="auto" w:fill="D2D2D2"/>
          </w:tcPr>
          <w:p>
            <w:pPr/>
          </w:p>
        </w:tc>
        <w:tc>
          <w:tcPr>
            <w:tcW w:w="1205" w:type="dxa"/>
            <w:vMerge/>
            <w:tcBorders>
              <w:left w:val="single" w:sz="6" w:space="0" w:color="000000"/>
              <w:bottom w:val="nil" w:sz="6" w:space="0" w:color="auto"/>
              <w:right w:val="single" w:sz="6" w:space="0" w:color="000000"/>
            </w:tcBorders>
            <w:shd w:val="clear" w:color="auto" w:fill="D2D2D2"/>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right w:val="single" w:sz="6" w:space="0" w:color="000000"/>
            </w:tcBorders>
            <w:shd w:val="clear" w:color="auto" w:fill="D2D2D2"/>
          </w:tcPr>
          <w:p>
            <w:pPr/>
          </w:p>
        </w:tc>
        <w:tc>
          <w:tcPr>
            <w:tcW w:w="1055"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106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16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7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349"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0" w:hRule="exact"/>
        </w:trPr>
        <w:tc>
          <w:tcPr>
            <w:tcW w:w="1202" w:type="dxa"/>
            <w:vMerge/>
            <w:tcBorders>
              <w:left w:val="single" w:sz="6" w:space="0" w:color="000000"/>
              <w:right w:val="single" w:sz="6" w:space="0" w:color="000000"/>
            </w:tcBorders>
            <w:shd w:val="clear" w:color="auto" w:fill="D2D2D2"/>
          </w:tcPr>
          <w:p>
            <w:pPr/>
          </w:p>
        </w:tc>
        <w:tc>
          <w:tcPr>
            <w:tcW w:w="1205" w:type="dxa"/>
            <w:vMerge w:val="restart"/>
            <w:tcBorders>
              <w:top w:val="nil" w:sz="6" w:space="0" w:color="auto"/>
              <w:left w:val="single" w:sz="6" w:space="0" w:color="000000"/>
              <w:right w:val="single" w:sz="6" w:space="0" w:color="000000"/>
            </w:tcBorders>
            <w:shd w:val="clear" w:color="auto" w:fill="D2D2D2"/>
          </w:tcPr>
          <w:p>
            <w:pPr/>
          </w:p>
        </w:tc>
        <w:tc>
          <w:tcPr>
            <w:tcW w:w="924"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1055"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923" w:type="dxa"/>
            <w:vMerge/>
            <w:tcBorders>
              <w:left w:val="single" w:sz="6" w:space="0" w:color="000000"/>
              <w:right w:val="single" w:sz="6" w:space="0" w:color="000000"/>
            </w:tcBorders>
            <w:shd w:val="clear" w:color="auto" w:fill="D2D2D2"/>
          </w:tcPr>
          <w:p>
            <w:pPr/>
          </w:p>
        </w:tc>
        <w:tc>
          <w:tcPr>
            <w:tcW w:w="1063" w:type="dxa"/>
            <w:vMerge/>
            <w:tcBorders>
              <w:left w:val="single" w:sz="6" w:space="0" w:color="000000"/>
              <w:right w:val="single" w:sz="6" w:space="0" w:color="000000"/>
            </w:tcBorders>
            <w:shd w:val="clear" w:color="auto" w:fill="D2D2D2"/>
          </w:tcPr>
          <w:p>
            <w:pPr/>
          </w:p>
        </w:tc>
        <w:tc>
          <w:tcPr>
            <w:tcW w:w="1070" w:type="dxa"/>
            <w:vMerge/>
            <w:tcBorders>
              <w:left w:val="single" w:sz="6" w:space="0" w:color="000000"/>
              <w:right w:val="single" w:sz="6" w:space="0" w:color="000000"/>
            </w:tcBorders>
            <w:shd w:val="clear" w:color="auto" w:fill="D2D2D2"/>
          </w:tcPr>
          <w:p>
            <w:pPr/>
          </w:p>
        </w:tc>
      </w:tr>
      <w:tr>
        <w:trPr>
          <w:trHeight w:val="173"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205" w:type="dxa"/>
            <w:vMerge/>
            <w:tcBorders>
              <w:left w:val="single" w:sz="6" w:space="0" w:color="000000"/>
              <w:bottom w:val="single" w:sz="6" w:space="0" w:color="000000"/>
              <w:right w:val="single" w:sz="6" w:space="0" w:color="000000"/>
            </w:tcBorders>
            <w:shd w:val="clear" w:color="auto" w:fill="D2D2D2"/>
          </w:tcPr>
          <w:p>
            <w:pPr/>
          </w:p>
        </w:tc>
        <w:tc>
          <w:tcPr>
            <w:tcW w:w="924" w:type="dxa"/>
            <w:vMerge/>
            <w:tcBorders>
              <w:left w:val="single" w:sz="6" w:space="0" w:color="000000"/>
              <w:bottom w:val="single" w:sz="6" w:space="0" w:color="000000"/>
              <w:right w:val="single" w:sz="6" w:space="0" w:color="000000"/>
            </w:tcBorders>
            <w:shd w:val="clear" w:color="auto" w:fill="D2D2D2"/>
          </w:tcPr>
          <w:p>
            <w:pPr/>
          </w:p>
        </w:tc>
        <w:tc>
          <w:tcPr>
            <w:tcW w:w="107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5"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923" w:type="dxa"/>
            <w:vMerge/>
            <w:tcBorders>
              <w:left w:val="single" w:sz="6" w:space="0" w:color="000000"/>
              <w:bottom w:val="single" w:sz="6" w:space="0" w:color="000000"/>
              <w:right w:val="single" w:sz="6" w:space="0" w:color="000000"/>
            </w:tcBorders>
            <w:shd w:val="clear" w:color="auto" w:fill="D2D2D2"/>
          </w:tcPr>
          <w:p>
            <w:pPr/>
          </w:p>
        </w:tc>
        <w:tc>
          <w:tcPr>
            <w:tcW w:w="1063" w:type="dxa"/>
            <w:vMerge/>
            <w:tcBorders>
              <w:left w:val="single" w:sz="6" w:space="0" w:color="000000"/>
              <w:bottom w:val="single" w:sz="6" w:space="0" w:color="000000"/>
              <w:right w:val="single" w:sz="6" w:space="0" w:color="000000"/>
            </w:tcBorders>
            <w:shd w:val="clear" w:color="auto" w:fill="D2D2D2"/>
          </w:tcPr>
          <w:p>
            <w:pPr/>
          </w:p>
        </w:tc>
        <w:tc>
          <w:tcPr>
            <w:tcW w:w="1070"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7"/>
              <w:jc w:val="right"/>
              <w:rPr>
                <w:rFonts w:ascii="Times New Roman" w:hAnsi="Times New Roman" w:cs="Times New Roman" w:eastAsia="Times New Roman" w:hint="default"/>
                <w:sz w:val="16"/>
                <w:szCs w:val="16"/>
              </w:rPr>
            </w:pPr>
            <w:r>
              <w:rPr>
                <w:rFonts w:ascii="Times New Roman"/>
                <w:sz w:val="16"/>
              </w:rPr>
              <w:t>14.69%</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5"/>
              <w:jc w:val="right"/>
              <w:rPr>
                <w:rFonts w:ascii="Times New Roman" w:hAnsi="Times New Roman" w:cs="Times New Roman" w:eastAsia="Times New Roman" w:hint="default"/>
                <w:sz w:val="16"/>
                <w:szCs w:val="16"/>
              </w:rPr>
            </w:pPr>
            <w:r>
              <w:rPr>
                <w:rFonts w:ascii="Times New Roman"/>
                <w:spacing w:val="-3"/>
                <w:sz w:val="16"/>
              </w:rPr>
              <w:t>126,208,300</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1" w:right="0"/>
              <w:jc w:val="left"/>
              <w:rPr>
                <w:rFonts w:ascii="Times New Roman" w:hAnsi="Times New Roman" w:cs="Times New Roman" w:eastAsia="Times New Roman" w:hint="default"/>
                <w:sz w:val="16"/>
                <w:szCs w:val="16"/>
              </w:rPr>
            </w:pPr>
            <w:r>
              <w:rPr>
                <w:rFonts w:ascii="Times New Roman"/>
                <w:spacing w:val="-3"/>
                <w:w w:val="105"/>
                <w:sz w:val="16"/>
              </w:rPr>
              <w:t>-5,696,700</w:t>
            </w:r>
            <w:r>
              <w:rPr>
                <w:rFonts w:ascii="Times New Roman"/>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4"/>
              <w:jc w:val="righ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6"/>
              <w:jc w:val="right"/>
              <w:rPr>
                <w:rFonts w:ascii="Times New Roman" w:hAnsi="Times New Roman" w:cs="Times New Roman" w:eastAsia="Times New Roman" w:hint="default"/>
                <w:sz w:val="16"/>
                <w:szCs w:val="16"/>
              </w:rPr>
            </w:pPr>
            <w:r>
              <w:rPr>
                <w:rFonts w:ascii="Times New Roman"/>
                <w:spacing w:val="-3"/>
                <w:sz w:val="16"/>
              </w:rPr>
              <w:t>126,208,300</w:t>
            </w:r>
          </w:p>
        </w:tc>
        <w:tc>
          <w:tcPr>
            <w:tcW w:w="1063" w:type="dxa"/>
            <w:tcBorders>
              <w:top w:val="single" w:sz="54" w:space="0" w:color="D2D2D2"/>
              <w:left w:val="single" w:sz="6" w:space="0" w:color="000000"/>
              <w:bottom w:val="single" w:sz="6" w:space="0" w:color="000000"/>
              <w:right w:val="single" w:sz="6" w:space="0" w:color="000000"/>
            </w:tcBorders>
          </w:tcPr>
          <w:p>
            <w:pPr/>
          </w:p>
        </w:tc>
        <w:tc>
          <w:tcPr>
            <w:tcW w:w="1070" w:type="dxa"/>
            <w:tcBorders>
              <w:top w:val="single" w:sz="54" w:space="0" w:color="D2D2D2"/>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杭州思创医惠 集团有限公司</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8"/>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z w:val="16"/>
              </w:rPr>
              <w:t>10.58%</w:t>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6"/>
                <w:szCs w:val="16"/>
              </w:rPr>
            </w:pPr>
            <w:r>
              <w:rPr>
                <w:rFonts w:ascii="Times New Roman"/>
                <w:spacing w:val="-3"/>
                <w:sz w:val="16"/>
              </w:rPr>
              <w:t>90,912,612</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1" w:right="0"/>
              <w:jc w:val="lef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spacing w:val="-3"/>
                <w:sz w:val="16"/>
              </w:rPr>
              <w:t>90,912,612</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55,998,800</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8"/>
              <w:jc w:val="right"/>
              <w:rPr>
                <w:rFonts w:ascii="Times New Roman" w:hAnsi="Times New Roman" w:cs="Times New Roman" w:eastAsia="Times New Roman" w:hint="default"/>
                <w:sz w:val="16"/>
                <w:szCs w:val="16"/>
              </w:rPr>
            </w:pPr>
            <w:r>
              <w:rPr>
                <w:rFonts w:ascii="Times New Roman"/>
                <w:w w:val="105"/>
                <w:sz w:val="16"/>
              </w:rPr>
              <w:t>2.86%</w:t>
            </w:r>
            <w:r>
              <w:rPr>
                <w:rFonts w:ascii="Times New Roman"/>
                <w:sz w:val="16"/>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25"/>
              <w:jc w:val="right"/>
              <w:rPr>
                <w:rFonts w:ascii="Times New Roman" w:hAnsi="Times New Roman" w:cs="Times New Roman" w:eastAsia="Times New Roman" w:hint="default"/>
                <w:sz w:val="16"/>
                <w:szCs w:val="16"/>
              </w:rPr>
            </w:pPr>
            <w:r>
              <w:rPr>
                <w:rFonts w:ascii="Times New Roman"/>
                <w:spacing w:val="-3"/>
                <w:sz w:val="16"/>
              </w:rPr>
              <w:t>24,601,203</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11" w:right="0"/>
              <w:jc w:val="lef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4"/>
              <w:jc w:val="right"/>
              <w:rPr>
                <w:rFonts w:ascii="Times New Roman" w:hAnsi="Times New Roman" w:cs="Times New Roman" w:eastAsia="Times New Roman" w:hint="default"/>
                <w:sz w:val="16"/>
                <w:szCs w:val="16"/>
              </w:rPr>
            </w:pPr>
            <w:r>
              <w:rPr>
                <w:rFonts w:ascii="Times New Roman"/>
                <w:spacing w:val="-3"/>
                <w:sz w:val="16"/>
              </w:rPr>
              <w:t>18,450,902</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6"/>
              <w:jc w:val="right"/>
              <w:rPr>
                <w:rFonts w:ascii="Times New Roman" w:hAnsi="Times New Roman" w:cs="Times New Roman" w:eastAsia="Times New Roman" w:hint="default"/>
                <w:sz w:val="16"/>
                <w:szCs w:val="16"/>
              </w:rPr>
            </w:pPr>
            <w:r>
              <w:rPr>
                <w:rFonts w:ascii="Times New Roman"/>
                <w:spacing w:val="-2"/>
                <w:sz w:val="16"/>
              </w:rPr>
              <w:t>6,150,301</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5,829,597</w:t>
            </w:r>
          </w:p>
        </w:tc>
      </w:tr>
      <w:tr>
        <w:trPr>
          <w:trHeight w:val="196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89"/>
              <w:jc w:val="both"/>
              <w:rPr>
                <w:rFonts w:ascii="宋体" w:hAnsi="宋体" w:cs="宋体" w:eastAsia="宋体" w:hint="default"/>
                <w:sz w:val="18"/>
                <w:szCs w:val="18"/>
              </w:rPr>
            </w:pPr>
            <w:r>
              <w:rPr>
                <w:rFonts w:ascii="宋体" w:hAnsi="宋体" w:cs="宋体" w:eastAsia="宋体" w:hint="default"/>
                <w:sz w:val="18"/>
                <w:szCs w:val="18"/>
              </w:rPr>
              <w:t>中国建设银行 股份有限公司</w:t>
            </w:r>
          </w:p>
          <w:p>
            <w:pPr>
              <w:pStyle w:val="TableParagraph"/>
              <w:spacing w:line="316" w:lineRule="auto" w:before="18"/>
              <w:ind w:left="15" w:right="89"/>
              <w:jc w:val="both"/>
              <w:rPr>
                <w:rFonts w:ascii="宋体" w:hAnsi="宋体" w:cs="宋体" w:eastAsia="宋体" w:hint="default"/>
                <w:sz w:val="18"/>
                <w:szCs w:val="18"/>
              </w:rPr>
            </w:pPr>
            <w:r>
              <w:rPr>
                <w:rFonts w:ascii="宋体" w:hAnsi="宋体" w:cs="宋体" w:eastAsia="宋体" w:hint="default"/>
                <w:sz w:val="18"/>
                <w:szCs w:val="18"/>
              </w:rPr>
              <w:t>－交银施罗德 阿尔法核心混 合型证券投资 基金</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6"/>
                <w:szCs w:val="16"/>
              </w:rPr>
            </w:pPr>
            <w:r>
              <w:rPr>
                <w:rFonts w:ascii="Times New Roman"/>
                <w:w w:val="105"/>
                <w:sz w:val="16"/>
              </w:rPr>
              <w:t>2.35%</w:t>
            </w:r>
            <w:r>
              <w:rPr>
                <w:rFonts w:ascii="Times New Roman"/>
                <w:sz w:val="16"/>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6"/>
                <w:szCs w:val="16"/>
              </w:rPr>
            </w:pPr>
            <w:r>
              <w:rPr>
                <w:rFonts w:ascii="Times New Roman"/>
                <w:spacing w:val="-3"/>
                <w:sz w:val="16"/>
              </w:rPr>
              <w:t>20,228,957</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 w:right="0"/>
              <w:jc w:val="left"/>
              <w:rPr>
                <w:rFonts w:ascii="Times New Roman" w:hAnsi="Times New Roman" w:cs="Times New Roman" w:eastAsia="Times New Roman" w:hint="default"/>
                <w:sz w:val="16"/>
                <w:szCs w:val="16"/>
              </w:rPr>
            </w:pPr>
            <w:r>
              <w:rPr>
                <w:rFonts w:ascii="Times New Roman"/>
                <w:spacing w:val="-3"/>
                <w:w w:val="105"/>
                <w:sz w:val="16"/>
              </w:rPr>
              <w:t>11,340,832</w:t>
            </w:r>
            <w:r>
              <w:rPr>
                <w:rFonts w:ascii="Times New Roman"/>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spacing w:val="-3"/>
                <w:sz w:val="16"/>
              </w:rPr>
              <w:t>20,228,957</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全国社保基金</w:t>
            </w:r>
          </w:p>
        </w:tc>
        <w:tc>
          <w:tcPr>
            <w:tcW w:w="12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8"/>
              <w:jc w:val="right"/>
              <w:rPr>
                <w:rFonts w:ascii="Times New Roman" w:hAnsi="Times New Roman" w:cs="Times New Roman" w:eastAsia="Times New Roman" w:hint="default"/>
                <w:sz w:val="16"/>
                <w:szCs w:val="16"/>
              </w:rPr>
            </w:pPr>
            <w:r>
              <w:rPr>
                <w:rFonts w:ascii="Times New Roman"/>
                <w:w w:val="105"/>
                <w:sz w:val="16"/>
              </w:rPr>
              <w:t>2.26%</w:t>
            </w:r>
            <w:r>
              <w:rPr>
                <w:rFonts w:ascii="Times New Roman"/>
                <w:sz w:val="16"/>
              </w:rPr>
            </w:r>
          </w:p>
        </w:tc>
        <w:tc>
          <w:tcPr>
            <w:tcW w:w="10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25"/>
              <w:jc w:val="right"/>
              <w:rPr>
                <w:rFonts w:ascii="Times New Roman" w:hAnsi="Times New Roman" w:cs="Times New Roman" w:eastAsia="Times New Roman" w:hint="default"/>
                <w:sz w:val="16"/>
                <w:szCs w:val="16"/>
              </w:rPr>
            </w:pPr>
            <w:r>
              <w:rPr>
                <w:rFonts w:ascii="Times New Roman"/>
                <w:spacing w:val="-3"/>
                <w:sz w:val="16"/>
              </w:rPr>
              <w:t>19,437,641</w:t>
            </w:r>
          </w:p>
        </w:tc>
        <w:tc>
          <w:tcPr>
            <w:tcW w:w="10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left="11" w:right="0"/>
              <w:jc w:val="left"/>
              <w:rPr>
                <w:rFonts w:ascii="Times New Roman" w:hAnsi="Times New Roman" w:cs="Times New Roman" w:eastAsia="Times New Roman" w:hint="default"/>
                <w:sz w:val="16"/>
                <w:szCs w:val="16"/>
              </w:rPr>
            </w:pPr>
            <w:r>
              <w:rPr>
                <w:rFonts w:ascii="Times New Roman"/>
                <w:spacing w:val="-3"/>
                <w:w w:val="105"/>
                <w:sz w:val="16"/>
              </w:rPr>
              <w:t>14,636,335</w:t>
            </w:r>
            <w:r>
              <w:rPr>
                <w:rFonts w:ascii="Times New Roman"/>
                <w:spacing w:val="-3"/>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14"/>
              <w:jc w:val="right"/>
              <w:rPr>
                <w:rFonts w:ascii="Times New Roman" w:hAnsi="Times New Roman" w:cs="Times New Roman" w:eastAsia="Times New Roman" w:hint="default"/>
                <w:sz w:val="16"/>
                <w:szCs w:val="16"/>
              </w:rPr>
            </w:pPr>
            <w:r>
              <w:rPr>
                <w:rFonts w:ascii="Times New Roman"/>
                <w:spacing w:val="-3"/>
                <w:sz w:val="16"/>
              </w:rPr>
              <w:t>12,914,798</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6"/>
              <w:jc w:val="right"/>
              <w:rPr>
                <w:rFonts w:ascii="Times New Roman" w:hAnsi="Times New Roman" w:cs="Times New Roman" w:eastAsia="Times New Roman" w:hint="default"/>
                <w:sz w:val="16"/>
                <w:szCs w:val="16"/>
              </w:rPr>
            </w:pPr>
            <w:r>
              <w:rPr>
                <w:rFonts w:ascii="Times New Roman"/>
                <w:spacing w:val="-2"/>
                <w:sz w:val="16"/>
              </w:rPr>
              <w:t>6,522,843</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70"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0"/>
        <w:rPr>
          <w:rFonts w:ascii="宋体" w:hAnsi="宋体" w:cs="宋体" w:eastAsia="宋体" w:hint="default"/>
          <w:sz w:val="20"/>
          <w:szCs w:val="20"/>
        </w:rPr>
      </w:pPr>
      <w:r>
        <w:rPr/>
        <w:pict>
          <v:shape style="position:absolute;margin-left:56.325001pt;margin-top:72.080002pt;width:480.25pt;height:689.85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2"/>
                    <w:gridCol w:w="1202"/>
                    <w:gridCol w:w="931"/>
                    <w:gridCol w:w="1066"/>
                    <w:gridCol w:w="1066"/>
                    <w:gridCol w:w="1051"/>
                    <w:gridCol w:w="931"/>
                    <w:gridCol w:w="1067"/>
                    <w:gridCol w:w="1066"/>
                  </w:tblGrid>
                  <w:tr>
                    <w:trPr>
                      <w:trHeight w:val="36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一一八组合</w:t>
                        </w:r>
                      </w:p>
                    </w:tc>
                    <w:tc>
                      <w:tcPr>
                        <w:tcW w:w="1202"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方振淳</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1"/>
                          <w:jc w:val="right"/>
                          <w:rPr>
                            <w:rFonts w:ascii="Times New Roman" w:hAnsi="Times New Roman" w:cs="Times New Roman" w:eastAsia="Times New Roman" w:hint="default"/>
                            <w:sz w:val="16"/>
                            <w:szCs w:val="16"/>
                          </w:rPr>
                        </w:pPr>
                        <w:r>
                          <w:rPr>
                            <w:rFonts w:ascii="Times New Roman"/>
                            <w:w w:val="105"/>
                            <w:sz w:val="16"/>
                          </w:rPr>
                          <w:t>2.23%</w:t>
                        </w:r>
                        <w:r>
                          <w:rPr>
                            <w:rFonts w:ascii="Times New Roman"/>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22"/>
                          <w:jc w:val="right"/>
                          <w:rPr>
                            <w:rFonts w:ascii="Times New Roman" w:hAnsi="Times New Roman" w:cs="Times New Roman" w:eastAsia="Times New Roman" w:hint="default"/>
                            <w:sz w:val="16"/>
                            <w:szCs w:val="16"/>
                          </w:rPr>
                        </w:pPr>
                        <w:r>
                          <w:rPr>
                            <w:rFonts w:ascii="Times New Roman"/>
                            <w:spacing w:val="-3"/>
                            <w:sz w:val="16"/>
                          </w:rPr>
                          <w:t>19,160,312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5" w:right="0"/>
                          <w:jc w:val="lef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7"/>
                          <w:jc w:val="right"/>
                          <w:rPr>
                            <w:rFonts w:ascii="Times New Roman" w:hAnsi="Times New Roman" w:cs="Times New Roman" w:eastAsia="Times New Roman" w:hint="default"/>
                            <w:sz w:val="16"/>
                            <w:szCs w:val="16"/>
                          </w:rPr>
                        </w:pPr>
                        <w:r>
                          <w:rPr>
                            <w:rFonts w:ascii="Times New Roman"/>
                            <w:spacing w:val="-3"/>
                            <w:sz w:val="16"/>
                          </w:rPr>
                          <w:t>18,045,112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6"/>
                          <w:jc w:val="right"/>
                          <w:rPr>
                            <w:rFonts w:ascii="Times New Roman" w:hAnsi="Times New Roman" w:cs="Times New Roman" w:eastAsia="Times New Roman" w:hint="default"/>
                            <w:sz w:val="16"/>
                            <w:szCs w:val="16"/>
                          </w:rPr>
                        </w:pPr>
                        <w:r>
                          <w:rPr>
                            <w:rFonts w:ascii="Times New Roman"/>
                            <w:spacing w:val="-4"/>
                            <w:sz w:val="16"/>
                          </w:rPr>
                          <w:t>1,115,200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19,160,312</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西藏瑞华资本 管理有限公司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7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6"/>
                            <w:szCs w:val="16"/>
                          </w:rPr>
                        </w:pPr>
                        <w:r>
                          <w:rPr>
                            <w:rFonts w:ascii="Times New Roman"/>
                            <w:w w:val="105"/>
                            <w:sz w:val="16"/>
                          </w:rPr>
                          <w:t>2.10%</w:t>
                        </w:r>
                        <w:r>
                          <w:rPr>
                            <w:rFonts w:ascii="Times New Roman"/>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3"/>
                            <w:sz w:val="16"/>
                          </w:rPr>
                          <w:t>18,045,112</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3"/>
                            <w:sz w:val="16"/>
                          </w:rPr>
                          <w:t>18,045,112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8,995,111</w:t>
                        </w:r>
                      </w:p>
                    </w:tc>
                  </w:tr>
                  <w:tr>
                    <w:trPr>
                      <w:trHeight w:val="1952"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89"/>
                          <w:jc w:val="left"/>
                          <w:rPr>
                            <w:rFonts w:ascii="宋体" w:hAnsi="宋体" w:cs="宋体" w:eastAsia="宋体" w:hint="default"/>
                            <w:sz w:val="18"/>
                            <w:szCs w:val="18"/>
                          </w:rPr>
                        </w:pPr>
                        <w:r>
                          <w:rPr>
                            <w:rFonts w:ascii="宋体" w:hAnsi="宋体" w:cs="宋体" w:eastAsia="宋体" w:hint="default"/>
                            <w:sz w:val="18"/>
                            <w:szCs w:val="18"/>
                          </w:rPr>
                          <w:t>浙江鲲鹏资产 管理有限公司</w:t>
                        </w:r>
                      </w:p>
                      <w:p>
                        <w:pPr>
                          <w:pStyle w:val="TableParagraph"/>
                          <w:spacing w:line="321" w:lineRule="auto" w:before="3"/>
                          <w:ind w:left="15" w:right="89"/>
                          <w:jc w:val="left"/>
                          <w:rPr>
                            <w:rFonts w:ascii="宋体" w:hAnsi="宋体" w:cs="宋体" w:eastAsia="宋体" w:hint="default"/>
                            <w:sz w:val="18"/>
                            <w:szCs w:val="18"/>
                          </w:rPr>
                        </w:pPr>
                        <w:r>
                          <w:rPr>
                            <w:rFonts w:ascii="宋体" w:hAnsi="宋体" w:cs="宋体" w:eastAsia="宋体" w:hint="default"/>
                            <w:sz w:val="18"/>
                            <w:szCs w:val="18"/>
                          </w:rPr>
                          <w:t>－鲲鹏资本－ 中瑞思创定增</w:t>
                        </w:r>
                      </w:p>
                      <w:p>
                        <w:pPr>
                          <w:pStyle w:val="TableParagraph"/>
                          <w:spacing w:line="288" w:lineRule="auto" w:before="34"/>
                          <w:ind w:left="15" w:right="134"/>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号证券投资 基金</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6"/>
                            <w:szCs w:val="16"/>
                          </w:rPr>
                        </w:pPr>
                        <w:r>
                          <w:rPr>
                            <w:rFonts w:ascii="Times New Roman"/>
                            <w:w w:val="105"/>
                            <w:sz w:val="16"/>
                          </w:rPr>
                          <w:t>2.10%</w:t>
                        </w:r>
                        <w:r>
                          <w:rPr>
                            <w:rFonts w:ascii="Times New Roman"/>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spacing w:val="-4"/>
                            <w:sz w:val="16"/>
                          </w:rPr>
                          <w:t>18,045,111</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5" w:right="0"/>
                          <w:jc w:val="lef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spacing w:val="-4"/>
                            <w:sz w:val="16"/>
                          </w:rPr>
                          <w:t>18,045,111</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5"/>
                          <w:jc w:val="righ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left"/>
                          <w:rPr>
                            <w:rFonts w:ascii="宋体" w:hAnsi="宋体" w:cs="宋体" w:eastAsia="宋体" w:hint="default"/>
                            <w:sz w:val="18"/>
                            <w:szCs w:val="18"/>
                          </w:rPr>
                        </w:pPr>
                        <w:r>
                          <w:rPr>
                            <w:rFonts w:ascii="宋体" w:hAnsi="宋体" w:cs="宋体" w:eastAsia="宋体" w:hint="default"/>
                            <w:sz w:val="18"/>
                            <w:szCs w:val="18"/>
                          </w:rPr>
                          <w:t>全国社保基金 一零一组合</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6"/>
                            <w:szCs w:val="16"/>
                          </w:rPr>
                        </w:pPr>
                        <w:r>
                          <w:rPr>
                            <w:rFonts w:ascii="Times New Roman"/>
                            <w:w w:val="105"/>
                            <w:sz w:val="16"/>
                          </w:rPr>
                          <w:t>2.02%</w:t>
                        </w:r>
                        <w:r>
                          <w:rPr>
                            <w:rFonts w:ascii="Times New Roman"/>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3"/>
                            <w:sz w:val="16"/>
                          </w:rPr>
                          <w:t>17,399,103</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6"/>
                            <w:szCs w:val="16"/>
                          </w:rPr>
                        </w:pPr>
                        <w:r>
                          <w:rPr>
                            <w:rFonts w:ascii="Times New Roman"/>
                            <w:spacing w:val="-3"/>
                            <w:w w:val="105"/>
                            <w:sz w:val="16"/>
                          </w:rPr>
                          <w:t>17,399,103</w:t>
                        </w:r>
                        <w:r>
                          <w:rPr>
                            <w:rFonts w:ascii="Times New Roman"/>
                            <w:spacing w:val="-3"/>
                            <w:sz w:val="16"/>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6"/>
                            <w:szCs w:val="16"/>
                          </w:rPr>
                        </w:pPr>
                        <w:r>
                          <w:rPr>
                            <w:rFonts w:ascii="Times New Roman"/>
                            <w:spacing w:val="-3"/>
                            <w:sz w:val="16"/>
                          </w:rPr>
                          <w:t>17,399,103</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967"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89"/>
                          <w:jc w:val="both"/>
                          <w:rPr>
                            <w:rFonts w:ascii="宋体" w:hAnsi="宋体" w:cs="宋体" w:eastAsia="宋体" w:hint="default"/>
                            <w:sz w:val="18"/>
                            <w:szCs w:val="18"/>
                          </w:rPr>
                        </w:pPr>
                        <w:r>
                          <w:rPr>
                            <w:rFonts w:ascii="宋体" w:hAnsi="宋体" w:cs="宋体" w:eastAsia="宋体" w:hint="default"/>
                            <w:sz w:val="18"/>
                            <w:szCs w:val="18"/>
                          </w:rPr>
                          <w:t>中国工商银行 股份有限公司</w:t>
                        </w:r>
                      </w:p>
                      <w:p>
                        <w:pPr>
                          <w:pStyle w:val="TableParagraph"/>
                          <w:spacing w:line="316" w:lineRule="auto" w:before="29"/>
                          <w:ind w:left="15" w:right="89"/>
                          <w:jc w:val="both"/>
                          <w:rPr>
                            <w:rFonts w:ascii="宋体" w:hAnsi="宋体" w:cs="宋体" w:eastAsia="宋体" w:hint="default"/>
                            <w:sz w:val="18"/>
                            <w:szCs w:val="18"/>
                          </w:rPr>
                        </w:pPr>
                        <w:r>
                          <w:rPr>
                            <w:rFonts w:ascii="宋体" w:hAnsi="宋体" w:cs="宋体" w:eastAsia="宋体" w:hint="default"/>
                            <w:sz w:val="18"/>
                            <w:szCs w:val="18"/>
                          </w:rPr>
                          <w:t>－交银施罗德 优势行业灵活 配置混合型证 券投资基金</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1"/>
                          <w:jc w:val="right"/>
                          <w:rPr>
                            <w:rFonts w:ascii="Times New Roman" w:hAnsi="Times New Roman" w:cs="Times New Roman" w:eastAsia="Times New Roman" w:hint="default"/>
                            <w:sz w:val="16"/>
                            <w:szCs w:val="16"/>
                          </w:rPr>
                        </w:pPr>
                        <w:r>
                          <w:rPr>
                            <w:rFonts w:ascii="Times New Roman"/>
                            <w:w w:val="105"/>
                            <w:sz w:val="16"/>
                          </w:rPr>
                          <w:t>1.62%</w:t>
                        </w:r>
                        <w:r>
                          <w:rPr>
                            <w:rFonts w:ascii="Times New Roman"/>
                            <w:sz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spacing w:val="-3"/>
                            <w:sz w:val="16"/>
                          </w:rPr>
                          <w:t>13,943,670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6"/>
                            <w:szCs w:val="16"/>
                          </w:rPr>
                        </w:pPr>
                        <w:r>
                          <w:rPr>
                            <w:rFonts w:ascii="Times New Roman"/>
                            <w:w w:val="105"/>
                            <w:sz w:val="16"/>
                          </w:rPr>
                          <w:t>5,062,835</w:t>
                        </w:r>
                        <w:r>
                          <w:rPr>
                            <w:rFonts w:ascii="Times New Roman"/>
                            <w:sz w:val="16"/>
                          </w:rPr>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5"/>
                          <w:jc w:val="right"/>
                          <w:rPr>
                            <w:rFonts w:ascii="Times New Roman" w:hAnsi="Times New Roman" w:cs="Times New Roman" w:eastAsia="Times New Roman" w:hint="default"/>
                            <w:sz w:val="16"/>
                            <w:szCs w:val="16"/>
                          </w:rPr>
                        </w:pPr>
                        <w:r>
                          <w:rPr>
                            <w:rFonts w:ascii="Times New Roman"/>
                            <w:w w:val="103"/>
                            <w:sz w:val="16"/>
                          </w:rPr>
                          <w:t>0</w:t>
                        </w:r>
                        <w:r>
                          <w:rPr>
                            <w:rFonts w:ascii="Times New Roman"/>
                            <w:sz w:val="16"/>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6"/>
                          <w:jc w:val="right"/>
                          <w:rPr>
                            <w:rFonts w:ascii="Times New Roman" w:hAnsi="Times New Roman" w:cs="Times New Roman" w:eastAsia="Times New Roman" w:hint="default"/>
                            <w:sz w:val="16"/>
                            <w:szCs w:val="16"/>
                          </w:rPr>
                        </w:pPr>
                        <w:r>
                          <w:rPr>
                            <w:rFonts w:ascii="Times New Roman"/>
                            <w:spacing w:val="-3"/>
                            <w:sz w:val="16"/>
                          </w:rPr>
                          <w:t>13,943,670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5" w:right="29"/>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36" w:lineRule="exact"/>
                          <w:ind w:left="15"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79"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西藏瑞华资本管理有限公司、浙江鲲鹏资产管理有限公司－鲲鹏资本－中瑞思创定增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p>
                      <w:p>
                        <w:pPr>
                          <w:pStyle w:val="TableParagraph"/>
                          <w:spacing w:line="240" w:lineRule="auto" w:before="66"/>
                          <w:ind w:left="7" w:right="0"/>
                          <w:jc w:val="left"/>
                          <w:rPr>
                            <w:rFonts w:ascii="宋体" w:hAnsi="宋体" w:cs="宋体" w:eastAsia="宋体" w:hint="default"/>
                            <w:sz w:val="18"/>
                            <w:szCs w:val="18"/>
                          </w:rPr>
                        </w:pPr>
                        <w:r>
                          <w:rPr>
                            <w:rFonts w:ascii="宋体" w:hAnsi="宋体" w:cs="宋体" w:eastAsia="宋体" w:hint="default"/>
                            <w:spacing w:val="-3"/>
                            <w:sz w:val="18"/>
                            <w:szCs w:val="18"/>
                          </w:rPr>
                          <w:t>证券投资基金、方振淳因认购公司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年非公开发行新股成为前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名股东。全国社保基金</w:t>
                        </w:r>
                      </w:p>
                      <w:p>
                        <w:pPr>
                          <w:pStyle w:val="TableParagraph"/>
                          <w:spacing w:line="240" w:lineRule="auto" w:before="66"/>
                          <w:ind w:left="7" w:right="0"/>
                          <w:jc w:val="left"/>
                          <w:rPr>
                            <w:rFonts w:ascii="宋体" w:hAnsi="宋体" w:cs="宋体" w:eastAsia="宋体" w:hint="default"/>
                            <w:sz w:val="18"/>
                            <w:szCs w:val="18"/>
                          </w:rPr>
                        </w:pPr>
                        <w:r>
                          <w:rPr>
                            <w:rFonts w:ascii="宋体" w:hAnsi="宋体" w:cs="宋体" w:eastAsia="宋体" w:hint="default"/>
                            <w:sz w:val="18"/>
                            <w:szCs w:val="18"/>
                          </w:rPr>
                          <w:t>一一八组合</w:t>
                        </w:r>
                        <w:r>
                          <w:rPr>
                            <w:rFonts w:ascii="宋体" w:hAnsi="宋体" w:cs="宋体" w:eastAsia="宋体" w:hint="default"/>
                            <w:spacing w:val="-90"/>
                            <w:sz w:val="18"/>
                            <w:szCs w:val="18"/>
                          </w:rPr>
                          <w:t>、</w:t>
                        </w:r>
                        <w:r>
                          <w:rPr>
                            <w:rFonts w:ascii="宋体" w:hAnsi="宋体" w:cs="宋体" w:eastAsia="宋体" w:hint="default"/>
                            <w:sz w:val="18"/>
                            <w:szCs w:val="18"/>
                          </w:rPr>
                          <w:t>全国社保基金一零一组合因认购公司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年非公开发行新股成为前</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名股东</w:t>
                        </w:r>
                      </w:p>
                    </w:tc>
                  </w:tr>
                  <w:tr>
                    <w:trPr>
                      <w:trHeight w:val="1156" w:hRule="exact"/>
                    </w:trPr>
                    <w:tc>
                      <w:tcPr>
                        <w:tcW w:w="240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21" w:lineRule="auto"/>
                          <w:ind w:left="15" w:right="31"/>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9"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）公司自然人股东路楠先生持有法人股东杭州博泰投资管理有限公司</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59.02%</w:t>
                        </w:r>
                        <w:r>
                          <w:rPr>
                            <w:rFonts w:ascii="宋体" w:hAnsi="宋体" w:cs="宋体" w:eastAsia="宋体" w:hint="default"/>
                            <w:sz w:val="18"/>
                            <w:szCs w:val="18"/>
                          </w:rPr>
                          <w:t>的股权。</w:t>
                        </w:r>
                      </w:p>
                      <w:p>
                        <w:pPr>
                          <w:pStyle w:val="TableParagraph"/>
                          <w:spacing w:line="240" w:lineRule="auto" w:before="96"/>
                          <w:ind w:left="7" w:right="-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）公司自然人股东章笠中先生持有法人股东杭州思创医惠集团有限公司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53.63%</w:t>
                        </w:r>
                        <w:r>
                          <w:rPr>
                            <w:rFonts w:ascii="宋体" w:hAnsi="宋体" w:cs="宋体" w:eastAsia="宋体" w:hint="default"/>
                            <w:sz w:val="18"/>
                            <w:szCs w:val="18"/>
                          </w:rPr>
                          <w:t>的股权。</w:t>
                        </w:r>
                      </w:p>
                      <w:p>
                        <w:pPr>
                          <w:pStyle w:val="TableParagraph"/>
                          <w:spacing w:line="240" w:lineRule="auto" w:before="141"/>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）除此之外，公司未知其他股东之间是否存在关联关系或一致行动人关系。</w:t>
                        </w:r>
                      </w:p>
                    </w:tc>
                  </w:tr>
                  <w:tr>
                    <w:trPr>
                      <w:trHeight w:val="390"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398" w:hRule="exact"/>
                    </w:trPr>
                    <w:tc>
                      <w:tcPr>
                        <w:tcW w:w="240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0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413" w:hRule="exact"/>
                    </w:trPr>
                    <w:tc>
                      <w:tcPr>
                        <w:tcW w:w="2403" w:type="dxa"/>
                        <w:gridSpan w:val="2"/>
                        <w:vMerge/>
                        <w:tcBorders>
                          <w:left w:val="single" w:sz="6" w:space="0" w:color="000000"/>
                          <w:bottom w:val="single" w:sz="6" w:space="0" w:color="000000"/>
                          <w:right w:val="single" w:sz="6" w:space="0" w:color="000000"/>
                        </w:tcBorders>
                        <w:shd w:val="clear" w:color="auto" w:fill="D2D2D2"/>
                      </w:tcPr>
                      <w:p>
                        <w:pPr/>
                      </w:p>
                    </w:tc>
                    <w:tc>
                      <w:tcPr>
                        <w:tcW w:w="5046" w:type="dxa"/>
                        <w:gridSpan w:val="5"/>
                        <w:vMerge/>
                        <w:tcBorders>
                          <w:left w:val="single" w:sz="6" w:space="0" w:color="000000"/>
                          <w:bottom w:val="single" w:sz="6" w:space="0" w:color="000000"/>
                          <w:right w:val="single" w:sz="6" w:space="0" w:color="000000"/>
                        </w:tcBorders>
                        <w:shd w:val="clear" w:color="auto" w:fill="D2D2D2"/>
                      </w:tcPr>
                      <w:p>
                        <w:pP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5"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126,208,300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30" w:right="0"/>
                          <w:jc w:val="left"/>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126,208,300</w:t>
                        </w:r>
                      </w:p>
                    </w:tc>
                  </w:tr>
                  <w:tr>
                    <w:trPr>
                      <w:trHeight w:val="406"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杭州思创医惠集团有限公司</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90,912,612</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0" w:right="0"/>
                          <w:jc w:val="left"/>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90,912,612</w:t>
                        </w:r>
                      </w:p>
                    </w:tc>
                  </w:tr>
                  <w:tr>
                    <w:trPr>
                      <w:trHeight w:val="10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31"/>
                          <w:jc w:val="both"/>
                          <w:rPr>
                            <w:rFonts w:ascii="宋体" w:hAnsi="宋体" w:cs="宋体" w:eastAsia="宋体" w:hint="default"/>
                            <w:sz w:val="18"/>
                            <w:szCs w:val="18"/>
                          </w:rPr>
                        </w:pPr>
                        <w:r>
                          <w:rPr>
                            <w:rFonts w:ascii="宋体" w:hAnsi="宋体" w:cs="宋体" w:eastAsia="宋体" w:hint="default"/>
                            <w:sz w:val="18"/>
                            <w:szCs w:val="18"/>
                          </w:rPr>
                          <w:t>中国建设银行股份有限公司－ 交银施罗德阿尔法核心混合型 证券投资基金</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20,228,957</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20,228,957</w:t>
                        </w:r>
                      </w:p>
                    </w:tc>
                  </w:tr>
                  <w:tr>
                    <w:trPr>
                      <w:trHeight w:val="1021"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30"/>
                          <w:jc w:val="both"/>
                          <w:rPr>
                            <w:rFonts w:ascii="宋体" w:hAnsi="宋体" w:cs="宋体" w:eastAsia="宋体" w:hint="default"/>
                            <w:sz w:val="18"/>
                            <w:szCs w:val="18"/>
                          </w:rPr>
                        </w:pPr>
                        <w:r>
                          <w:rPr>
                            <w:rFonts w:ascii="宋体" w:hAnsi="宋体" w:cs="宋体" w:eastAsia="宋体" w:hint="default"/>
                            <w:sz w:val="18"/>
                            <w:szCs w:val="18"/>
                          </w:rPr>
                          <w:t>中国工商银行股份有限公司－ 交银施罗德优势行业灵活配置 混合型证券投资基金</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13,943,670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13,943,670</w:t>
                        </w:r>
                      </w:p>
                    </w:tc>
                  </w:tr>
                  <w:tr>
                    <w:trPr>
                      <w:trHeight w:val="1036"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31"/>
                          <w:jc w:val="both"/>
                          <w:rPr>
                            <w:rFonts w:ascii="宋体" w:hAnsi="宋体" w:cs="宋体" w:eastAsia="宋体" w:hint="default"/>
                            <w:sz w:val="18"/>
                            <w:szCs w:val="18"/>
                          </w:rPr>
                        </w:pPr>
                        <w:r>
                          <w:rPr>
                            <w:rFonts w:ascii="宋体" w:hAnsi="宋体" w:cs="宋体" w:eastAsia="宋体" w:hint="default"/>
                            <w:sz w:val="18"/>
                            <w:szCs w:val="18"/>
                          </w:rPr>
                          <w:t>中国工商银行股份有限公司－ 交银施罗德持续成长主题混合 型证券投资基金</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13,311,148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13,311,148</w:t>
                        </w:r>
                      </w:p>
                    </w:tc>
                  </w:tr>
                  <w:tr>
                    <w:trPr>
                      <w:trHeight w:val="390" w:hRule="exact"/>
                    </w:trPr>
                    <w:tc>
                      <w:tcPr>
                        <w:tcW w:w="24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c>
                      <w:tcPr>
                        <w:tcW w:w="5046"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11,002,780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left="30" w:right="0"/>
                          <w:jc w:val="left"/>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11,002,780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240" w:lineRule="auto"/>
        <w:ind w:left="0" w:right="1125"/>
        <w:jc w:val="right"/>
      </w:pPr>
      <w:r>
        <w:rPr/>
        <w:t>。</w:t>
      </w:r>
    </w:p>
    <w:p>
      <w:pPr>
        <w:spacing w:after="0" w:line="240" w:lineRule="auto"/>
        <w:jc w:val="righ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403"/>
        <w:gridCol w:w="5046"/>
        <w:gridCol w:w="1067"/>
        <w:gridCol w:w="1066"/>
      </w:tblGrid>
      <w:tr>
        <w:trPr>
          <w:trHeight w:val="67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31"/>
              <w:jc w:val="left"/>
              <w:rPr>
                <w:rFonts w:ascii="宋体" w:hAnsi="宋体" w:cs="宋体" w:eastAsia="宋体" w:hint="default"/>
                <w:sz w:val="18"/>
                <w:szCs w:val="18"/>
              </w:rPr>
            </w:pPr>
            <w:r>
              <w:rPr>
                <w:rFonts w:ascii="宋体" w:hAnsi="宋体" w:cs="宋体" w:eastAsia="宋体" w:hint="default"/>
                <w:sz w:val="18"/>
                <w:szCs w:val="18"/>
              </w:rPr>
              <w:t>交银施罗德稳健配置混合型证 券投资基金</w:t>
            </w:r>
          </w:p>
        </w:tc>
        <w:tc>
          <w:tcPr>
            <w:tcW w:w="504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沈祥龙</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7,200,000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3"/>
              <w:jc w:val="center"/>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7,200,000</w:t>
            </w:r>
          </w:p>
        </w:tc>
      </w:tr>
      <w:tr>
        <w:trPr>
          <w:trHeight w:val="10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1"/>
              <w:jc w:val="both"/>
              <w:rPr>
                <w:rFonts w:ascii="宋体" w:hAnsi="宋体" w:cs="宋体" w:eastAsia="宋体" w:hint="default"/>
                <w:sz w:val="18"/>
                <w:szCs w:val="18"/>
              </w:rPr>
            </w:pPr>
            <w:r>
              <w:rPr>
                <w:rFonts w:ascii="宋体" w:hAnsi="宋体" w:cs="宋体" w:eastAsia="宋体" w:hint="default"/>
                <w:sz w:val="18"/>
                <w:szCs w:val="18"/>
              </w:rPr>
              <w:t>中国农业银行股份有限公司－ 交银施罗德数据产业灵活配置 混合型证券投资基金</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7,060,068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7,060,068</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全国社保基金一一八组合</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6,522,843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3"/>
              <w:jc w:val="center"/>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6,522,843</w:t>
            </w:r>
          </w:p>
        </w:tc>
      </w:tr>
      <w:tr>
        <w:trPr>
          <w:trHeight w:val="10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31"/>
              <w:jc w:val="both"/>
              <w:rPr>
                <w:rFonts w:ascii="宋体" w:hAnsi="宋体" w:cs="宋体" w:eastAsia="宋体" w:hint="default"/>
                <w:sz w:val="18"/>
                <w:szCs w:val="18"/>
              </w:rPr>
            </w:pPr>
            <w:r>
              <w:rPr>
                <w:rFonts w:ascii="宋体" w:hAnsi="宋体" w:cs="宋体" w:eastAsia="宋体" w:hint="default"/>
                <w:sz w:val="18"/>
                <w:szCs w:val="18"/>
              </w:rPr>
              <w:t>中国农业银行股份有限公司－ 嘉实环保低碳股票型证券投资 基金</w:t>
            </w:r>
          </w:p>
        </w:tc>
        <w:tc>
          <w:tcPr>
            <w:tcW w:w="5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6,289,244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before="2"/>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6"/>
                <w:szCs w:val="16"/>
              </w:rPr>
            </w:pPr>
            <w:r>
              <w:rPr>
                <w:rFonts w:ascii="宋体" w:hAnsi="宋体" w:cs="宋体" w:eastAsia="宋体" w:hint="default"/>
                <w:spacing w:val="-3"/>
                <w:w w:val="105"/>
                <w:sz w:val="16"/>
                <w:szCs w:val="16"/>
              </w:rPr>
              <w:t>人民币普通股</w:t>
            </w:r>
            <w:r>
              <w:rPr>
                <w:rFonts w:ascii="宋体" w:hAnsi="宋体" w:cs="宋体" w:eastAsia="宋体" w:hint="default"/>
                <w:spacing w:val="-3"/>
                <w:sz w:val="16"/>
                <w:szCs w:val="16"/>
              </w:rPr>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6,289,244</w:t>
            </w:r>
          </w:p>
        </w:tc>
      </w:tr>
      <w:tr>
        <w:trPr>
          <w:trHeight w:val="1351"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90"/>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290" w:lineRule="auto" w:before="66"/>
              <w:ind w:left="15" w:right="120"/>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）公司自然人股东路楠先生持有法人股东杭州博泰投资管理有限公司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59.02%</w:t>
            </w:r>
            <w:r>
              <w:rPr>
                <w:rFonts w:ascii="宋体" w:hAnsi="宋体" w:cs="宋体" w:eastAsia="宋体" w:hint="default"/>
                <w:sz w:val="18"/>
                <w:szCs w:val="18"/>
              </w:rPr>
              <w:t>的股权。</w:t>
            </w:r>
          </w:p>
          <w:p>
            <w:pPr>
              <w:pStyle w:val="TableParagraph"/>
              <w:spacing w:line="240" w:lineRule="auto" w:before="111"/>
              <w:ind w:left="15" w:right="-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）公司自然人股东章笠中先生持有法人股东杭州思创医惠集团有限公司</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53.63%</w:t>
            </w:r>
            <w:r>
              <w:rPr>
                <w:rFonts w:ascii="宋体" w:hAnsi="宋体" w:cs="宋体" w:eastAsia="宋体" w:hint="default"/>
                <w:sz w:val="18"/>
                <w:szCs w:val="18"/>
              </w:rPr>
              <w:t>的股权。</w:t>
            </w:r>
          </w:p>
          <w:p>
            <w:pPr>
              <w:pStyle w:val="TableParagraph"/>
              <w:spacing w:line="240" w:lineRule="auto" w:before="141"/>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）除此之外，公司未知其他股东之间是否存在关联关系或一致行动人关系。</w:t>
            </w:r>
          </w:p>
        </w:tc>
      </w:tr>
      <w:tr>
        <w:trPr>
          <w:trHeight w:val="7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15" w:right="31"/>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0"/>
        <w:ind w:right="1086"/>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96"/>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right="1086"/>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5"/>
        <w:spacing w:line="240" w:lineRule="auto" w:before="125"/>
        <w:ind w:right="1086"/>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4"/>
          <w:szCs w:val="24"/>
        </w:rPr>
      </w:pPr>
    </w:p>
    <w:p>
      <w:pPr>
        <w:pStyle w:val="BodyText"/>
        <w:spacing w:line="360" w:lineRule="auto" w:before="0"/>
        <w:ind w:right="8229"/>
        <w:jc w:val="left"/>
      </w:pPr>
      <w:r>
        <w:rPr/>
        <w:t>控股股东性质：无控股主体 控股股东类型：不存在 公司不存在控股股东情况的说明</w:t>
      </w:r>
    </w:p>
    <w:p>
      <w:pPr>
        <w:pStyle w:val="BodyText"/>
        <w:spacing w:line="297" w:lineRule="auto" w:before="35"/>
        <w:ind w:right="1086" w:firstLine="525"/>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日，公司原控股股东路楠和方振淳、西藏瑞华资本管理有限公司、浙江鲲鹏资产管理有限公司经充分协</w:t>
      </w:r>
      <w:r>
        <w:rPr/>
        <w:t> 商签署了《</w:t>
      </w:r>
      <w:r>
        <w:rPr>
          <w:rFonts w:ascii="Times New Roman" w:hAnsi="Times New Roman" w:cs="Times New Roman" w:eastAsia="Times New Roman" w:hint="default"/>
        </w:rPr>
        <w:t>&lt;</w:t>
      </w:r>
      <w:r>
        <w:rPr/>
        <w:t>委托投票协议书</w:t>
      </w:r>
      <w:r>
        <w:rPr>
          <w:rFonts w:ascii="Times New Roman" w:hAnsi="Times New Roman" w:cs="Times New Roman" w:eastAsia="Times New Roman" w:hint="default"/>
        </w:rPr>
        <w:t>&gt;</w:t>
      </w:r>
      <w:r>
        <w:rPr/>
        <w:t>之解除协议》。该协议生效后，股东路楠和方振淳、西藏瑞华资本管理有限公司、浙江鲲鹏</w:t>
      </w:r>
      <w:r>
        <w:rPr>
          <w:spacing w:val="-83"/>
        </w:rPr>
        <w:t> </w:t>
      </w:r>
      <w:r>
        <w:rPr/>
        <w:t>资产管理有限公司</w:t>
      </w:r>
      <w:r>
        <w:rPr>
          <w:rFonts w:ascii="Times New Roman" w:hAnsi="Times New Roman" w:cs="Times New Roman" w:eastAsia="Times New Roman" w:hint="default"/>
        </w:rPr>
        <w:t>—</w:t>
      </w:r>
      <w:r>
        <w:rPr/>
        <w:t>鲲鹏资本</w:t>
      </w:r>
      <w:r>
        <w:rPr>
          <w:rFonts w:ascii="Times New Roman" w:hAnsi="Times New Roman" w:cs="Times New Roman" w:eastAsia="Times New Roman" w:hint="default"/>
        </w:rPr>
        <w:t>—</w:t>
      </w:r>
      <w:r>
        <w:rPr/>
        <w:t>中瑞思创定增</w:t>
      </w:r>
      <w:r>
        <w:rPr>
          <w:rFonts w:ascii="Times New Roman" w:hAnsi="Times New Roman" w:cs="Times New Roman" w:eastAsia="Times New Roman" w:hint="default"/>
        </w:rPr>
        <w:t>1</w:t>
      </w:r>
      <w:r>
        <w:rPr/>
        <w:t>号证券投资基金解除一致行动关系。一致行动关系解除后，公司不存在单一</w:t>
      </w:r>
      <w:r>
        <w:rPr>
          <w:spacing w:val="-87"/>
        </w:rPr>
        <w:t> </w:t>
      </w:r>
      <w:r>
        <w:rPr/>
        <w:t>股东或股东及其一致行动人持股比例达到</w:t>
      </w:r>
      <w:r>
        <w:rPr>
          <w:rFonts w:ascii="Times New Roman" w:hAnsi="Times New Roman" w:cs="Times New Roman" w:eastAsia="Times New Roman" w:hint="default"/>
        </w:rPr>
        <w:t>50%</w:t>
      </w:r>
      <w:r>
        <w:rPr/>
        <w:t>以上的情形；不存在单一股东或股东及其一致行动人持有表决权比例超过</w:t>
      </w:r>
      <w:r>
        <w:rPr>
          <w:spacing w:val="-87"/>
        </w:rPr>
        <w:t> </w:t>
      </w:r>
      <w:r>
        <w:rPr>
          <w:rFonts w:ascii="Times New Roman" w:hAnsi="Times New Roman" w:cs="Times New Roman" w:eastAsia="Times New Roman" w:hint="default"/>
          <w:spacing w:val="-2"/>
        </w:rPr>
        <w:t>30%</w:t>
      </w:r>
      <w:r>
        <w:rPr>
          <w:spacing w:val="-2"/>
        </w:rPr>
        <w:t>的情形；不存在投资者通过实际支配上市公司股份表决权决定公司董事会半数以上成员选任的情形；不存在投资者依其</w:t>
      </w:r>
      <w:r>
        <w:rPr>
          <w:spacing w:val="-42"/>
        </w:rPr>
        <w:t> </w:t>
      </w:r>
      <w:r>
        <w:rPr>
          <w:spacing w:val="-42"/>
        </w:rPr>
      </w:r>
      <w:r>
        <w:rPr>
          <w:spacing w:val="-2"/>
        </w:rPr>
        <w:t>可实际支配的上市公司股份表决权足以对公司股东大会的决议产生重大影响的情形；不存在中国证监会认定的其他拥有上市</w:t>
      </w:r>
    </w:p>
    <w:p>
      <w:pPr>
        <w:pStyle w:val="BodyText"/>
        <w:spacing w:line="240" w:lineRule="auto" w:before="36"/>
        <w:ind w:right="1086"/>
        <w:jc w:val="left"/>
      </w:pPr>
      <w:r>
        <w:rPr/>
        <w:t>公司控制权的情形。</w:t>
      </w:r>
    </w:p>
    <w:p>
      <w:pPr>
        <w:pStyle w:val="BodyText"/>
        <w:spacing w:line="367" w:lineRule="auto" w:before="80"/>
        <w:ind w:right="3204" w:firstLine="525"/>
        <w:jc w:val="left"/>
      </w:pPr>
      <w:r>
        <w:rPr/>
        <w:t>因此，本次一致行动关系解除后，公司将不存在控股股东，公司变更为无控股股东状态。 控股股东报告期内变更</w:t>
      </w:r>
    </w:p>
    <w:p>
      <w:pPr>
        <w:pStyle w:val="BodyText"/>
        <w:spacing w:line="240" w:lineRule="auto" w:before="29"/>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新控股股东名称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13">
              <w:r>
                <w:rPr>
                  <w:rFonts w:ascii="Times New Roman" w:hAnsi="Times New Roman" w:cs="Times New Roman" w:eastAsia="Times New Roman" w:hint="default"/>
                  <w:sz w:val="18"/>
                  <w:szCs w:val="18"/>
                </w:rPr>
                <w:t>http://www.cninfo.com.cn</w:t>
              </w:r>
            </w:hyperlink>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3"/>
        <w:rPr>
          <w:rFonts w:ascii="宋体" w:hAnsi="宋体" w:cs="宋体" w:eastAsia="宋体" w:hint="default"/>
          <w:b/>
          <w:bCs/>
          <w:sz w:val="25"/>
          <w:szCs w:val="25"/>
        </w:rPr>
      </w:pPr>
    </w:p>
    <w:p>
      <w:pPr>
        <w:pStyle w:val="BodyText"/>
        <w:spacing w:line="360" w:lineRule="auto" w:before="0"/>
        <w:ind w:right="8049"/>
        <w:jc w:val="left"/>
      </w:pPr>
      <w:r>
        <w:rPr/>
        <w:t>实际控制人性质：无实际控制人 实际控制人类型：不存在 公司不存在实际控制人情况的说明</w:t>
      </w:r>
    </w:p>
    <w:p>
      <w:pPr>
        <w:pStyle w:val="BodyText"/>
        <w:spacing w:line="297" w:lineRule="auto" w:before="35"/>
        <w:ind w:right="1099" w:firstLine="525"/>
        <w:jc w:val="left"/>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23</w:t>
      </w:r>
      <w:r>
        <w:rPr>
          <w:spacing w:val="-1"/>
        </w:rPr>
        <w:t>日，公司原实际控制人路楠和方振淳、西藏瑞华资本管理有限公司、浙江鲲鹏资产管理有限公司经充分</w:t>
      </w:r>
      <w:r>
        <w:rPr/>
        <w:t> 协商签署了《</w:t>
      </w:r>
      <w:r>
        <w:rPr>
          <w:rFonts w:ascii="Times New Roman" w:hAnsi="Times New Roman" w:cs="Times New Roman" w:eastAsia="Times New Roman" w:hint="default"/>
        </w:rPr>
        <w:t>&lt;</w:t>
      </w:r>
      <w:r>
        <w:rPr/>
        <w:t>委托投票协议书</w:t>
      </w:r>
      <w:r>
        <w:rPr>
          <w:rFonts w:ascii="Times New Roman" w:hAnsi="Times New Roman" w:cs="Times New Roman" w:eastAsia="Times New Roman" w:hint="default"/>
        </w:rPr>
        <w:t>&gt;</w:t>
      </w:r>
      <w:r>
        <w:rPr/>
        <w:t>之解除协议》。该协议生效后，路楠和方振淳、西藏瑞华资本管理有限公司、浙江鲲鹏资</w:t>
      </w:r>
      <w:r>
        <w:rPr>
          <w:spacing w:val="-83"/>
        </w:rPr>
        <w:t> </w:t>
      </w:r>
      <w:r>
        <w:rPr/>
        <w:t>产管理有限公司</w:t>
      </w:r>
      <w:r>
        <w:rPr>
          <w:rFonts w:ascii="Times New Roman" w:hAnsi="Times New Roman" w:cs="Times New Roman" w:eastAsia="Times New Roman" w:hint="default"/>
        </w:rPr>
        <w:t>—</w:t>
      </w:r>
      <w:r>
        <w:rPr/>
        <w:t>鲲鹏资本</w:t>
      </w:r>
      <w:r>
        <w:rPr>
          <w:rFonts w:ascii="Times New Roman" w:hAnsi="Times New Roman" w:cs="Times New Roman" w:eastAsia="Times New Roman" w:hint="default"/>
        </w:rPr>
        <w:t>—</w:t>
      </w:r>
      <w:r>
        <w:rPr/>
        <w:t>中瑞思创定增</w:t>
      </w:r>
      <w:r>
        <w:rPr>
          <w:rFonts w:ascii="Times New Roman" w:hAnsi="Times New Roman" w:cs="Times New Roman" w:eastAsia="Times New Roman" w:hint="default"/>
        </w:rPr>
        <w:t>1</w:t>
      </w:r>
      <w:r>
        <w:rPr/>
        <w:t>号证券投资基金解除一致行动关系。一致行动关系解除后，公司不存在单一股 东或股东及其一致行动人持股比例达到</w:t>
      </w:r>
      <w:r>
        <w:rPr>
          <w:rFonts w:ascii="Times New Roman" w:hAnsi="Times New Roman" w:cs="Times New Roman" w:eastAsia="Times New Roman" w:hint="default"/>
        </w:rPr>
        <w:t>50%</w:t>
      </w:r>
      <w:r>
        <w:rPr/>
        <w:t>以上的情形；不存在单一股东或股东及其一致行动人持有表决权比例超过</w:t>
      </w:r>
      <w:r>
        <w:rPr>
          <w:spacing w:val="-7"/>
        </w:rPr>
        <w:t> </w:t>
      </w:r>
      <w:r>
        <w:rPr>
          <w:rFonts w:ascii="Times New Roman" w:hAnsi="Times New Roman" w:cs="Times New Roman" w:eastAsia="Times New Roman" w:hint="default"/>
        </w:rPr>
        <w:t>30% </w:t>
      </w:r>
      <w:r>
        <w:rPr>
          <w:spacing w:val="-2"/>
        </w:rPr>
        <w:t>的情形；不存在投资者通过实际支配上市公司股份表决权决定公司董事会半数以上成员选任的情形；不存在投资者依其可实</w:t>
      </w:r>
    </w:p>
    <w:p>
      <w:pPr>
        <w:pStyle w:val="BodyText"/>
        <w:spacing w:line="321" w:lineRule="auto" w:before="36"/>
        <w:ind w:right="1086"/>
        <w:jc w:val="left"/>
      </w:pPr>
      <w:r>
        <w:rPr>
          <w:spacing w:val="-2"/>
        </w:rPr>
        <w:t>际支配的上市公司股份表决权足以对公司股东大会的决议产生重大影响的情形；不存在中国证监会认定的其他拥有上市公司</w:t>
      </w:r>
      <w:r>
        <w:rPr>
          <w:spacing w:val="-58"/>
        </w:rPr>
        <w:t> </w:t>
      </w:r>
      <w:r>
        <w:rPr>
          <w:spacing w:val="-58"/>
        </w:rPr>
      </w:r>
      <w:r>
        <w:rPr/>
        <w:t>控制权的情形。</w:t>
      </w:r>
    </w:p>
    <w:p>
      <w:pPr>
        <w:pStyle w:val="BodyText"/>
        <w:spacing w:line="288" w:lineRule="auto" w:before="34"/>
        <w:ind w:right="1086" w:firstLine="525"/>
        <w:jc w:val="left"/>
      </w:pPr>
      <w:r>
        <w:rPr>
          <w:spacing w:val="-1"/>
        </w:rPr>
        <w:t>因此，本次一致行动关系解除后，公司不存在</w:t>
      </w:r>
      <w:r>
        <w:rPr>
          <w:rFonts w:ascii="Times New Roman" w:hAnsi="Times New Roman" w:cs="Times New Roman" w:eastAsia="Times New Roman" w:hint="default"/>
          <w:spacing w:val="-1"/>
        </w:rPr>
        <w:t>“</w:t>
      </w:r>
      <w:r>
        <w:rPr>
          <w:spacing w:val="-1"/>
        </w:rPr>
        <w:t>通过投资关系、协议或者其他安排，能够实际支配公司行为的人</w:t>
      </w:r>
      <w:r>
        <w:rPr>
          <w:rFonts w:ascii="Times New Roman" w:hAnsi="Times New Roman" w:cs="Times New Roman" w:eastAsia="Times New Roman" w:hint="default"/>
          <w:spacing w:val="-1"/>
        </w:rPr>
        <w:t>”</w:t>
      </w:r>
      <w:r>
        <w:rPr>
          <w:spacing w:val="-1"/>
        </w:rPr>
        <w:t>，公</w:t>
      </w:r>
      <w:r>
        <w:rPr/>
        <w:t> 司变更为无实际控制人状态。</w:t>
      </w:r>
    </w:p>
    <w:p>
      <w:pPr>
        <w:pStyle w:val="BodyText"/>
        <w:spacing w:line="240" w:lineRule="auto" w:before="89"/>
        <w:ind w:right="1086"/>
        <w:jc w:val="left"/>
      </w:pPr>
      <w:r>
        <w:rPr/>
        <w:t>公司最终控制层面是否存在持股比例在</w:t>
      </w:r>
      <w:r>
        <w:rPr>
          <w:spacing w:val="-42"/>
        </w:rPr>
        <w:t> </w:t>
      </w:r>
      <w:r>
        <w:rPr>
          <w:rFonts w:ascii="Times New Roman" w:hAnsi="Times New Roman" w:cs="Times New Roman" w:eastAsia="Times New Roman" w:hint="default"/>
        </w:rPr>
        <w:t>10%</w:t>
      </w:r>
      <w:r>
        <w:rPr/>
        <w:t>以上的股东情况</w:t>
      </w:r>
    </w:p>
    <w:p>
      <w:pPr>
        <w:pStyle w:val="BodyText"/>
        <w:spacing w:line="316" w:lineRule="auto" w:before="111"/>
        <w:ind w:right="94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自然人</w:t>
      </w:r>
    </w:p>
    <w:p>
      <w:pPr>
        <w:pStyle w:val="BodyText"/>
        <w:spacing w:line="240" w:lineRule="auto" w:before="67"/>
        <w:ind w:right="1086"/>
        <w:jc w:val="left"/>
      </w:pPr>
      <w:r>
        <w:rPr/>
        <w:t>最终控制层面持股情况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2057"/>
        <w:gridCol w:w="4190"/>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51" w:right="0"/>
              <w:jc w:val="left"/>
              <w:rPr>
                <w:rFonts w:ascii="宋体" w:hAnsi="宋体" w:cs="宋体" w:eastAsia="宋体" w:hint="default"/>
                <w:sz w:val="18"/>
                <w:szCs w:val="18"/>
              </w:rPr>
            </w:pPr>
            <w:r>
              <w:rPr>
                <w:rFonts w:ascii="宋体" w:hAnsi="宋体" w:cs="宋体" w:eastAsia="宋体" w:hint="default"/>
                <w:sz w:val="18"/>
                <w:szCs w:val="18"/>
              </w:rPr>
              <w:t>最终控制层面股东姓名</w:t>
            </w:r>
          </w:p>
        </w:tc>
        <w:tc>
          <w:tcPr>
            <w:tcW w:w="20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26"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5"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路楠</w:t>
            </w:r>
          </w:p>
        </w:tc>
        <w:tc>
          <w:tcPr>
            <w:tcW w:w="20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9"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48"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248" w:type="dxa"/>
            <w:gridSpan w:val="2"/>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ind w:right="1086"/>
        <w:jc w:val="left"/>
      </w:pPr>
      <w:r>
        <w:rPr/>
        <w:t>实际控制人报告期内变更</w:t>
      </w:r>
    </w:p>
    <w:p>
      <w:pPr>
        <w:pStyle w:val="BodyText"/>
        <w:spacing w:line="240" w:lineRule="auto" w:before="125"/>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新实际控制人名称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变更日期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指定网站查询索引</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70"/>
                <w:sz w:val="18"/>
                <w:szCs w:val="18"/>
              </w:rPr>
              <w:t> </w:t>
            </w:r>
            <w:hyperlink r:id="rId13">
              <w:r>
                <w:rPr>
                  <w:rFonts w:ascii="Times New Roman" w:hAnsi="Times New Roman" w:cs="Times New Roman" w:eastAsia="Times New Roman" w:hint="default"/>
                  <w:sz w:val="18"/>
                  <w:szCs w:val="18"/>
                </w:rPr>
                <w:t>http://www.cninfo.com.cn</w:t>
              </w:r>
            </w:hyperlink>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指定网站披露日期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bl>
    <w:p>
      <w:pPr>
        <w:pStyle w:val="BodyText"/>
        <w:spacing w:line="240" w:lineRule="auto"/>
        <w:ind w:right="1086"/>
        <w:jc w:val="left"/>
      </w:pPr>
      <w:r>
        <w:rPr/>
        <w:t>实际控制人通过信托或其他资产管理方式控制公司</w:t>
      </w:r>
    </w:p>
    <w:p>
      <w:pPr>
        <w:pStyle w:val="BodyText"/>
        <w:spacing w:line="240" w:lineRule="auto" w:before="125"/>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1086"/>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583"/>
        <w:gridCol w:w="1111"/>
        <w:gridCol w:w="1562"/>
        <w:gridCol w:w="991"/>
        <w:gridCol w:w="3334"/>
      </w:tblGrid>
      <w:tr>
        <w:trPr>
          <w:trHeight w:val="751" w:hRule="exact"/>
        </w:trPr>
        <w:tc>
          <w:tcPr>
            <w:tcW w:w="258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1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5"/>
              <w:ind w:left="90" w:right="84" w:hanging="31"/>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9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661"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1291" w:hRule="exact"/>
        </w:trPr>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杭州思创医惠集团有限公司</w:t>
            </w:r>
          </w:p>
        </w:tc>
        <w:tc>
          <w:tcPr>
            <w:tcW w:w="1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93"/>
              <w:jc w:val="righ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60"/>
              <w:ind w:left="15" w:right="28"/>
              <w:jc w:val="left"/>
              <w:rPr>
                <w:rFonts w:ascii="宋体" w:hAnsi="宋体" w:cs="宋体" w:eastAsia="宋体" w:hint="default"/>
                <w:sz w:val="18"/>
                <w:szCs w:val="18"/>
              </w:rPr>
            </w:pP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投资管理、投资咨询</w:t>
            </w:r>
            <w:r>
              <w:rPr>
                <w:rFonts w:ascii="Times New Roman" w:hAnsi="Times New Roman" w:cs="Times New Roman" w:eastAsia="Times New Roman" w:hint="default"/>
                <w:sz w:val="18"/>
                <w:szCs w:val="18"/>
              </w:rPr>
              <w:t>(</w:t>
            </w:r>
            <w:r>
              <w:rPr>
                <w:rFonts w:ascii="宋体" w:hAnsi="宋体" w:cs="宋体" w:eastAsia="宋体" w:hint="default"/>
                <w:sz w:val="18"/>
                <w:szCs w:val="18"/>
              </w:rPr>
              <w:t>除证券、期 货</w:t>
            </w:r>
            <w:r>
              <w:rPr>
                <w:rFonts w:ascii="Times New Roman" w:hAnsi="Times New Roman" w:cs="Times New Roman" w:eastAsia="Times New Roman" w:hint="default"/>
                <w:sz w:val="18"/>
                <w:szCs w:val="18"/>
              </w:rPr>
              <w:t>)(</w:t>
            </w:r>
            <w:r>
              <w:rPr>
                <w:rFonts w:ascii="宋体" w:hAnsi="宋体" w:cs="宋体" w:eastAsia="宋体" w:hint="default"/>
                <w:sz w:val="18"/>
                <w:szCs w:val="18"/>
              </w:rPr>
              <w:t>未经金融等监管部门批准</w:t>
            </w:r>
            <w:r>
              <w:rPr>
                <w:rFonts w:ascii="Times New Roman" w:hAnsi="Times New Roman" w:cs="Times New Roman" w:eastAsia="Times New Roman" w:hint="default"/>
                <w:sz w:val="18"/>
                <w:szCs w:val="18"/>
              </w:rPr>
              <w:t>,</w:t>
            </w:r>
            <w:r>
              <w:rPr>
                <w:rFonts w:ascii="宋体" w:hAnsi="宋体" w:cs="宋体" w:eastAsia="宋体" w:hint="default"/>
                <w:sz w:val="18"/>
                <w:szCs w:val="18"/>
              </w:rPr>
              <w:t>不得从事向 公众融资存款、融资担保、代客理财等金</w:t>
            </w:r>
          </w:p>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融服务</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文化艺术交流活动策</w:t>
            </w:r>
            <w:r>
              <w:rPr>
                <w:rFonts w:ascii="宋体" w:hAnsi="宋体" w:cs="宋体" w:eastAsia="宋体" w:hint="default"/>
                <w:spacing w:val="2"/>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除演出及</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0" w:right="1157"/>
        <w:jc w:val="right"/>
      </w:pPr>
      <w:r>
        <w:rPr/>
        <w:pict>
          <v:shape style="position:absolute;margin-left:56.325001pt;margin-top:-61.578278pt;width:480.25pt;height:190.6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83"/>
                    <w:gridCol w:w="1111"/>
                    <w:gridCol w:w="1562"/>
                    <w:gridCol w:w="991"/>
                    <w:gridCol w:w="3334"/>
                  </w:tblGrid>
                  <w:tr>
                    <w:trPr>
                      <w:trHeight w:val="315" w:hRule="exact"/>
                    </w:trPr>
                    <w:tc>
                      <w:tcPr>
                        <w:tcW w:w="2583" w:type="dxa"/>
                        <w:vMerge w:val="restart"/>
                        <w:tcBorders>
                          <w:top w:val="single" w:sz="6" w:space="0" w:color="000000"/>
                          <w:left w:val="single" w:sz="6" w:space="0" w:color="000000"/>
                          <w:right w:val="single" w:sz="6" w:space="0" w:color="000000"/>
                        </w:tcBorders>
                      </w:tcPr>
                      <w:p>
                        <w:pPr/>
                      </w:p>
                    </w:tc>
                    <w:tc>
                      <w:tcPr>
                        <w:tcW w:w="1111" w:type="dxa"/>
                        <w:vMerge w:val="restart"/>
                        <w:tcBorders>
                          <w:top w:val="single" w:sz="6" w:space="0" w:color="000000"/>
                          <w:left w:val="single" w:sz="6" w:space="0" w:color="000000"/>
                          <w:right w:val="single" w:sz="6" w:space="0" w:color="000000"/>
                        </w:tcBorders>
                      </w:tcPr>
                      <w:p>
                        <w:pPr/>
                      </w:p>
                    </w:tc>
                    <w:tc>
                      <w:tcPr>
                        <w:tcW w:w="1562" w:type="dxa"/>
                        <w:vMerge w:val="restart"/>
                        <w:tcBorders>
                          <w:top w:val="single" w:sz="6" w:space="0" w:color="000000"/>
                          <w:left w:val="single" w:sz="6" w:space="0" w:color="000000"/>
                          <w:right w:val="single" w:sz="6" w:space="0" w:color="000000"/>
                        </w:tcBorders>
                      </w:tcPr>
                      <w:p>
                        <w:pPr/>
                      </w:p>
                    </w:tc>
                    <w:tc>
                      <w:tcPr>
                        <w:tcW w:w="991" w:type="dxa"/>
                        <w:vMerge w:val="restart"/>
                        <w:tcBorders>
                          <w:top w:val="single" w:sz="6" w:space="0" w:color="000000"/>
                          <w:left w:val="single" w:sz="6" w:space="0" w:color="000000"/>
                          <w:right w:val="single" w:sz="6" w:space="0" w:color="000000"/>
                        </w:tcBorders>
                      </w:tcPr>
                      <w:p>
                        <w:pPr/>
                      </w:p>
                    </w:tc>
                    <w:tc>
                      <w:tcPr>
                        <w:tcW w:w="333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4"/>
                          <w:ind w:left="15" w:right="0"/>
                          <w:jc w:val="left"/>
                          <w:rPr>
                            <w:rFonts w:ascii="宋体" w:hAnsi="宋体" w:cs="宋体" w:eastAsia="宋体" w:hint="default"/>
                            <w:sz w:val="18"/>
                            <w:szCs w:val="18"/>
                          </w:rPr>
                        </w:pPr>
                        <w:r>
                          <w:rPr>
                            <w:rFonts w:ascii="宋体" w:hAnsi="宋体" w:cs="宋体" w:eastAsia="宋体" w:hint="default"/>
                            <w:spacing w:val="-3"/>
                            <w:sz w:val="18"/>
                            <w:szCs w:val="18"/>
                          </w:rPr>
                          <w:t>演出中介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、商务信息咨询、市场调查、物</w:t>
                        </w:r>
                      </w:p>
                    </w:tc>
                  </w:tr>
                  <w:tr>
                    <w:trPr>
                      <w:trHeight w:val="295"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5" w:right="0"/>
                          <w:jc w:val="left"/>
                          <w:rPr>
                            <w:rFonts w:ascii="宋体" w:hAnsi="宋体" w:cs="宋体" w:eastAsia="宋体" w:hint="default"/>
                            <w:sz w:val="18"/>
                            <w:szCs w:val="18"/>
                          </w:rPr>
                        </w:pPr>
                        <w:r>
                          <w:rPr>
                            <w:rFonts w:ascii="宋体" w:hAnsi="宋体" w:cs="宋体" w:eastAsia="宋体" w:hint="default"/>
                            <w:sz w:val="18"/>
                            <w:szCs w:val="18"/>
                          </w:rPr>
                          <w:t>业管理、停车场管理、公关礼仪、会务服</w:t>
                        </w:r>
                      </w:p>
                    </w:tc>
                  </w:tr>
                  <w:tr>
                    <w:trPr>
                      <w:trHeight w:val="315"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务、企业形象策划、品牌管理、市场营销</w:t>
                        </w:r>
                      </w:p>
                    </w:tc>
                  </w:tr>
                  <w:tr>
                    <w:trPr>
                      <w:trHeight w:val="323"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策划、图文设计、网页设计、平面设计、</w:t>
                        </w:r>
                      </w:p>
                    </w:tc>
                  </w:tr>
                  <w:tr>
                    <w:trPr>
                      <w:trHeight w:val="328"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5" w:right="0"/>
                          <w:jc w:val="left"/>
                          <w:rPr>
                            <w:rFonts w:ascii="宋体" w:hAnsi="宋体" w:cs="宋体" w:eastAsia="宋体" w:hint="default"/>
                            <w:sz w:val="18"/>
                            <w:szCs w:val="18"/>
                          </w:rPr>
                        </w:pPr>
                        <w:r>
                          <w:rPr>
                            <w:rFonts w:ascii="宋体" w:hAnsi="宋体" w:cs="宋体" w:eastAsia="宋体" w:hint="default"/>
                            <w:spacing w:val="-7"/>
                            <w:sz w:val="18"/>
                            <w:szCs w:val="18"/>
                          </w:rPr>
                          <w:t>婚礼策划</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技术开发、技术服务、技术咨询</w:t>
                        </w:r>
                      </w:p>
                    </w:tc>
                  </w:tr>
                  <w:tr>
                    <w:trPr>
                      <w:trHeight w:val="300"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z w:val="18"/>
                            <w:szCs w:val="18"/>
                          </w:rPr>
                          <w:t>成果转让</w:t>
                        </w:r>
                        <w:r>
                          <w:rPr>
                            <w:rFonts w:ascii="Times New Roman" w:hAnsi="Times New Roman" w:cs="Times New Roman" w:eastAsia="Times New Roman" w:hint="default"/>
                            <w:sz w:val="18"/>
                            <w:szCs w:val="18"/>
                          </w:rPr>
                          <w:t>:</w:t>
                        </w:r>
                        <w:r>
                          <w:rPr>
                            <w:rFonts w:ascii="宋体" w:hAnsi="宋体" w:cs="宋体" w:eastAsia="宋体" w:hint="default"/>
                            <w:sz w:val="18"/>
                            <w:szCs w:val="18"/>
                          </w:rPr>
                          <w:t>农业技术、电子技术、计算机软</w:t>
                        </w:r>
                      </w:p>
                    </w:tc>
                  </w:tr>
                  <w:tr>
                    <w:trPr>
                      <w:trHeight w:val="295"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28" w:lineRule="exact"/>
                          <w:ind w:left="15" w:right="0"/>
                          <w:jc w:val="left"/>
                          <w:rPr>
                            <w:rFonts w:ascii="宋体" w:hAnsi="宋体" w:cs="宋体" w:eastAsia="宋体" w:hint="default"/>
                            <w:sz w:val="18"/>
                            <w:szCs w:val="18"/>
                          </w:rPr>
                        </w:pPr>
                        <w:r>
                          <w:rPr>
                            <w:rFonts w:ascii="宋体" w:hAnsi="宋体" w:cs="宋体" w:eastAsia="宋体" w:hint="default"/>
                            <w:sz w:val="18"/>
                            <w:szCs w:val="18"/>
                          </w:rPr>
                          <w:t>件；销售：日用百货、五金交电、家用电</w:t>
                        </w:r>
                      </w:p>
                    </w:tc>
                  </w:tr>
                  <w:tr>
                    <w:trPr>
                      <w:trHeight w:val="323"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40" w:lineRule="auto" w:before="12"/>
                          <w:ind w:left="15" w:right="0"/>
                          <w:jc w:val="left"/>
                          <w:rPr>
                            <w:rFonts w:ascii="宋体" w:hAnsi="宋体" w:cs="宋体" w:eastAsia="宋体" w:hint="default"/>
                            <w:sz w:val="18"/>
                            <w:szCs w:val="18"/>
                          </w:rPr>
                        </w:pPr>
                        <w:r>
                          <w:rPr>
                            <w:rFonts w:ascii="宋体" w:hAnsi="宋体" w:cs="宋体" w:eastAsia="宋体" w:hint="default"/>
                            <w:sz w:val="18"/>
                            <w:szCs w:val="18"/>
                          </w:rPr>
                          <w:t>器、金属材料、工艺美术品；货物或技术</w:t>
                        </w:r>
                      </w:p>
                    </w:tc>
                  </w:tr>
                  <w:tr>
                    <w:trPr>
                      <w:trHeight w:val="328"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40" w:lineRule="auto" w:before="19"/>
                          <w:ind w:left="15" w:right="0"/>
                          <w:jc w:val="left"/>
                          <w:rPr>
                            <w:rFonts w:ascii="宋体" w:hAnsi="宋体" w:cs="宋体" w:eastAsia="宋体" w:hint="default"/>
                            <w:sz w:val="18"/>
                            <w:szCs w:val="18"/>
                          </w:rPr>
                        </w:pPr>
                        <w:r>
                          <w:rPr>
                            <w:rFonts w:ascii="宋体" w:hAnsi="宋体" w:cs="宋体" w:eastAsia="宋体" w:hint="default"/>
                            <w:sz w:val="18"/>
                            <w:szCs w:val="18"/>
                          </w:rPr>
                          <w:t>进出口</w:t>
                        </w:r>
                        <w:r>
                          <w:rPr>
                            <w:rFonts w:ascii="Times New Roman" w:hAnsi="Times New Roman" w:cs="Times New Roman" w:eastAsia="Times New Roman" w:hint="default"/>
                            <w:sz w:val="18"/>
                            <w:szCs w:val="18"/>
                          </w:rPr>
                          <w:t>(</w:t>
                        </w:r>
                        <w:r>
                          <w:rPr>
                            <w:rFonts w:ascii="宋体" w:hAnsi="宋体" w:cs="宋体" w:eastAsia="宋体" w:hint="default"/>
                            <w:sz w:val="18"/>
                            <w:szCs w:val="18"/>
                          </w:rPr>
                          <w:t>国家禁止或涉及行政审批的货物</w:t>
                        </w:r>
                      </w:p>
                    </w:tc>
                  </w:tr>
                  <w:tr>
                    <w:trPr>
                      <w:trHeight w:val="315"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z w:val="18"/>
                            <w:szCs w:val="18"/>
                          </w:rPr>
                          <w:t>和技术进出口除外</w:t>
                        </w:r>
                        <w:r>
                          <w:rPr>
                            <w:rFonts w:ascii="Times New Roman" w:hAnsi="Times New Roman" w:cs="Times New Roman" w:eastAsia="Times New Roman" w:hint="default"/>
                            <w:sz w:val="18"/>
                            <w:szCs w:val="18"/>
                          </w:rPr>
                          <w:t>)</w:t>
                        </w:r>
                        <w:r>
                          <w:rPr>
                            <w:rFonts w:ascii="宋体" w:hAnsi="宋体" w:cs="宋体" w:eastAsia="宋体" w:hint="default"/>
                            <w:sz w:val="18"/>
                            <w:szCs w:val="18"/>
                          </w:rPr>
                          <w:t>；其他无需报经审批的</w:t>
                        </w:r>
                      </w:p>
                    </w:tc>
                  </w:tr>
                  <w:tr>
                    <w:trPr>
                      <w:trHeight w:val="308" w:hRule="exact"/>
                    </w:trPr>
                    <w:tc>
                      <w:tcPr>
                        <w:tcW w:w="2583" w:type="dxa"/>
                        <w:vMerge/>
                        <w:tcBorders>
                          <w:left w:val="single" w:sz="6" w:space="0" w:color="000000"/>
                          <w:right w:val="single" w:sz="6" w:space="0" w:color="000000"/>
                        </w:tcBorders>
                      </w:tcPr>
                      <w:p>
                        <w:pPr/>
                      </w:p>
                    </w:tc>
                    <w:tc>
                      <w:tcPr>
                        <w:tcW w:w="1111" w:type="dxa"/>
                        <w:vMerge/>
                        <w:tcBorders>
                          <w:left w:val="single" w:sz="6" w:space="0" w:color="000000"/>
                          <w:right w:val="single" w:sz="6" w:space="0" w:color="000000"/>
                        </w:tcBorders>
                      </w:tcPr>
                      <w:p>
                        <w:pPr/>
                      </w:p>
                    </w:tc>
                    <w:tc>
                      <w:tcPr>
                        <w:tcW w:w="1562" w:type="dxa"/>
                        <w:vMerge/>
                        <w:tcBorders>
                          <w:left w:val="single" w:sz="6" w:space="0" w:color="000000"/>
                          <w:right w:val="single" w:sz="6" w:space="0" w:color="000000"/>
                        </w:tcBorders>
                      </w:tcPr>
                      <w:p>
                        <w:pPr/>
                      </w:p>
                    </w:tc>
                    <w:tc>
                      <w:tcPr>
                        <w:tcW w:w="991" w:type="dxa"/>
                        <w:vMerge/>
                        <w:tcBorders>
                          <w:left w:val="single" w:sz="6" w:space="0" w:color="000000"/>
                          <w:right w:val="single" w:sz="6" w:space="0" w:color="000000"/>
                        </w:tcBorders>
                      </w:tcPr>
                      <w:p>
                        <w:pPr/>
                      </w:p>
                    </w:tc>
                    <w:tc>
                      <w:tcPr>
                        <w:tcW w:w="3334" w:type="dxa"/>
                        <w:tcBorders>
                          <w:top w:val="nil" w:sz="6" w:space="0" w:color="auto"/>
                          <w:left w:val="single" w:sz="6" w:space="0" w:color="000000"/>
                          <w:bottom w:val="nil" w:sz="6" w:space="0" w:color="auto"/>
                          <w:right w:val="single" w:sz="6" w:space="0" w:color="000000"/>
                        </w:tcBorders>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sz w:val="18"/>
                            <w:szCs w:val="18"/>
                          </w:rPr>
                          <w:t>一切合法项目。</w:t>
                        </w:r>
                        <w:r>
                          <w:rPr>
                            <w:rFonts w:ascii="Times New Roman" w:hAnsi="Times New Roman" w:cs="Times New Roman" w:eastAsia="Times New Roman" w:hint="default"/>
                            <w:sz w:val="18"/>
                            <w:szCs w:val="18"/>
                          </w:rPr>
                          <w:t>(</w:t>
                        </w:r>
                        <w:r>
                          <w:rPr>
                            <w:rFonts w:ascii="宋体" w:hAnsi="宋体" w:cs="宋体" w:eastAsia="宋体" w:hint="default"/>
                            <w:sz w:val="18"/>
                            <w:szCs w:val="18"/>
                          </w:rPr>
                          <w:t>依法须经批准的项目，经</w:t>
                        </w:r>
                      </w:p>
                    </w:tc>
                  </w:tr>
                  <w:tr>
                    <w:trPr>
                      <w:trHeight w:val="352" w:hRule="exact"/>
                    </w:trPr>
                    <w:tc>
                      <w:tcPr>
                        <w:tcW w:w="2583" w:type="dxa"/>
                        <w:vMerge/>
                        <w:tcBorders>
                          <w:left w:val="single" w:sz="6" w:space="0" w:color="000000"/>
                          <w:bottom w:val="single" w:sz="6" w:space="0" w:color="000000"/>
                          <w:right w:val="single" w:sz="6" w:space="0" w:color="000000"/>
                        </w:tcBorders>
                      </w:tcPr>
                      <w:p>
                        <w:pPr/>
                      </w:p>
                    </w:tc>
                    <w:tc>
                      <w:tcPr>
                        <w:tcW w:w="1111" w:type="dxa"/>
                        <w:vMerge/>
                        <w:tcBorders>
                          <w:left w:val="single" w:sz="6" w:space="0" w:color="000000"/>
                          <w:bottom w:val="single" w:sz="6" w:space="0" w:color="000000"/>
                          <w:right w:val="single" w:sz="6" w:space="0" w:color="000000"/>
                        </w:tcBorders>
                      </w:tcPr>
                      <w:p>
                        <w:pPr/>
                      </w:p>
                    </w:tc>
                    <w:tc>
                      <w:tcPr>
                        <w:tcW w:w="1562" w:type="dxa"/>
                        <w:vMerge/>
                        <w:tcBorders>
                          <w:left w:val="single" w:sz="6" w:space="0" w:color="000000"/>
                          <w:bottom w:val="single" w:sz="6" w:space="0" w:color="000000"/>
                          <w:right w:val="single" w:sz="6" w:space="0" w:color="000000"/>
                        </w:tcBorders>
                      </w:tcPr>
                      <w:p>
                        <w:pPr/>
                      </w:p>
                    </w:tc>
                    <w:tc>
                      <w:tcPr>
                        <w:tcW w:w="991" w:type="dxa"/>
                        <w:vMerge/>
                        <w:tcBorders>
                          <w:left w:val="single" w:sz="6" w:space="0" w:color="000000"/>
                          <w:bottom w:val="single" w:sz="6" w:space="0" w:color="000000"/>
                          <w:right w:val="single" w:sz="6" w:space="0" w:color="000000"/>
                        </w:tcBorders>
                      </w:tcPr>
                      <w:p>
                        <w:pPr/>
                      </w:p>
                    </w:tc>
                    <w:tc>
                      <w:tcPr>
                        <w:tcW w:w="3334" w:type="dxa"/>
                        <w:tcBorders>
                          <w:top w:val="nil" w:sz="6" w:space="0" w:color="auto"/>
                          <w:left w:val="single" w:sz="6" w:space="0" w:color="000000"/>
                          <w:bottom w:val="single" w:sz="6" w:space="0" w:color="000000"/>
                          <w:right w:val="single" w:sz="6" w:space="0" w:color="000000"/>
                        </w:tcBorders>
                      </w:tcPr>
                      <w:p>
                        <w:pPr>
                          <w:pStyle w:val="TableParagraph"/>
                          <w:spacing w:line="249" w:lineRule="exact"/>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相关部门批准后方可开展经营活动</w:t>
                        </w:r>
                        <w:r>
                          <w:rPr>
                            <w:rFonts w:ascii="Times New Roman" w:hAnsi="Times New Roman" w:cs="Times New Roman" w:eastAsia="Times New Roman"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5"/>
        <w:spacing w:line="240" w:lineRule="auto" w:before="35"/>
        <w:ind w:right="1086"/>
        <w:jc w:val="left"/>
        <w:rPr>
          <w:b w:val="0"/>
          <w:bCs w:val="0"/>
        </w:rPr>
      </w:pPr>
      <w:bookmarkStart w:name="5、控股股东、实际控制人、重组方及其他承诺主体股份限制减持情况" w:id="115"/>
      <w:bookmarkEnd w:id="115"/>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3355" w:right="1086"/>
        <w:jc w:val="left"/>
        <w:rPr>
          <w:b w:val="0"/>
          <w:bCs w:val="0"/>
        </w:rPr>
      </w:pPr>
      <w:bookmarkStart w:name="_TOC_250006" w:id="116"/>
      <w:bookmarkStart w:name="第七节优先股相关情况" w:id="117"/>
      <w:r>
        <w:rPr>
          <w:b w:val="0"/>
          <w:bCs w:val="0"/>
        </w:rPr>
      </w:r>
      <w:r>
        <w:rPr>
          <w:spacing w:val="5"/>
        </w:rPr>
        <w:t>第七节优先股相关情况</w:t>
      </w:r>
      <w:bookmarkEnd w:id="116"/>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2709" w:right="1086"/>
        <w:jc w:val="left"/>
        <w:rPr>
          <w:b w:val="0"/>
          <w:bCs w:val="0"/>
        </w:rPr>
      </w:pPr>
      <w:bookmarkStart w:name="_TOC_250005" w:id="118"/>
      <w:bookmarkStart w:name="第八节可转换公司债券相关情况" w:id="119"/>
      <w:r>
        <w:rPr>
          <w:b w:val="0"/>
          <w:bCs w:val="0"/>
        </w:rPr>
      </w:r>
      <w:r>
        <w:rPr>
          <w:spacing w:val="5"/>
        </w:rPr>
        <w:t>第八节可转换公司债券相关情况</w:t>
      </w:r>
      <w:bookmarkEnd w:id="118"/>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before="0"/>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1748" w:right="1086"/>
        <w:jc w:val="left"/>
        <w:rPr>
          <w:b w:val="0"/>
          <w:bCs w:val="0"/>
        </w:rPr>
      </w:pPr>
      <w:bookmarkStart w:name="_TOC_250004" w:id="120"/>
      <w:bookmarkStart w:name="第九节董事、监事、高级管理人员和员工情况" w:id="121"/>
      <w:r>
        <w:rPr>
          <w:b w:val="0"/>
          <w:bCs w:val="0"/>
        </w:rPr>
      </w:r>
      <w:r>
        <w:rPr>
          <w:spacing w:val="5"/>
        </w:rPr>
        <w:t>第九节董事、监事、高级管理人员和员工情况</w:t>
      </w:r>
      <w:bookmarkEnd w:id="120"/>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1086"/>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540"/>
        <w:gridCol w:w="571"/>
        <w:gridCol w:w="556"/>
        <w:gridCol w:w="856"/>
        <w:gridCol w:w="856"/>
        <w:gridCol w:w="1126"/>
        <w:gridCol w:w="856"/>
        <w:gridCol w:w="856"/>
        <w:gridCol w:w="841"/>
        <w:gridCol w:w="100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90" w:right="73"/>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5"/>
              <w:jc w:val="center"/>
              <w:rPr>
                <w:rFonts w:ascii="宋体" w:hAnsi="宋体" w:cs="宋体" w:eastAsia="宋体" w:hint="default"/>
                <w:sz w:val="18"/>
                <w:szCs w:val="18"/>
              </w:rPr>
            </w:pPr>
            <w:r>
              <w:rPr>
                <w:rFonts w:ascii="宋体" w:hAnsi="宋体" w:cs="宋体" w:eastAsia="宋体" w:hint="default"/>
                <w:sz w:val="18"/>
                <w:szCs w:val="18"/>
              </w:rPr>
              <w:t>性别</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40" w:right="59" w:hanging="181"/>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40" w:right="60" w:hanging="181"/>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1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0" w:right="60"/>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0" w:right="60"/>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5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60" w:firstLine="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9"/>
              <w:ind w:left="-121"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（股）</w:t>
            </w: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章笠中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19" w:right="29" w:hanging="90"/>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24,601,203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2"/>
              <w:jc w:val="center"/>
              <w:rPr>
                <w:rFonts w:ascii="Times New Roman" w:hAnsi="Times New Roman" w:cs="Times New Roman" w:eastAsia="Times New Roman" w:hint="default"/>
                <w:sz w:val="18"/>
                <w:szCs w:val="18"/>
              </w:rPr>
            </w:pPr>
            <w:r>
              <w:rPr>
                <w:rFonts w:ascii="Times New Roman"/>
                <w:sz w:val="18"/>
              </w:rPr>
              <w:t>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z w:val="18"/>
              </w:rPr>
              <w:t>24,601,203</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孙新军</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30" w:right="29" w:firstLine="89"/>
              <w:jc w:val="left"/>
              <w:rPr>
                <w:rFonts w:ascii="宋体" w:hAnsi="宋体" w:cs="宋体" w:eastAsia="宋体" w:hint="default"/>
                <w:sz w:val="18"/>
                <w:szCs w:val="18"/>
              </w:rPr>
            </w:pPr>
            <w:r>
              <w:rPr>
                <w:rFonts w:ascii="宋体" w:hAnsi="宋体" w:cs="宋体" w:eastAsia="宋体" w:hint="default"/>
                <w:sz w:val="18"/>
                <w:szCs w:val="18"/>
              </w:rPr>
              <w:t>副董事 长、副总 经理、董 事会秘书</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6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周燕儿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19" w:right="29" w:hanging="90"/>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女</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张立民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蔡在法</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严义</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08</w:t>
            </w:r>
          </w:p>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曾正</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0" w:right="29" w:hanging="27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女</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楼翔</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汪骏</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职工监事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王凛</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0" w:right="29" w:hanging="271"/>
              <w:jc w:val="left"/>
              <w:rPr>
                <w:rFonts w:ascii="宋体" w:hAnsi="宋体" w:cs="宋体" w:eastAsia="宋体" w:hint="default"/>
                <w:sz w:val="18"/>
                <w:szCs w:val="18"/>
              </w:rPr>
            </w:pPr>
            <w:r>
              <w:rPr>
                <w:rFonts w:ascii="宋体" w:hAnsi="宋体" w:cs="宋体" w:eastAsia="宋体" w:hint="default"/>
                <w:sz w:val="18"/>
                <w:szCs w:val="18"/>
              </w:rPr>
              <w:t>财务负责 人</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06</w:t>
            </w:r>
          </w:p>
          <w:p>
            <w:pPr>
              <w:pStyle w:val="TableParagraph"/>
              <w:spacing w:line="240" w:lineRule="auto" w:before="6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魏利伟</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w:t>
            </w:r>
          </w:p>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30"/>
              <w:jc w:val="center"/>
              <w:rPr>
                <w:rFonts w:ascii="宋体" w:hAnsi="宋体" w:cs="宋体" w:eastAsia="宋体" w:hint="default"/>
                <w:sz w:val="18"/>
                <w:szCs w:val="18"/>
              </w:rPr>
            </w:pPr>
            <w:r>
              <w:rPr>
                <w:rFonts w:ascii="宋体" w:hAnsi="宋体" w:cs="宋体" w:eastAsia="宋体" w:hint="default"/>
                <w:sz w:val="18"/>
                <w:szCs w:val="18"/>
              </w:rPr>
              <w:t>梁健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男</w:t>
            </w:r>
          </w:p>
        </w:tc>
        <w:tc>
          <w:tcPr>
            <w:tcW w:w="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04</w:t>
            </w:r>
          </w:p>
          <w:p>
            <w:pPr>
              <w:pStyle w:val="TableParagraph"/>
              <w:spacing w:line="240" w:lineRule="auto" w:before="66"/>
              <w:ind w:left="10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12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54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5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c>
          <w:tcPr>
            <w:tcW w:w="5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24,601,203</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88"/>
              <w:jc w:val="right"/>
              <w:rPr>
                <w:rFonts w:ascii="Times New Roman" w:hAnsi="Times New Roman" w:cs="Times New Roman" w:eastAsia="Times New Roman" w:hint="default"/>
                <w:sz w:val="18"/>
                <w:szCs w:val="18"/>
              </w:rPr>
            </w:pPr>
            <w:r>
              <w:rPr>
                <w:rFonts w:ascii="Times New Roman"/>
                <w:sz w:val="18"/>
              </w:rPr>
              <w:t>24,601,203</w:t>
            </w:r>
          </w:p>
        </w:tc>
      </w:tr>
    </w:tbl>
    <w:p>
      <w:pPr>
        <w:spacing w:line="240" w:lineRule="auto" w:before="12"/>
        <w:rPr>
          <w:rFonts w:ascii="宋体" w:hAnsi="宋体" w:cs="宋体" w:eastAsia="宋体" w:hint="default"/>
          <w:b/>
          <w:bCs/>
          <w:sz w:val="17"/>
          <w:szCs w:val="17"/>
        </w:rPr>
      </w:pPr>
    </w:p>
    <w:p>
      <w:pPr>
        <w:pStyle w:val="Heading2"/>
        <w:spacing w:line="240" w:lineRule="auto" w:before="26"/>
        <w:ind w:right="1086"/>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2102"/>
        <w:gridCol w:w="3484"/>
      </w:tblGrid>
      <w:tr>
        <w:trPr>
          <w:trHeight w:val="405"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日期</w:t>
            </w:r>
          </w:p>
        </w:tc>
        <w:tc>
          <w:tcPr>
            <w:tcW w:w="34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魏利伟</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日</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个人原因</w:t>
            </w:r>
          </w:p>
        </w:tc>
      </w:tr>
      <w:tr>
        <w:trPr>
          <w:trHeight w:val="390"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梁健</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个人原因</w:t>
            </w:r>
          </w:p>
        </w:tc>
      </w:tr>
    </w:tbl>
    <w:p>
      <w:pPr>
        <w:spacing w:line="240" w:lineRule="auto" w:before="12"/>
        <w:rPr>
          <w:rFonts w:ascii="宋体" w:hAnsi="宋体" w:cs="宋体" w:eastAsia="宋体" w:hint="default"/>
          <w:sz w:val="17"/>
          <w:szCs w:val="17"/>
        </w:rPr>
      </w:pPr>
    </w:p>
    <w:p>
      <w:pPr>
        <w:pStyle w:val="Heading2"/>
        <w:spacing w:line="240" w:lineRule="auto" w:before="26"/>
        <w:ind w:right="1086"/>
        <w:jc w:val="left"/>
        <w:rPr>
          <w:b w:val="0"/>
          <w:bCs w:val="0"/>
        </w:rPr>
      </w:pPr>
      <w:bookmarkStart w:name="三、任职情况" w:id="124"/>
      <w:bookmarkEnd w:id="124"/>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086"/>
        <w:jc w:val="left"/>
      </w:pPr>
      <w:r>
        <w:rPr/>
        <w:t>公司现任董事、监事、高级管理人员专业背景、主要工作经历以及目前在公司的主要职责</w:t>
      </w:r>
    </w:p>
    <w:p>
      <w:pPr>
        <w:pStyle w:val="BodyText"/>
        <w:spacing w:line="434" w:lineRule="auto" w:before="124"/>
        <w:ind w:left="501" w:right="1086"/>
        <w:jc w:val="left"/>
      </w:pPr>
      <w:r>
        <w:rPr>
          <w:rFonts w:ascii="Times New Roman" w:hAnsi="Times New Roman" w:cs="Times New Roman" w:eastAsia="Times New Roman" w:hint="default"/>
          <w:b/>
          <w:bCs/>
        </w:rPr>
        <w:t>1</w:t>
      </w:r>
      <w:r>
        <w:rPr>
          <w:rFonts w:ascii="宋体" w:hAnsi="宋体" w:cs="宋体" w:eastAsia="宋体" w:hint="default"/>
          <w:b/>
          <w:bCs/>
        </w:rPr>
        <w:t>、董事</w:t>
      </w:r>
      <w:r>
        <w:rPr>
          <w:rFonts w:ascii="宋体" w:hAnsi="宋体" w:cs="宋体" w:eastAsia="宋体" w:hint="default"/>
          <w:b/>
          <w:bCs/>
          <w:w w:val="99"/>
        </w:rPr>
        <w:t> </w:t>
      </w:r>
      <w:r>
        <w:rPr>
          <w:spacing w:val="-2"/>
        </w:rPr>
        <w:t>章笠中先生，</w:t>
      </w:r>
      <w:r>
        <w:rPr>
          <w:rFonts w:ascii="宋体" w:hAnsi="宋体" w:cs="宋体" w:eastAsia="宋体" w:hint="default"/>
          <w:spacing w:val="-2"/>
        </w:rPr>
        <w:t>1963</w:t>
      </w:r>
      <w:r>
        <w:rPr>
          <w:spacing w:val="-2"/>
        </w:rPr>
        <w:t>年出生，中国国籍，无境外永久居留权，研究生学历，高级工程师，系国家高层次人才特殊支持计划</w:t>
      </w:r>
    </w:p>
    <w:p>
      <w:pPr>
        <w:pStyle w:val="BodyText"/>
        <w:spacing w:line="405" w:lineRule="auto" w:before="24"/>
        <w:ind w:right="0"/>
        <w:jc w:val="left"/>
      </w:pPr>
      <w:r>
        <w:rPr>
          <w:spacing w:val="-4"/>
        </w:rPr>
        <w:t>科技创新创业人才。曾获浙江省科技进步一等奖一次、二等奖两次，杭州市科技进步一、二等奖三次，第四届“科技新浙商”</w:t>
      </w:r>
      <w:r>
        <w:rPr>
          <w:spacing w:val="-44"/>
        </w:rPr>
        <w:t> </w:t>
      </w:r>
      <w:r>
        <w:rPr>
          <w:spacing w:val="-44"/>
        </w:rPr>
      </w:r>
      <w:r>
        <w:rPr>
          <w:spacing w:val="-2"/>
        </w:rPr>
        <w:t>等荣誉称号。现为中国卫生信息学会卫生信息标准委员会常委，医疗物联网与移动医疗学组副组长；中国医院协会信息管理</w:t>
      </w:r>
      <w:r>
        <w:rPr>
          <w:spacing w:val="-75"/>
        </w:rPr>
        <w:t> </w:t>
      </w:r>
      <w:r>
        <w:rPr>
          <w:spacing w:val="-75"/>
        </w:rPr>
      </w:r>
      <w:r>
        <w:rPr>
          <w:spacing w:val="-2"/>
        </w:rPr>
        <w:t>专业委员会（</w:t>
      </w:r>
      <w:r>
        <w:rPr>
          <w:rFonts w:ascii="宋体" w:hAnsi="宋体" w:cs="宋体" w:eastAsia="宋体" w:hint="default"/>
          <w:spacing w:val="-2"/>
        </w:rPr>
        <w:t>CHIMA</w:t>
      </w:r>
      <w:r>
        <w:rPr>
          <w:spacing w:val="-2"/>
        </w:rPr>
        <w:t>）委员；《中国卫生信息管理杂志》编委兼常务理事。历任杭州师范大学教师，银江股份有限公司董事、</w:t>
      </w:r>
      <w:r>
        <w:rPr>
          <w:spacing w:val="-67"/>
        </w:rPr>
        <w:t> </w:t>
      </w:r>
      <w:r>
        <w:rPr>
          <w:spacing w:val="-67"/>
        </w:rPr>
      </w:r>
      <w:r>
        <w:rPr>
          <w:spacing w:val="-2"/>
        </w:rPr>
        <w:t>副总经理。</w:t>
      </w:r>
      <w:r>
        <w:rPr>
          <w:rFonts w:ascii="宋体" w:hAnsi="宋体" w:cs="宋体" w:eastAsia="宋体" w:hint="default"/>
          <w:spacing w:val="-2"/>
        </w:rPr>
        <w:t>2011</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月任医惠科技有限公司董事长、总经理；</w:t>
      </w:r>
      <w:r>
        <w:rPr>
          <w:rFonts w:ascii="宋体" w:hAnsi="宋体" w:cs="宋体" w:eastAsia="宋体" w:hint="default"/>
          <w:spacing w:val="-2"/>
        </w:rPr>
        <w:t>2015</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1</w:t>
      </w:r>
      <w:r>
        <w:rPr>
          <w:spacing w:val="-2"/>
        </w:rPr>
        <w:t>月任公司副董事长、董事、总</w:t>
      </w:r>
      <w:r>
        <w:rPr>
          <w:spacing w:val="-34"/>
        </w:rPr>
        <w:t> </w:t>
      </w:r>
      <w:r>
        <w:rPr>
          <w:spacing w:val="-34"/>
        </w:rPr>
      </w:r>
      <w:r>
        <w:rPr/>
        <w:t>经理；</w:t>
      </w:r>
      <w:r>
        <w:rPr>
          <w:rFonts w:ascii="宋体" w:hAnsi="宋体" w:cs="宋体" w:eastAsia="宋体" w:hint="default"/>
        </w:rPr>
        <w:t>2017</w:t>
      </w:r>
      <w:r>
        <w:rPr/>
        <w:t>年</w:t>
      </w:r>
      <w:r>
        <w:rPr>
          <w:rFonts w:ascii="宋体" w:hAnsi="宋体" w:cs="宋体" w:eastAsia="宋体" w:hint="default"/>
        </w:rPr>
        <w:t>1</w:t>
      </w:r>
      <w:r>
        <w:rPr/>
        <w:t>月至今任公司董事长、总经理。</w:t>
      </w:r>
    </w:p>
    <w:p>
      <w:pPr>
        <w:pStyle w:val="BodyText"/>
        <w:spacing w:line="408" w:lineRule="auto" w:before="90"/>
        <w:ind w:right="1111" w:firstLine="360"/>
        <w:jc w:val="both"/>
      </w:pPr>
      <w:r>
        <w:rPr>
          <w:spacing w:val="-2"/>
        </w:rPr>
        <w:t>孙新军先生，</w:t>
      </w:r>
      <w:r>
        <w:rPr>
          <w:rFonts w:ascii="宋体" w:hAnsi="宋体" w:cs="宋体" w:eastAsia="宋体" w:hint="default"/>
          <w:spacing w:val="-2"/>
        </w:rPr>
        <w:t>1970</w:t>
      </w:r>
      <w:r>
        <w:rPr>
          <w:spacing w:val="-2"/>
        </w:rPr>
        <w:t>年出生，中国国籍，无境外永久居留权，研究生学历。</w:t>
      </w:r>
      <w:r>
        <w:rPr>
          <w:rFonts w:ascii="宋体" w:hAnsi="宋体" w:cs="宋体" w:eastAsia="宋体" w:hint="default"/>
          <w:spacing w:val="-2"/>
        </w:rPr>
        <w:t>1996</w:t>
      </w:r>
      <w:r>
        <w:rPr>
          <w:spacing w:val="-2"/>
        </w:rPr>
        <w:t>年</w:t>
      </w:r>
      <w:r>
        <w:rPr>
          <w:rFonts w:ascii="宋体" w:hAnsi="宋体" w:cs="宋体" w:eastAsia="宋体" w:hint="default"/>
          <w:spacing w:val="-2"/>
        </w:rPr>
        <w:t>4</w:t>
      </w:r>
      <w:r>
        <w:rPr>
          <w:spacing w:val="-2"/>
        </w:rPr>
        <w:t>月至</w:t>
      </w:r>
      <w:r>
        <w:rPr>
          <w:rFonts w:ascii="宋体" w:hAnsi="宋体" w:cs="宋体" w:eastAsia="宋体" w:hint="default"/>
          <w:spacing w:val="-2"/>
        </w:rPr>
        <w:t>2011</w:t>
      </w:r>
      <w:r>
        <w:rPr>
          <w:spacing w:val="-2"/>
        </w:rPr>
        <w:t>年</w:t>
      </w:r>
      <w:r>
        <w:rPr>
          <w:rFonts w:ascii="宋体" w:hAnsi="宋体" w:cs="宋体" w:eastAsia="宋体" w:hint="default"/>
          <w:spacing w:val="-2"/>
        </w:rPr>
        <w:t>8</w:t>
      </w:r>
      <w:r>
        <w:rPr>
          <w:spacing w:val="-2"/>
        </w:rPr>
        <w:t>月在浙江省国际信托投资</w:t>
      </w:r>
      <w:r>
        <w:rPr/>
        <w:t> </w:t>
      </w:r>
      <w:r>
        <w:rPr>
          <w:spacing w:val="-2"/>
        </w:rPr>
        <w:t>公司、浙江国信控股集团有限公司、浙江国信租赁有限公司历任集团子公司综合管理部经理、总经理助理、副总经理，</w:t>
      </w:r>
      <w:r>
        <w:rPr>
          <w:rFonts w:ascii="宋体" w:hAnsi="宋体" w:cs="宋体" w:eastAsia="宋体" w:hint="default"/>
          <w:spacing w:val="-2"/>
        </w:rPr>
        <w:t>2011</w:t>
      </w:r>
      <w:r>
        <w:rPr>
          <w:rFonts w:ascii="宋体" w:hAnsi="宋体" w:cs="宋体" w:eastAsia="宋体" w:hint="default"/>
          <w:spacing w:val="-42"/>
        </w:rPr>
        <w:t> </w:t>
      </w:r>
      <w:r>
        <w:rPr/>
        <w:t>年</w:t>
      </w:r>
      <w:r>
        <w:rPr>
          <w:rFonts w:ascii="宋体" w:hAnsi="宋体" w:cs="宋体" w:eastAsia="宋体" w:hint="default"/>
        </w:rPr>
        <w:t>9</w:t>
      </w:r>
      <w:r>
        <w:rPr/>
        <w:t>月至今任医惠科技有限公司副总裁；</w:t>
      </w:r>
      <w:r>
        <w:rPr>
          <w:rFonts w:ascii="宋体" w:hAnsi="宋体" w:cs="宋体" w:eastAsia="宋体" w:hint="default"/>
        </w:rPr>
        <w:t>2015</w:t>
      </w:r>
      <w:r>
        <w:rPr/>
        <w:t>年</w:t>
      </w:r>
      <w:r>
        <w:rPr>
          <w:rFonts w:ascii="宋体" w:hAnsi="宋体" w:cs="宋体" w:eastAsia="宋体" w:hint="default"/>
        </w:rPr>
        <w:t>8</w:t>
      </w:r>
      <w:r>
        <w:rPr/>
        <w:t>月至今任公司董事；</w:t>
      </w:r>
      <w:r>
        <w:rPr>
          <w:rFonts w:ascii="宋体" w:hAnsi="宋体" w:cs="宋体" w:eastAsia="宋体" w:hint="default"/>
        </w:rPr>
        <w:t>2017</w:t>
      </w:r>
      <w:r>
        <w:rPr/>
        <w:t>年</w:t>
      </w:r>
      <w:r>
        <w:rPr>
          <w:rFonts w:ascii="宋体" w:hAnsi="宋体" w:cs="宋体" w:eastAsia="宋体" w:hint="default"/>
        </w:rPr>
        <w:t>5</w:t>
      </w:r>
      <w:r>
        <w:rPr/>
        <w:t>月至今任公司董事、副总经理、董事会秘书；</w:t>
      </w:r>
      <w:r>
        <w:rPr>
          <w:spacing w:val="-85"/>
        </w:rPr>
        <w:t> </w:t>
      </w:r>
      <w:r>
        <w:rPr>
          <w:rFonts w:ascii="宋体" w:hAnsi="宋体" w:cs="宋体" w:eastAsia="宋体" w:hint="default"/>
        </w:rPr>
        <w:t>2018</w:t>
      </w:r>
      <w:r>
        <w:rPr/>
        <w:t>年</w:t>
      </w:r>
      <w:r>
        <w:rPr>
          <w:rFonts w:ascii="宋体" w:hAnsi="宋体" w:cs="宋体" w:eastAsia="宋体" w:hint="default"/>
        </w:rPr>
        <w:t>5</w:t>
      </w:r>
      <w:r>
        <w:rPr/>
        <w:t>月至今任公司副董事长、副总经理、董事会秘书。</w:t>
      </w:r>
    </w:p>
    <w:p>
      <w:pPr>
        <w:pStyle w:val="BodyText"/>
        <w:spacing w:line="410" w:lineRule="auto" w:before="73"/>
        <w:ind w:right="1113" w:firstLine="360"/>
        <w:jc w:val="both"/>
      </w:pPr>
      <w:r>
        <w:rPr>
          <w:spacing w:val="-2"/>
        </w:rPr>
        <w:t>周燕儿女士，</w:t>
      </w:r>
      <w:r>
        <w:rPr>
          <w:rFonts w:ascii="宋体" w:hAnsi="宋体" w:cs="宋体" w:eastAsia="宋体" w:hint="default"/>
          <w:spacing w:val="-2"/>
        </w:rPr>
        <w:t>1969</w:t>
      </w:r>
      <w:r>
        <w:rPr>
          <w:spacing w:val="-2"/>
        </w:rPr>
        <w:t>年出生，中国国籍，无境外永久居留权，硕士研究生学位，高级工程师。</w:t>
      </w:r>
      <w:r>
        <w:rPr>
          <w:rFonts w:ascii="宋体" w:hAnsi="宋体" w:cs="宋体" w:eastAsia="宋体" w:hint="default"/>
          <w:spacing w:val="-2"/>
        </w:rPr>
        <w:t>1992</w:t>
      </w:r>
      <w:r>
        <w:rPr>
          <w:spacing w:val="-2"/>
        </w:rPr>
        <w:t>年</w:t>
      </w:r>
      <w:r>
        <w:rPr>
          <w:rFonts w:ascii="宋体" w:hAnsi="宋体" w:cs="宋体" w:eastAsia="宋体" w:hint="default"/>
          <w:spacing w:val="-2"/>
        </w:rPr>
        <w:t>8</w:t>
      </w:r>
      <w:r>
        <w:rPr>
          <w:spacing w:val="-2"/>
        </w:rPr>
        <w:t>月至</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月供职</w:t>
      </w:r>
      <w:r>
        <w:rPr/>
        <w:t> </w:t>
      </w:r>
      <w:r>
        <w:rPr>
          <w:spacing w:val="-2"/>
        </w:rPr>
        <w:t>于浙江省能源监察总队；</w:t>
      </w:r>
      <w:r>
        <w:rPr>
          <w:rFonts w:ascii="宋体" w:hAnsi="宋体" w:cs="宋体" w:eastAsia="宋体" w:hint="default"/>
          <w:spacing w:val="-2"/>
        </w:rPr>
        <w:t>2010</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2014</w:t>
      </w:r>
      <w:r>
        <w:rPr>
          <w:spacing w:val="-2"/>
        </w:rPr>
        <w:t>年</w:t>
      </w:r>
      <w:r>
        <w:rPr>
          <w:rFonts w:ascii="宋体" w:hAnsi="宋体" w:cs="宋体" w:eastAsia="宋体" w:hint="default"/>
          <w:spacing w:val="-2"/>
        </w:rPr>
        <w:t>6</w:t>
      </w:r>
      <w:r>
        <w:rPr>
          <w:spacing w:val="-2"/>
        </w:rPr>
        <w:t>月供职于浙江省发展和改革委员会能源局；</w:t>
      </w:r>
      <w:r>
        <w:rPr>
          <w:rFonts w:ascii="宋体" w:hAnsi="宋体" w:cs="宋体" w:eastAsia="宋体" w:hint="default"/>
          <w:spacing w:val="-2"/>
        </w:rPr>
        <w:t>2014</w:t>
      </w:r>
      <w:r>
        <w:rPr>
          <w:spacing w:val="-2"/>
        </w:rPr>
        <w:t>年</w:t>
      </w:r>
      <w:r>
        <w:rPr>
          <w:rFonts w:ascii="宋体" w:hAnsi="宋体" w:cs="宋体" w:eastAsia="宋体" w:hint="default"/>
          <w:spacing w:val="-2"/>
        </w:rPr>
        <w:t>7</w:t>
      </w:r>
      <w:r>
        <w:rPr>
          <w:spacing w:val="-2"/>
        </w:rPr>
        <w:t>月至</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月任医惠科技</w:t>
      </w:r>
      <w:r>
        <w:rPr>
          <w:spacing w:val="-46"/>
        </w:rPr>
        <w:t> </w:t>
      </w:r>
      <w:r>
        <w:rPr>
          <w:spacing w:val="-2"/>
        </w:rPr>
        <w:t>有限公司副总裁；</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月至今，任公司党委书记、副总经理、董事。</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月至今任杭州思创汇联科技有限公司（全资</w:t>
      </w:r>
      <w:r>
        <w:rPr>
          <w:spacing w:val="-57"/>
        </w:rPr>
        <w:t> </w:t>
      </w:r>
      <w:r>
        <w:rPr>
          <w:spacing w:val="-57"/>
        </w:rPr>
      </w:r>
      <w:r>
        <w:rPr>
          <w:spacing w:val="-2"/>
        </w:rPr>
        <w:t>子公司）董事长，</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月至今任杭州中瑞思创物联科技有限公司（全资子公司）董事长，</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月至今任杭州思越科技</w:t>
      </w:r>
      <w:r>
        <w:rPr>
          <w:spacing w:val="-40"/>
        </w:rPr>
        <w:t> </w:t>
      </w:r>
      <w:r>
        <w:rPr/>
        <w:t>有限公司（全资子公司）执行董事；</w:t>
      </w:r>
      <w:r>
        <w:rPr>
          <w:rFonts w:ascii="宋体" w:hAnsi="宋体" w:cs="宋体" w:eastAsia="宋体" w:hint="default"/>
        </w:rPr>
        <w:t>2019</w:t>
      </w:r>
      <w:r>
        <w:rPr/>
        <w:t>年</w:t>
      </w:r>
      <w:r>
        <w:rPr>
          <w:rFonts w:ascii="宋体" w:hAnsi="宋体" w:cs="宋体" w:eastAsia="宋体" w:hint="default"/>
        </w:rPr>
        <w:t>9</w:t>
      </w:r>
      <w:r>
        <w:rPr/>
        <w:t>月任新昌医惠数字科技有限公司（全资子公司）执行董事、经理。</w:t>
      </w:r>
    </w:p>
    <w:p>
      <w:pPr>
        <w:pStyle w:val="BodyText"/>
        <w:spacing w:line="410" w:lineRule="auto" w:before="72"/>
        <w:ind w:right="1021" w:firstLine="360"/>
        <w:jc w:val="left"/>
      </w:pPr>
      <w:r>
        <w:rPr>
          <w:spacing w:val="-2"/>
        </w:rPr>
        <w:t>张立民先生，</w:t>
      </w:r>
      <w:r>
        <w:rPr>
          <w:rFonts w:ascii="宋体" w:hAnsi="宋体" w:cs="宋体" w:eastAsia="宋体" w:hint="default"/>
          <w:spacing w:val="-2"/>
        </w:rPr>
        <w:t>1962</w:t>
      </w:r>
      <w:r>
        <w:rPr>
          <w:spacing w:val="-2"/>
        </w:rPr>
        <w:t>年出生，中国国籍，无境外永久居留权，本科学历，高级律师。</w:t>
      </w:r>
      <w:r>
        <w:rPr>
          <w:rFonts w:ascii="宋体" w:hAnsi="宋体" w:cs="宋体" w:eastAsia="宋体" w:hint="default"/>
          <w:spacing w:val="-2"/>
        </w:rPr>
        <w:t>1984</w:t>
      </w:r>
      <w:r>
        <w:rPr>
          <w:spacing w:val="-2"/>
        </w:rPr>
        <w:t>年至</w:t>
      </w:r>
      <w:r>
        <w:rPr>
          <w:rFonts w:ascii="宋体" w:hAnsi="宋体" w:cs="宋体" w:eastAsia="宋体" w:hint="default"/>
          <w:spacing w:val="-2"/>
        </w:rPr>
        <w:t>1991</w:t>
      </w:r>
      <w:r>
        <w:rPr>
          <w:spacing w:val="-2"/>
        </w:rPr>
        <w:t>年任杭州市法律学校教</w:t>
      </w:r>
      <w:r>
        <w:rPr/>
        <w:t> </w:t>
      </w:r>
      <w:r>
        <w:rPr>
          <w:spacing w:val="-4"/>
        </w:rPr>
        <w:t>师，并兼任杭州西湖律师事务所、杭州对外经济律师事务所任兼职律师 </w:t>
      </w:r>
      <w:r>
        <w:rPr>
          <w:spacing w:val="-3"/>
        </w:rPr>
        <w:t>；</w:t>
      </w:r>
      <w:r>
        <w:rPr>
          <w:rFonts w:ascii="宋体" w:hAnsi="宋体" w:cs="宋体" w:eastAsia="宋体" w:hint="default"/>
          <w:spacing w:val="-3"/>
        </w:rPr>
        <w:t>1992</w:t>
      </w:r>
      <w:r>
        <w:rPr>
          <w:spacing w:val="-3"/>
        </w:rPr>
        <w:t>年至</w:t>
      </w:r>
      <w:r>
        <w:rPr>
          <w:rFonts w:ascii="宋体" w:hAnsi="宋体" w:cs="宋体" w:eastAsia="宋体" w:hint="default"/>
          <w:spacing w:val="-3"/>
        </w:rPr>
        <w:t>1996</w:t>
      </w:r>
      <w:r>
        <w:rPr>
          <w:spacing w:val="-3"/>
        </w:rPr>
        <w:t>年任浙江志和律师事务所专职律师</w:t>
      </w:r>
      <w:r>
        <w:rPr>
          <w:spacing w:val="34"/>
        </w:rPr>
        <w:t> </w:t>
      </w:r>
      <w:r>
        <w:rPr/>
        <w:t>；</w:t>
      </w:r>
      <w:r>
        <w:rPr/>
        <w:t> </w:t>
      </w:r>
      <w:r>
        <w:rPr>
          <w:rFonts w:ascii="宋体" w:hAnsi="宋体" w:cs="宋体" w:eastAsia="宋体" w:hint="default"/>
        </w:rPr>
        <w:t>1997</w:t>
      </w:r>
      <w:r>
        <w:rPr/>
        <w:t>年至</w:t>
      </w:r>
      <w:r>
        <w:rPr>
          <w:rFonts w:ascii="宋体" w:hAnsi="宋体" w:cs="宋体" w:eastAsia="宋体" w:hint="default"/>
        </w:rPr>
        <w:t>2000</w:t>
      </w:r>
      <w:r>
        <w:rPr/>
        <w:t>年任浙江星韵律师事务所专职律师 ；</w:t>
      </w:r>
      <w:r>
        <w:rPr>
          <w:rFonts w:ascii="宋体" w:hAnsi="宋体" w:cs="宋体" w:eastAsia="宋体" w:hint="default"/>
        </w:rPr>
        <w:t>2001</w:t>
      </w:r>
      <w:r>
        <w:rPr/>
        <w:t>年至今任国浩律师（杭州）事务所专职律师</w:t>
      </w:r>
      <w:r>
        <w:rPr>
          <w:spacing w:val="-38"/>
        </w:rPr>
        <w:t> </w:t>
      </w:r>
      <w:r>
        <w:rPr/>
        <w:t>；</w:t>
      </w:r>
      <w:r>
        <w:rPr>
          <w:rFonts w:ascii="宋体" w:hAnsi="宋体" w:cs="宋体" w:eastAsia="宋体" w:hint="default"/>
        </w:rPr>
        <w:t>2009</w:t>
      </w:r>
      <w:r>
        <w:rPr/>
        <w:t>年</w:t>
      </w:r>
      <w:r>
        <w:rPr>
          <w:rFonts w:ascii="宋体" w:hAnsi="宋体" w:cs="宋体" w:eastAsia="宋体" w:hint="default"/>
        </w:rPr>
        <w:t>10</w:t>
      </w:r>
      <w:r>
        <w:rPr/>
        <w:t>月至今任杭 </w:t>
      </w:r>
      <w:r>
        <w:rPr>
          <w:spacing w:val="-1"/>
        </w:rPr>
        <w:t>州九堡杨公加油站有限公司监事；</w:t>
      </w:r>
      <w:r>
        <w:rPr>
          <w:rFonts w:ascii="宋体" w:hAnsi="宋体" w:cs="宋体" w:eastAsia="宋体" w:hint="default"/>
          <w:spacing w:val="-1"/>
        </w:rPr>
        <w:t>2015</w:t>
      </w:r>
      <w:r>
        <w:rPr>
          <w:spacing w:val="-1"/>
        </w:rPr>
        <w:t>年</w:t>
      </w:r>
      <w:r>
        <w:rPr>
          <w:rFonts w:ascii="宋体" w:hAnsi="宋体" w:cs="宋体" w:eastAsia="宋体" w:hint="default"/>
          <w:spacing w:val="-1"/>
        </w:rPr>
        <w:t>6</w:t>
      </w:r>
      <w:r>
        <w:rPr>
          <w:spacing w:val="-1"/>
        </w:rPr>
        <w:t>月至今兼任东方通信股份有限公司（</w:t>
      </w:r>
      <w:r>
        <w:rPr>
          <w:rFonts w:ascii="宋体" w:hAnsi="宋体" w:cs="宋体" w:eastAsia="宋体" w:hint="default"/>
          <w:spacing w:val="-1"/>
        </w:rPr>
        <w:t>600776</w:t>
      </w:r>
      <w:r>
        <w:rPr>
          <w:spacing w:val="-1"/>
        </w:rPr>
        <w:t>）独立董事；</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月至今任公司独</w:t>
      </w:r>
      <w:r>
        <w:rPr>
          <w:spacing w:val="-81"/>
        </w:rPr>
        <w:t> </w:t>
      </w:r>
      <w:r>
        <w:rPr/>
        <w:t>立董事。</w:t>
      </w:r>
    </w:p>
    <w:p>
      <w:pPr>
        <w:pStyle w:val="BodyText"/>
        <w:spacing w:line="410" w:lineRule="auto" w:before="71"/>
        <w:ind w:right="0" w:firstLine="360"/>
        <w:jc w:val="left"/>
      </w:pPr>
      <w:r>
        <w:rPr>
          <w:spacing w:val="-3"/>
        </w:rPr>
        <w:t>蔡在法先生，</w:t>
      </w:r>
      <w:r>
        <w:rPr>
          <w:rFonts w:ascii="宋体" w:hAnsi="宋体" w:cs="宋体" w:eastAsia="宋体" w:hint="default"/>
          <w:spacing w:val="-3"/>
        </w:rPr>
        <w:t>1971</w:t>
      </w:r>
      <w:r>
        <w:rPr>
          <w:spacing w:val="-3"/>
        </w:rPr>
        <w:t>年出生，中国国籍，无境外永久居留权，本科学历，高级会计师，经济师，注册会计师，注册税务师，</w:t>
      </w:r>
      <w:r>
        <w:rPr/>
        <w:t> 注册资产评估师。</w:t>
      </w:r>
      <w:r>
        <w:rPr>
          <w:rFonts w:ascii="宋体" w:hAnsi="宋体" w:cs="宋体" w:eastAsia="宋体" w:hint="default"/>
        </w:rPr>
        <w:t>1993</w:t>
      </w:r>
      <w:r>
        <w:rPr/>
        <w:t>年</w:t>
      </w:r>
      <w:r>
        <w:rPr>
          <w:rFonts w:ascii="宋体" w:hAnsi="宋体" w:cs="宋体" w:eastAsia="宋体" w:hint="default"/>
        </w:rPr>
        <w:t>8</w:t>
      </w:r>
      <w:r>
        <w:rPr/>
        <w:t>月至</w:t>
      </w:r>
      <w:r>
        <w:rPr>
          <w:rFonts w:ascii="宋体" w:hAnsi="宋体" w:cs="宋体" w:eastAsia="宋体" w:hint="default"/>
        </w:rPr>
        <w:t>1997</w:t>
      </w:r>
      <w:r>
        <w:rPr/>
        <w:t>年</w:t>
      </w:r>
      <w:r>
        <w:rPr>
          <w:rFonts w:ascii="宋体" w:hAnsi="宋体" w:cs="宋体" w:eastAsia="宋体" w:hint="default"/>
        </w:rPr>
        <w:t>12</w:t>
      </w:r>
      <w:r>
        <w:rPr/>
        <w:t>月，历任浙江水利厅综合经营公司会计，经理助理，主办会计，</w:t>
      </w:r>
      <w:r>
        <w:rPr>
          <w:rFonts w:ascii="宋体" w:hAnsi="宋体" w:cs="宋体" w:eastAsia="宋体" w:hint="default"/>
        </w:rPr>
        <w:t>1998</w:t>
      </w:r>
      <w:r>
        <w:rPr/>
        <w:t>年</w:t>
      </w:r>
      <w:r>
        <w:rPr>
          <w:rFonts w:ascii="宋体" w:hAnsi="宋体" w:cs="宋体" w:eastAsia="宋体" w:hint="default"/>
        </w:rPr>
        <w:t>1</w:t>
      </w:r>
      <w:r>
        <w:rPr/>
        <w:t>月至</w:t>
      </w:r>
      <w:r>
        <w:rPr>
          <w:rFonts w:ascii="宋体" w:hAnsi="宋体" w:cs="宋体" w:eastAsia="宋体" w:hint="default"/>
        </w:rPr>
        <w:t>2005</w:t>
      </w:r>
      <w:r>
        <w:rPr>
          <w:rFonts w:ascii="宋体" w:hAnsi="宋体" w:cs="宋体" w:eastAsia="宋体" w:hint="default"/>
          <w:spacing w:val="-83"/>
        </w:rPr>
        <w:t> </w:t>
      </w:r>
      <w:r>
        <w:rPr/>
        <w:t>年</w:t>
      </w:r>
      <w:r>
        <w:rPr>
          <w:rFonts w:ascii="宋体" w:hAnsi="宋体" w:cs="宋体" w:eastAsia="宋体" w:hint="default"/>
        </w:rPr>
        <w:t>8</w:t>
      </w:r>
      <w:r>
        <w:rPr/>
        <w:t>月，历任浙江瑞信会计师事务所项目经理，部门经理，</w:t>
      </w:r>
      <w:r>
        <w:rPr>
          <w:rFonts w:ascii="宋体" w:hAnsi="宋体" w:cs="宋体" w:eastAsia="宋体" w:hint="default"/>
        </w:rPr>
        <w:t>2005</w:t>
      </w:r>
      <w:r>
        <w:rPr/>
        <w:t>年</w:t>
      </w:r>
      <w:r>
        <w:rPr>
          <w:rFonts w:ascii="宋体" w:hAnsi="宋体" w:cs="宋体" w:eastAsia="宋体" w:hint="default"/>
        </w:rPr>
        <w:t>9</w:t>
      </w:r>
      <w:r>
        <w:rPr/>
        <w:t>月至今，任浙江瑞信会计师事务所执行董事兼所长，</w:t>
      </w:r>
      <w:r>
        <w:rPr>
          <w:rFonts w:ascii="宋体" w:hAnsi="宋体" w:cs="宋体" w:eastAsia="宋体" w:hint="default"/>
        </w:rPr>
        <w:t>2015 </w:t>
      </w:r>
      <w:r>
        <w:rPr/>
        <w:t>年</w:t>
      </w:r>
      <w:r>
        <w:rPr>
          <w:rFonts w:ascii="宋体" w:hAnsi="宋体" w:cs="宋体" w:eastAsia="宋体" w:hint="default"/>
        </w:rPr>
        <w:t>4</w:t>
      </w:r>
      <w:r>
        <w:rPr/>
        <w:t>月至今任思创医惠（</w:t>
      </w:r>
      <w:r>
        <w:rPr>
          <w:rFonts w:ascii="宋体" w:hAnsi="宋体" w:cs="宋体" w:eastAsia="宋体" w:hint="default"/>
        </w:rPr>
        <w:t>300078</w:t>
      </w:r>
      <w:r>
        <w:rPr/>
        <w:t>）独立董事，</w:t>
      </w:r>
      <w:r>
        <w:rPr>
          <w:rFonts w:ascii="宋体" w:hAnsi="宋体" w:cs="宋体" w:eastAsia="宋体" w:hint="default"/>
        </w:rPr>
        <w:t>2016</w:t>
      </w:r>
      <w:r>
        <w:rPr/>
        <w:t>年</w:t>
      </w:r>
      <w:r>
        <w:rPr>
          <w:rFonts w:ascii="宋体" w:hAnsi="宋体" w:cs="宋体" w:eastAsia="宋体" w:hint="default"/>
        </w:rPr>
        <w:t>12</w:t>
      </w:r>
      <w:r>
        <w:rPr/>
        <w:t>月至今任恒勃控股股份有限公司</w:t>
      </w:r>
      <w:r>
        <w:rPr>
          <w:rFonts w:ascii="宋体" w:hAnsi="宋体" w:cs="宋体" w:eastAsia="宋体" w:hint="default"/>
        </w:rPr>
        <w:t>(834165)</w:t>
      </w:r>
      <w:r>
        <w:rPr/>
        <w:t>独立董事，</w:t>
      </w:r>
      <w:r>
        <w:rPr>
          <w:rFonts w:ascii="宋体" w:hAnsi="宋体" w:cs="宋体" w:eastAsia="宋体" w:hint="default"/>
        </w:rPr>
        <w:t>2017</w:t>
      </w:r>
      <w:r>
        <w:rPr/>
        <w:t>年</w:t>
      </w:r>
      <w:r>
        <w:rPr>
          <w:rFonts w:ascii="宋体" w:hAnsi="宋体" w:cs="宋体" w:eastAsia="宋体" w:hint="default"/>
        </w:rPr>
        <w:t>11</w:t>
      </w:r>
      <w:r>
        <w:rPr/>
        <w:t>月至今</w:t>
      </w:r>
      <w:r>
        <w:rPr>
          <w:spacing w:val="-83"/>
        </w:rPr>
        <w:t> </w:t>
      </w:r>
      <w:r>
        <w:rPr/>
        <w:t>任杭州睿博企业管理咨询有限公司经理，</w:t>
      </w:r>
      <w:r>
        <w:rPr>
          <w:rFonts w:ascii="宋体" w:hAnsi="宋体" w:cs="宋体" w:eastAsia="宋体" w:hint="default"/>
        </w:rPr>
        <w:t>2019</w:t>
      </w:r>
      <w:r>
        <w:rPr/>
        <w:t>年</w:t>
      </w:r>
      <w:r>
        <w:rPr>
          <w:rFonts w:ascii="宋体" w:hAnsi="宋体" w:cs="宋体" w:eastAsia="宋体" w:hint="default"/>
        </w:rPr>
        <w:t>4</w:t>
      </w:r>
      <w:r>
        <w:rPr/>
        <w:t>月至今任梦百合家居科技股份有限公司（</w:t>
      </w:r>
      <w:r>
        <w:rPr>
          <w:rFonts w:ascii="宋体" w:hAnsi="宋体" w:cs="宋体" w:eastAsia="宋体" w:hint="default"/>
        </w:rPr>
        <w:t>603313</w:t>
      </w:r>
      <w:r>
        <w:rPr/>
        <w:t>）独立董事。</w:t>
      </w:r>
    </w:p>
    <w:p>
      <w:pPr>
        <w:pStyle w:val="BodyText"/>
        <w:spacing w:line="412" w:lineRule="auto" w:before="72"/>
        <w:ind w:right="1086" w:firstLine="360"/>
        <w:jc w:val="left"/>
      </w:pPr>
      <w:r>
        <w:rPr>
          <w:spacing w:val="-2"/>
        </w:rPr>
        <w:t>严义先生，</w:t>
      </w:r>
      <w:r>
        <w:rPr>
          <w:rFonts w:ascii="宋体" w:hAnsi="宋体" w:cs="宋体" w:eastAsia="宋体" w:hint="default"/>
          <w:spacing w:val="-2"/>
        </w:rPr>
        <w:t>1961</w:t>
      </w:r>
      <w:r>
        <w:rPr>
          <w:spacing w:val="-2"/>
        </w:rPr>
        <w:t>年出生，中国国籍</w:t>
      </w:r>
      <w:r>
        <w:rPr>
          <w:rFonts w:ascii="宋体" w:hAnsi="宋体" w:cs="宋体" w:eastAsia="宋体" w:hint="default"/>
          <w:spacing w:val="-2"/>
        </w:rPr>
        <w:t>,</w:t>
      </w:r>
      <w:r>
        <w:rPr>
          <w:spacing w:val="-2"/>
        </w:rPr>
        <w:t>无境外永久居留权</w:t>
      </w:r>
      <w:r>
        <w:rPr>
          <w:rFonts w:ascii="宋体" w:hAnsi="宋体" w:cs="宋体" w:eastAsia="宋体" w:hint="default"/>
          <w:spacing w:val="-2"/>
        </w:rPr>
        <w:t>,</w:t>
      </w:r>
      <w:r>
        <w:rPr>
          <w:spacing w:val="-2"/>
        </w:rPr>
        <w:t>研究生学历。杭州电子科技大学二级教授，博士生导师，享受国</w:t>
      </w:r>
      <w:r>
        <w:rPr/>
        <w:t> 家特殊津贴专家，浙江省有突出贡献中青年专家，浙江省“</w:t>
      </w:r>
      <w:r>
        <w:rPr>
          <w:rFonts w:ascii="宋体" w:hAnsi="宋体" w:cs="宋体" w:eastAsia="宋体" w:hint="default"/>
        </w:rPr>
        <w:t>151</w:t>
      </w:r>
      <w:r>
        <w:rPr/>
        <w:t>人才工程”一层次人员（重点资助），全国信息产业科技创</w:t>
      </w:r>
    </w:p>
    <w:p>
      <w:pPr>
        <w:spacing w:after="0" w:line="412" w:lineRule="auto"/>
        <w:jc w:val="left"/>
        <w:sectPr>
          <w:pgSz w:w="11910" w:h="16850"/>
          <w:pgMar w:header="866" w:footer="981" w:top="1120" w:bottom="1180" w:left="1000" w:right="0"/>
        </w:sectPr>
      </w:pPr>
    </w:p>
    <w:p>
      <w:pPr>
        <w:spacing w:line="240" w:lineRule="auto" w:before="10"/>
        <w:rPr>
          <w:rFonts w:ascii="宋体" w:hAnsi="宋体" w:cs="宋体" w:eastAsia="宋体" w:hint="default"/>
          <w:sz w:val="28"/>
          <w:szCs w:val="28"/>
        </w:rPr>
      </w:pPr>
    </w:p>
    <w:p>
      <w:pPr>
        <w:pStyle w:val="BodyText"/>
        <w:spacing w:line="408" w:lineRule="auto"/>
        <w:ind w:right="0"/>
        <w:jc w:val="left"/>
      </w:pPr>
      <w:r>
        <w:rPr>
          <w:spacing w:val="-2"/>
        </w:rPr>
        <w:t>新先进个人。自</w:t>
      </w:r>
      <w:r>
        <w:rPr>
          <w:rFonts w:ascii="宋体" w:hAnsi="宋体" w:cs="宋体" w:eastAsia="宋体" w:hint="default"/>
          <w:spacing w:val="-2"/>
        </w:rPr>
        <w:t>1991</w:t>
      </w:r>
      <w:r>
        <w:rPr>
          <w:spacing w:val="-2"/>
        </w:rPr>
        <w:t>年至今，就职于杭州电子科技大学，现任杭州电子科技大学智能与软件技术研究所所长，杭州电子科技</w:t>
      </w:r>
      <w:r>
        <w:rPr>
          <w:spacing w:val="-37"/>
        </w:rPr>
        <w:t> </w:t>
      </w:r>
      <w:r>
        <w:rPr>
          <w:spacing w:val="-37"/>
        </w:rPr>
      </w:r>
      <w:r>
        <w:rPr>
          <w:spacing w:val="-2"/>
        </w:rPr>
        <w:t>大学国家级计算机基础实验教学示范中心主任，浙江省嵌入式重点实验室（杭电）主任，浙江省重点科技创新团队（面向行</w:t>
      </w:r>
      <w:r>
        <w:rPr>
          <w:spacing w:val="-57"/>
        </w:rPr>
        <w:t> </w:t>
      </w:r>
      <w:r>
        <w:rPr>
          <w:spacing w:val="-57"/>
        </w:rPr>
      </w:r>
      <w:r>
        <w:rPr/>
        <w:t>业的嵌入式关键技术）负责人。兼任</w:t>
      </w:r>
      <w:r>
        <w:rPr>
          <w:rFonts w:ascii="宋体" w:hAnsi="宋体" w:cs="宋体" w:eastAsia="宋体" w:hint="default"/>
        </w:rPr>
        <w:t>PLCopen</w:t>
      </w:r>
      <w:r>
        <w:rPr/>
        <w:t>国际组织中国主席，中国计算机学会嵌入式系统专委会常委，中国机电一体化</w:t>
      </w:r>
      <w:r>
        <w:rPr>
          <w:spacing w:val="-87"/>
        </w:rPr>
        <w:t> </w:t>
      </w:r>
      <w:r>
        <w:rPr>
          <w:spacing w:val="-3"/>
        </w:rPr>
        <w:t>协会常委理事，浙江省科技厅重大科技专项网络信息专家组组长。</w:t>
      </w:r>
      <w:r>
        <w:rPr>
          <w:rFonts w:ascii="宋体" w:hAnsi="宋体" w:cs="宋体" w:eastAsia="宋体" w:hint="default"/>
          <w:spacing w:val="-3"/>
        </w:rPr>
        <w:t>2012</w:t>
      </w:r>
      <w:r>
        <w:rPr>
          <w:spacing w:val="-3"/>
        </w:rPr>
        <w:t>年</w:t>
      </w:r>
      <w:r>
        <w:rPr>
          <w:rFonts w:ascii="宋体" w:hAnsi="宋体" w:cs="宋体" w:eastAsia="宋体" w:hint="default"/>
          <w:spacing w:val="-3"/>
        </w:rPr>
        <w:t>8</w:t>
      </w:r>
      <w:r>
        <w:rPr>
          <w:spacing w:val="-3"/>
        </w:rPr>
        <w:t>月至</w:t>
      </w:r>
      <w:r>
        <w:rPr>
          <w:rFonts w:ascii="宋体" w:hAnsi="宋体" w:cs="宋体" w:eastAsia="宋体" w:hint="default"/>
          <w:spacing w:val="-3"/>
        </w:rPr>
        <w:t>2018</w:t>
      </w:r>
      <w:r>
        <w:rPr>
          <w:spacing w:val="-3"/>
        </w:rPr>
        <w:t>年</w:t>
      </w:r>
      <w:r>
        <w:rPr>
          <w:rFonts w:ascii="宋体" w:hAnsi="宋体" w:cs="宋体" w:eastAsia="宋体" w:hint="default"/>
          <w:spacing w:val="-3"/>
        </w:rPr>
        <w:t>9</w:t>
      </w:r>
      <w:r>
        <w:rPr>
          <w:spacing w:val="-3"/>
        </w:rPr>
        <w:t>月任泰瑞机器股份有限公司（</w:t>
      </w:r>
      <w:r>
        <w:rPr>
          <w:rFonts w:ascii="宋体" w:hAnsi="宋体" w:cs="宋体" w:eastAsia="宋体" w:hint="default"/>
          <w:spacing w:val="-3"/>
        </w:rPr>
        <w:t>603289</w:t>
      </w:r>
      <w:r>
        <w:rPr>
          <w:spacing w:val="-3"/>
        </w:rPr>
        <w:t>）</w:t>
      </w:r>
      <w:r>
        <w:rPr>
          <w:spacing w:val="-73"/>
        </w:rPr>
        <w:t> </w:t>
      </w:r>
      <w:r>
        <w:rPr/>
        <w:t>独立董事。</w:t>
      </w:r>
      <w:r>
        <w:rPr>
          <w:rFonts w:ascii="宋体" w:hAnsi="宋体" w:cs="宋体" w:eastAsia="宋体" w:hint="default"/>
        </w:rPr>
        <w:t>2015</w:t>
      </w:r>
      <w:r>
        <w:rPr/>
        <w:t>年</w:t>
      </w:r>
      <w:r>
        <w:rPr>
          <w:rFonts w:ascii="宋体" w:hAnsi="宋体" w:cs="宋体" w:eastAsia="宋体" w:hint="default"/>
        </w:rPr>
        <w:t>8</w:t>
      </w:r>
      <w:r>
        <w:rPr/>
        <w:t>月至今任公司独立董事。</w:t>
      </w:r>
    </w:p>
    <w:p>
      <w:pPr>
        <w:pStyle w:val="Heading7"/>
        <w:spacing w:line="233" w:lineRule="exact"/>
        <w:ind w:right="1086"/>
        <w:jc w:val="left"/>
        <w:rPr>
          <w:b w:val="0"/>
          <w:bCs w:val="0"/>
        </w:rPr>
      </w:pPr>
      <w:r>
        <w:rPr>
          <w:rFonts w:ascii="Times New Roman" w:hAnsi="Times New Roman" w:cs="Times New Roman" w:eastAsia="Times New Roman" w:hint="default"/>
        </w:rPr>
        <w:t>2</w:t>
      </w:r>
      <w:r>
        <w:rPr/>
        <w:t>、监事</w:t>
      </w:r>
      <w:r>
        <w:rPr>
          <w:b w:val="0"/>
          <w:bCs w:val="0"/>
        </w:rPr>
      </w:r>
    </w:p>
    <w:p>
      <w:pPr>
        <w:spacing w:line="240" w:lineRule="auto" w:before="5"/>
        <w:rPr>
          <w:rFonts w:ascii="宋体" w:hAnsi="宋体" w:cs="宋体" w:eastAsia="宋体" w:hint="default"/>
          <w:b/>
          <w:bCs/>
          <w:sz w:val="15"/>
          <w:szCs w:val="15"/>
        </w:rPr>
      </w:pPr>
    </w:p>
    <w:p>
      <w:pPr>
        <w:pStyle w:val="BodyText"/>
        <w:spacing w:line="405" w:lineRule="auto" w:before="0"/>
        <w:ind w:right="1029" w:firstLine="360"/>
        <w:jc w:val="left"/>
      </w:pPr>
      <w:r>
        <w:rPr>
          <w:spacing w:val="-2"/>
        </w:rPr>
        <w:t>曾正女士，</w:t>
      </w:r>
      <w:r>
        <w:rPr>
          <w:rFonts w:ascii="宋体" w:hAnsi="宋体" w:cs="宋体" w:eastAsia="宋体" w:hint="default"/>
          <w:spacing w:val="-2"/>
        </w:rPr>
        <w:t>1984</w:t>
      </w:r>
      <w:r>
        <w:rPr>
          <w:spacing w:val="-2"/>
        </w:rPr>
        <w:t>年出生，中国国籍，无境外永久居留权，本科学历。</w:t>
      </w:r>
      <w:r>
        <w:rPr>
          <w:rFonts w:ascii="宋体" w:hAnsi="宋体" w:cs="宋体" w:eastAsia="宋体" w:hint="default"/>
          <w:spacing w:val="-2"/>
        </w:rPr>
        <w:t>2008</w:t>
      </w:r>
      <w:r>
        <w:rPr>
          <w:spacing w:val="-2"/>
        </w:rPr>
        <w:t>年</w:t>
      </w:r>
      <w:r>
        <w:rPr>
          <w:rFonts w:ascii="宋体" w:hAnsi="宋体" w:cs="宋体" w:eastAsia="宋体" w:hint="default"/>
          <w:spacing w:val="-2"/>
        </w:rPr>
        <w:t>6</w:t>
      </w:r>
      <w:r>
        <w:rPr>
          <w:spacing w:val="-2"/>
        </w:rPr>
        <w:t>月至</w:t>
      </w:r>
      <w:r>
        <w:rPr>
          <w:rFonts w:ascii="宋体" w:hAnsi="宋体" w:cs="宋体" w:eastAsia="宋体" w:hint="default"/>
          <w:spacing w:val="-2"/>
        </w:rPr>
        <w:t>2017</w:t>
      </w:r>
      <w:r>
        <w:rPr>
          <w:spacing w:val="-2"/>
        </w:rPr>
        <w:t>年</w:t>
      </w:r>
      <w:r>
        <w:rPr>
          <w:rFonts w:ascii="宋体" w:hAnsi="宋体" w:cs="宋体" w:eastAsia="宋体" w:hint="default"/>
          <w:spacing w:val="-2"/>
        </w:rPr>
        <w:t>8</w:t>
      </w:r>
      <w:r>
        <w:rPr>
          <w:spacing w:val="-2"/>
        </w:rPr>
        <w:t>月，历任汉鼎宇佑互联网股份</w:t>
      </w:r>
      <w:r>
        <w:rPr/>
        <w:t> 有限公司行政事务部经理，证券事务代表；</w:t>
      </w:r>
      <w:r>
        <w:rPr>
          <w:rFonts w:ascii="宋体" w:hAnsi="宋体" w:cs="宋体" w:eastAsia="宋体" w:hint="default"/>
        </w:rPr>
        <w:t>2014</w:t>
      </w:r>
      <w:r>
        <w:rPr/>
        <w:t>年</w:t>
      </w:r>
      <w:r>
        <w:rPr>
          <w:rFonts w:ascii="宋体" w:hAnsi="宋体" w:cs="宋体" w:eastAsia="宋体" w:hint="default"/>
        </w:rPr>
        <w:t>10</w:t>
      </w:r>
      <w:r>
        <w:rPr/>
        <w:t>月至今任浙江汉鼎宇佑教育科技发展有限公司监事；</w:t>
      </w:r>
      <w:r>
        <w:rPr>
          <w:rFonts w:ascii="宋体" w:hAnsi="宋体" w:cs="宋体" w:eastAsia="宋体" w:hint="default"/>
        </w:rPr>
        <w:t>2017</w:t>
      </w:r>
      <w:r>
        <w:rPr/>
        <w:t>年</w:t>
      </w:r>
      <w:r>
        <w:rPr>
          <w:rFonts w:ascii="宋体" w:hAnsi="宋体" w:cs="宋体" w:eastAsia="宋体" w:hint="default"/>
        </w:rPr>
        <w:t>10</w:t>
      </w:r>
      <w:r>
        <w:rPr/>
        <w:t>月至今，</w:t>
      </w:r>
      <w:r>
        <w:rPr>
          <w:spacing w:val="-82"/>
        </w:rPr>
        <w:t> </w:t>
      </w:r>
      <w:r>
        <w:rPr/>
        <w:t>任公司证券事务代表，</w:t>
      </w:r>
      <w:r>
        <w:rPr>
          <w:rFonts w:ascii="宋体" w:hAnsi="宋体" w:cs="宋体" w:eastAsia="宋体" w:hint="default"/>
        </w:rPr>
        <w:t>2018</w:t>
      </w:r>
      <w:r>
        <w:rPr/>
        <w:t>年</w:t>
      </w:r>
      <w:r>
        <w:rPr>
          <w:rFonts w:ascii="宋体" w:hAnsi="宋体" w:cs="宋体" w:eastAsia="宋体" w:hint="default"/>
        </w:rPr>
        <w:t>4</w:t>
      </w:r>
      <w:r>
        <w:rPr/>
        <w:t>月至今任公司监事会主席。</w:t>
      </w:r>
    </w:p>
    <w:p>
      <w:pPr>
        <w:pStyle w:val="BodyText"/>
        <w:spacing w:line="405" w:lineRule="auto" w:before="75"/>
        <w:ind w:right="1110" w:firstLine="360"/>
        <w:jc w:val="both"/>
      </w:pPr>
      <w:r>
        <w:rPr>
          <w:spacing w:val="-2"/>
        </w:rPr>
        <w:t>楼翔先生，</w:t>
      </w:r>
      <w:r>
        <w:rPr>
          <w:rFonts w:ascii="宋体" w:hAnsi="宋体" w:cs="宋体" w:eastAsia="宋体" w:hint="default"/>
          <w:spacing w:val="-2"/>
        </w:rPr>
        <w:t>1978</w:t>
      </w:r>
      <w:r>
        <w:rPr>
          <w:spacing w:val="-2"/>
        </w:rPr>
        <w:t>年出生，中国国籍，无境外永久居留权，本科学历，高级会计师。</w:t>
      </w:r>
      <w:r>
        <w:rPr>
          <w:rFonts w:ascii="宋体" w:hAnsi="宋体" w:cs="宋体" w:eastAsia="宋体" w:hint="default"/>
          <w:spacing w:val="-2"/>
        </w:rPr>
        <w:t>2010</w:t>
      </w:r>
      <w:r>
        <w:rPr>
          <w:spacing w:val="-2"/>
        </w:rPr>
        <w:t>年</w:t>
      </w:r>
      <w:r>
        <w:rPr>
          <w:rFonts w:ascii="宋体" w:hAnsi="宋体" w:cs="宋体" w:eastAsia="宋体" w:hint="default"/>
          <w:spacing w:val="-2"/>
        </w:rPr>
        <w:t>5</w:t>
      </w:r>
      <w:r>
        <w:rPr>
          <w:spacing w:val="-2"/>
        </w:rPr>
        <w:t>月至</w:t>
      </w:r>
      <w:r>
        <w:rPr>
          <w:rFonts w:ascii="宋体" w:hAnsi="宋体" w:cs="宋体" w:eastAsia="宋体" w:hint="default"/>
          <w:spacing w:val="-2"/>
        </w:rPr>
        <w:t>2016</w:t>
      </w:r>
      <w:r>
        <w:rPr>
          <w:spacing w:val="-2"/>
        </w:rPr>
        <w:t>年</w:t>
      </w:r>
      <w:r>
        <w:rPr>
          <w:rFonts w:ascii="宋体" w:hAnsi="宋体" w:cs="宋体" w:eastAsia="宋体" w:hint="default"/>
          <w:spacing w:val="-2"/>
        </w:rPr>
        <w:t>4</w:t>
      </w:r>
      <w:r>
        <w:rPr>
          <w:spacing w:val="-2"/>
        </w:rPr>
        <w:t>月，历任三维通</w:t>
      </w:r>
      <w:r>
        <w:rPr/>
        <w:t> 信股份有限公司销服中心财经经理、内审部负责人。</w:t>
      </w:r>
      <w:r>
        <w:rPr>
          <w:rFonts w:ascii="宋体" w:hAnsi="宋体" w:cs="宋体" w:eastAsia="宋体" w:hint="default"/>
        </w:rPr>
        <w:t>2016</w:t>
      </w:r>
      <w:r>
        <w:rPr/>
        <w:t>年</w:t>
      </w:r>
      <w:r>
        <w:rPr>
          <w:rFonts w:ascii="宋体" w:hAnsi="宋体" w:cs="宋体" w:eastAsia="宋体" w:hint="default"/>
        </w:rPr>
        <w:t>6</w:t>
      </w:r>
      <w:r>
        <w:rPr/>
        <w:t>月至</w:t>
      </w:r>
      <w:r>
        <w:rPr>
          <w:rFonts w:ascii="宋体" w:hAnsi="宋体" w:cs="宋体" w:eastAsia="宋体" w:hint="default"/>
        </w:rPr>
        <w:t>2016</w:t>
      </w:r>
      <w:r>
        <w:rPr/>
        <w:t>年</w:t>
      </w:r>
      <w:r>
        <w:rPr>
          <w:rFonts w:ascii="宋体" w:hAnsi="宋体" w:cs="宋体" w:eastAsia="宋体" w:hint="default"/>
        </w:rPr>
        <w:t>10</w:t>
      </w:r>
      <w:r>
        <w:rPr/>
        <w:t>月，任公司内审部经理</w:t>
      </w:r>
      <w:r>
        <w:rPr>
          <w:spacing w:val="-25"/>
        </w:rPr>
        <w:t> </w:t>
      </w:r>
      <w:r>
        <w:rPr>
          <w:spacing w:val="-3"/>
        </w:rPr>
        <w:t>；</w:t>
      </w:r>
      <w:r>
        <w:rPr>
          <w:rFonts w:ascii="宋体" w:hAnsi="宋体" w:cs="宋体" w:eastAsia="宋体" w:hint="default"/>
          <w:spacing w:val="-3"/>
        </w:rPr>
        <w:t>2016</w:t>
      </w:r>
      <w:r>
        <w:rPr>
          <w:spacing w:val="-3"/>
        </w:rPr>
        <w:t>年</w:t>
      </w:r>
      <w:r>
        <w:rPr>
          <w:rFonts w:ascii="宋体" w:hAnsi="宋体" w:cs="宋体" w:eastAsia="宋体" w:hint="default"/>
          <w:spacing w:val="-3"/>
        </w:rPr>
        <w:t>11</w:t>
      </w:r>
      <w:r>
        <w:rPr>
          <w:spacing w:val="-3"/>
        </w:rPr>
        <w:t>月至今，任公</w:t>
      </w:r>
      <w:r>
        <w:rPr/>
        <w:t> 司内审部负责人，</w:t>
      </w:r>
      <w:r>
        <w:rPr>
          <w:rFonts w:ascii="宋体" w:hAnsi="宋体" w:cs="宋体" w:eastAsia="宋体" w:hint="default"/>
        </w:rPr>
        <w:t>2017</w:t>
      </w:r>
      <w:r>
        <w:rPr/>
        <w:t>年</w:t>
      </w:r>
      <w:r>
        <w:rPr>
          <w:rFonts w:ascii="宋体" w:hAnsi="宋体" w:cs="宋体" w:eastAsia="宋体" w:hint="default"/>
        </w:rPr>
        <w:t>7</w:t>
      </w:r>
      <w:r>
        <w:rPr/>
        <w:t>月至今，任公司监事会非职工代表监事。</w:t>
      </w:r>
    </w:p>
    <w:p>
      <w:pPr>
        <w:pStyle w:val="BodyText"/>
        <w:spacing w:line="408" w:lineRule="auto" w:before="90"/>
        <w:ind w:right="1126" w:firstLine="360"/>
        <w:jc w:val="both"/>
      </w:pPr>
      <w:r>
        <w:rPr/>
        <w:t>汪骏先生，</w:t>
      </w:r>
      <w:r>
        <w:rPr>
          <w:rFonts w:ascii="宋体" w:hAnsi="宋体" w:cs="宋体" w:eastAsia="宋体" w:hint="default"/>
        </w:rPr>
        <w:t>1978</w:t>
      </w:r>
      <w:r>
        <w:rPr/>
        <w:t>年出生，中国国籍，无境外永久居留权，本科学历。</w:t>
      </w:r>
      <w:r>
        <w:rPr>
          <w:rFonts w:ascii="宋体" w:hAnsi="宋体" w:cs="宋体" w:eastAsia="宋体" w:hint="default"/>
        </w:rPr>
        <w:t>2001</w:t>
      </w:r>
      <w:r>
        <w:rPr/>
        <w:t>年</w:t>
      </w:r>
      <w:r>
        <w:rPr>
          <w:rFonts w:ascii="宋体" w:hAnsi="宋体" w:cs="宋体" w:eastAsia="宋体" w:hint="default"/>
        </w:rPr>
        <w:t>10</w:t>
      </w:r>
      <w:r>
        <w:rPr/>
        <w:t>月至</w:t>
      </w:r>
      <w:r>
        <w:rPr>
          <w:rFonts w:ascii="宋体" w:hAnsi="宋体" w:cs="宋体" w:eastAsia="宋体" w:hint="default"/>
        </w:rPr>
        <w:t>2006</w:t>
      </w:r>
      <w:r>
        <w:rPr/>
        <w:t>年</w:t>
      </w:r>
      <w:r>
        <w:rPr>
          <w:rFonts w:ascii="宋体" w:hAnsi="宋体" w:cs="宋体" w:eastAsia="宋体" w:hint="default"/>
        </w:rPr>
        <w:t>6</w:t>
      </w:r>
      <w:r>
        <w:rPr/>
        <w:t>月，任浙大网新天松信息有 限公司行政部经理 ；</w:t>
      </w:r>
      <w:r>
        <w:rPr>
          <w:rFonts w:ascii="宋体" w:hAnsi="宋体" w:cs="宋体" w:eastAsia="宋体" w:hint="default"/>
        </w:rPr>
        <w:t>2006</w:t>
      </w:r>
      <w:r>
        <w:rPr/>
        <w:t>年</w:t>
      </w:r>
      <w:r>
        <w:rPr>
          <w:rFonts w:ascii="宋体" w:hAnsi="宋体" w:cs="宋体" w:eastAsia="宋体" w:hint="default"/>
        </w:rPr>
        <w:t>7</w:t>
      </w:r>
      <w:r>
        <w:rPr/>
        <w:t>月至</w:t>
      </w:r>
      <w:r>
        <w:rPr>
          <w:rFonts w:ascii="宋体" w:hAnsi="宋体" w:cs="宋体" w:eastAsia="宋体" w:hint="default"/>
        </w:rPr>
        <w:t>2009</w:t>
      </w:r>
      <w:r>
        <w:rPr/>
        <w:t>年</w:t>
      </w:r>
      <w:r>
        <w:rPr>
          <w:rFonts w:ascii="宋体" w:hAnsi="宋体" w:cs="宋体" w:eastAsia="宋体" w:hint="default"/>
        </w:rPr>
        <w:t>4</w:t>
      </w:r>
      <w:r>
        <w:rPr/>
        <w:t>月，任杭州银江智能设备有限公司总经理助理</w:t>
      </w:r>
      <w:r>
        <w:rPr>
          <w:spacing w:val="4"/>
        </w:rPr>
        <w:t> </w:t>
      </w:r>
      <w:r>
        <w:rPr/>
        <w:t>；</w:t>
      </w:r>
      <w:r>
        <w:rPr>
          <w:rFonts w:ascii="宋体" w:hAnsi="宋体" w:cs="宋体" w:eastAsia="宋体" w:hint="default"/>
        </w:rPr>
        <w:t>2009</w:t>
      </w:r>
      <w:r>
        <w:rPr/>
        <w:t>年</w:t>
      </w:r>
      <w:r>
        <w:rPr>
          <w:rFonts w:ascii="宋体" w:hAnsi="宋体" w:cs="宋体" w:eastAsia="宋体" w:hint="default"/>
        </w:rPr>
        <w:t>5</w:t>
      </w:r>
      <w:r>
        <w:rPr/>
        <w:t>月至今，任医惠科技有 限公司总裁助理、工会主席</w:t>
      </w:r>
      <w:r>
        <w:rPr>
          <w:spacing w:val="-41"/>
        </w:rPr>
        <w:t> </w:t>
      </w:r>
      <w:r>
        <w:rPr/>
        <w:t>；</w:t>
      </w:r>
      <w:r>
        <w:rPr>
          <w:rFonts w:ascii="宋体" w:hAnsi="宋体" w:cs="宋体" w:eastAsia="宋体" w:hint="default"/>
        </w:rPr>
        <w:t>2015</w:t>
      </w:r>
      <w:r>
        <w:rPr/>
        <w:t>年</w:t>
      </w:r>
      <w:r>
        <w:rPr>
          <w:rFonts w:ascii="宋体" w:hAnsi="宋体" w:cs="宋体" w:eastAsia="宋体" w:hint="default"/>
        </w:rPr>
        <w:t>12</w:t>
      </w:r>
      <w:r>
        <w:rPr/>
        <w:t>月至</w:t>
      </w:r>
      <w:r>
        <w:rPr>
          <w:rFonts w:ascii="宋体" w:hAnsi="宋体" w:cs="宋体" w:eastAsia="宋体" w:hint="default"/>
        </w:rPr>
        <w:t>2017</w:t>
      </w:r>
      <w:r>
        <w:rPr/>
        <w:t>年</w:t>
      </w:r>
      <w:r>
        <w:rPr>
          <w:rFonts w:ascii="宋体" w:hAnsi="宋体" w:cs="宋体" w:eastAsia="宋体" w:hint="default"/>
        </w:rPr>
        <w:t>1</w:t>
      </w:r>
      <w:r>
        <w:rPr/>
        <w:t>月，任公司职工代表监事、工会副主席</w:t>
      </w:r>
      <w:r>
        <w:rPr>
          <w:spacing w:val="-41"/>
        </w:rPr>
        <w:t> </w:t>
      </w:r>
      <w:r>
        <w:rPr/>
        <w:t>；</w:t>
      </w:r>
      <w:r>
        <w:rPr>
          <w:rFonts w:ascii="宋体" w:hAnsi="宋体" w:cs="宋体" w:eastAsia="宋体" w:hint="default"/>
        </w:rPr>
        <w:t>2017</w:t>
      </w:r>
      <w:r>
        <w:rPr/>
        <w:t>年</w:t>
      </w:r>
      <w:r>
        <w:rPr>
          <w:rFonts w:ascii="宋体" w:hAnsi="宋体" w:cs="宋体" w:eastAsia="宋体" w:hint="default"/>
        </w:rPr>
        <w:t>2</w:t>
      </w:r>
      <w:r>
        <w:rPr/>
        <w:t>月至今，任公司职工 代表监事、工会主席。</w:t>
      </w:r>
    </w:p>
    <w:p>
      <w:pPr>
        <w:pStyle w:val="Heading7"/>
        <w:spacing w:line="233" w:lineRule="exact"/>
        <w:ind w:right="1086"/>
        <w:jc w:val="left"/>
        <w:rPr>
          <w:b w:val="0"/>
          <w:bCs w:val="0"/>
        </w:rPr>
      </w:pPr>
      <w:r>
        <w:rPr>
          <w:rFonts w:ascii="Times New Roman" w:hAnsi="Times New Roman" w:cs="Times New Roman" w:eastAsia="Times New Roman" w:hint="default"/>
        </w:rPr>
        <w:t>3</w:t>
      </w:r>
      <w:r>
        <w:rPr/>
        <w:t>、高级管理人员</w:t>
      </w:r>
      <w:r>
        <w:rPr>
          <w:b w:val="0"/>
          <w:bCs w:val="0"/>
        </w:rPr>
      </w:r>
    </w:p>
    <w:p>
      <w:pPr>
        <w:spacing w:line="240" w:lineRule="auto" w:before="5"/>
        <w:rPr>
          <w:rFonts w:ascii="宋体" w:hAnsi="宋体" w:cs="宋体" w:eastAsia="宋体" w:hint="default"/>
          <w:b/>
          <w:bCs/>
          <w:sz w:val="15"/>
          <w:szCs w:val="15"/>
        </w:rPr>
      </w:pPr>
    </w:p>
    <w:p>
      <w:pPr>
        <w:pStyle w:val="BodyText"/>
        <w:spacing w:line="444" w:lineRule="auto" w:before="0"/>
        <w:ind w:left="501" w:right="8514"/>
        <w:jc w:val="both"/>
      </w:pPr>
      <w:r>
        <w:rPr/>
        <w:t>章笠中先生：同</w:t>
      </w:r>
      <w:r>
        <w:rPr>
          <w:rFonts w:ascii="宋体" w:hAnsi="宋体" w:cs="宋体" w:eastAsia="宋体" w:hint="default"/>
        </w:rPr>
        <w:t>1</w:t>
      </w:r>
      <w:r>
        <w:rPr/>
        <w:t>、董事 孙新军先生：同</w:t>
      </w:r>
      <w:r>
        <w:rPr>
          <w:rFonts w:ascii="宋体" w:hAnsi="宋体" w:cs="宋体" w:eastAsia="宋体" w:hint="default"/>
        </w:rPr>
        <w:t>1</w:t>
      </w:r>
      <w:r>
        <w:rPr/>
        <w:t>、董事 周燕儿女士：同</w:t>
      </w:r>
      <w:r>
        <w:rPr>
          <w:rFonts w:ascii="宋体" w:hAnsi="宋体" w:cs="宋体" w:eastAsia="宋体" w:hint="default"/>
        </w:rPr>
        <w:t>1</w:t>
      </w:r>
      <w:r>
        <w:rPr/>
        <w:t>、董事</w:t>
      </w:r>
    </w:p>
    <w:p>
      <w:pPr>
        <w:pStyle w:val="BodyText"/>
        <w:spacing w:line="405" w:lineRule="auto" w:before="62"/>
        <w:ind w:right="1126" w:firstLine="360"/>
        <w:jc w:val="both"/>
      </w:pPr>
      <w:r>
        <w:rPr/>
        <w:t>王凛先生：</w:t>
      </w:r>
      <w:r>
        <w:rPr>
          <w:rFonts w:ascii="宋体" w:hAnsi="宋体" w:cs="宋体" w:eastAsia="宋体" w:hint="default"/>
        </w:rPr>
        <w:t>1979</w:t>
      </w:r>
      <w:r>
        <w:rPr/>
        <w:t>年出生，中国国籍，无境外居留权，本科学历，注册会计师，英国特许公认会计师。</w:t>
      </w:r>
      <w:r>
        <w:rPr>
          <w:rFonts w:ascii="宋体" w:hAnsi="宋体" w:cs="宋体" w:eastAsia="宋体" w:hint="default"/>
        </w:rPr>
        <w:t>2007</w:t>
      </w:r>
      <w:r>
        <w:rPr/>
        <w:t>年</w:t>
      </w:r>
      <w:r>
        <w:rPr>
          <w:rFonts w:ascii="宋体" w:hAnsi="宋体" w:cs="宋体" w:eastAsia="宋体" w:hint="default"/>
        </w:rPr>
        <w:t>7</w:t>
      </w:r>
      <w:r>
        <w:rPr/>
        <w:t>月至</w:t>
      </w:r>
      <w:r>
        <w:rPr>
          <w:rFonts w:ascii="宋体" w:hAnsi="宋体" w:cs="宋体" w:eastAsia="宋体" w:hint="default"/>
        </w:rPr>
        <w:t>2015 </w:t>
      </w:r>
      <w:r>
        <w:rPr/>
        <w:t>年</w:t>
      </w:r>
      <w:r>
        <w:rPr>
          <w:rFonts w:ascii="宋体" w:hAnsi="宋体" w:cs="宋体" w:eastAsia="宋体" w:hint="default"/>
        </w:rPr>
        <w:t>6</w:t>
      </w:r>
      <w:r>
        <w:rPr/>
        <w:t>月历任意嘉机械制造（上海）有限公司财务经理、朗盛中国有限公司高级财务经理；</w:t>
      </w:r>
      <w:r>
        <w:rPr>
          <w:rFonts w:ascii="宋体" w:hAnsi="宋体" w:cs="宋体" w:eastAsia="宋体" w:hint="default"/>
        </w:rPr>
        <w:t>2015</w:t>
      </w:r>
      <w:r>
        <w:rPr/>
        <w:t>年</w:t>
      </w:r>
      <w:r>
        <w:rPr>
          <w:rFonts w:ascii="宋体" w:hAnsi="宋体" w:cs="宋体" w:eastAsia="宋体" w:hint="default"/>
        </w:rPr>
        <w:t>6</w:t>
      </w:r>
      <w:r>
        <w:rPr/>
        <w:t>月至</w:t>
      </w:r>
      <w:r>
        <w:rPr>
          <w:rFonts w:ascii="宋体" w:hAnsi="宋体" w:cs="宋体" w:eastAsia="宋体" w:hint="default"/>
        </w:rPr>
        <w:t>2017</w:t>
      </w:r>
      <w:r>
        <w:rPr/>
        <w:t>年</w:t>
      </w:r>
      <w:r>
        <w:rPr>
          <w:rFonts w:ascii="宋体" w:hAnsi="宋体" w:cs="宋体" w:eastAsia="宋体" w:hint="default"/>
        </w:rPr>
        <w:t>6</w:t>
      </w:r>
      <w:r>
        <w:rPr/>
        <w:t>月，任苏州智</w:t>
      </w:r>
      <w:r>
        <w:rPr>
          <w:spacing w:val="-84"/>
        </w:rPr>
        <w:t> </w:t>
      </w:r>
      <w:r>
        <w:rPr/>
        <w:t>康信息科技股份有限公司财务总监，</w:t>
      </w:r>
      <w:r>
        <w:rPr>
          <w:rFonts w:ascii="宋体" w:hAnsi="宋体" w:cs="宋体" w:eastAsia="宋体" w:hint="default"/>
        </w:rPr>
        <w:t>2017</w:t>
      </w:r>
      <w:r>
        <w:rPr/>
        <w:t>年</w:t>
      </w:r>
      <w:r>
        <w:rPr>
          <w:rFonts w:ascii="宋体" w:hAnsi="宋体" w:cs="宋体" w:eastAsia="宋体" w:hint="default"/>
        </w:rPr>
        <w:t>6</w:t>
      </w:r>
      <w:r>
        <w:rPr/>
        <w:t>月至今，任公司财务负责人。</w:t>
      </w:r>
    </w:p>
    <w:p>
      <w:pPr>
        <w:pStyle w:val="BodyText"/>
        <w:spacing w:line="206" w:lineRule="exact" w:before="0"/>
        <w:ind w:right="1086"/>
        <w:jc w:val="left"/>
      </w:pPr>
      <w:r>
        <w:rPr/>
        <w:t>在股东单位任职情况</w:t>
      </w:r>
    </w:p>
    <w:p>
      <w:pPr>
        <w:pStyle w:val="BodyText"/>
        <w:spacing w:line="240" w:lineRule="auto" w:before="14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066"/>
        <w:gridCol w:w="1186"/>
        <w:gridCol w:w="1337"/>
        <w:gridCol w:w="1592"/>
      </w:tblGrid>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0" w:right="90"/>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30" w:right="74" w:hanging="271"/>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杭州思创医惠集团有限公司</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86" w:type="dxa"/>
            <w:tcBorders>
              <w:top w:val="single" w:sz="6" w:space="0" w:color="000000"/>
              <w:left w:val="single" w:sz="6" w:space="0" w:color="000000"/>
              <w:bottom w:val="single" w:sz="6" w:space="0" w:color="000000"/>
              <w:right w:val="single" w:sz="6" w:space="0" w:color="000000"/>
            </w:tcBorders>
          </w:tcPr>
          <w:p>
            <w:pPr/>
          </w:p>
        </w:tc>
        <w:tc>
          <w:tcPr>
            <w:tcW w:w="133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5"/>
        <w:ind w:right="1086"/>
        <w:jc w:val="left"/>
      </w:pPr>
      <w:r>
        <w:rPr/>
        <w:t>在其他单位任职情况</w:t>
      </w:r>
    </w:p>
    <w:p>
      <w:pPr>
        <w:pStyle w:val="BodyText"/>
        <w:spacing w:line="240" w:lineRule="auto" w:before="124"/>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412"/>
        <w:gridCol w:w="1292"/>
        <w:gridCol w:w="1277"/>
        <w:gridCol w:w="1411"/>
      </w:tblGrid>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0" w:right="74" w:hanging="361"/>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2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0" w:right="74"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江苏瑞康医惠医疗投资管理有限公司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江苏钜芯集成电路技术股份有限公司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202"/>
        <w:gridCol w:w="3199"/>
        <w:gridCol w:w="1412"/>
        <w:gridCol w:w="1292"/>
        <w:gridCol w:w="1277"/>
        <w:gridCol w:w="1411"/>
      </w:tblGrid>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医惠科技（福建）有限公司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深圳智慧医学科技有限公司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浙江嘉璟安行物联网科技有限公司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执行董事</w:t>
            </w:r>
            <w:r>
              <w:rPr>
                <w:rFonts w:ascii="宋体" w:hAnsi="宋体" w:cs="宋体" w:eastAsia="宋体" w:hint="default"/>
                <w:spacing w:val="-76"/>
                <w:sz w:val="18"/>
                <w:szCs w:val="18"/>
              </w:rPr>
              <w:t>、</w:t>
            </w:r>
            <w:r>
              <w:rPr>
                <w:rFonts w:ascii="宋体" w:hAnsi="宋体" w:cs="宋体" w:eastAsia="宋体" w:hint="default"/>
                <w:sz w:val="18"/>
                <w:szCs w:val="18"/>
              </w:rPr>
              <w:t>总经理</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杭州医惠科贝社科技咨询有限公司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江苏瑞康医惠医疗投资管理有限公司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王凛</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杭州中科思创射频识别技术有限公司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曾正</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浙江宇佑信息科技有限公司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曾正</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浙江汉鼎宇佑教育科技发展有限公司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楼翔</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杭州中瑞思创智能科技有限公司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楼翔</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浙江嘉璟安行物联网科技有限公司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楼翔</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杭州思创超讯科技发展有限公司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医惠科技（苏州）有限公司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杭州思创超讯科技发展有限公司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杭州简惠信息技术有限公司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92"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5"/>
        <w:ind w:right="1086"/>
        <w:jc w:val="left"/>
      </w:pPr>
      <w:r>
        <w:rPr/>
        <w:t>公司现任及报告期内离任董事、监事和高级管理人员近三年证券监管机构处罚的情况</w:t>
      </w:r>
    </w:p>
    <w:p>
      <w:pPr>
        <w:pStyle w:val="BodyText"/>
        <w:spacing w:line="240" w:lineRule="auto" w:before="14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086"/>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13"/>
        <w:rPr>
          <w:rFonts w:ascii="宋体" w:hAnsi="宋体" w:cs="宋体" w:eastAsia="宋体" w:hint="default"/>
          <w:b/>
          <w:bCs/>
          <w:sz w:val="24"/>
          <w:szCs w:val="24"/>
        </w:rPr>
      </w:pPr>
    </w:p>
    <w:p>
      <w:pPr>
        <w:pStyle w:val="BodyText"/>
        <w:spacing w:line="367" w:lineRule="auto" w:before="0"/>
        <w:ind w:left="501" w:right="5170" w:hanging="361"/>
        <w:jc w:val="left"/>
      </w:pPr>
      <w:r>
        <w:rPr/>
        <w:t>董事、监事、高级管理人员报酬的决策程序、确定依据、实际支付情况 </w:t>
      </w:r>
      <w:r>
        <w:rPr>
          <w:rFonts w:ascii="宋体" w:hAnsi="宋体" w:cs="宋体" w:eastAsia="宋体" w:hint="default"/>
        </w:rPr>
        <w:t>1</w:t>
      </w:r>
      <w:r>
        <w:rPr/>
        <w:t>、董事、监事、高级管理人员报酬的决策程序：</w:t>
      </w:r>
    </w:p>
    <w:p>
      <w:pPr>
        <w:pStyle w:val="BodyText"/>
        <w:spacing w:line="220" w:lineRule="exact" w:before="0"/>
        <w:ind w:left="501" w:right="0"/>
        <w:jc w:val="left"/>
      </w:pPr>
      <w:r>
        <w:rPr/>
        <w:t>公司董事、监事报酬由股东大会决定，高级管理人员报酬由董事会决定；在公司担任职务的董事、监事、高级管理人员</w:t>
      </w:r>
    </w:p>
    <w:p>
      <w:pPr>
        <w:pStyle w:val="BodyText"/>
        <w:spacing w:line="312" w:lineRule="auto" w:before="64"/>
        <w:ind w:left="501" w:right="1029" w:hanging="361"/>
        <w:jc w:val="left"/>
      </w:pPr>
      <w:r>
        <w:rPr/>
        <w:t>的报酬由公司按其担任的职务发放；独立董事津贴依据股东大会决议支付。 </w:t>
      </w:r>
      <w:r>
        <w:rPr>
          <w:rFonts w:ascii="Times New Roman" w:hAnsi="Times New Roman" w:cs="Times New Roman" w:eastAsia="Times New Roman" w:hint="default"/>
        </w:rPr>
        <w:t>2</w:t>
      </w:r>
      <w:r>
        <w:rPr/>
        <w:t>、董事、监事、高级管理人员报酬的确定依据： </w:t>
      </w:r>
      <w:r>
        <w:rPr>
          <w:spacing w:val="-4"/>
        </w:rPr>
        <w:t>董事、监事、高级管理人员的报酬按照公司董事会《薪酬与考核委员会工作细则》等规定，结合其工作能力、岗位职责、</w:t>
      </w:r>
    </w:p>
    <w:p>
      <w:pPr>
        <w:pStyle w:val="BodyText"/>
        <w:spacing w:line="240" w:lineRule="auto" w:before="26"/>
        <w:ind w:right="1086"/>
        <w:jc w:val="left"/>
      </w:pPr>
      <w:r>
        <w:rPr/>
        <w:t>经营绩效等考核确定并发放。</w:t>
      </w:r>
    </w:p>
    <w:p>
      <w:pPr>
        <w:pStyle w:val="BodyText"/>
        <w:spacing w:line="240" w:lineRule="auto" w:before="95"/>
        <w:ind w:left="501" w:right="1086"/>
        <w:jc w:val="left"/>
      </w:pPr>
      <w:r>
        <w:rPr>
          <w:rFonts w:ascii="Times New Roman" w:hAnsi="Times New Roman" w:cs="Times New Roman" w:eastAsia="Times New Roman" w:hint="default"/>
        </w:rPr>
        <w:t>3</w:t>
      </w:r>
      <w:r>
        <w:rPr/>
        <w:t>、董事、监事、高级管理人员报酬的实际支付情况：</w:t>
      </w:r>
    </w:p>
    <w:p>
      <w:pPr>
        <w:pStyle w:val="BodyText"/>
        <w:spacing w:line="319" w:lineRule="auto" w:before="96"/>
        <w:ind w:left="501" w:right="3219" w:firstLine="15"/>
        <w:jc w:val="left"/>
      </w:pPr>
      <w:r>
        <w:rPr>
          <w:rFonts w:ascii="Times New Roman" w:hAnsi="Times New Roman" w:cs="Times New Roman" w:eastAsia="Times New Roman" w:hint="default"/>
        </w:rPr>
        <w:t>2019</w:t>
      </w:r>
      <w:r>
        <w:rPr/>
        <w:t>年度，公司所有在任的董事、监事及高级管理人员共</w:t>
      </w:r>
      <w:r>
        <w:rPr>
          <w:rFonts w:ascii="Times New Roman" w:hAnsi="Times New Roman" w:cs="Times New Roman" w:eastAsia="Times New Roman" w:hint="default"/>
        </w:rPr>
        <w:t>12</w:t>
      </w:r>
      <w:r>
        <w:rPr/>
        <w:t>人，实际支付薪酬</w:t>
      </w:r>
      <w:r>
        <w:rPr>
          <w:rFonts w:ascii="Times New Roman" w:hAnsi="Times New Roman" w:cs="Times New Roman" w:eastAsia="Times New Roman" w:hint="default"/>
        </w:rPr>
        <w:t>352.98</w:t>
      </w:r>
      <w:r>
        <w:rPr/>
        <w:t>万元。 公司报告期内董事、监事和高级管理人员报酬情况</w:t>
      </w:r>
    </w:p>
    <w:p>
      <w:pPr>
        <w:pStyle w:val="BodyText"/>
        <w:spacing w:line="240" w:lineRule="auto" w:before="65"/>
        <w:ind w:left="0" w:right="1110"/>
        <w:jc w:val="right"/>
      </w:pPr>
      <w:r>
        <w:rPr/>
        <w:t>单位：万元</w:t>
      </w:r>
    </w:p>
    <w:p>
      <w:pPr>
        <w:spacing w:after="0" w:line="240" w:lineRule="auto"/>
        <w:jc w:val="righ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472"/>
        <w:gridCol w:w="1142"/>
        <w:gridCol w:w="1411"/>
        <w:gridCol w:w="1457"/>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495"/>
              <w:jc w:val="right"/>
              <w:rPr>
                <w:rFonts w:ascii="宋体" w:hAnsi="宋体" w:cs="宋体" w:eastAsia="宋体" w:hint="default"/>
                <w:sz w:val="18"/>
                <w:szCs w:val="18"/>
              </w:rPr>
            </w:pPr>
            <w:r>
              <w:rPr>
                <w:rFonts w:ascii="宋体" w:hAnsi="宋体" w:cs="宋体" w:eastAsia="宋体" w:hint="default"/>
                <w:sz w:val="18"/>
                <w:szCs w:val="18"/>
              </w:rPr>
              <w:t>姓名</w:t>
            </w:r>
          </w:p>
        </w:tc>
        <w:tc>
          <w:tcPr>
            <w:tcW w:w="14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年龄</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77.55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孙新军</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5"/>
              <w:jc w:val="left"/>
              <w:rPr>
                <w:rFonts w:ascii="宋体" w:hAnsi="宋体" w:cs="宋体" w:eastAsia="宋体" w:hint="default"/>
                <w:sz w:val="18"/>
                <w:szCs w:val="18"/>
              </w:rPr>
            </w:pPr>
            <w:r>
              <w:rPr>
                <w:rFonts w:ascii="宋体" w:hAnsi="宋体" w:cs="宋体" w:eastAsia="宋体" w:hint="default"/>
                <w:spacing w:val="-4"/>
                <w:sz w:val="18"/>
                <w:szCs w:val="18"/>
              </w:rPr>
              <w:t>副董事长、副总经</w:t>
            </w:r>
            <w:r>
              <w:rPr>
                <w:rFonts w:ascii="宋体" w:hAnsi="宋体" w:cs="宋体" w:eastAsia="宋体" w:hint="default"/>
                <w:sz w:val="18"/>
                <w:szCs w:val="18"/>
              </w:rPr>
              <w:t> 理、董事会秘书</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62.36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曾正</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楼翔</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26.98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25.7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王凛</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32.89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梁健</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魏利伟</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16.5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95"/>
              <w:jc w:val="right"/>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1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352.98</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1086"/>
        <w:jc w:val="left"/>
      </w:pPr>
      <w:r>
        <w:rPr/>
        <w:t>公司董事、高级管理人员报告期内被授予的股权激励情况</w:t>
      </w:r>
    </w:p>
    <w:p>
      <w:pPr>
        <w:pStyle w:val="BodyText"/>
        <w:spacing w:line="240" w:lineRule="auto" w:before="14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1086"/>
        <w:jc w:val="left"/>
        <w:rPr>
          <w:b w:val="0"/>
          <w:bCs w:val="0"/>
        </w:rPr>
      </w:pPr>
      <w:bookmarkStart w:name="五、公司员工情况" w:id="126"/>
      <w:bookmarkEnd w:id="126"/>
      <w:r>
        <w:rPr>
          <w:b w:val="0"/>
          <w:bCs w:val="0"/>
        </w:rPr>
      </w:r>
      <w:r>
        <w:rPr/>
        <w:t>五、公司员工情况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86"/>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182</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2,064</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2,246</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2,246</w:t>
            </w:r>
          </w:p>
        </w:tc>
      </w:tr>
      <w:tr>
        <w:trPr>
          <w:trHeight w:val="413"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13"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9"/>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569"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351</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152</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1,489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193</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2,246</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3"/>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92</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1,159</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665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330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2,246</w:t>
            </w:r>
          </w:p>
        </w:tc>
      </w:tr>
    </w:tbl>
    <w:p>
      <w:pPr>
        <w:spacing w:line="240" w:lineRule="auto" w:before="11"/>
        <w:rPr>
          <w:rFonts w:ascii="宋体" w:hAnsi="宋体" w:cs="宋体" w:eastAsia="宋体" w:hint="default"/>
          <w:b/>
          <w:bCs/>
          <w:sz w:val="19"/>
          <w:szCs w:val="19"/>
        </w:rPr>
      </w:pPr>
    </w:p>
    <w:p>
      <w:pPr>
        <w:pStyle w:val="Heading5"/>
        <w:spacing w:line="240" w:lineRule="auto" w:before="35"/>
        <w:ind w:right="1086"/>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1029" w:firstLine="360"/>
        <w:jc w:val="left"/>
      </w:pPr>
      <w:r>
        <w:rPr>
          <w:spacing w:val="-2"/>
        </w:rPr>
        <w:t>报告期内，公司进一步完善薪酬制度和奖励办法，建立与公司发展相匹配的科学的薪酬考核体系。为充分调动员工的积</w:t>
      </w:r>
      <w:r>
        <w:rPr/>
        <w:t> </w:t>
      </w:r>
      <w:r>
        <w:rPr>
          <w:spacing w:val="-2"/>
        </w:rPr>
        <w:t>极性，建立适应市场经济的激励约束机制，公司根据公司经营的实际情况，依照《公司章程》、《董事会薪酬与考核委员会</w:t>
      </w:r>
      <w:r>
        <w:rPr>
          <w:spacing w:val="-73"/>
        </w:rPr>
        <w:t> </w:t>
      </w:r>
      <w:r>
        <w:rPr>
          <w:spacing w:val="-73"/>
        </w:rPr>
      </w:r>
      <w:r>
        <w:rPr/>
        <w:t>工作细则》，制定公司薪酬管理办法，员工薪酬主要包括基本工资、绩效工资、奖金、社保、住房公积金、津贴、补助等。 </w:t>
      </w:r>
      <w:r>
        <w:rPr>
          <w:spacing w:val="-2"/>
        </w:rPr>
        <w:t>公司实行销售人员薪酬与个人销售业绩挂钩，其他人员实行岗位与绩效工资相结合，并与企业效益挂钩，充分调动和激发公</w:t>
      </w:r>
      <w:r>
        <w:rPr>
          <w:spacing w:val="-75"/>
        </w:rPr>
        <w:t> </w:t>
      </w:r>
      <w:r>
        <w:rPr>
          <w:spacing w:val="-75"/>
        </w:rPr>
      </w:r>
      <w:r>
        <w:rPr/>
        <w:t>司员工的积极性、创造力，建立效率优先兼顾公平的价值分配体系，提升团队凝聚力，促进公司经营效益持续稳步增长。</w:t>
      </w:r>
    </w:p>
    <w:p>
      <w:pPr>
        <w:spacing w:line="240" w:lineRule="auto" w:before="3"/>
        <w:rPr>
          <w:rFonts w:ascii="宋体" w:hAnsi="宋体" w:cs="宋体" w:eastAsia="宋体" w:hint="default"/>
          <w:sz w:val="24"/>
          <w:szCs w:val="24"/>
        </w:rPr>
      </w:pPr>
    </w:p>
    <w:p>
      <w:pPr>
        <w:pStyle w:val="Heading5"/>
        <w:spacing w:line="240" w:lineRule="auto"/>
        <w:ind w:right="1086"/>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1029" w:firstLine="360"/>
        <w:jc w:val="left"/>
      </w:pPr>
      <w:r>
        <w:rPr/>
        <w:t>公司始终把人才发展作为重点工作，公司每年根据员工需求及公司发展等制定年度培训计划，同时不断优化培训体系， 紧密结合业务需求，提供可落地的组织和个人能力发展方案。公司培训层级分公司级别培训、培训形式主要有内训和外训， </w:t>
      </w:r>
      <w:r>
        <w:rPr>
          <w:spacing w:val="-2"/>
        </w:rPr>
        <w:t>内训由部门自行制定培训课程或聘请外部专家至公司担任讲师，进行专业方面的培训。外训不定期派相关骨干人员参加有关</w:t>
      </w:r>
      <w:r>
        <w:rPr>
          <w:spacing w:val="-72"/>
        </w:rPr>
        <w:t> </w:t>
      </w:r>
      <w:r>
        <w:rPr>
          <w:spacing w:val="-72"/>
        </w:rPr>
      </w:r>
      <w:r>
        <w:rPr/>
        <w:t>专题研讨会、展览会、进修班等。</w:t>
      </w:r>
    </w:p>
    <w:p>
      <w:pPr>
        <w:pStyle w:val="BodyText"/>
        <w:spacing w:line="321" w:lineRule="auto" w:before="67"/>
        <w:ind w:right="1097" w:firstLine="300"/>
        <w:jc w:val="both"/>
      </w:pPr>
      <w:r>
        <w:rPr/>
        <w:t>公司非常注重员工的培训工作，积极寻求各种培训资源和渠道，建立了较为完善的培训体系。在引进外部培训机构的同 </w:t>
      </w:r>
      <w:r>
        <w:rPr>
          <w:spacing w:val="-1"/>
        </w:rPr>
        <w:t>时，还建立了内部讲师团队。充分利用内部资源和新的网络技术，极大的提高了员工学习和分享的积极性与效率，保证了公</w:t>
      </w:r>
      <w:r>
        <w:rPr/>
        <w:t> 司管理体系的有效运行。</w:t>
      </w:r>
    </w:p>
    <w:p>
      <w:pPr>
        <w:spacing w:line="240" w:lineRule="auto" w:before="13"/>
        <w:rPr>
          <w:rFonts w:ascii="宋体" w:hAnsi="宋体" w:cs="宋体" w:eastAsia="宋体" w:hint="default"/>
          <w:sz w:val="23"/>
          <w:szCs w:val="23"/>
        </w:rPr>
      </w:pPr>
    </w:p>
    <w:p>
      <w:pPr>
        <w:pStyle w:val="Heading5"/>
        <w:spacing w:line="240" w:lineRule="auto"/>
        <w:ind w:right="1086"/>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814,864</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13,046,196.00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right="983"/>
        <w:jc w:val="center"/>
        <w:rPr>
          <w:b w:val="0"/>
          <w:bCs w:val="0"/>
        </w:rPr>
      </w:pPr>
      <w:bookmarkStart w:name="_TOC_250003" w:id="131"/>
      <w:bookmarkStart w:name="第十节公司治理" w:id="132"/>
      <w:r>
        <w:rPr>
          <w:b w:val="0"/>
          <w:bCs w:val="0"/>
        </w:rPr>
      </w:r>
      <w:r>
        <w:rPr>
          <w:spacing w:val="5"/>
        </w:rPr>
        <w:t>第十节公司治理</w:t>
      </w:r>
      <w:bookmarkEnd w:id="131"/>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left="501" w:right="0"/>
        <w:jc w:val="left"/>
      </w:pPr>
      <w:r>
        <w:rPr>
          <w:spacing w:val="-4"/>
        </w:rPr>
        <w:t>报告期内，公司严格按照《公司法》、《证券法》、《上市公司治理准则》、《深圳证券交易所创业板股票上市规则》、</w:t>
      </w:r>
    </w:p>
    <w:p>
      <w:pPr>
        <w:pStyle w:val="BodyText"/>
        <w:spacing w:line="314" w:lineRule="auto" w:before="80"/>
        <w:ind w:right="1121"/>
        <w:jc w:val="both"/>
      </w:pPr>
      <w:r>
        <w:rPr>
          <w:spacing w:val="-2"/>
        </w:rPr>
        <w:t>《深圳证券交易所创业板上市公司规范运作指引》等法律、法规和中国证监会有关法律法规等的要求，不断完善公司的法人</w:t>
      </w:r>
      <w:r>
        <w:rPr>
          <w:spacing w:val="-68"/>
        </w:rPr>
        <w:t> </w:t>
      </w:r>
      <w:r>
        <w:rPr>
          <w:spacing w:val="-68"/>
        </w:rPr>
      </w:r>
      <w:r>
        <w:rPr>
          <w:spacing w:val="-2"/>
        </w:rPr>
        <w:t>治理结构，建立健全公司内部管理和控制制度，持续深入开展公司治理活动，促进公司规范运作，提高公司治理水平。截至</w:t>
      </w:r>
      <w:r>
        <w:rPr>
          <w:spacing w:val="-57"/>
        </w:rPr>
        <w:t> </w:t>
      </w:r>
      <w:r>
        <w:rPr>
          <w:spacing w:val="-57"/>
        </w:rPr>
      </w:r>
      <w:r>
        <w:rPr/>
        <w:t>报告期末，公司治理的实际状况符合《上市公司治理准则》和《深圳证券交易所创业板上市公司规范运作指引》等要求。</w:t>
      </w:r>
    </w:p>
    <w:p>
      <w:pPr>
        <w:pStyle w:val="BodyText"/>
        <w:spacing w:line="321" w:lineRule="auto" w:before="24"/>
        <w:ind w:left="501" w:right="1133"/>
        <w:jc w:val="left"/>
      </w:pPr>
      <w:r>
        <w:rPr>
          <w:rFonts w:ascii="宋体" w:hAnsi="宋体" w:cs="宋体" w:eastAsia="宋体" w:hint="default"/>
        </w:rPr>
        <w:t>1</w:t>
      </w:r>
      <w:r>
        <w:rPr/>
        <w:t>、股东和股东大会 </w:t>
      </w:r>
      <w:r>
        <w:rPr>
          <w:spacing w:val="-2"/>
        </w:rPr>
        <w:t>公司严格按照《上市公司股东大会规则》、《公司章程》、《股东大会议事规则》等规定和要求，规范地召集、召开股</w:t>
      </w:r>
    </w:p>
    <w:p>
      <w:pPr>
        <w:pStyle w:val="BodyText"/>
        <w:spacing w:line="316" w:lineRule="auto" w:before="19"/>
        <w:ind w:right="1118"/>
        <w:jc w:val="both"/>
      </w:pPr>
      <w:r>
        <w:rPr>
          <w:spacing w:val="-2"/>
        </w:rPr>
        <w:t>东大会，平等对待所有股东，并尽可能为股东参加股东大会提供便利，使其充分行使股东权利。报告期内，公司召开股东大</w:t>
      </w:r>
      <w:r>
        <w:rPr>
          <w:spacing w:val="-57"/>
        </w:rPr>
        <w:t> </w:t>
      </w:r>
      <w:r>
        <w:rPr>
          <w:spacing w:val="-57"/>
        </w:rPr>
      </w:r>
      <w:r>
        <w:rPr>
          <w:spacing w:val="-2"/>
        </w:rPr>
        <w:t>会</w:t>
      </w:r>
      <w:r>
        <w:rPr>
          <w:rFonts w:ascii="宋体" w:hAnsi="宋体" w:cs="宋体" w:eastAsia="宋体" w:hint="default"/>
          <w:spacing w:val="-2"/>
        </w:rPr>
        <w:t>2</w:t>
      </w:r>
      <w:r>
        <w:rPr>
          <w:spacing w:val="-2"/>
        </w:rPr>
        <w:t>次，其中召开年度股东大会</w:t>
      </w:r>
      <w:r>
        <w:rPr>
          <w:rFonts w:ascii="宋体" w:hAnsi="宋体" w:cs="宋体" w:eastAsia="宋体" w:hint="default"/>
          <w:spacing w:val="-2"/>
        </w:rPr>
        <w:t>1</w:t>
      </w:r>
      <w:r>
        <w:rPr>
          <w:spacing w:val="-2"/>
        </w:rPr>
        <w:t>次，均由公司董事会召集召开，董事长、副董事长或半数以上董事选举的董事主持，同时邀</w:t>
      </w:r>
      <w:r>
        <w:rPr>
          <w:spacing w:val="-54"/>
        </w:rPr>
        <w:t> </w:t>
      </w:r>
      <w:r>
        <w:rPr>
          <w:spacing w:val="-54"/>
        </w:rPr>
      </w:r>
      <w:r>
        <w:rPr>
          <w:spacing w:val="-2"/>
        </w:rPr>
        <w:t>请见证律师进行现场见证并出具法律意见书。在股东大会上能够保证各位股东有充分的发言权，确保全体股东特别是中小股</w:t>
      </w:r>
      <w:r>
        <w:rPr>
          <w:spacing w:val="-72"/>
        </w:rPr>
        <w:t> </w:t>
      </w:r>
      <w:r>
        <w:rPr>
          <w:spacing w:val="-72"/>
        </w:rPr>
      </w:r>
      <w:r>
        <w:rPr/>
        <w:t>东享有平等地位，充分行使自己的权力。</w:t>
      </w:r>
    </w:p>
    <w:p>
      <w:pPr>
        <w:pStyle w:val="BodyText"/>
        <w:spacing w:line="321" w:lineRule="auto" w:before="22"/>
        <w:ind w:left="501" w:right="1133"/>
        <w:jc w:val="left"/>
      </w:pPr>
      <w:r>
        <w:rPr>
          <w:rFonts w:ascii="宋体" w:hAnsi="宋体" w:cs="宋体" w:eastAsia="宋体" w:hint="default"/>
        </w:rPr>
        <w:t>2</w:t>
      </w:r>
      <w:r>
        <w:rPr/>
        <w:t>、公司与控股股东 </w:t>
      </w:r>
      <w:r>
        <w:rPr>
          <w:spacing w:val="-2"/>
        </w:rPr>
        <w:t>公司控股股东和实际控制人严格按照《上市公司治理准则》、《深圳证券交易所创业板股票上市规则》、《深圳证券交</w:t>
      </w:r>
    </w:p>
    <w:p>
      <w:pPr>
        <w:pStyle w:val="BodyText"/>
        <w:spacing w:line="316" w:lineRule="auto" w:before="19"/>
        <w:ind w:right="1029"/>
        <w:jc w:val="left"/>
      </w:pPr>
      <w:r>
        <w:rPr>
          <w:spacing w:val="-2"/>
        </w:rPr>
        <w:t>易所创业板上市公司规范运作指引》、《公司章程》等规定和要求，规范自己的行为，未发生超越股东大会直接或间接干预</w:t>
      </w:r>
      <w:r>
        <w:rPr>
          <w:spacing w:val="-73"/>
        </w:rPr>
        <w:t> </w:t>
      </w:r>
      <w:r>
        <w:rPr>
          <w:spacing w:val="-73"/>
        </w:rPr>
      </w:r>
      <w:r>
        <w:rPr/>
        <w:t>公司的决策和经营活动损害公司及其他股东利益的情形。公司不存在控股股东占用公司资金、为控股股东提供担保的情形。</w:t>
      </w:r>
      <w:r>
        <w:rPr>
          <w:spacing w:val="-85"/>
        </w:rPr>
        <w:t> </w:t>
      </w:r>
      <w:r>
        <w:rPr>
          <w:spacing w:val="-85"/>
        </w:rPr>
      </w:r>
      <w:r>
        <w:rPr>
          <w:spacing w:val="-2"/>
        </w:rPr>
        <w:t>公司拥有独立完整的业务和自主经营能力，在业务、人员、资产、机构、财务上独立于控股股东，公司董事会、监事会和内</w:t>
      </w:r>
      <w:r>
        <w:rPr>
          <w:spacing w:val="-73"/>
        </w:rPr>
        <w:t> </w:t>
      </w:r>
      <w:r>
        <w:rPr>
          <w:spacing w:val="-73"/>
        </w:rPr>
      </w:r>
      <w:r>
        <w:rPr/>
        <w:t>部机构独立运作。</w:t>
      </w:r>
    </w:p>
    <w:p>
      <w:pPr>
        <w:pStyle w:val="BodyText"/>
        <w:spacing w:line="321" w:lineRule="auto" w:before="22"/>
        <w:ind w:left="501" w:right="1086"/>
        <w:jc w:val="left"/>
      </w:pPr>
      <w:r>
        <w:rPr>
          <w:rFonts w:ascii="宋体" w:hAnsi="宋体" w:cs="宋体" w:eastAsia="宋体" w:hint="default"/>
        </w:rPr>
        <w:t>3</w:t>
      </w:r>
      <w:r>
        <w:rPr/>
        <w:t>、董事和董事会 </w:t>
      </w:r>
      <w:r>
        <w:rPr>
          <w:spacing w:val="-1"/>
        </w:rPr>
        <w:t>公司董事会设董事</w:t>
      </w:r>
      <w:r>
        <w:rPr>
          <w:rFonts w:ascii="宋体" w:hAnsi="宋体" w:cs="宋体" w:eastAsia="宋体" w:hint="default"/>
          <w:spacing w:val="-1"/>
        </w:rPr>
        <w:t>7</w:t>
      </w:r>
      <w:r>
        <w:rPr>
          <w:spacing w:val="-1"/>
        </w:rPr>
        <w:t>名，</w:t>
      </w:r>
      <w:r>
        <w:rPr>
          <w:rFonts w:ascii="宋体" w:hAnsi="宋体" w:cs="宋体" w:eastAsia="宋体" w:hint="default"/>
          <w:spacing w:val="-1"/>
        </w:rPr>
        <w:t>2019</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26</w:t>
      </w:r>
      <w:r>
        <w:rPr>
          <w:spacing w:val="-1"/>
        </w:rPr>
        <w:t>日，非独立董事梁健先生辞去董事职务。目前公司董事会有</w:t>
      </w:r>
      <w:r>
        <w:rPr>
          <w:rFonts w:ascii="宋体" w:hAnsi="宋体" w:cs="宋体" w:eastAsia="宋体" w:hint="default"/>
          <w:spacing w:val="-1"/>
        </w:rPr>
        <w:t>6</w:t>
      </w:r>
      <w:r>
        <w:rPr>
          <w:spacing w:val="-1"/>
        </w:rPr>
        <w:t>名董事，其中独立董</w:t>
      </w:r>
    </w:p>
    <w:p>
      <w:pPr>
        <w:pStyle w:val="BodyText"/>
        <w:spacing w:line="321" w:lineRule="auto" w:before="3"/>
        <w:ind w:right="0"/>
        <w:jc w:val="left"/>
      </w:pPr>
      <w:r>
        <w:rPr/>
        <w:t>事</w:t>
      </w:r>
      <w:r>
        <w:rPr>
          <w:rFonts w:ascii="宋体" w:hAnsi="宋体" w:cs="宋体" w:eastAsia="宋体" w:hint="default"/>
        </w:rPr>
        <w:t>3</w:t>
      </w:r>
      <w:r>
        <w:rPr/>
        <w:t>人，独立董事人数达到董事会人数的三分之一，且人员构成符合法律、法规和《公司章程》的要求。公司按照《深圳证 </w:t>
      </w:r>
      <w:r>
        <w:rPr>
          <w:spacing w:val="-2"/>
        </w:rPr>
        <w:t>券交易所创业板上市公司规范运作指引》的要求，董事会下设审计、战略决策、薪酬与考核、提名四个专门委员会。报告期</w:t>
      </w:r>
      <w:r>
        <w:rPr>
          <w:spacing w:val="-63"/>
        </w:rPr>
        <w:t> </w:t>
      </w:r>
      <w:r>
        <w:rPr>
          <w:spacing w:val="-63"/>
        </w:rPr>
      </w:r>
      <w:r>
        <w:rPr/>
        <w:t>内，董事会召开会议</w:t>
      </w:r>
      <w:r>
        <w:rPr>
          <w:rFonts w:ascii="宋体" w:hAnsi="宋体" w:cs="宋体" w:eastAsia="宋体" w:hint="default"/>
        </w:rPr>
        <w:t>8</w:t>
      </w:r>
      <w:r>
        <w:rPr/>
        <w:t>次，董事会的召集和召开程序符合《公司法》、《公司章程》、《董事会议事规则》的相关规定，会 </w:t>
      </w:r>
      <w:r>
        <w:rPr>
          <w:spacing w:val="-4"/>
        </w:rPr>
        <w:t>议记录完整，会议决议及时充分披露。公司董事勤勉尽责，认真履行《公司章程》赋予的职权，并积极参加公司历次董事会，</w:t>
      </w:r>
      <w:r>
        <w:rPr>
          <w:spacing w:val="-56"/>
        </w:rPr>
        <w:t> </w:t>
      </w:r>
      <w:r>
        <w:rPr>
          <w:spacing w:val="-56"/>
        </w:rPr>
      </w:r>
      <w:r>
        <w:rPr/>
        <w:t>保证了公司的持续健康发展，维护了广大股东的合法权益。</w:t>
      </w:r>
    </w:p>
    <w:p>
      <w:pPr>
        <w:pStyle w:val="BodyText"/>
        <w:spacing w:line="321" w:lineRule="auto" w:before="3"/>
        <w:ind w:left="501" w:right="1086"/>
        <w:jc w:val="left"/>
      </w:pPr>
      <w:r>
        <w:rPr>
          <w:rFonts w:ascii="宋体" w:hAnsi="宋体" w:cs="宋体" w:eastAsia="宋体" w:hint="default"/>
        </w:rPr>
        <w:t>4</w:t>
      </w:r>
      <w:r>
        <w:rPr/>
        <w:t>、监事和监事会 </w:t>
      </w:r>
      <w:r>
        <w:rPr>
          <w:spacing w:val="-2"/>
        </w:rPr>
        <w:t>公司监事会设监事</w:t>
      </w:r>
      <w:r>
        <w:rPr>
          <w:rFonts w:ascii="宋体" w:hAnsi="宋体" w:cs="宋体" w:eastAsia="宋体" w:hint="default"/>
          <w:spacing w:val="-2"/>
        </w:rPr>
        <w:t>3</w:t>
      </w:r>
      <w:r>
        <w:rPr>
          <w:spacing w:val="-2"/>
        </w:rPr>
        <w:t>名，其中职工代表监事</w:t>
      </w:r>
      <w:r>
        <w:rPr>
          <w:rFonts w:ascii="宋体" w:hAnsi="宋体" w:cs="宋体" w:eastAsia="宋体" w:hint="default"/>
          <w:spacing w:val="-2"/>
        </w:rPr>
        <w:t>1</w:t>
      </w:r>
      <w:r>
        <w:rPr>
          <w:spacing w:val="-2"/>
        </w:rPr>
        <w:t>人，监事会的人数及人员构成符合法律、法规和《公司章程》的要求，认真</w:t>
      </w:r>
    </w:p>
    <w:p>
      <w:pPr>
        <w:pStyle w:val="BodyText"/>
        <w:spacing w:line="321" w:lineRule="auto" w:before="18"/>
        <w:ind w:right="1121"/>
        <w:jc w:val="both"/>
      </w:pPr>
      <w:r>
        <w:rPr/>
        <w:t>履行自己的职责。报告期内，监事会召开会议</w:t>
      </w:r>
      <w:r>
        <w:rPr>
          <w:rFonts w:ascii="宋体" w:hAnsi="宋体" w:cs="宋体" w:eastAsia="宋体" w:hint="default"/>
        </w:rPr>
        <w:t>8</w:t>
      </w:r>
      <w:r>
        <w:rPr/>
        <w:t>次。各位监事按照《公司章程》、《监事会议事规则》等规定的要求，认真</w:t>
      </w:r>
      <w:r>
        <w:rPr>
          <w:spacing w:val="-81"/>
        </w:rPr>
        <w:t> </w:t>
      </w:r>
      <w:r>
        <w:rPr>
          <w:spacing w:val="-81"/>
        </w:rPr>
      </w:r>
      <w:r>
        <w:rPr>
          <w:spacing w:val="-2"/>
        </w:rPr>
        <w:t>履行自己的职责，对公司重大事项、关联交易、财务状况以及董事和高管人员履行职责的合法、合规性进行监督，维护公司</w:t>
      </w:r>
      <w:r>
        <w:rPr>
          <w:spacing w:val="-57"/>
        </w:rPr>
        <w:t> </w:t>
      </w:r>
      <w:r>
        <w:rPr>
          <w:spacing w:val="-57"/>
        </w:rPr>
      </w:r>
      <w:r>
        <w:rPr/>
        <w:t>及股东的合法权益。</w:t>
      </w:r>
    </w:p>
    <w:p>
      <w:pPr>
        <w:pStyle w:val="BodyText"/>
        <w:spacing w:line="321" w:lineRule="auto" w:before="3"/>
        <w:ind w:left="501" w:right="1133"/>
        <w:jc w:val="left"/>
      </w:pPr>
      <w:r>
        <w:rPr>
          <w:rFonts w:ascii="宋体" w:hAnsi="宋体" w:cs="宋体" w:eastAsia="宋体" w:hint="default"/>
        </w:rPr>
        <w:t>5</w:t>
      </w:r>
      <w:r>
        <w:rPr/>
        <w:t>、绩效评价与激励约束机制 </w:t>
      </w:r>
      <w:r>
        <w:rPr>
          <w:spacing w:val="-2"/>
        </w:rPr>
        <w:t>公司建立并逐步完善公正、有效的高级管理人员的绩效评价标准和激励约束机制，公司高级管理人员实行基本年薪与年</w:t>
      </w:r>
    </w:p>
    <w:p>
      <w:pPr>
        <w:pStyle w:val="BodyText"/>
        <w:spacing w:line="321" w:lineRule="auto" w:before="19"/>
        <w:ind w:left="501" w:right="3550" w:hanging="361"/>
        <w:jc w:val="left"/>
      </w:pPr>
      <w:r>
        <w:rPr/>
        <w:t>终绩效考核相结合的薪酬制度。高级管理人员的聘任公开、透明，符合法律、法规的规定。 </w:t>
      </w:r>
      <w:r>
        <w:rPr>
          <w:rFonts w:ascii="宋体" w:hAnsi="宋体" w:cs="宋体" w:eastAsia="宋体" w:hint="default"/>
        </w:rPr>
        <w:t>6</w:t>
      </w:r>
      <w:r>
        <w:rPr/>
        <w:t>、信息披露</w:t>
      </w:r>
    </w:p>
    <w:p>
      <w:pPr>
        <w:pStyle w:val="BodyText"/>
        <w:spacing w:line="314" w:lineRule="auto" w:before="18"/>
        <w:ind w:right="1126" w:firstLine="360"/>
        <w:jc w:val="both"/>
      </w:pPr>
      <w:r>
        <w:rPr>
          <w:spacing w:val="-2"/>
        </w:rPr>
        <w:t>公司严格按照《深圳证券交易所创业板股票上市规则》，依法履行信息披露义务，严格遵守“公平、公正、公开”的原</w:t>
      </w:r>
      <w:r>
        <w:rPr/>
        <w:t> </w:t>
      </w:r>
      <w:r>
        <w:rPr>
          <w:spacing w:val="-2"/>
        </w:rPr>
        <w:t>则，真实、准确、及时、完整地披露公司定期报告和临时公告等相关信息；董事会秘书负责公司信息披露工作，公司证券部</w:t>
      </w:r>
      <w:r>
        <w:rPr>
          <w:spacing w:val="-69"/>
        </w:rPr>
        <w:t> </w:t>
      </w:r>
      <w:r>
        <w:rPr>
          <w:spacing w:val="-69"/>
        </w:rPr>
      </w:r>
      <w:r>
        <w:rPr/>
        <w:t>负责接待投资者来访及咨询，加强与投资者的沟通和交流。</w:t>
      </w:r>
    </w:p>
    <w:p>
      <w:pPr>
        <w:pStyle w:val="BodyText"/>
        <w:spacing w:line="321" w:lineRule="auto" w:before="24"/>
        <w:ind w:left="501" w:right="1133"/>
        <w:jc w:val="left"/>
      </w:pPr>
      <w:r>
        <w:rPr>
          <w:rFonts w:ascii="宋体" w:hAnsi="宋体" w:cs="宋体" w:eastAsia="宋体" w:hint="default"/>
        </w:rPr>
        <w:t>7</w:t>
      </w:r>
      <w:r>
        <w:rPr/>
        <w:t>、内幕知情人登记管理 </w:t>
      </w:r>
      <w:r>
        <w:rPr>
          <w:spacing w:val="-2"/>
        </w:rPr>
        <w:t>报告期内，公司严格按照内幕信息知情人报备制度，根据相关重大事项及需保密事项的进展情况，做好内幕信息知情人</w:t>
      </w:r>
    </w:p>
    <w:p>
      <w:pPr>
        <w:pStyle w:val="BodyText"/>
        <w:spacing w:line="240" w:lineRule="auto" w:before="18"/>
        <w:ind w:right="0"/>
        <w:jc w:val="both"/>
      </w:pPr>
      <w:r>
        <w:rPr/>
        <w:t>的登记和报备工作，不存在因内幕信息泄露导致公司股价异常波动的情形，维护公司信息披露的公平原则，切实保护了公司</w:t>
      </w:r>
    </w:p>
    <w:p>
      <w:pPr>
        <w:spacing w:after="0" w:line="240" w:lineRule="auto"/>
        <w:jc w:val="both"/>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321" w:lineRule="auto"/>
        <w:ind w:left="501" w:right="7599" w:hanging="361"/>
        <w:jc w:val="left"/>
      </w:pPr>
      <w:r>
        <w:rPr/>
        <w:t>股东的合法权益。 </w:t>
      </w:r>
      <w:r>
        <w:rPr>
          <w:rFonts w:ascii="宋体" w:hAnsi="宋体" w:cs="宋体" w:eastAsia="宋体" w:hint="default"/>
        </w:rPr>
        <w:t>8</w:t>
      </w:r>
      <w:r>
        <w:rPr/>
        <w:t>、内部审计制度的建立和执行情况</w:t>
      </w:r>
    </w:p>
    <w:p>
      <w:pPr>
        <w:pStyle w:val="BodyText"/>
        <w:spacing w:line="314" w:lineRule="auto" w:before="18"/>
        <w:ind w:right="1121" w:firstLine="360"/>
        <w:jc w:val="both"/>
      </w:pPr>
      <w:r>
        <w:rPr>
          <w:spacing w:val="-2"/>
        </w:rPr>
        <w:t>为规范经营管理，控制风险，保证经营业务活动的正常开展，公司根据《公司法》、《公司章程》等有关法律、法规和</w:t>
      </w:r>
      <w:r>
        <w:rPr/>
        <w:t> </w:t>
      </w:r>
      <w:r>
        <w:rPr>
          <w:spacing w:val="-2"/>
        </w:rPr>
        <w:t>规章制度，结合公司的实际情况、自身特点和管理需要，制定了贯穿于公司生产经营各层面、各环节的内部控制体系，并不</w:t>
      </w:r>
      <w:r>
        <w:rPr>
          <w:spacing w:val="-57"/>
        </w:rPr>
        <w:t> </w:t>
      </w:r>
      <w:r>
        <w:rPr>
          <w:spacing w:val="-57"/>
        </w:rPr>
      </w:r>
      <w:r>
        <w:rPr/>
        <w:t>断完善。通过对公司各项治理制度的规范和落实，公司的治理水平不断提高，有效地保证了公司各项经营目标的实现。</w:t>
      </w:r>
    </w:p>
    <w:p>
      <w:pPr>
        <w:pStyle w:val="BodyText"/>
        <w:spacing w:line="321" w:lineRule="auto" w:before="24"/>
        <w:ind w:right="1136" w:firstLine="360"/>
        <w:jc w:val="both"/>
      </w:pPr>
      <w:r>
        <w:rPr>
          <w:spacing w:val="-2"/>
        </w:rPr>
        <w:t>公司董事会下设审计委员会，主要负责公司内部审计与外部审计之间进行沟通，并监督公司内部审计制度的实施，审查</w:t>
      </w:r>
      <w:r>
        <w:rPr/>
        <w:t> </w:t>
      </w:r>
      <w:r>
        <w:rPr>
          <w:spacing w:val="-2"/>
        </w:rPr>
        <w:t>公司内部控制制度的执行情况，审查公司的财务信息及披露等。审计委员会下设独立的内审部，内审部直接对审计委员会负</w:t>
      </w:r>
      <w:r>
        <w:rPr>
          <w:spacing w:val="-75"/>
        </w:rPr>
        <w:t> </w:t>
      </w:r>
      <w:r>
        <w:rPr>
          <w:spacing w:val="-75"/>
        </w:rPr>
      </w:r>
      <w:r>
        <w:rPr/>
        <w:t>责及报告工作。</w:t>
      </w:r>
    </w:p>
    <w:p>
      <w:pPr>
        <w:pStyle w:val="BodyText"/>
        <w:spacing w:line="240" w:lineRule="auto" w:before="48"/>
        <w:ind w:right="1086"/>
        <w:jc w:val="left"/>
      </w:pPr>
      <w:r>
        <w:rPr/>
        <w:t>公司治理的实际状况与中国证监会发布的有关上市公司治理的规范性文件是否存在重大差异</w:t>
      </w:r>
    </w:p>
    <w:p>
      <w:pPr>
        <w:pStyle w:val="BodyText"/>
        <w:spacing w:line="319" w:lineRule="auto" w:before="140"/>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21"/>
          <w:szCs w:val="21"/>
        </w:rPr>
      </w:pPr>
    </w:p>
    <w:p>
      <w:pPr>
        <w:pStyle w:val="Heading2"/>
        <w:spacing w:line="240" w:lineRule="auto"/>
        <w:ind w:right="1086"/>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before="0"/>
        <w:ind w:right="1020" w:firstLine="360"/>
        <w:jc w:val="left"/>
      </w:pPr>
      <w:r>
        <w:rPr>
          <w:spacing w:val="-2"/>
        </w:rPr>
        <w:t>报告期内，公司原控股股东、实际控制人路楠分别与方振淳、西藏瑞华资本管理有限公司、浙江鲲鹏资产管理有限公司</w:t>
      </w:r>
      <w:r>
        <w:rPr/>
        <w:t> </w:t>
      </w:r>
      <w:r>
        <w:rPr>
          <w:spacing w:val="-2"/>
        </w:rPr>
        <w:t>签署《</w:t>
      </w:r>
      <w:r>
        <w:rPr>
          <w:rFonts w:ascii="宋体" w:hAnsi="宋体" w:cs="宋体" w:eastAsia="宋体" w:hint="default"/>
          <w:spacing w:val="-2"/>
        </w:rPr>
        <w:t>&lt;</w:t>
      </w:r>
      <w:r>
        <w:rPr>
          <w:spacing w:val="-2"/>
        </w:rPr>
        <w:t>委托投票协议书</w:t>
      </w:r>
      <w:r>
        <w:rPr>
          <w:rFonts w:ascii="宋体" w:hAnsi="宋体" w:cs="宋体" w:eastAsia="宋体" w:hint="default"/>
          <w:spacing w:val="-2"/>
        </w:rPr>
        <w:t>&gt;</w:t>
      </w:r>
      <w:r>
        <w:rPr>
          <w:spacing w:val="-2"/>
        </w:rPr>
        <w:t>之解除协议》，公司变更为无实际控制人、无控股股东状态（详见“第六节</w:t>
      </w:r>
      <w:r>
        <w:rPr>
          <w:spacing w:val="9"/>
        </w:rPr>
        <w:t> </w:t>
      </w:r>
      <w:r>
        <w:rPr/>
        <w:t>股份变动及股东情况”</w:t>
      </w:r>
      <w:r>
        <w:rPr/>
        <w:t> </w:t>
      </w:r>
      <w:r>
        <w:rPr>
          <w:spacing w:val="-2"/>
        </w:rPr>
        <w:t>之“三、股东和实际控制人情况”）。公司自上市以来，与控股股东严格按照《公司法》和《公司章程》等法律法规和规章</w:t>
      </w:r>
      <w:r>
        <w:rPr>
          <w:spacing w:val="-74"/>
        </w:rPr>
        <w:t> </w:t>
      </w:r>
      <w:r>
        <w:rPr>
          <w:spacing w:val="-74"/>
        </w:rPr>
      </w:r>
      <w:r>
        <w:rPr>
          <w:spacing w:val="-2"/>
        </w:rPr>
        <w:t>制度的要求，在业务、人员、资产、机构、财务等方面完全分开，具有独立完整的业务体系及面向市场自主经营的能力，人</w:t>
      </w:r>
      <w:r>
        <w:rPr>
          <w:spacing w:val="-73"/>
        </w:rPr>
        <w:t> </w:t>
      </w:r>
      <w:r>
        <w:rPr>
          <w:spacing w:val="-73"/>
        </w:rPr>
      </w:r>
      <w:r>
        <w:rPr>
          <w:spacing w:val="-4"/>
        </w:rPr>
        <w:t>员依法行使自身合法权利并承担相应义务。公司未来亦将继续遵循相关法律规范要求，确保与各大股东在业务、人员、资产、</w:t>
      </w:r>
      <w:r>
        <w:rPr>
          <w:spacing w:val="-50"/>
        </w:rPr>
        <w:t> </w:t>
      </w:r>
      <w:r>
        <w:rPr>
          <w:spacing w:val="-50"/>
        </w:rPr>
      </w:r>
      <w:r>
        <w:rPr>
          <w:spacing w:val="-2"/>
        </w:rPr>
        <w:t>机构以及财务等方面均做到独立运作。报告期内，未发生直接或间接干预公司决策和经营活动及利用其它控制地位侵害其它</w:t>
      </w:r>
      <w:r>
        <w:rPr>
          <w:spacing w:val="-72"/>
        </w:rPr>
        <w:t> </w:t>
      </w:r>
      <w:r>
        <w:rPr>
          <w:spacing w:val="-72"/>
        </w:rPr>
      </w:r>
      <w:r>
        <w:rPr/>
        <w:t>股东利益的行为。</w:t>
      </w:r>
    </w:p>
    <w:p>
      <w:pPr>
        <w:pStyle w:val="BodyText"/>
        <w:spacing w:line="321" w:lineRule="auto" w:before="22"/>
        <w:ind w:left="501" w:right="1133"/>
        <w:jc w:val="left"/>
      </w:pPr>
      <w:r>
        <w:rPr>
          <w:rFonts w:ascii="宋体" w:hAnsi="宋体" w:cs="宋体" w:eastAsia="宋体" w:hint="default"/>
        </w:rPr>
        <w:t>1</w:t>
      </w:r>
      <w:r>
        <w:rPr/>
        <w:t>、业务独立 </w:t>
      </w:r>
      <w:r>
        <w:rPr>
          <w:spacing w:val="-2"/>
        </w:rPr>
        <w:t>公司拥有独立的生产经营场所，拥有独立的产、供、销体系，独立开展各项业务。不存在对公司控股股东、实际控制人</w:t>
      </w:r>
    </w:p>
    <w:p>
      <w:pPr>
        <w:pStyle w:val="BodyText"/>
        <w:spacing w:line="314" w:lineRule="auto" w:before="19"/>
        <w:ind w:left="501" w:right="1086" w:hanging="361"/>
        <w:jc w:val="left"/>
      </w:pPr>
      <w:r>
        <w:rPr/>
        <w:t>及其控制的其他企业或者第三方重大依赖的情形，与控股股东、实际控制人及其控制的其他企业不存在同业竞争。</w:t>
      </w:r>
      <w:r>
        <w:rPr>
          <w:spacing w:val="-85"/>
        </w:rPr>
        <w:t> </w:t>
      </w:r>
      <w:r>
        <w:rPr>
          <w:spacing w:val="-85"/>
        </w:rPr>
      </w:r>
      <w:r>
        <w:rPr>
          <w:rFonts w:ascii="宋体" w:hAnsi="宋体" w:cs="宋体" w:eastAsia="宋体" w:hint="default"/>
        </w:rPr>
        <w:t>2</w:t>
      </w:r>
      <w:r>
        <w:rPr/>
        <w:t>、人员独立 </w:t>
      </w:r>
      <w:r>
        <w:rPr>
          <w:spacing w:val="-2"/>
        </w:rPr>
        <w:t>公司建立了独立的劳动、人事和分配管理制度，公司总经理及其他高级管理人员专职在本公司工作、领取薪酬，不存在</w:t>
      </w:r>
    </w:p>
    <w:p>
      <w:pPr>
        <w:pStyle w:val="BodyText"/>
        <w:spacing w:line="321" w:lineRule="auto" w:before="23"/>
        <w:ind w:right="1086"/>
        <w:jc w:val="left"/>
      </w:pPr>
      <w:r>
        <w:rPr>
          <w:spacing w:val="-2"/>
        </w:rPr>
        <w:t>在控股股东、实际控制人及其控制的其他企业中兼任除董事、监事之外职务及领取薪酬的情形。公司的财务人员均不存在在</w:t>
      </w:r>
      <w:r>
        <w:rPr>
          <w:spacing w:val="-75"/>
        </w:rPr>
        <w:t> </w:t>
      </w:r>
      <w:r>
        <w:rPr>
          <w:spacing w:val="-75"/>
        </w:rPr>
      </w:r>
      <w:r>
        <w:rPr/>
        <w:t>控股股东、实际控制人及其控制的其他企业中兼职的情形。</w:t>
      </w:r>
    </w:p>
    <w:p>
      <w:pPr>
        <w:pStyle w:val="BodyText"/>
        <w:spacing w:line="321" w:lineRule="auto" w:before="18"/>
        <w:ind w:left="501" w:right="1133"/>
        <w:jc w:val="left"/>
      </w:pPr>
      <w:r>
        <w:rPr>
          <w:rFonts w:ascii="宋体" w:hAnsi="宋体" w:cs="宋体" w:eastAsia="宋体" w:hint="default"/>
        </w:rPr>
        <w:t>3</w:t>
      </w:r>
      <w:r>
        <w:rPr/>
        <w:t>、资产独立 </w:t>
      </w:r>
      <w:r>
        <w:rPr>
          <w:spacing w:val="-2"/>
        </w:rPr>
        <w:t>公司对所有生产经营所需的资产有完全的控制支配权，不存在资产、资金被控股股东和实际控制人占用的情形，不存在</w:t>
      </w:r>
    </w:p>
    <w:p>
      <w:pPr>
        <w:pStyle w:val="BodyText"/>
        <w:spacing w:line="321" w:lineRule="auto" w:before="4"/>
        <w:ind w:right="1083"/>
        <w:jc w:val="left"/>
      </w:pPr>
      <w:r>
        <w:rPr>
          <w:spacing w:val="-1"/>
        </w:rPr>
        <w:t>以资产、权益为控股股东和实际控制人担保的情形，本公司现有的资产独立、完整。没有以其资产为股东或个人债务以及其</w:t>
      </w:r>
      <w:r>
        <w:rPr/>
        <w:t> 他法人或自然人提供任何形式的担保。</w:t>
      </w:r>
    </w:p>
    <w:p>
      <w:pPr>
        <w:pStyle w:val="BodyText"/>
        <w:spacing w:line="321" w:lineRule="auto" w:before="19"/>
        <w:ind w:left="501" w:right="1133"/>
        <w:jc w:val="left"/>
      </w:pPr>
      <w:r>
        <w:rPr>
          <w:rFonts w:ascii="宋体" w:hAnsi="宋体" w:cs="宋体" w:eastAsia="宋体" w:hint="default"/>
        </w:rPr>
        <w:t>4</w:t>
      </w:r>
      <w:r>
        <w:rPr/>
        <w:t>、机构独立 </w:t>
      </w:r>
      <w:r>
        <w:rPr>
          <w:spacing w:val="-2"/>
        </w:rPr>
        <w:t>公司依法设立了股东大会、董事会、监事会等决策、执行、监督机构，并制定相应会议制度及议事规则。公司各机构均</w:t>
      </w:r>
    </w:p>
    <w:p>
      <w:pPr>
        <w:pStyle w:val="BodyText"/>
        <w:spacing w:line="304" w:lineRule="auto" w:before="18"/>
        <w:ind w:left="501" w:right="4810" w:hanging="361"/>
        <w:jc w:val="left"/>
      </w:pPr>
      <w:r>
        <w:rPr/>
        <w:t>独立于控股股东及其他股东，各项规章制度完善，法人治理结构规范有效。 </w:t>
      </w:r>
      <w:r>
        <w:rPr>
          <w:rFonts w:ascii="宋体" w:hAnsi="宋体" w:cs="宋体" w:eastAsia="宋体" w:hint="default"/>
        </w:rPr>
        <w:t>5</w:t>
      </w:r>
      <w:r>
        <w:rPr/>
        <w:t>、财务独立</w:t>
      </w:r>
    </w:p>
    <w:p>
      <w:pPr>
        <w:pStyle w:val="BodyText"/>
        <w:spacing w:line="321" w:lineRule="auto" w:before="31"/>
        <w:ind w:right="1105" w:firstLine="360"/>
        <w:jc w:val="both"/>
      </w:pPr>
      <w:r>
        <w:rPr>
          <w:spacing w:val="-2"/>
        </w:rPr>
        <w:t>公司设置了独立的财务部门，并根据现行的会计准则及相关法规、条例，结合公司实际情况制定了财务管理制度，建立</w:t>
      </w:r>
      <w:r>
        <w:rPr/>
        <w:t> </w:t>
      </w:r>
      <w:r>
        <w:rPr>
          <w:spacing w:val="-2"/>
        </w:rPr>
        <w:t>了独立、完整的财务核算体系，能够独立作出财务决策。公司配备了必要财务人员从事公司财务核算工作，并在银行独立开</w:t>
      </w:r>
      <w:r>
        <w:rPr>
          <w:spacing w:val="-42"/>
        </w:rPr>
        <w:t> </w:t>
      </w:r>
      <w:r>
        <w:rPr>
          <w:spacing w:val="-42"/>
        </w:rPr>
      </w:r>
      <w:r>
        <w:rPr/>
        <w:t>设账户，依法独立纳税，不存在股东干预公司财务的情况。</w:t>
      </w:r>
    </w:p>
    <w:p>
      <w:pPr>
        <w:spacing w:line="240" w:lineRule="auto" w:before="4"/>
        <w:rPr>
          <w:rFonts w:ascii="宋体" w:hAnsi="宋体" w:cs="宋体" w:eastAsia="宋体" w:hint="default"/>
          <w:sz w:val="21"/>
          <w:szCs w:val="21"/>
        </w:rPr>
      </w:pPr>
    </w:p>
    <w:p>
      <w:pPr>
        <w:pStyle w:val="Heading2"/>
        <w:spacing w:line="240" w:lineRule="auto"/>
        <w:ind w:right="1086"/>
        <w:jc w:val="left"/>
        <w:rPr>
          <w:b w:val="0"/>
          <w:bCs w:val="0"/>
        </w:rPr>
      </w:pPr>
      <w:bookmarkStart w:name="三、同业竞争情况" w:id="135"/>
      <w:bookmarkEnd w:id="135"/>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3"/>
        <w:rPr>
          <w:rFonts w:ascii="宋体" w:hAnsi="宋体" w:cs="宋体" w:eastAsia="宋体" w:hint="default"/>
          <w:sz w:val="20"/>
          <w:szCs w:val="20"/>
        </w:rPr>
      </w:pPr>
    </w:p>
    <w:p>
      <w:pPr>
        <w:pStyle w:val="Heading2"/>
        <w:spacing w:line="240" w:lineRule="auto" w:before="26"/>
        <w:ind w:right="1086"/>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86"/>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847"/>
        <w:gridCol w:w="1352"/>
        <w:gridCol w:w="1487"/>
        <w:gridCol w:w="1561"/>
        <w:gridCol w:w="1562"/>
        <w:gridCol w:w="1982"/>
      </w:tblGrid>
      <w:tr>
        <w:trPr>
          <w:trHeight w:val="405" w:hRule="exact"/>
        </w:trPr>
        <w:tc>
          <w:tcPr>
            <w:tcW w:w="18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1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14.73%</w:t>
            </w:r>
            <w:r>
              <w:rPr>
                <w:rFonts w:ascii="Times New Roman"/>
                <w:sz w:val="18"/>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36"/>
              <w:ind w:left="15"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06"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年第一次临时股 东大会</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24.08%</w:t>
            </w:r>
            <w:r>
              <w:rPr>
                <w:rFonts w:ascii="Times New Roman"/>
                <w:sz w:val="18"/>
              </w:rPr>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122"/>
              <w:ind w:left="15"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bl>
    <w:p>
      <w:pPr>
        <w:spacing w:line="240" w:lineRule="auto" w:before="11"/>
        <w:rPr>
          <w:rFonts w:ascii="宋体" w:hAnsi="宋体" w:cs="宋体" w:eastAsia="宋体" w:hint="default"/>
          <w:b/>
          <w:bCs/>
          <w:sz w:val="19"/>
          <w:szCs w:val="19"/>
        </w:rPr>
      </w:pPr>
    </w:p>
    <w:p>
      <w:pPr>
        <w:pStyle w:val="Heading5"/>
        <w:spacing w:line="240" w:lineRule="auto" w:before="35"/>
        <w:ind w:right="1086"/>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1086"/>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86"/>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5"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95" w:right="29"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07"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张立民</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w:t>
            </w:r>
          </w:p>
        </w:tc>
      </w:tr>
      <w:tr>
        <w:trPr>
          <w:trHeight w:val="406"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蔡在法</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严义</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8</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350" w:lineRule="auto" w:before="45"/>
        <w:ind w:right="8049"/>
        <w:jc w:val="left"/>
      </w:pPr>
      <w:r>
        <w:rPr/>
        <w:t>连续两次未亲自出席董事会的说明 不适用</w:t>
      </w:r>
    </w:p>
    <w:p>
      <w:pPr>
        <w:spacing w:line="240" w:lineRule="auto" w:before="7"/>
        <w:rPr>
          <w:rFonts w:ascii="宋体" w:hAnsi="宋体" w:cs="宋体" w:eastAsia="宋体" w:hint="default"/>
          <w:sz w:val="23"/>
          <w:szCs w:val="23"/>
        </w:rPr>
      </w:pPr>
    </w:p>
    <w:p>
      <w:pPr>
        <w:pStyle w:val="Heading5"/>
        <w:spacing w:line="240" w:lineRule="auto"/>
        <w:ind w:right="1086"/>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独立董事对公司有关事项是否提出异议</w:t>
      </w:r>
    </w:p>
    <w:p>
      <w:pPr>
        <w:pStyle w:val="BodyText"/>
        <w:spacing w:line="333" w:lineRule="auto" w:before="124"/>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line="240" w:lineRule="auto" w:before="4"/>
        <w:rPr>
          <w:rFonts w:ascii="宋体" w:hAnsi="宋体" w:cs="宋体" w:eastAsia="宋体" w:hint="default"/>
          <w:sz w:val="23"/>
          <w:szCs w:val="23"/>
        </w:rPr>
      </w:pPr>
    </w:p>
    <w:p>
      <w:pPr>
        <w:pStyle w:val="Heading5"/>
        <w:spacing w:line="240" w:lineRule="auto"/>
        <w:ind w:right="1086"/>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独立董事对公司有关建议是否被采纳</w:t>
      </w:r>
    </w:p>
    <w:p>
      <w:pPr>
        <w:pStyle w:val="BodyText"/>
        <w:spacing w:line="333" w:lineRule="auto" w:before="125"/>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321" w:lineRule="auto" w:before="39"/>
        <w:ind w:right="1083" w:firstLine="360"/>
        <w:jc w:val="left"/>
      </w:pPr>
      <w:r>
        <w:rPr>
          <w:spacing w:val="-2"/>
        </w:rPr>
        <w:t>根据《公司法》、《证券法》、《深圳证券交易所创业板股票上市规则》及《公司章程》、《独立董事工作制度》等有</w:t>
      </w:r>
      <w:r>
        <w:rPr/>
        <w:t> </w:t>
      </w:r>
      <w:r>
        <w:rPr>
          <w:spacing w:val="-1"/>
        </w:rPr>
        <w:t>关规定，公司独立董事关注公司运营，切实履行职责，对公司重大经营决策和资本运作提出了很多宝贵的专业意见，公司结</w:t>
      </w:r>
    </w:p>
    <w:p>
      <w:pPr>
        <w:spacing w:after="0" w:line="321" w:lineRule="auto"/>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367" w:lineRule="auto"/>
        <w:ind w:left="441" w:right="1089" w:hanging="301"/>
        <w:jc w:val="left"/>
      </w:pPr>
      <w:r>
        <w:rPr/>
        <w:t>合实际情况予以了采纳。 报告期内，公司独立董事对控股股东及关联方非经营性资金占用情况、年度利润分配预案、关联交易、聘请年度审计机</w:t>
      </w:r>
    </w:p>
    <w:p>
      <w:pPr>
        <w:pStyle w:val="BodyText"/>
        <w:spacing w:line="205" w:lineRule="exact" w:before="0"/>
        <w:ind w:right="0"/>
        <w:jc w:val="left"/>
      </w:pPr>
      <w:r>
        <w:rPr/>
        <w:t>构、聘任高级管理人员等事项出具了客观、公正、独立的意见，充分发挥了独立董事的监督和指导作用，为推动公司规范运</w:t>
      </w:r>
    </w:p>
    <w:p>
      <w:pPr>
        <w:pStyle w:val="BodyText"/>
        <w:spacing w:line="240" w:lineRule="auto" w:before="80"/>
        <w:ind w:right="1086"/>
        <w:jc w:val="left"/>
      </w:pPr>
      <w:r>
        <w:rPr/>
        <w:t>作，保障全体股东尤其是中小股东合法权益发挥了积极作用。</w:t>
      </w:r>
    </w:p>
    <w:p>
      <w:pPr>
        <w:spacing w:line="240" w:lineRule="auto" w:before="0"/>
        <w:rPr>
          <w:rFonts w:ascii="宋体" w:hAnsi="宋体" w:cs="宋体" w:eastAsia="宋体" w:hint="default"/>
          <w:sz w:val="18"/>
          <w:szCs w:val="18"/>
        </w:rPr>
      </w:pPr>
    </w:p>
    <w:p>
      <w:pPr>
        <w:pStyle w:val="Heading2"/>
        <w:spacing w:line="240" w:lineRule="auto" w:before="119"/>
        <w:ind w:right="1086"/>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before="0"/>
        <w:ind w:left="501" w:right="1086"/>
        <w:jc w:val="left"/>
      </w:pPr>
      <w:r>
        <w:rPr/>
        <w:t>公司董事会下设审计委员会、战略决策委员会、提名委员会及薪酬与考核委员会四个专门委员会。其履职情况如下：</w:t>
      </w:r>
    </w:p>
    <w:p>
      <w:pPr>
        <w:pStyle w:val="BodyText"/>
        <w:spacing w:line="276" w:lineRule="auto" w:before="94"/>
        <w:ind w:left="501" w:right="1029"/>
        <w:jc w:val="left"/>
      </w:pPr>
      <w:r>
        <w:rPr>
          <w:rFonts w:ascii="Times New Roman" w:hAnsi="Times New Roman" w:cs="Times New Roman" w:eastAsia="Times New Roman" w:hint="default"/>
        </w:rPr>
        <w:t>1</w:t>
      </w:r>
      <w:r>
        <w:rPr/>
        <w:t>、审计委员会的履职情况 报告期内，根据公司《董事会审计委员会工作细则》，审计委员会充分发挥了其在公司经营发展中的审核与监督作用，</w:t>
      </w:r>
    </w:p>
    <w:p>
      <w:pPr>
        <w:pStyle w:val="BodyText"/>
        <w:spacing w:line="321" w:lineRule="auto" w:before="52"/>
        <w:ind w:right="1029"/>
        <w:jc w:val="left"/>
      </w:pPr>
      <w:r>
        <w:rPr>
          <w:spacing w:val="-2"/>
        </w:rPr>
        <w:t>主要负责监督公司内部控制实施情况、内部审计制度及其实施情况、以及外部审计机构的沟通协调工作。报告期内，审计委</w:t>
      </w:r>
      <w:r>
        <w:rPr>
          <w:spacing w:val="-42"/>
        </w:rPr>
        <w:t> </w:t>
      </w:r>
      <w:r>
        <w:rPr>
          <w:spacing w:val="-42"/>
        </w:rPr>
      </w:r>
      <w:r>
        <w:rPr/>
        <w:t>员会对公司内部审计制度进行了核查，认为公司内部审计制度体系符合相关法律法规规定，能够发现并有效防范相关风险。</w:t>
      </w:r>
    </w:p>
    <w:p>
      <w:pPr>
        <w:pStyle w:val="BodyText"/>
        <w:spacing w:line="288" w:lineRule="auto" w:before="34"/>
        <w:ind w:right="1086"/>
        <w:jc w:val="left"/>
      </w:pPr>
      <w:r>
        <w:rPr>
          <w:rFonts w:ascii="Times New Roman" w:hAnsi="Times New Roman" w:cs="Times New Roman" w:eastAsia="Times New Roman" w:hint="default"/>
          <w:spacing w:val="-2"/>
        </w:rPr>
        <w:t>2019</w:t>
      </w:r>
      <w:r>
        <w:rPr>
          <w:spacing w:val="-2"/>
        </w:rPr>
        <w:t>年度，公司审计委员会重点对内部审计制度及其实施、重大关联交易、定期报告等进行核查和审议，并在年度审计期间</w:t>
      </w:r>
      <w:r>
        <w:rPr>
          <w:spacing w:val="-38"/>
        </w:rPr>
        <w:t> </w:t>
      </w:r>
      <w:r>
        <w:rPr>
          <w:spacing w:val="-38"/>
        </w:rPr>
      </w:r>
      <w:r>
        <w:rPr/>
        <w:t>组织现场座谈会，充分沟通年报审计相关工作。</w:t>
      </w:r>
    </w:p>
    <w:p>
      <w:pPr>
        <w:pStyle w:val="BodyText"/>
        <w:spacing w:line="288" w:lineRule="auto"/>
        <w:ind w:left="501" w:right="1086"/>
        <w:jc w:val="left"/>
      </w:pPr>
      <w:r>
        <w:rPr>
          <w:rFonts w:ascii="Times New Roman" w:hAnsi="Times New Roman" w:cs="Times New Roman" w:eastAsia="Times New Roman" w:hint="default"/>
        </w:rPr>
        <w:t>2</w:t>
      </w:r>
      <w:r>
        <w:rPr/>
        <w:t>、战略决策委员会的履职情况 </w:t>
      </w:r>
      <w:r>
        <w:rPr>
          <w:spacing w:val="-2"/>
        </w:rPr>
        <w:t>报告期内，公司战略决策委员会根据公司《董事会战略决策委员会工作细则》的规定，结合国内外经济形势和公司所处</w:t>
      </w:r>
    </w:p>
    <w:p>
      <w:pPr>
        <w:pStyle w:val="BodyText"/>
        <w:spacing w:line="321" w:lineRule="auto"/>
        <w:ind w:right="1086"/>
        <w:jc w:val="left"/>
      </w:pPr>
      <w:r>
        <w:rPr>
          <w:spacing w:val="-2"/>
        </w:rPr>
        <w:t>行业特点，对公司经营现状、发展前景、公司目前所处的风险和机遇进行了深入分析，重点对公司重大资产重组之后公司基</w:t>
      </w:r>
      <w:r>
        <w:rPr>
          <w:spacing w:val="-42"/>
        </w:rPr>
        <w:t> </w:t>
      </w:r>
      <w:r>
        <w:rPr>
          <w:spacing w:val="-42"/>
        </w:rPr>
      </w:r>
      <w:r>
        <w:rPr/>
        <w:t>于新业务的发展战略规划进行研究，对公司中长期战略制定及发展发挥重要作用。</w:t>
      </w:r>
    </w:p>
    <w:p>
      <w:pPr>
        <w:pStyle w:val="BodyText"/>
        <w:spacing w:line="273" w:lineRule="auto" w:before="34"/>
        <w:ind w:left="501" w:right="1086"/>
        <w:jc w:val="left"/>
      </w:pPr>
      <w:r>
        <w:rPr>
          <w:rFonts w:ascii="Times New Roman" w:hAnsi="Times New Roman" w:cs="Times New Roman" w:eastAsia="Times New Roman" w:hint="default"/>
        </w:rPr>
        <w:t>3</w:t>
      </w:r>
      <w:r>
        <w:rPr/>
        <w:t>、提名委员会的履职情况 </w:t>
      </w:r>
      <w:r>
        <w:rPr>
          <w:spacing w:val="-2"/>
        </w:rPr>
        <w:t>报告期内，公司提名委员会依照《董事会提名委员会工作细则》的要求，对公司董事、高级管理人员的增补更替履行了</w:t>
      </w:r>
    </w:p>
    <w:p>
      <w:pPr>
        <w:pStyle w:val="BodyText"/>
        <w:spacing w:line="240" w:lineRule="auto" w:before="54"/>
        <w:ind w:right="1086"/>
        <w:jc w:val="left"/>
      </w:pPr>
      <w:r>
        <w:rPr/>
        <w:t>审查职责，并对董事会的规模和独立董事的选举提出了宝贵意见。</w:t>
      </w:r>
    </w:p>
    <w:p>
      <w:pPr>
        <w:pStyle w:val="BodyText"/>
        <w:spacing w:line="331" w:lineRule="auto" w:before="95"/>
        <w:ind w:left="531" w:right="1086" w:hanging="30"/>
        <w:jc w:val="left"/>
      </w:pPr>
      <w:r>
        <w:rPr>
          <w:rFonts w:ascii="Times New Roman" w:hAnsi="Times New Roman" w:cs="Times New Roman" w:eastAsia="Times New Roman" w:hint="default"/>
        </w:rPr>
        <w:t>4</w:t>
      </w:r>
      <w:r>
        <w:rPr/>
        <w:t>、薪酬与考核委员会的履职情况 报告期内，公司薪酬与考核委员会依照公司《董事会薪酬与考核委员会工作细则》的要求，重点对公司董事及高级管</w:t>
      </w:r>
    </w:p>
    <w:p>
      <w:pPr>
        <w:pStyle w:val="BodyText"/>
        <w:spacing w:line="232" w:lineRule="exact" w:before="0"/>
        <w:ind w:right="1086"/>
        <w:jc w:val="left"/>
      </w:pPr>
      <w:r>
        <w:rPr/>
        <w:t>理人员的薪酬政策及执行情况进行审查，积极履行了薪酬与考核委员会的相应职责。</w:t>
      </w:r>
    </w:p>
    <w:p>
      <w:pPr>
        <w:spacing w:line="240" w:lineRule="auto" w:before="0"/>
        <w:rPr>
          <w:rFonts w:ascii="宋体" w:hAnsi="宋体" w:cs="宋体" w:eastAsia="宋体" w:hint="default"/>
          <w:sz w:val="18"/>
          <w:szCs w:val="18"/>
        </w:rPr>
      </w:pPr>
    </w:p>
    <w:p>
      <w:pPr>
        <w:pStyle w:val="Heading2"/>
        <w:spacing w:line="240" w:lineRule="auto" w:before="119"/>
        <w:ind w:right="1086"/>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before="0"/>
        <w:ind w:right="1086"/>
        <w:jc w:val="left"/>
      </w:pPr>
      <w:r>
        <w:rPr/>
        <w:t>监事会在报告期内的监督活动中发现公司是否存在风险</w:t>
      </w:r>
    </w:p>
    <w:p>
      <w:pPr>
        <w:pStyle w:val="BodyText"/>
        <w:spacing w:line="333" w:lineRule="auto" w:before="124"/>
        <w:ind w:right="73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公司监事会对报告期内的监督事项无异议。</w:t>
      </w:r>
    </w:p>
    <w:p>
      <w:pPr>
        <w:spacing w:line="240" w:lineRule="auto" w:before="8"/>
        <w:rPr>
          <w:rFonts w:ascii="宋体" w:hAnsi="宋体" w:cs="宋体" w:eastAsia="宋体" w:hint="default"/>
          <w:sz w:val="20"/>
          <w:szCs w:val="20"/>
        </w:rPr>
      </w:pPr>
    </w:p>
    <w:p>
      <w:pPr>
        <w:pStyle w:val="Heading2"/>
        <w:spacing w:line="240" w:lineRule="auto"/>
        <w:ind w:right="1086"/>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1"/>
        <w:rPr>
          <w:rFonts w:ascii="宋体" w:hAnsi="宋体" w:cs="宋体" w:eastAsia="宋体" w:hint="default"/>
          <w:b/>
          <w:bCs/>
          <w:sz w:val="26"/>
          <w:szCs w:val="26"/>
        </w:rPr>
      </w:pPr>
    </w:p>
    <w:p>
      <w:pPr>
        <w:pStyle w:val="BodyText"/>
        <w:spacing w:line="307" w:lineRule="auto" w:before="0"/>
        <w:ind w:right="1086" w:firstLine="360"/>
        <w:jc w:val="left"/>
      </w:pPr>
      <w:r>
        <w:rPr>
          <w:spacing w:val="-2"/>
        </w:rPr>
        <w:t>公司已经建立完善的高级管理人员的绩效管理体系，明确了高级管理人员考核、晋升、培训和奖惩，有效的绩效评价标</w:t>
      </w:r>
      <w:r>
        <w:rPr/>
        <w:t> 准和激励约束机制，高级管理人员的聘任公开透明，符合相关法律法规的规定。</w:t>
      </w:r>
    </w:p>
    <w:p>
      <w:pPr>
        <w:spacing w:line="240" w:lineRule="auto" w:before="2"/>
        <w:rPr>
          <w:rFonts w:ascii="宋体" w:hAnsi="宋体" w:cs="宋体" w:eastAsia="宋体" w:hint="default"/>
          <w:sz w:val="22"/>
          <w:szCs w:val="22"/>
        </w:rPr>
      </w:pPr>
    </w:p>
    <w:p>
      <w:pPr>
        <w:pStyle w:val="Heading2"/>
        <w:spacing w:line="240" w:lineRule="auto"/>
        <w:ind w:right="1086"/>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1086"/>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195"/>
        <w:gridCol w:w="3323"/>
        <w:gridCol w:w="3064"/>
      </w:tblGrid>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59"/>
              <w:ind w:right="28"/>
              <w:jc w:val="righ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345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24"/>
                <w:sz w:val="18"/>
                <w:szCs w:val="18"/>
              </w:rPr>
              <w:t> </w:t>
            </w:r>
            <w:hyperlink r:id="rId13">
              <w:r>
                <w:rPr>
                  <w:rFonts w:ascii="Times New Roman" w:hAnsi="Times New Roman" w:cs="Times New Roman" w:eastAsia="Times New Roman" w:hint="default"/>
                  <w:sz w:val="18"/>
                  <w:szCs w:val="18"/>
                </w:rPr>
                <w:t>http://www.cninfo.com.cn</w:t>
              </w:r>
            </w:hyperlink>
          </w:p>
        </w:tc>
      </w:tr>
      <w:tr>
        <w:trPr>
          <w:trHeight w:val="721"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21"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95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72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8" w:right="16"/>
              <w:jc w:val="left"/>
              <w:rPr>
                <w:rFonts w:ascii="宋体" w:hAnsi="宋体" w:cs="宋体" w:eastAsia="宋体" w:hint="default"/>
                <w:sz w:val="18"/>
                <w:szCs w:val="18"/>
              </w:rPr>
            </w:pPr>
            <w:r>
              <w:rPr>
                <w:rFonts w:ascii="宋体" w:hAnsi="宋体" w:cs="宋体" w:eastAsia="宋体" w:hint="default"/>
                <w:sz w:val="18"/>
                <w:szCs w:val="18"/>
              </w:rPr>
              <w:t>财务报告重大缺陷的迹象包括：①公司董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事、监事和高级管理人员的舞弊行为；②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对已经公告的财务报告出现的重大差错进 行错报更正（由于政策变化或其他客观因 素变化导致的对以前年度的追溯调整除 </w:t>
            </w:r>
            <w:r>
              <w:rPr>
                <w:rFonts w:ascii="宋体" w:hAnsi="宋体" w:cs="宋体" w:eastAsia="宋体" w:hint="default"/>
                <w:spacing w:val="-8"/>
                <w:sz w:val="18"/>
                <w:szCs w:val="18"/>
              </w:rPr>
              <w:t>外）；③注册会计师发现的却未被公司内部</w:t>
            </w:r>
            <w:r>
              <w:rPr>
                <w:rFonts w:ascii="宋体" w:hAnsi="宋体" w:cs="宋体" w:eastAsia="宋体" w:hint="default"/>
                <w:sz w:val="18"/>
                <w:szCs w:val="18"/>
              </w:rPr>
              <w:t> 控制识别的当期财务报告中的重大错报；</w:t>
            </w:r>
          </w:p>
          <w:p>
            <w:pPr>
              <w:pStyle w:val="TableParagraph"/>
              <w:spacing w:line="319" w:lineRule="auto" w:before="22"/>
              <w:ind w:left="18" w:right="44"/>
              <w:jc w:val="left"/>
              <w:rPr>
                <w:rFonts w:ascii="宋体" w:hAnsi="宋体" w:cs="宋体" w:eastAsia="宋体" w:hint="default"/>
                <w:sz w:val="18"/>
                <w:szCs w:val="18"/>
              </w:rPr>
            </w:pPr>
            <w:r>
              <w:rPr>
                <w:rFonts w:ascii="宋体" w:hAnsi="宋体" w:cs="宋体" w:eastAsia="宋体" w:hint="default"/>
                <w:sz w:val="18"/>
                <w:szCs w:val="18"/>
              </w:rPr>
              <w:t>④审计委员会以及内部审计部门对财务报 告内部控制监督无效。财务报告重要缺陷 的迹象包括：①未依照公认会计准则选择 和应用会计政策；②未建立反舞弊程序和 控制措施；③对于非常规或特殊交易的账 务处理没有建立相应的控制机制或没有实 施且没有相应的补偿性控制；④对于期末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财务报告过程的控制存在一项或多项缺陷 且不能合理保证编制的财务报表达到真</w:t>
            </w:r>
            <w:r>
              <w:rPr>
                <w:rFonts w:ascii="宋体" w:hAnsi="宋体" w:cs="宋体" w:eastAsia="宋体" w:hint="default"/>
                <w:sz w:val="18"/>
                <w:szCs w:val="18"/>
              </w:rPr>
              <w:t> 实、完整的目标。一般缺陷是指除上述重 大缺陷、重要缺陷之外的其他控制缺陷。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0"/>
                <w:szCs w:val="20"/>
              </w:rPr>
            </w:pPr>
          </w:p>
          <w:p>
            <w:pPr>
              <w:pStyle w:val="TableParagraph"/>
              <w:spacing w:line="319" w:lineRule="auto"/>
              <w:ind w:left="30" w:right="16"/>
              <w:jc w:val="left"/>
              <w:rPr>
                <w:rFonts w:ascii="宋体" w:hAnsi="宋体" w:cs="宋体" w:eastAsia="宋体" w:hint="default"/>
                <w:sz w:val="18"/>
                <w:szCs w:val="18"/>
              </w:rPr>
            </w:pPr>
            <w:r>
              <w:rPr>
                <w:rFonts w:ascii="宋体" w:hAnsi="宋体" w:cs="宋体" w:eastAsia="宋体" w:hint="default"/>
                <w:sz w:val="18"/>
                <w:szCs w:val="18"/>
              </w:rPr>
              <w:t>非财务报告缺陷认定主要以缺陷对业 </w:t>
            </w:r>
            <w:r>
              <w:rPr>
                <w:rFonts w:ascii="宋体" w:hAnsi="宋体" w:cs="宋体" w:eastAsia="宋体" w:hint="default"/>
                <w:spacing w:val="-4"/>
                <w:sz w:val="18"/>
                <w:szCs w:val="18"/>
              </w:rPr>
              <w:t>务流程有效性的影响程度、发生的可能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性作判定。如果缺陷发生的可能性较 </w:t>
            </w:r>
            <w:r>
              <w:rPr>
                <w:rFonts w:ascii="宋体" w:hAnsi="宋体" w:cs="宋体" w:eastAsia="宋体" w:hint="default"/>
                <w:spacing w:val="-4"/>
                <w:sz w:val="18"/>
                <w:szCs w:val="18"/>
              </w:rPr>
              <w:t>小，会降低工作效率或效果、或加大效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果的不确定性、或使之偏离预期目标为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一般缺陷；如果缺陷发生的可能性较 </w:t>
            </w:r>
            <w:r>
              <w:rPr>
                <w:rFonts w:ascii="宋体" w:hAnsi="宋体" w:cs="宋体" w:eastAsia="宋体" w:hint="default"/>
                <w:spacing w:val="-4"/>
                <w:sz w:val="18"/>
                <w:szCs w:val="18"/>
              </w:rPr>
              <w:t>高，会显著降低工作效率或效果、或显</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著加大效果的不确定性、或使之显著偏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离预期目标为重要缺陷；如果缺陷发生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的可能性高，会严重降低工作效率或效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果、或严重加大效果的不确定性、或使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之严重偏离预期目标为重大缺陷。</w:t>
            </w:r>
          </w:p>
        </w:tc>
      </w:tr>
      <w:tr>
        <w:trPr>
          <w:trHeight w:val="4459"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9"/>
              <w:ind w:left="18" w:right="14"/>
              <w:jc w:val="both"/>
              <w:rPr>
                <w:rFonts w:ascii="宋体" w:hAnsi="宋体" w:cs="宋体" w:eastAsia="宋体" w:hint="default"/>
                <w:sz w:val="18"/>
                <w:szCs w:val="18"/>
              </w:rPr>
            </w:pPr>
            <w:r>
              <w:rPr>
                <w:rFonts w:ascii="宋体" w:hAnsi="宋体" w:cs="宋体" w:eastAsia="宋体" w:hint="default"/>
                <w:sz w:val="18"/>
                <w:szCs w:val="18"/>
              </w:rPr>
              <w:t>内部控制缺陷可能导致或导致的损失与利 润表相关的，以收入总额衡量。如果该缺 陷单独或连同其他缺陷可能导致的财务报 告错报金额小于收入总额的</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w:t>
            </w:r>
            <w:r>
              <w:rPr>
                <w:rFonts w:ascii="宋体" w:hAnsi="宋体" w:cs="宋体" w:eastAsia="宋体" w:hint="default"/>
                <w:sz w:val="18"/>
                <w:szCs w:val="18"/>
              </w:rPr>
              <w:t> </w:t>
            </w:r>
            <w:r>
              <w:rPr>
                <w:rFonts w:ascii="宋体" w:hAnsi="宋体" w:cs="宋体" w:eastAsia="宋体" w:hint="default"/>
                <w:spacing w:val="-3"/>
                <w:sz w:val="18"/>
                <w:szCs w:val="18"/>
              </w:rPr>
              <w:t>为一般缺陷；如果超过收入总额的</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w:t>
            </w:r>
            <w:r>
              <w:rPr>
                <w:rFonts w:ascii="宋体" w:hAnsi="宋体" w:cs="宋体" w:eastAsia="宋体" w:hint="default"/>
                <w:spacing w:val="-87"/>
                <w:sz w:val="18"/>
                <w:szCs w:val="18"/>
              </w:rPr>
              <w:t> </w:t>
            </w:r>
            <w:r>
              <w:rPr>
                <w:rFonts w:ascii="宋体" w:hAnsi="宋体" w:cs="宋体" w:eastAsia="宋体" w:hint="default"/>
                <w:sz w:val="18"/>
                <w:szCs w:val="18"/>
              </w:rPr>
              <w:t>小于</w:t>
            </w:r>
            <w:r>
              <w:rPr>
                <w:rFonts w:ascii="宋体" w:hAnsi="宋体" w:cs="宋体" w:eastAsia="宋体" w:hint="default"/>
                <w:spacing w:val="-39"/>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，则为重要缺陷；如果超过收入总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额的</w:t>
            </w:r>
            <w:r>
              <w:rPr>
                <w:rFonts w:ascii="宋体" w:hAnsi="宋体" w:cs="宋体" w:eastAsia="宋体" w:hint="default"/>
                <w:spacing w:val="-39"/>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，则认定为重大缺陷。内部控制缺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陷可能导致或导致的损失与资产管理相关 的，以资产总额指标衡量。如果该缺陷单 独或连同其他缺陷可能导致的财务报告错 报金额小于资产总额的</w:t>
            </w:r>
            <w:r>
              <w:rPr>
                <w:rFonts w:ascii="宋体" w:hAnsi="宋体" w:cs="宋体" w:eastAsia="宋体" w:hint="default"/>
                <w:spacing w:val="-34"/>
                <w:sz w:val="18"/>
                <w:szCs w:val="18"/>
              </w:rPr>
              <w:t> </w:t>
            </w:r>
            <w:r>
              <w:rPr>
                <w:rFonts w:ascii="Times New Roman" w:hAnsi="Times New Roman" w:cs="Times New Roman" w:eastAsia="Times New Roman" w:hint="default"/>
                <w:spacing w:val="-4"/>
                <w:sz w:val="18"/>
                <w:szCs w:val="18"/>
              </w:rPr>
              <w:t>0.5%</w:t>
            </w:r>
            <w:r>
              <w:rPr>
                <w:rFonts w:ascii="宋体" w:hAnsi="宋体" w:cs="宋体" w:eastAsia="宋体" w:hint="default"/>
                <w:spacing w:val="-4"/>
                <w:sz w:val="18"/>
                <w:szCs w:val="18"/>
              </w:rPr>
              <w:t>，则认定为一</w:t>
            </w:r>
          </w:p>
          <w:p>
            <w:pPr>
              <w:pStyle w:val="TableParagraph"/>
              <w:spacing w:line="302" w:lineRule="auto" w:before="6"/>
              <w:ind w:left="18" w:right="13"/>
              <w:jc w:val="both"/>
              <w:rPr>
                <w:rFonts w:ascii="宋体" w:hAnsi="宋体" w:cs="宋体" w:eastAsia="宋体" w:hint="default"/>
                <w:sz w:val="18"/>
                <w:szCs w:val="18"/>
              </w:rPr>
            </w:pPr>
            <w:r>
              <w:rPr>
                <w:rFonts w:ascii="宋体" w:hAnsi="宋体" w:cs="宋体" w:eastAsia="宋体" w:hint="default"/>
                <w:spacing w:val="-3"/>
                <w:sz w:val="18"/>
                <w:szCs w:val="18"/>
              </w:rPr>
              <w:t>般缺陷；如果超过资产总额的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8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，则为重要缺陷；如果超过资产总额</w:t>
            </w:r>
          </w:p>
          <w:p>
            <w:pPr>
              <w:pStyle w:val="TableParagraph"/>
              <w:spacing w:line="249" w:lineRule="exact"/>
              <w:ind w:left="1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6"/>
                <w:szCs w:val="26"/>
              </w:rPr>
            </w:pPr>
          </w:p>
          <w:p>
            <w:pPr>
              <w:pStyle w:val="TableParagraph"/>
              <w:spacing w:line="314" w:lineRule="auto"/>
              <w:ind w:left="30" w:right="135"/>
              <w:jc w:val="both"/>
              <w:rPr>
                <w:rFonts w:ascii="宋体" w:hAnsi="宋体" w:cs="宋体" w:eastAsia="宋体" w:hint="default"/>
                <w:sz w:val="18"/>
                <w:szCs w:val="18"/>
              </w:rPr>
            </w:pPr>
            <w:r>
              <w:rPr>
                <w:rFonts w:ascii="宋体" w:hAnsi="宋体" w:cs="宋体" w:eastAsia="宋体" w:hint="default"/>
                <w:sz w:val="18"/>
                <w:szCs w:val="18"/>
              </w:rPr>
              <w:t>非财务报告内部控制缺陷评价的定量 标准参照财务报告内部控制缺陷评价 的定量标准执行。</w:t>
            </w:r>
          </w:p>
        </w:tc>
      </w:tr>
    </w:tbl>
    <w:p>
      <w:pPr>
        <w:spacing w:after="0" w:line="314" w:lineRule="auto"/>
        <w:jc w:val="both"/>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192"/>
        <w:gridCol w:w="6390"/>
      </w:tblGrid>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2"/>
        <w:rPr>
          <w:rFonts w:ascii="宋体" w:hAnsi="宋体" w:cs="宋体" w:eastAsia="宋体" w:hint="default"/>
          <w:b/>
          <w:bCs/>
          <w:sz w:val="17"/>
          <w:szCs w:val="17"/>
        </w:rPr>
      </w:pPr>
    </w:p>
    <w:p>
      <w:pPr>
        <w:pStyle w:val="Heading2"/>
        <w:spacing w:line="240" w:lineRule="auto" w:before="26"/>
        <w:ind w:right="1086"/>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1086"/>
        <w:jc w:val="left"/>
      </w:pPr>
      <w:r>
        <w:rPr/>
        <w:t>内部控制鉴证报告</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7"/>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21"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03"/>
              <w:jc w:val="left"/>
              <w:rPr>
                <w:rFonts w:ascii="宋体" w:hAnsi="宋体" w:cs="宋体" w:eastAsia="宋体" w:hint="default"/>
                <w:sz w:val="18"/>
                <w:szCs w:val="18"/>
              </w:rPr>
            </w:pPr>
            <w:r>
              <w:rPr>
                <w:rFonts w:ascii="宋体" w:hAnsi="宋体" w:cs="宋体" w:eastAsia="宋体" w:hint="default"/>
                <w:sz w:val="18"/>
                <w:szCs w:val="18"/>
              </w:rPr>
              <w:t>我们认为，思创医惠公司按照《深圳证券交易所创业板上市公司规范运作指引</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年修订</w:t>
            </w:r>
            <w:r>
              <w:rPr>
                <w:rFonts w:ascii="Times New Roman" w:hAnsi="Times New Roman" w:cs="Times New Roman" w:eastAsia="Times New Roman" w:hint="default"/>
                <w:sz w:val="18"/>
                <w:szCs w:val="18"/>
              </w:rPr>
              <w:t>)</w:t>
            </w:r>
            <w:r>
              <w:rPr>
                <w:rFonts w:ascii="宋体" w:hAnsi="宋体" w:cs="宋体" w:eastAsia="宋体" w:hint="default"/>
                <w:sz w:val="18"/>
                <w:szCs w:val="18"/>
              </w:rPr>
              <w:t>》规定于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在所有重大方面保持了有效的财务报告内部控制。本结论是在受到鉴证报告中指出的固有限制的条件下形成的。</w:t>
            </w: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9"/>
                <w:sz w:val="18"/>
                <w:szCs w:val="18"/>
              </w:rPr>
              <w:t> </w:t>
            </w:r>
            <w:hyperlink r:id="rId13">
              <w:r>
                <w:rPr>
                  <w:rFonts w:ascii="Times New Roman" w:hAnsi="Times New Roman" w:cs="Times New Roman" w:eastAsia="Times New Roman" w:hint="default"/>
                  <w:sz w:val="18"/>
                  <w:szCs w:val="18"/>
                </w:rPr>
                <w:t>http://www.cninfo.com.cn</w:t>
              </w:r>
            </w:hyperlink>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9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5"/>
        <w:ind w:right="1086"/>
        <w:jc w:val="left"/>
      </w:pPr>
      <w:r>
        <w:rPr/>
        <w:t>会计师事务所是否出具非标准意见的内部控制鉴证报告</w:t>
      </w:r>
    </w:p>
    <w:p>
      <w:pPr>
        <w:pStyle w:val="BodyText"/>
        <w:spacing w:line="333" w:lineRule="auto" w:before="124"/>
        <w:ind w:right="46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会计师事务所出具的内部控制鉴证报告与董事会的自我评价报告意见是否一致</w:t>
      </w:r>
    </w:p>
    <w:p>
      <w:pPr>
        <w:pStyle w:val="BodyText"/>
        <w:spacing w:line="240" w:lineRule="auto" w:before="54"/>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left="3040" w:right="1086"/>
        <w:jc w:val="left"/>
        <w:rPr>
          <w:b w:val="0"/>
          <w:bCs w:val="0"/>
        </w:rPr>
      </w:pPr>
      <w:bookmarkStart w:name="_TOC_250002" w:id="150"/>
      <w:bookmarkStart w:name="第十一节公司债券相关情况" w:id="151"/>
      <w:r>
        <w:rPr>
          <w:b w:val="0"/>
          <w:bCs w:val="0"/>
        </w:rPr>
      </w:r>
      <w:r>
        <w:rPr>
          <w:spacing w:val="5"/>
        </w:rPr>
        <w:t>第十一节公司债券相关情况</w:t>
      </w:r>
      <w:bookmarkEnd w:id="150"/>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before="0"/>
        <w:ind w:right="2109"/>
        <w:jc w:val="left"/>
      </w:pPr>
      <w:r>
        <w:rPr/>
        <w:t>公司是否存在公开发行并在证券交易所上市，且在年度报告批准报出日未到期或到期未能全额兑付的公司债券 否</w:t>
      </w:r>
    </w:p>
    <w:p>
      <w:pPr>
        <w:spacing w:after="0" w:line="367" w:lineRule="auto"/>
        <w:jc w:val="left"/>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1"/>
        <w:spacing w:line="240" w:lineRule="auto"/>
        <w:ind w:right="967"/>
        <w:jc w:val="center"/>
        <w:rPr>
          <w:b w:val="0"/>
          <w:bCs w:val="0"/>
        </w:rPr>
      </w:pPr>
      <w:bookmarkStart w:name="_TOC_250001" w:id="152"/>
      <w:bookmarkStart w:name="第十二节财务报告" w:id="153"/>
      <w:r>
        <w:rPr>
          <w:b w:val="0"/>
          <w:bCs w:val="0"/>
        </w:rPr>
      </w:r>
      <w:r>
        <w:rPr>
          <w:spacing w:val="4"/>
        </w:rPr>
        <w:t>第十二节财务报告</w:t>
      </w:r>
      <w:bookmarkEnd w:id="152"/>
      <w:r>
        <w:rPr>
          <w:b w:val="0"/>
          <w:bCs w:val="0"/>
          <w:spacing w:val="4"/>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1086"/>
        <w:jc w:val="left"/>
        <w:rPr>
          <w:b w:val="0"/>
          <w:bCs w:val="0"/>
        </w:rPr>
      </w:pPr>
      <w:bookmarkStart w:name="一、审计报告" w:id="154"/>
      <w:bookmarkEnd w:id="154"/>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4398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胡彦龙、徐莉丽</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10"/>
        <w:rPr>
          <w:rFonts w:ascii="宋体" w:hAnsi="宋体" w:cs="宋体" w:eastAsia="宋体" w:hint="default"/>
          <w:b/>
          <w:bCs/>
          <w:sz w:val="26"/>
          <w:szCs w:val="26"/>
        </w:rPr>
      </w:pPr>
    </w:p>
    <w:p>
      <w:pPr>
        <w:pStyle w:val="Heading2"/>
        <w:spacing w:line="240" w:lineRule="auto"/>
        <w:ind w:left="621" w:right="0"/>
        <w:jc w:val="left"/>
        <w:rPr>
          <w:b w:val="0"/>
          <w:bCs w:val="0"/>
        </w:rPr>
      </w:pPr>
      <w:r>
        <w:rPr>
          <w:w w:val="95"/>
        </w:rPr>
        <w:t>一、审计意见</w:t>
      </w:r>
      <w:r>
        <w:rPr>
          <w:b w:val="0"/>
          <w:bCs w:val="0"/>
        </w:rPr>
      </w:r>
    </w:p>
    <w:p>
      <w:pPr>
        <w:pStyle w:val="BodyText"/>
        <w:spacing w:line="240" w:lineRule="auto"/>
        <w:ind w:left="621" w:right="0"/>
        <w:jc w:val="left"/>
      </w:pPr>
      <w:r>
        <w:rPr/>
        <w:br w:type="column"/>
      </w:r>
      <w:r>
        <w:rPr/>
        <w:t>审计报告正文</w:t>
      </w:r>
    </w:p>
    <w:p>
      <w:pPr>
        <w:spacing w:after="0" w:line="240" w:lineRule="auto"/>
        <w:jc w:val="left"/>
        <w:sectPr>
          <w:type w:val="continuous"/>
          <w:pgSz w:w="11910" w:h="16850"/>
          <w:pgMar w:top="1040" w:bottom="1180" w:left="1000" w:right="0"/>
          <w:cols w:num="2" w:equalWidth="0">
            <w:col w:w="2066" w:space="1734"/>
            <w:col w:w="7110"/>
          </w:cols>
        </w:sectPr>
      </w:pPr>
    </w:p>
    <w:p>
      <w:pPr>
        <w:pStyle w:val="Heading3"/>
        <w:spacing w:line="223" w:lineRule="auto" w:before="20"/>
        <w:ind w:right="1123" w:firstLine="480"/>
        <w:jc w:val="both"/>
      </w:pPr>
      <w:r>
        <w:rPr/>
        <w:t>我们审计了思创医惠科技股份有限公司（以下简称思创医惠公司）财务报表，包括</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日的合并及母公司资产负债表，</w:t>
      </w:r>
      <w:r>
        <w:rPr>
          <w:rFonts w:ascii="Times New Roman" w:hAnsi="Times New Roman" w:cs="Times New Roman" w:eastAsia="Times New Roman" w:hint="default"/>
        </w:rPr>
        <w:t>2019</w:t>
      </w:r>
      <w:r>
        <w:rPr/>
        <w:t>年度的合并及母公司利润表、合并及母公司现</w:t>
      </w:r>
      <w:r>
        <w:rPr>
          <w:spacing w:val="-93"/>
        </w:rPr>
        <w:t> </w:t>
      </w:r>
      <w:r>
        <w:rPr>
          <w:spacing w:val="-93"/>
        </w:rPr>
      </w:r>
      <w:r>
        <w:rPr/>
        <w:t>金流量表、合并及母公司所有者权益变动表，以及相关财务报表附注。</w:t>
      </w:r>
    </w:p>
    <w:p>
      <w:pPr>
        <w:pStyle w:val="Heading3"/>
        <w:spacing w:line="235" w:lineRule="auto" w:before="9"/>
        <w:ind w:right="1117" w:firstLine="480"/>
        <w:jc w:val="both"/>
      </w:pPr>
      <w:r>
        <w:rPr/>
        <w:t>我们认为，后附的财务报表在所有重大方面按照企业会计准则的规定编制，公允反映了 思创医惠公司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2019</w:t>
      </w:r>
      <w:r>
        <w:rPr/>
        <w:t>年度的合并及母公司经营</w:t>
      </w:r>
      <w:r>
        <w:rPr>
          <w:spacing w:val="-93"/>
        </w:rPr>
        <w:t> </w:t>
      </w:r>
      <w:r>
        <w:rPr>
          <w:spacing w:val="-93"/>
        </w:rPr>
      </w:r>
      <w:r>
        <w:rPr/>
        <w:t>成果和现金流量。</w:t>
      </w:r>
    </w:p>
    <w:p>
      <w:pPr>
        <w:spacing w:line="240" w:lineRule="auto" w:before="1"/>
        <w:rPr>
          <w:rFonts w:ascii="宋体" w:hAnsi="宋体" w:cs="宋体" w:eastAsia="宋体" w:hint="default"/>
          <w:sz w:val="23"/>
          <w:szCs w:val="23"/>
        </w:rPr>
      </w:pPr>
    </w:p>
    <w:p>
      <w:pPr>
        <w:spacing w:before="0"/>
        <w:ind w:left="621" w:right="1086" w:firstLine="0"/>
        <w:jc w:val="left"/>
        <w:rPr>
          <w:rFonts w:ascii="宋体" w:hAnsi="宋体" w:cs="宋体" w:eastAsia="宋体" w:hint="default"/>
          <w:sz w:val="24"/>
          <w:szCs w:val="24"/>
        </w:rPr>
      </w:pPr>
      <w:r>
        <w:rPr>
          <w:rFonts w:ascii="宋体" w:hAnsi="宋体" w:cs="宋体" w:eastAsia="宋体" w:hint="default"/>
          <w:b/>
          <w:bCs/>
          <w:sz w:val="24"/>
          <w:szCs w:val="24"/>
        </w:rPr>
        <w:t>二、形成审计意见的基础</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r>
        <w:rPr>
          <w:rFonts w:ascii="宋体" w:hAnsi="宋体" w:cs="宋体" w:eastAsia="宋体" w:hint="default"/>
          <w:spacing w:val="-3"/>
          <w:sz w:val="24"/>
          <w:szCs w:val="24"/>
        </w:rPr>
        <w:t>我们按照中国注册会计师审计准则的规定执行了审计工作。审计报告的</w:t>
      </w:r>
      <w:r>
        <w:rPr>
          <w:rFonts w:ascii="Times New Roman" w:hAnsi="Times New Roman" w:cs="Times New Roman" w:eastAsia="Times New Roman" w:hint="default"/>
          <w:spacing w:val="-3"/>
          <w:sz w:val="24"/>
          <w:szCs w:val="24"/>
        </w:rPr>
        <w:t>“</w:t>
      </w:r>
      <w:r>
        <w:rPr>
          <w:rFonts w:ascii="宋体" w:hAnsi="宋体" w:cs="宋体" w:eastAsia="宋体" w:hint="default"/>
          <w:spacing w:val="-3"/>
          <w:sz w:val="24"/>
          <w:szCs w:val="24"/>
        </w:rPr>
        <w:t>注册会计师对财</w:t>
      </w:r>
    </w:p>
    <w:p>
      <w:pPr>
        <w:pStyle w:val="Heading3"/>
        <w:spacing w:line="228" w:lineRule="auto"/>
        <w:ind w:right="1116"/>
        <w:jc w:val="both"/>
      </w:pPr>
      <w:r>
        <w:rPr>
          <w:spacing w:val="-2"/>
        </w:rPr>
        <w:t>务报表审计的责任</w:t>
      </w:r>
      <w:r>
        <w:rPr>
          <w:rFonts w:ascii="Times New Roman" w:hAnsi="Times New Roman" w:cs="Times New Roman" w:eastAsia="Times New Roman" w:hint="default"/>
          <w:spacing w:val="-2"/>
        </w:rPr>
        <w:t>”</w:t>
      </w:r>
      <w:r>
        <w:rPr>
          <w:spacing w:val="-2"/>
        </w:rPr>
        <w:t>部分进一步阐述了我们在这些准则下的责任。按照中国注册会计师职业道</w:t>
      </w:r>
      <w:r>
        <w:rPr>
          <w:spacing w:val="-117"/>
        </w:rPr>
        <w:t> </w:t>
      </w:r>
      <w:r>
        <w:rPr>
          <w:spacing w:val="-117"/>
        </w:rPr>
      </w:r>
      <w:r>
        <w:rPr/>
        <w:t>德守则，我们独立于思创医惠公司，并履行了职业道德方面的其他责任。我们相信，我们获</w:t>
      </w:r>
      <w:r>
        <w:rPr>
          <w:spacing w:val="-90"/>
        </w:rPr>
        <w:t> </w:t>
      </w:r>
      <w:r>
        <w:rPr>
          <w:spacing w:val="-90"/>
        </w:rPr>
      </w:r>
      <w:r>
        <w:rPr/>
        <w:t>取的审计证据是充分、适当的，为发表审计意见提供了基础。</w:t>
      </w:r>
    </w:p>
    <w:p>
      <w:pPr>
        <w:spacing w:line="240" w:lineRule="auto" w:before="4"/>
        <w:rPr>
          <w:rFonts w:ascii="宋体" w:hAnsi="宋体" w:cs="宋体" w:eastAsia="宋体" w:hint="default"/>
          <w:sz w:val="24"/>
          <w:szCs w:val="24"/>
        </w:rPr>
      </w:pPr>
    </w:p>
    <w:p>
      <w:pPr>
        <w:pStyle w:val="Heading3"/>
        <w:spacing w:line="240" w:lineRule="auto"/>
        <w:ind w:left="621" w:right="1086"/>
        <w:jc w:val="left"/>
      </w:pPr>
      <w:r>
        <w:rPr>
          <w:rFonts w:ascii="宋体" w:hAnsi="宋体" w:cs="宋体" w:eastAsia="宋体" w:hint="default"/>
          <w:b/>
          <w:bCs/>
        </w:rPr>
        <w:t>三、关键审计事项</w:t>
      </w:r>
      <w:r>
        <w:rPr>
          <w:rFonts w:ascii="宋体" w:hAnsi="宋体" w:cs="宋体" w:eastAsia="宋体" w:hint="default"/>
          <w:b/>
          <w:bCs/>
          <w:spacing w:val="-114"/>
        </w:rPr>
        <w:t> </w:t>
      </w:r>
      <w:r>
        <w:rPr>
          <w:rFonts w:ascii="宋体" w:hAnsi="宋体" w:cs="宋体" w:eastAsia="宋体" w:hint="default"/>
          <w:b/>
          <w:bCs/>
          <w:spacing w:val="-114"/>
        </w:rPr>
      </w:r>
      <w:r>
        <w:rPr/>
        <w:t>关键审计事项是我们根据职业判断，认为对本期财务报表审计最为重要的事项。这些事</w:t>
      </w:r>
    </w:p>
    <w:p>
      <w:pPr>
        <w:pStyle w:val="Heading3"/>
        <w:spacing w:line="300" w:lineRule="exact" w:before="42"/>
        <w:ind w:right="1116"/>
        <w:jc w:val="both"/>
      </w:pPr>
      <w:r>
        <w:rPr/>
        <w:t>项的应对以对财务报表整体进行审计并形成审计意见为背景，我们不对这些事项单独发表意</w:t>
      </w:r>
      <w:r>
        <w:rPr>
          <w:spacing w:val="-90"/>
        </w:rPr>
        <w:t> </w:t>
      </w:r>
      <w:r>
        <w:rPr>
          <w:spacing w:val="-90"/>
        </w:rPr>
      </w:r>
      <w:r>
        <w:rPr/>
        <w:t>见。</w:t>
      </w:r>
    </w:p>
    <w:p>
      <w:pPr>
        <w:pStyle w:val="Heading3"/>
        <w:spacing w:line="299" w:lineRule="exact"/>
        <w:ind w:left="621" w:right="108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收入的确认</w:t>
      </w:r>
    </w:p>
    <w:p>
      <w:pPr>
        <w:pStyle w:val="Heading3"/>
        <w:spacing w:line="316" w:lineRule="exact" w:before="19"/>
        <w:ind w:left="621" w:right="246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事项描述 相关信息披露详见财务报表附注三（二十二）、五（二）</w:t>
      </w:r>
      <w:r>
        <w:rPr>
          <w:rFonts w:ascii="Times New Roman" w:hAnsi="Times New Roman" w:cs="Times New Roman" w:eastAsia="Times New Roman" w:hint="default"/>
        </w:rPr>
        <w:t>1</w:t>
      </w:r>
      <w:r>
        <w:rPr/>
        <w:t>及十三（一）。</w:t>
      </w:r>
    </w:p>
    <w:p>
      <w:pPr>
        <w:pStyle w:val="Heading3"/>
        <w:spacing w:line="225" w:lineRule="auto"/>
        <w:ind w:right="1116" w:firstLine="480"/>
        <w:jc w:val="both"/>
      </w:pPr>
      <w:r>
        <w:rPr/>
        <w:t>思创医惠公司的营业收入主要来自于商业智能产品的销售和智慧医疗管理信息与软件的 </w:t>
      </w:r>
      <w:r>
        <w:rPr>
          <w:spacing w:val="3"/>
        </w:rPr>
        <w:t>开发和服务。</w:t>
      </w:r>
      <w:r>
        <w:rPr>
          <w:rFonts w:ascii="Times New Roman" w:hAnsi="Times New Roman" w:cs="Times New Roman" w:eastAsia="Times New Roman" w:hint="default"/>
          <w:spacing w:val="3"/>
        </w:rPr>
        <w:t>2019</w:t>
      </w:r>
      <w:r>
        <w:rPr>
          <w:spacing w:val="3"/>
        </w:rPr>
        <w:t>年度，思创医惠公司财务报表所示营业收入项目金额为人民币</w:t>
      </w:r>
      <w:r>
        <w:rPr>
          <w:rFonts w:ascii="Times New Roman" w:hAnsi="Times New Roman" w:cs="Times New Roman" w:eastAsia="Times New Roman" w:hint="default"/>
          <w:spacing w:val="3"/>
        </w:rPr>
        <w:t>157,399.36</w:t>
      </w:r>
      <w:r>
        <w:rPr>
          <w:rFonts w:ascii="Times New Roman" w:hAnsi="Times New Roman" w:cs="Times New Roman" w:eastAsia="Times New Roman" w:hint="default"/>
          <w:spacing w:val="-53"/>
        </w:rPr>
        <w:t> </w:t>
      </w:r>
      <w:r>
        <w:rPr/>
        <w:t>万元</w:t>
      </w:r>
      <w:r>
        <w:rPr>
          <w:rFonts w:ascii="宋体" w:hAnsi="宋体" w:cs="宋体" w:eastAsia="宋体" w:hint="default"/>
          <w:i/>
          <w:sz w:val="25"/>
          <w:szCs w:val="25"/>
        </w:rPr>
        <w:t>。</w:t>
      </w:r>
      <w:r>
        <w:rPr/>
        <w:t>思创医惠公司商业智能业务的国外销售一般在货物向海关报关出口并取得提单后确认</w:t>
      </w:r>
    </w:p>
    <w:p>
      <w:pPr>
        <w:pStyle w:val="Heading3"/>
        <w:spacing w:line="240" w:lineRule="auto" w:before="2"/>
        <w:ind w:right="1116"/>
        <w:jc w:val="both"/>
      </w:pPr>
      <w:r>
        <w:rPr/>
        <w:t>收入，国内销售一般在买方验收后确认收入；智慧医疗管理信息与软件的开发和服务采用完</w:t>
      </w:r>
      <w:r>
        <w:rPr>
          <w:spacing w:val="-90"/>
        </w:rPr>
        <w:t> </w:t>
      </w:r>
      <w:r>
        <w:rPr>
          <w:spacing w:val="-90"/>
        </w:rPr>
      </w:r>
      <w:r>
        <w:rPr/>
        <w:t>工百分比法确认收入。</w:t>
      </w:r>
    </w:p>
    <w:p>
      <w:pPr>
        <w:pStyle w:val="Heading3"/>
        <w:spacing w:line="235" w:lineRule="auto" w:before="7"/>
        <w:ind w:right="1116" w:firstLine="480"/>
        <w:jc w:val="both"/>
      </w:pPr>
      <w:r>
        <w:rPr/>
        <w:t>由于营业收入是思创医惠公司关键业绩指标之一，可能存在思创医惠公司管理层（以下 简称管理层）通过不恰当的收入确认以达到特定目标或预期的固有风险。因此，我们将收入</w:t>
      </w:r>
      <w:r>
        <w:rPr>
          <w:spacing w:val="-90"/>
        </w:rPr>
        <w:t> </w:t>
      </w:r>
      <w:r>
        <w:rPr>
          <w:spacing w:val="-90"/>
        </w:rPr>
      </w:r>
      <w:r>
        <w:rPr/>
        <w:t>确认确定为关键审计事项。</w:t>
      </w:r>
    </w:p>
    <w:p>
      <w:pPr>
        <w:pStyle w:val="Heading3"/>
        <w:spacing w:line="240" w:lineRule="auto" w:before="2"/>
        <w:ind w:left="62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审计应对</w:t>
      </w:r>
    </w:p>
    <w:p>
      <w:pPr>
        <w:spacing w:after="0" w:line="240" w:lineRule="auto"/>
        <w:jc w:val="left"/>
        <w:sectPr>
          <w:type w:val="continuous"/>
          <w:pgSz w:w="11910" w:h="16850"/>
          <w:pgMar w:top="1040" w:bottom="1180" w:left="1000" w:right="0"/>
        </w:sectPr>
      </w:pPr>
    </w:p>
    <w:p>
      <w:pPr>
        <w:spacing w:line="240" w:lineRule="auto" w:before="1"/>
        <w:rPr>
          <w:rFonts w:ascii="宋体" w:hAnsi="宋体" w:cs="宋体" w:eastAsia="宋体" w:hint="default"/>
          <w:sz w:val="19"/>
          <w:szCs w:val="19"/>
        </w:rPr>
      </w:pPr>
    </w:p>
    <w:p>
      <w:pPr>
        <w:pStyle w:val="Heading3"/>
        <w:spacing w:line="240" w:lineRule="auto" w:before="26"/>
        <w:ind w:left="621" w:right="1086"/>
        <w:jc w:val="left"/>
      </w:pPr>
      <w:r>
        <w:rPr/>
        <w:t>我们针对收入的确认实施的审计程序包括但不限于：</w:t>
      </w:r>
    </w:p>
    <w:p>
      <w:pPr>
        <w:pStyle w:val="Heading3"/>
        <w:spacing w:line="316" w:lineRule="exact" w:before="29"/>
        <w:ind w:right="1086"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spacing w:val="-3"/>
        </w:rPr>
        <w:t>了解与收入确认相关的关键内部控制，评价其设计和确定其是否得到执行，并测试相</w:t>
      </w:r>
      <w:r>
        <w:rPr>
          <w:w w:val="99"/>
        </w:rPr>
        <w:t> </w:t>
      </w:r>
      <w:r>
        <w:rPr/>
        <w:t>关内部控制的运行有效性；</w:t>
      </w:r>
    </w:p>
    <w:p>
      <w:pPr>
        <w:pStyle w:val="Heading3"/>
        <w:spacing w:line="281" w:lineRule="exact"/>
        <w:ind w:left="62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3"/>
        </w:rPr>
        <w:t> </w:t>
      </w:r>
      <w:r>
        <w:rPr/>
        <w:t>检查主要客户的销售合同，识别与商品所有权上的主要风险和报酬转移相关的条款，</w:t>
      </w:r>
    </w:p>
    <w:p>
      <w:pPr>
        <w:pStyle w:val="Heading3"/>
        <w:spacing w:line="305" w:lineRule="exact"/>
        <w:ind w:right="0"/>
        <w:jc w:val="both"/>
      </w:pPr>
      <w:r>
        <w:rPr/>
        <w:t>评价收入确认政策是否符合企业会计准则的规定；</w:t>
      </w:r>
    </w:p>
    <w:p>
      <w:pPr>
        <w:pStyle w:val="Heading3"/>
        <w:spacing w:line="316" w:lineRule="exact" w:before="29"/>
        <w:ind w:right="1116" w:firstLine="48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spacing w:val="-3"/>
        </w:rPr>
        <w:t>对收入和应收账款实施分析程序，包括月度收入波动分析、主要客户收入变动分析及</w:t>
      </w:r>
      <w:r>
        <w:rPr>
          <w:w w:val="99"/>
        </w:rPr>
        <w:t> </w:t>
      </w:r>
      <w:r>
        <w:rPr/>
        <w:t>应收账款期末余额分析，并对重要客户的收款进度进行分析等，识别是否存在重大或异常波</w:t>
      </w:r>
      <w:r>
        <w:rPr>
          <w:spacing w:val="-91"/>
        </w:rPr>
        <w:t> </w:t>
      </w:r>
      <w:r>
        <w:rPr>
          <w:spacing w:val="-91"/>
        </w:rPr>
      </w:r>
      <w:r>
        <w:rPr/>
        <w:t>动，并查明波动原因；</w:t>
      </w:r>
    </w:p>
    <w:p>
      <w:pPr>
        <w:pStyle w:val="Heading3"/>
        <w:spacing w:line="280" w:lineRule="exact"/>
        <w:ind w:right="1086" w:firstLine="48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8"/>
        </w:rPr>
        <w:t> </w:t>
      </w:r>
      <w:r>
        <w:rPr>
          <w:spacing w:val="-3"/>
        </w:rPr>
        <w:t>对于内销收入，以抽样方式检查与收入确认相关的支持性文件，包括合同、中标通知</w:t>
      </w:r>
    </w:p>
    <w:p>
      <w:pPr>
        <w:pStyle w:val="Heading3"/>
        <w:spacing w:line="240" w:lineRule="auto"/>
        <w:ind w:right="1116"/>
        <w:jc w:val="both"/>
      </w:pPr>
      <w:r>
        <w:rPr/>
        <w:t>书、发货单、货物签收单、试点报告、上线报告、验收报告等；对于出口收入，获取电子口</w:t>
      </w:r>
      <w:r>
        <w:rPr>
          <w:spacing w:val="-90"/>
        </w:rPr>
        <w:t> </w:t>
      </w:r>
      <w:r>
        <w:rPr>
          <w:spacing w:val="-90"/>
        </w:rPr>
      </w:r>
      <w:r>
        <w:rPr/>
        <w:t>岸信息并与账面记录核对，并以抽样方式检查销售合同、出口报关单、货运提单、销售发票</w:t>
      </w:r>
      <w:r>
        <w:rPr>
          <w:spacing w:val="-90"/>
        </w:rPr>
        <w:t> </w:t>
      </w:r>
      <w:r>
        <w:rPr>
          <w:spacing w:val="-90"/>
        </w:rPr>
      </w:r>
      <w:r>
        <w:rPr/>
        <w:t>等支持性文件；</w:t>
      </w:r>
    </w:p>
    <w:p>
      <w:pPr>
        <w:pStyle w:val="Heading3"/>
        <w:spacing w:line="300" w:lineRule="exact" w:before="42"/>
        <w:ind w:right="1086" w:firstLine="48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spacing w:val="-3"/>
        </w:rPr>
        <w:t>我们对重要客户的项目实施情况进行检查，询问项目负责人项目进展情况；并抽取部</w:t>
      </w:r>
      <w:r>
        <w:rPr>
          <w:w w:val="99"/>
        </w:rPr>
        <w:t> </w:t>
      </w:r>
      <w:r>
        <w:rPr/>
        <w:t>分客户实施电话访谈程序，核实本期项目实施情况及货款支付情况；</w:t>
      </w:r>
    </w:p>
    <w:p>
      <w:pPr>
        <w:pStyle w:val="Heading3"/>
        <w:spacing w:line="299" w:lineRule="exact"/>
        <w:ind w:left="621"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3"/>
        </w:rPr>
        <w:t> </w:t>
      </w:r>
      <w:r>
        <w:rPr/>
        <w:t>结合应收账款函证，以抽样方式向主要客户函证本期销售额和大额合同的进度情况；</w:t>
      </w:r>
    </w:p>
    <w:p>
      <w:pPr>
        <w:pStyle w:val="Heading3"/>
        <w:spacing w:line="316" w:lineRule="exact" w:before="19"/>
        <w:ind w:right="1086" w:firstLine="48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2"/>
        </w:rPr>
        <w:t> </w:t>
      </w:r>
      <w:r>
        <w:rPr>
          <w:spacing w:val="-3"/>
        </w:rPr>
        <w:t>以抽样方式对资产负债表日前后确认的营业收入核对至发货单、客户签收单、出口报</w:t>
      </w:r>
      <w:r>
        <w:rPr>
          <w:w w:val="99"/>
        </w:rPr>
        <w:t> </w:t>
      </w:r>
      <w:r>
        <w:rPr/>
        <w:t>关单、货运提单等支持性文件，评价营业收入是否在恰当期间确认；</w:t>
      </w:r>
    </w:p>
    <w:p>
      <w:pPr>
        <w:pStyle w:val="Heading3"/>
        <w:spacing w:line="300" w:lineRule="exact" w:before="11"/>
        <w:ind w:right="1086" w:firstLine="480"/>
        <w:jc w:val="left"/>
      </w:pPr>
      <w:r>
        <w:rPr>
          <w:rFonts w:ascii="Times New Roman" w:hAnsi="Times New Roman" w:cs="Times New Roman" w:eastAsia="Times New Roman" w:hint="default"/>
          <w:spacing w:val="-2"/>
          <w:w w:val="99"/>
        </w:rPr>
        <w:t>(8)</w:t>
      </w:r>
      <w:r>
        <w:rPr>
          <w:rFonts w:ascii="Times New Roman" w:hAnsi="Times New Roman" w:cs="Times New Roman" w:eastAsia="Times New Roman" w:hint="default"/>
          <w:spacing w:val="40"/>
          <w:w w:val="99"/>
        </w:rPr>
        <w:t> </w:t>
      </w:r>
      <w:r>
        <w:rPr>
          <w:spacing w:val="-3"/>
          <w:w w:val="99"/>
        </w:rPr>
        <w:t>获取资产负债表日后的销售退回记录，检查是否存在资产负债表日不满足收入确认条</w:t>
      </w:r>
      <w:r>
        <w:rPr>
          <w:w w:val="99"/>
        </w:rPr>
        <w:t> </w:t>
      </w:r>
      <w:r>
        <w:rPr/>
        <w:t>件的情况；</w:t>
      </w:r>
    </w:p>
    <w:p>
      <w:pPr>
        <w:pStyle w:val="Heading3"/>
        <w:spacing w:line="299" w:lineRule="exact"/>
        <w:ind w:left="621" w:right="1086"/>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18"/>
        </w:rPr>
        <w:t> </w:t>
      </w:r>
      <w:r>
        <w:rPr/>
        <w:t>检查与营业收入相关的信息是否已在财务报表中作出恰当列报和披露。</w:t>
      </w:r>
    </w:p>
    <w:p>
      <w:pPr>
        <w:pStyle w:val="Heading3"/>
        <w:spacing w:line="315" w:lineRule="exact"/>
        <w:ind w:left="621" w:right="108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应收账款减值</w:t>
      </w:r>
    </w:p>
    <w:p>
      <w:pPr>
        <w:pStyle w:val="Heading3"/>
        <w:spacing w:line="316" w:lineRule="exact" w:before="19"/>
        <w:ind w:left="621" w:right="457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事项描述 </w:t>
      </w:r>
      <w:r>
        <w:rPr>
          <w:spacing w:val="-1"/>
        </w:rPr>
        <w:t>相关信息披露详见财务报表附注三</w:t>
      </w:r>
      <w:r>
        <w:rPr>
          <w:rFonts w:ascii="Times New Roman" w:hAnsi="Times New Roman" w:cs="Times New Roman" w:eastAsia="Times New Roman" w:hint="default"/>
          <w:spacing w:val="-1"/>
        </w:rPr>
        <w:t>(</w:t>
      </w:r>
      <w:r>
        <w:rPr>
          <w:spacing w:val="-1"/>
        </w:rPr>
        <w:t>九</w:t>
      </w:r>
      <w:r>
        <w:rPr>
          <w:rFonts w:ascii="Times New Roman" w:hAnsi="Times New Roman" w:cs="Times New Roman" w:eastAsia="Times New Roman" w:hint="default"/>
          <w:spacing w:val="-1"/>
        </w:rPr>
        <w:t>)</w:t>
      </w:r>
      <w:r>
        <w:rPr>
          <w:spacing w:val="-1"/>
        </w:rPr>
        <w:t>及附注五</w:t>
      </w:r>
      <w:r>
        <w:rPr>
          <w:rFonts w:ascii="Times New Roman" w:hAnsi="Times New Roman" w:cs="Times New Roman" w:eastAsia="Times New Roman" w:hint="default"/>
          <w:spacing w:val="-1"/>
        </w:rPr>
        <w:t>(</w:t>
      </w:r>
      <w:r>
        <w:rPr>
          <w:spacing w:val="-1"/>
        </w:rPr>
        <w:t>一</w:t>
      </w:r>
      <w:r>
        <w:rPr>
          <w:rFonts w:ascii="Times New Roman" w:hAnsi="Times New Roman" w:cs="Times New Roman" w:eastAsia="Times New Roman" w:hint="default"/>
          <w:spacing w:val="-1"/>
        </w:rPr>
        <w:t>)4</w:t>
      </w:r>
      <w:r>
        <w:rPr>
          <w:spacing w:val="-1"/>
        </w:rPr>
        <w:t>。</w:t>
      </w:r>
    </w:p>
    <w:p>
      <w:pPr>
        <w:pStyle w:val="Heading3"/>
        <w:spacing w:line="281" w:lineRule="exact"/>
        <w:ind w:left="621" w:right="1086"/>
        <w:jc w:val="left"/>
      </w:pPr>
      <w:r>
        <w:rPr>
          <w:spacing w:val="13"/>
        </w:rPr>
        <w:t>截至</w:t>
      </w:r>
      <w:r>
        <w:rPr>
          <w:rFonts w:ascii="Times New Roman" w:hAnsi="Times New Roman" w:cs="Times New Roman" w:eastAsia="Times New Roman" w:hint="default"/>
          <w:spacing w:val="13"/>
        </w:rPr>
        <w:t>2019</w:t>
      </w:r>
      <w:r>
        <w:rPr>
          <w:spacing w:val="13"/>
        </w:rPr>
        <w:t>年</w:t>
      </w:r>
      <w:r>
        <w:rPr>
          <w:rFonts w:ascii="Times New Roman" w:hAnsi="Times New Roman" w:cs="Times New Roman" w:eastAsia="Times New Roman" w:hint="default"/>
          <w:spacing w:val="13"/>
        </w:rPr>
        <w:t>12</w:t>
      </w:r>
      <w:r>
        <w:rPr>
          <w:spacing w:val="13"/>
        </w:rPr>
        <w:t>月</w:t>
      </w:r>
      <w:r>
        <w:rPr>
          <w:rFonts w:ascii="Times New Roman" w:hAnsi="Times New Roman" w:cs="Times New Roman" w:eastAsia="Times New Roman" w:hint="default"/>
          <w:spacing w:val="13"/>
        </w:rPr>
        <w:t>31</w:t>
      </w:r>
      <w:r>
        <w:rPr>
          <w:spacing w:val="13"/>
        </w:rPr>
        <w:t>日，思创医惠公司财务报表所示应收账款项目账面余额为人民币</w:t>
      </w:r>
      <w:r>
        <w:rPr/>
      </w:r>
    </w:p>
    <w:p>
      <w:pPr>
        <w:pStyle w:val="Heading3"/>
        <w:spacing w:line="316" w:lineRule="exact" w:before="19"/>
        <w:ind w:left="621" w:right="1086" w:hanging="481"/>
        <w:jc w:val="left"/>
      </w:pPr>
      <w:r>
        <w:rPr>
          <w:rFonts w:ascii="Times New Roman" w:hAnsi="Times New Roman" w:cs="Times New Roman" w:eastAsia="Times New Roman" w:hint="default"/>
        </w:rPr>
        <w:t>124,459.13</w:t>
      </w:r>
      <w:r>
        <w:rPr/>
        <w:t>万元，坏账准备为人民币</w:t>
      </w:r>
      <w:r>
        <w:rPr>
          <w:rFonts w:ascii="Times New Roman" w:hAnsi="Times New Roman" w:cs="Times New Roman" w:eastAsia="Times New Roman" w:hint="default"/>
        </w:rPr>
        <w:t>18,738.30</w:t>
      </w:r>
      <w:r>
        <w:rPr/>
        <w:t>万元，账面价值为人民币</w:t>
      </w:r>
      <w:r>
        <w:rPr>
          <w:rFonts w:ascii="Times New Roman" w:hAnsi="Times New Roman" w:cs="Times New Roman" w:eastAsia="Times New Roman" w:hint="default"/>
        </w:rPr>
        <w:t>105,720.84</w:t>
      </w:r>
      <w:r>
        <w:rPr/>
        <w:t>万元。 管理层根据各项应收账款的信用风险特征，以单项应收账款或应收账款组合为基础，按</w:t>
      </w:r>
    </w:p>
    <w:p>
      <w:pPr>
        <w:pStyle w:val="Heading3"/>
        <w:spacing w:line="286" w:lineRule="exact"/>
        <w:ind w:right="0"/>
        <w:jc w:val="both"/>
      </w:pPr>
      <w:r>
        <w:rPr/>
        <w:t>照相当于整个存续期内的预期信用损失金额计量其损失准备。对于以单项为基础计量预期信</w:t>
      </w:r>
    </w:p>
    <w:p>
      <w:pPr>
        <w:pStyle w:val="Heading3"/>
        <w:spacing w:line="237" w:lineRule="auto" w:before="4"/>
        <w:ind w:right="1116"/>
        <w:jc w:val="both"/>
      </w:pPr>
      <w:r>
        <w:rPr/>
        <w:t>用损失的应收账款，管理层综合考虑有关过去事项、当前状况以及未来经济状况预测的合理</w:t>
      </w:r>
      <w:r>
        <w:rPr>
          <w:spacing w:val="-90"/>
        </w:rPr>
        <w:t> </w:t>
      </w:r>
      <w:r>
        <w:rPr>
          <w:spacing w:val="-90"/>
        </w:rPr>
      </w:r>
      <w:r>
        <w:rPr/>
        <w:t>且有依据的信息，估计预期收取的现金流量，据此确定应计提的坏账准备；对于以组合为基</w:t>
      </w:r>
      <w:r>
        <w:rPr>
          <w:spacing w:val="-90"/>
        </w:rPr>
        <w:t> </w:t>
      </w:r>
      <w:r>
        <w:rPr>
          <w:spacing w:val="-90"/>
        </w:rPr>
      </w:r>
      <w:r>
        <w:rPr/>
        <w:t>础计量预期信用损失的应收账款，管理层以账龄为依据划分组合，参照历史信用损失经验，</w:t>
      </w:r>
      <w:r>
        <w:rPr>
          <w:spacing w:val="-90"/>
        </w:rPr>
        <w:t> </w:t>
      </w:r>
      <w:r>
        <w:rPr>
          <w:spacing w:val="-90"/>
        </w:rPr>
      </w:r>
      <w:r>
        <w:rPr/>
        <w:t>并根据前瞻性估计予以调整，编制应收账款账龄与预期信用损失率对照表，据此确定应计提</w:t>
      </w:r>
      <w:r>
        <w:rPr>
          <w:spacing w:val="-97"/>
        </w:rPr>
        <w:t> </w:t>
      </w:r>
      <w:r>
        <w:rPr>
          <w:spacing w:val="-97"/>
        </w:rPr>
      </w:r>
      <w:r>
        <w:rPr/>
        <w:t>的坏账准备。</w:t>
      </w:r>
    </w:p>
    <w:p>
      <w:pPr>
        <w:pStyle w:val="Heading3"/>
        <w:spacing w:line="300" w:lineRule="exact" w:before="42"/>
        <w:ind w:right="1086" w:firstLine="480"/>
        <w:jc w:val="left"/>
      </w:pPr>
      <w:r>
        <w:rPr/>
        <w:t>由于应收账款金额重大，且应收账款减值测试涉及重大管理层判断，我们将应收账款减 值确定为关键审计事项。</w:t>
      </w:r>
    </w:p>
    <w:p>
      <w:pPr>
        <w:pStyle w:val="Heading3"/>
        <w:spacing w:line="316" w:lineRule="exact" w:before="2"/>
        <w:ind w:left="621" w:right="330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审计应对 我们针对应收账款的坏账准备计提实施的审计程序包括但不限于：</w:t>
      </w:r>
    </w:p>
    <w:p>
      <w:pPr>
        <w:pStyle w:val="Heading3"/>
        <w:spacing w:line="316" w:lineRule="exact"/>
        <w:ind w:right="1086"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spacing w:val="-3"/>
        </w:rPr>
        <w:t>了解与应收账款减值相关的关键内部控制，评价这些控制的设计，确定其是否得到执</w:t>
      </w:r>
      <w:r>
        <w:rPr>
          <w:w w:val="99"/>
        </w:rPr>
        <w:t> </w:t>
      </w:r>
      <w:r>
        <w:rPr/>
        <w:t>行，并测试相关内部控制的运行有效性；</w:t>
      </w:r>
    </w:p>
    <w:p>
      <w:pPr>
        <w:pStyle w:val="Heading3"/>
        <w:spacing w:line="281" w:lineRule="exact"/>
        <w:ind w:left="621" w:right="1086"/>
        <w:jc w:val="left"/>
      </w:pPr>
      <w:r>
        <w:rPr>
          <w:rFonts w:ascii="Times New Roman" w:hAnsi="Times New Roman" w:cs="Times New Roman" w:eastAsia="Times New Roman" w:hint="default"/>
          <w:spacing w:val="-6"/>
          <w:w w:val="99"/>
        </w:rPr>
        <w:t>(</w:t>
      </w:r>
      <w:r>
        <w:rPr>
          <w:rFonts w:ascii="Times New Roman" w:hAnsi="Times New Roman" w:cs="Times New Roman" w:eastAsia="Times New Roman" w:hint="default"/>
          <w:w w:val="99"/>
        </w:rPr>
        <w:t>2)</w:t>
      </w:r>
      <w:r>
        <w:rPr>
          <w:rFonts w:ascii="Times New Roman" w:hAnsi="Times New Roman" w:cs="Times New Roman" w:eastAsia="Times New Roman" w:hint="default"/>
          <w:spacing w:val="25"/>
          <w:w w:val="99"/>
        </w:rPr>
        <w:t> </w:t>
      </w:r>
      <w:r>
        <w:rPr>
          <w:w w:val="99"/>
        </w:rPr>
        <w:t>复核以前年度已计提坏账准备的应收账款的后续实际核销或转回情</w:t>
      </w:r>
      <w:r>
        <w:rPr>
          <w:spacing w:val="15"/>
          <w:w w:val="99"/>
        </w:rPr>
        <w:t>况</w:t>
      </w:r>
      <w:r>
        <w:rPr>
          <w:spacing w:val="-106"/>
          <w:w w:val="99"/>
        </w:rPr>
        <w:t>，</w:t>
      </w:r>
      <w:r>
        <w:rPr>
          <w:w w:val="99"/>
        </w:rPr>
        <w:t>评价管理层过</w:t>
      </w:r>
      <w:r>
        <w:rPr/>
      </w:r>
    </w:p>
    <w:p>
      <w:pPr>
        <w:pStyle w:val="Heading3"/>
        <w:spacing w:line="305" w:lineRule="exact"/>
        <w:ind w:right="0"/>
        <w:jc w:val="both"/>
      </w:pPr>
      <w:r>
        <w:rPr/>
        <w:t>往预测的准确性；</w:t>
      </w:r>
    </w:p>
    <w:p>
      <w:pPr>
        <w:pStyle w:val="Heading3"/>
        <w:spacing w:line="316" w:lineRule="exact" w:before="29"/>
        <w:ind w:right="1086" w:firstLine="480"/>
        <w:jc w:val="left"/>
      </w:pPr>
      <w:r>
        <w:rPr>
          <w:rFonts w:ascii="Times New Roman" w:hAnsi="Times New Roman" w:cs="Times New Roman" w:eastAsia="Times New Roman" w:hint="default"/>
          <w:spacing w:val="-2"/>
          <w:w w:val="99"/>
        </w:rPr>
        <w:t>(3)</w:t>
      </w:r>
      <w:r>
        <w:rPr>
          <w:rFonts w:ascii="Times New Roman" w:hAnsi="Times New Roman" w:cs="Times New Roman" w:eastAsia="Times New Roman" w:hint="default"/>
          <w:spacing w:val="40"/>
          <w:w w:val="99"/>
        </w:rPr>
        <w:t> </w:t>
      </w:r>
      <w:r>
        <w:rPr>
          <w:spacing w:val="-3"/>
          <w:w w:val="99"/>
        </w:rPr>
        <w:t>复核管理层对应收账款进行信用风险评估的相关考虑和客观证据，评价管理层是否恰</w:t>
      </w:r>
      <w:r>
        <w:rPr>
          <w:w w:val="99"/>
        </w:rPr>
        <w:t> </w:t>
      </w:r>
      <w:r>
        <w:rPr/>
        <w:t>当识别各项应收账款的信用风险特征；</w:t>
      </w:r>
    </w:p>
    <w:p>
      <w:pPr>
        <w:pStyle w:val="Heading3"/>
        <w:spacing w:line="300" w:lineRule="exact" w:before="12"/>
        <w:ind w:right="1086" w:firstLine="480"/>
        <w:jc w:val="left"/>
      </w:pPr>
      <w:r>
        <w:rPr>
          <w:rFonts w:ascii="Times New Roman" w:hAnsi="Times New Roman" w:cs="Times New Roman" w:eastAsia="Times New Roman" w:hint="default"/>
          <w:spacing w:val="-2"/>
          <w:w w:val="99"/>
        </w:rPr>
        <w:t>(4)</w:t>
      </w:r>
      <w:r>
        <w:rPr>
          <w:rFonts w:ascii="Times New Roman" w:hAnsi="Times New Roman" w:cs="Times New Roman" w:eastAsia="Times New Roman" w:hint="default"/>
          <w:spacing w:val="40"/>
          <w:w w:val="99"/>
        </w:rPr>
        <w:t> </w:t>
      </w:r>
      <w:r>
        <w:rPr>
          <w:spacing w:val="-3"/>
          <w:w w:val="99"/>
        </w:rPr>
        <w:t>对于以单项为基础计量预期信用损失的应收账款，获取并检查管理层对预期收取现金</w:t>
      </w:r>
      <w:r>
        <w:rPr>
          <w:w w:val="99"/>
        </w:rPr>
        <w:t> </w:t>
      </w:r>
      <w:r>
        <w:rPr/>
        <w:t>流量的预测，评价在预测中使用的关键假设的合理性和数据的准确性，并与获取的外部证据</w:t>
      </w:r>
    </w:p>
    <w:p>
      <w:pPr>
        <w:spacing w:after="0" w:line="300" w:lineRule="exact"/>
        <w:jc w:val="left"/>
        <w:sectPr>
          <w:pgSz w:w="11910" w:h="16850"/>
          <w:pgMar w:header="866" w:footer="981" w:top="1120" w:bottom="1180" w:left="1000" w:right="0"/>
        </w:sectPr>
      </w:pPr>
    </w:p>
    <w:p>
      <w:pPr>
        <w:spacing w:line="240" w:lineRule="auto" w:before="1"/>
        <w:rPr>
          <w:rFonts w:ascii="宋体" w:hAnsi="宋体" w:cs="宋体" w:eastAsia="宋体" w:hint="default"/>
          <w:sz w:val="19"/>
          <w:szCs w:val="19"/>
        </w:rPr>
      </w:pPr>
    </w:p>
    <w:p>
      <w:pPr>
        <w:pStyle w:val="Heading3"/>
        <w:spacing w:line="240" w:lineRule="auto" w:before="26"/>
        <w:ind w:right="0"/>
        <w:jc w:val="both"/>
      </w:pPr>
      <w:r>
        <w:rPr/>
        <w:t>进行核对；</w:t>
      </w:r>
    </w:p>
    <w:p>
      <w:pPr>
        <w:pStyle w:val="Heading3"/>
        <w:spacing w:line="232" w:lineRule="auto" w:before="9"/>
        <w:ind w:right="1116" w:firstLine="480"/>
        <w:jc w:val="both"/>
      </w:pPr>
      <w:r>
        <w:rPr>
          <w:rFonts w:ascii="Times New Roman" w:hAnsi="Times New Roman" w:cs="Times New Roman" w:eastAsia="Times New Roman" w:hint="default"/>
          <w:spacing w:val="-2"/>
          <w:w w:val="99"/>
        </w:rPr>
        <w:t>(5)</w:t>
      </w:r>
      <w:r>
        <w:rPr>
          <w:rFonts w:ascii="Times New Roman" w:hAnsi="Times New Roman" w:cs="Times New Roman" w:eastAsia="Times New Roman" w:hint="default"/>
          <w:spacing w:val="40"/>
          <w:w w:val="99"/>
        </w:rPr>
        <w:t> </w:t>
      </w:r>
      <w:r>
        <w:rPr>
          <w:spacing w:val="-3"/>
          <w:w w:val="99"/>
        </w:rPr>
        <w:t>对于以组合为基础计量预期信用损失的应收账款，评价管理层按信用风险特征划分组</w:t>
      </w:r>
      <w:r>
        <w:rPr>
          <w:w w:val="99"/>
        </w:rPr>
        <w:t> </w:t>
      </w:r>
      <w:r>
        <w:rPr/>
        <w:t>合的合理性；评价管理层根据历史信用损失经验及前瞻性估计确定的应收账款账龄与预期信</w:t>
      </w:r>
      <w:r>
        <w:rPr>
          <w:spacing w:val="-91"/>
        </w:rPr>
        <w:t> </w:t>
      </w:r>
      <w:r>
        <w:rPr>
          <w:spacing w:val="-91"/>
        </w:rPr>
      </w:r>
      <w:r>
        <w:rPr/>
        <w:t>用损失率对照表的合理性；测试管理层使用数据（包括应收账款账龄等）的准确性和完整性</w:t>
      </w:r>
      <w:r>
        <w:rPr>
          <w:spacing w:val="-91"/>
        </w:rPr>
        <w:t> </w:t>
      </w:r>
      <w:r>
        <w:rPr>
          <w:spacing w:val="-91"/>
        </w:rPr>
      </w:r>
      <w:r>
        <w:rPr/>
        <w:t>以及对坏账准备的计算是否准确；</w:t>
      </w:r>
    </w:p>
    <w:p>
      <w:pPr>
        <w:pStyle w:val="Heading3"/>
        <w:spacing w:line="232" w:lineRule="auto" w:before="11"/>
        <w:ind w:right="1116" w:firstLine="48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32"/>
        </w:rPr>
        <w:t> </w:t>
      </w:r>
      <w:r>
        <w:rPr>
          <w:spacing w:val="-3"/>
        </w:rPr>
        <w:t>对主要客户的销售回款进行检查，检查是否存在未按约定回款的客户，对该部分客户</w:t>
      </w:r>
      <w:r>
        <w:rPr>
          <w:w w:val="99"/>
        </w:rPr>
        <w:t> </w:t>
      </w:r>
      <w:r>
        <w:rPr/>
        <w:t>进行单独分析，包括向管理层了解超过合同约定期限的原因、客户的经营情况，并通过公开</w:t>
      </w:r>
      <w:r>
        <w:rPr>
          <w:spacing w:val="-91"/>
        </w:rPr>
        <w:t> </w:t>
      </w:r>
      <w:r>
        <w:rPr>
          <w:spacing w:val="-91"/>
        </w:rPr>
      </w:r>
      <w:r>
        <w:rPr/>
        <w:t>渠道查询与客户及其行业发展状况有关的信息，结合以往应收款项的收回及坏账发生情况，</w:t>
      </w:r>
      <w:r>
        <w:rPr>
          <w:spacing w:val="-91"/>
        </w:rPr>
        <w:t> </w:t>
      </w:r>
      <w:r>
        <w:rPr>
          <w:spacing w:val="-91"/>
        </w:rPr>
      </w:r>
      <w:r>
        <w:rPr/>
        <w:t>评价应收账款坏账准备计提的充分性；</w:t>
      </w:r>
    </w:p>
    <w:p>
      <w:pPr>
        <w:pStyle w:val="Heading3"/>
        <w:spacing w:line="324" w:lineRule="exact" w:before="2"/>
        <w:ind w:left="621" w:right="1086"/>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以抽样方式对期末大额应收账款进行函证；</w:t>
      </w:r>
    </w:p>
    <w:p>
      <w:pPr>
        <w:pStyle w:val="Heading3"/>
        <w:spacing w:line="315" w:lineRule="exact"/>
        <w:ind w:left="621" w:right="1086"/>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检查应收账款的期后回款情况，评价管理层计提应收账款坏账准备的合理性；</w:t>
      </w:r>
    </w:p>
    <w:p>
      <w:pPr>
        <w:pStyle w:val="Heading3"/>
        <w:spacing w:line="223" w:lineRule="auto" w:before="11"/>
        <w:ind w:left="606" w:right="1749" w:firstLine="15"/>
        <w:jc w:val="left"/>
      </w:pP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t>检查与应收账款减值相关的信息是否已在财务报表中作出恰当列报和披露；</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商誉减值</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事项描述</w:t>
      </w:r>
      <w:r>
        <w:rPr>
          <w:w w:val="99"/>
        </w:rPr>
        <w:t> </w:t>
      </w:r>
      <w:r>
        <w:rPr/>
        <w:t>相关信息披露详见财务报表附注三（十七）及附注五（一）</w:t>
      </w:r>
      <w:r>
        <w:rPr>
          <w:rFonts w:ascii="Times New Roman" w:hAnsi="Times New Roman" w:cs="Times New Roman" w:eastAsia="Times New Roman" w:hint="default"/>
        </w:rPr>
        <w:t>18</w:t>
      </w:r>
      <w:r>
        <w:rPr/>
        <w:t>。</w:t>
      </w:r>
    </w:p>
    <w:p>
      <w:pPr>
        <w:pStyle w:val="Heading3"/>
        <w:spacing w:line="316" w:lineRule="exact" w:before="14"/>
        <w:ind w:right="1086" w:firstLine="480"/>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日，思创医惠公司财务报表所示商誉项目账面原值为人民币</w:t>
      </w:r>
      <w:r>
        <w:rPr>
          <w:rFonts w:ascii="Times New Roman" w:hAnsi="Times New Roman" w:cs="Times New Roman" w:eastAsia="Times New Roman" w:hint="default"/>
        </w:rPr>
        <w:t>74,468.82 </w:t>
      </w:r>
      <w:r>
        <w:rPr/>
        <w:t>万元，减值准备为人民币</w:t>
      </w:r>
      <w:r>
        <w:rPr>
          <w:rFonts w:ascii="Times New Roman" w:hAnsi="Times New Roman" w:cs="Times New Roman" w:eastAsia="Times New Roman" w:hint="default"/>
        </w:rPr>
        <w:t>6,525.64</w:t>
      </w:r>
      <w:r>
        <w:rPr/>
        <w:t>万元，账面价值为人民币</w:t>
      </w:r>
      <w:r>
        <w:rPr>
          <w:rFonts w:ascii="Times New Roman" w:hAnsi="Times New Roman" w:cs="Times New Roman" w:eastAsia="Times New Roman" w:hint="default"/>
        </w:rPr>
        <w:t>67,943.18</w:t>
      </w:r>
      <w:r>
        <w:rPr/>
        <w:t>万元。</w:t>
      </w:r>
    </w:p>
    <w:p>
      <w:pPr>
        <w:pStyle w:val="Heading3"/>
        <w:spacing w:line="286" w:lineRule="exact"/>
        <w:ind w:right="1086" w:firstLine="480"/>
        <w:jc w:val="left"/>
      </w:pPr>
      <w:r>
        <w:rPr/>
        <w:t>当与商誉相关的资产组或者资产组组合存在减值迹象时，以及每年年度终了，管理层对</w:t>
      </w:r>
    </w:p>
    <w:p>
      <w:pPr>
        <w:pStyle w:val="Heading3"/>
        <w:spacing w:line="235" w:lineRule="auto" w:before="6"/>
        <w:ind w:right="1116"/>
        <w:jc w:val="both"/>
      </w:pPr>
      <w:r>
        <w:rPr/>
        <w:t>商誉进行减值测试。管理层将商誉结合与其相关的资产组或者资产组组合进行减值测试，相</w:t>
      </w:r>
      <w:r>
        <w:rPr>
          <w:spacing w:val="-90"/>
        </w:rPr>
        <w:t> </w:t>
      </w:r>
      <w:r>
        <w:rPr>
          <w:spacing w:val="-90"/>
        </w:rPr>
      </w:r>
      <w:r>
        <w:rPr/>
        <w:t>关资产组或者资产组组合的可收回金额按照预计未来现金流量现值计算确定。减值测试中采</w:t>
      </w:r>
      <w:r>
        <w:rPr>
          <w:spacing w:val="-90"/>
        </w:rPr>
        <w:t> </w:t>
      </w:r>
      <w:r>
        <w:rPr>
          <w:spacing w:val="-90"/>
        </w:rPr>
      </w:r>
      <w:r>
        <w:rPr/>
        <w:t>用的关键假设包括：详细预测期收入增长率、永续预测期增长率、毛利率、折现率等。</w:t>
      </w:r>
    </w:p>
    <w:p>
      <w:pPr>
        <w:pStyle w:val="Heading3"/>
        <w:spacing w:line="240" w:lineRule="auto" w:before="2"/>
        <w:ind w:right="1086" w:firstLine="480"/>
        <w:jc w:val="left"/>
      </w:pPr>
      <w:r>
        <w:rPr/>
        <w:t>由于商誉金额重大，且商誉减值测试涉及重大管理层判断，我们将商誉减值确定为关键 审计事项。</w:t>
      </w:r>
    </w:p>
    <w:p>
      <w:pPr>
        <w:pStyle w:val="Heading3"/>
        <w:spacing w:line="300" w:lineRule="exact" w:before="41"/>
        <w:ind w:left="621" w:right="450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审计应对 我们针对商誉减值实施的主要审计程序包括但不限于：</w:t>
      </w:r>
    </w:p>
    <w:p>
      <w:pPr>
        <w:pStyle w:val="Heading3"/>
        <w:spacing w:line="316" w:lineRule="exact" w:before="2"/>
        <w:ind w:right="0" w:firstLine="4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了解与商誉减值相关的关键内部控制，评价这些控制的设计，确定其是否得到执行，</w:t>
      </w:r>
      <w:r>
        <w:rPr>
          <w:w w:val="99"/>
        </w:rPr>
        <w:t> </w:t>
      </w:r>
      <w:r>
        <w:rPr/>
        <w:t>并测试相关内部控制的运行有效性；</w:t>
      </w:r>
    </w:p>
    <w:p>
      <w:pPr>
        <w:pStyle w:val="Heading3"/>
        <w:spacing w:line="228" w:lineRule="auto"/>
        <w:ind w:right="1086" w:firstLine="480"/>
        <w:jc w:val="left"/>
      </w:pPr>
      <w:r>
        <w:rPr>
          <w:rFonts w:ascii="Times New Roman" w:hAnsi="Times New Roman" w:cs="Times New Roman" w:eastAsia="Times New Roman" w:hint="default"/>
          <w:spacing w:val="-2"/>
          <w:w w:val="99"/>
        </w:rPr>
        <w:t>(2)</w:t>
      </w:r>
      <w:r>
        <w:rPr>
          <w:rFonts w:ascii="Times New Roman" w:hAnsi="Times New Roman" w:cs="Times New Roman" w:eastAsia="Times New Roman" w:hint="default"/>
          <w:spacing w:val="40"/>
          <w:w w:val="99"/>
        </w:rPr>
        <w:t> </w:t>
      </w:r>
      <w:r>
        <w:rPr>
          <w:spacing w:val="-3"/>
          <w:w w:val="99"/>
        </w:rPr>
        <w:t>复核管理层以前年度对未来现金流量现值的预测和实际经营结果，评价管理层过往预</w:t>
      </w:r>
      <w:r>
        <w:rPr>
          <w:w w:val="99"/>
        </w:rPr>
        <w:t> </w:t>
      </w:r>
      <w:r>
        <w:rPr/>
        <w:t>测的准确性；</w:t>
      </w:r>
    </w:p>
    <w:p>
      <w:pPr>
        <w:pStyle w:val="Heading3"/>
        <w:spacing w:line="311" w:lineRule="exact"/>
        <w:ind w:left="621" w:right="10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了解并评价管理层聘用的外部估值专家的胜任能力、专业素质和客观性；</w:t>
      </w:r>
    </w:p>
    <w:p>
      <w:pPr>
        <w:pStyle w:val="Heading3"/>
        <w:spacing w:line="315" w:lineRule="exact"/>
        <w:ind w:left="621" w:right="10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评价管理层在减值测试中使用方法的合理性和一致性；</w:t>
      </w:r>
    </w:p>
    <w:p>
      <w:pPr>
        <w:pStyle w:val="Heading3"/>
        <w:spacing w:line="316" w:lineRule="exact" w:before="19"/>
        <w:ind w:right="1086" w:firstLine="480"/>
        <w:jc w:val="left"/>
      </w:pPr>
      <w:r>
        <w:rPr>
          <w:rFonts w:ascii="Times New Roman" w:hAnsi="Times New Roman" w:cs="Times New Roman" w:eastAsia="Times New Roman" w:hint="default"/>
          <w:spacing w:val="-2"/>
          <w:w w:val="99"/>
        </w:rPr>
        <w:t>(5)</w:t>
      </w:r>
      <w:r>
        <w:rPr>
          <w:rFonts w:ascii="Times New Roman" w:hAnsi="Times New Roman" w:cs="Times New Roman" w:eastAsia="Times New Roman" w:hint="default"/>
          <w:spacing w:val="39"/>
          <w:w w:val="99"/>
        </w:rPr>
        <w:t> </w:t>
      </w:r>
      <w:r>
        <w:rPr>
          <w:spacing w:val="-3"/>
          <w:w w:val="99"/>
        </w:rPr>
        <w:t>评价管理层在减值测试中采用的关键假设的合理性，复核相关假设是否与总体经济环</w:t>
      </w:r>
      <w:r>
        <w:rPr>
          <w:w w:val="99"/>
        </w:rPr>
        <w:t> </w:t>
      </w:r>
      <w:r>
        <w:rPr/>
        <w:t>境、行业状况、经营情况、历史经验以及评估报告使用的技术参数等相符；</w:t>
      </w:r>
    </w:p>
    <w:p>
      <w:pPr>
        <w:pStyle w:val="Heading3"/>
        <w:spacing w:line="300" w:lineRule="exact" w:before="12"/>
        <w:ind w:right="1086" w:firstLine="48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4"/>
        </w:rPr>
        <w:t> </w:t>
      </w:r>
      <w:r>
        <w:rPr>
          <w:spacing w:val="-3"/>
        </w:rPr>
        <w:t>测试管理层在减值测试中使用数据的准确性、完整性和相关性，并复核减值测试中有</w:t>
      </w:r>
      <w:r>
        <w:rPr>
          <w:w w:val="99"/>
        </w:rPr>
        <w:t> </w:t>
      </w:r>
      <w:r>
        <w:rPr/>
        <w:t>关信息的内在一致性；</w:t>
      </w:r>
    </w:p>
    <w:p>
      <w:pPr>
        <w:pStyle w:val="Heading3"/>
        <w:spacing w:line="299" w:lineRule="exact"/>
        <w:ind w:left="621" w:right="1086"/>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18"/>
        </w:rPr>
        <w:t> </w:t>
      </w:r>
      <w:r>
        <w:rPr/>
        <w:t>测试管理层对预计未来现金流量现值的计算是否准确；</w:t>
      </w:r>
    </w:p>
    <w:p>
      <w:pPr>
        <w:pStyle w:val="Heading3"/>
        <w:spacing w:line="324" w:lineRule="exact"/>
        <w:ind w:left="621" w:right="1086"/>
        <w:jc w:val="left"/>
      </w:pP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t>检查与商誉减值相关的信息是否已在财务报表中作出恰当列报和披露。</w:t>
      </w:r>
    </w:p>
    <w:p>
      <w:pPr>
        <w:spacing w:line="240" w:lineRule="auto" w:before="12"/>
        <w:rPr>
          <w:rFonts w:ascii="宋体" w:hAnsi="宋体" w:cs="宋体" w:eastAsia="宋体" w:hint="default"/>
          <w:sz w:val="25"/>
          <w:szCs w:val="25"/>
        </w:rPr>
      </w:pPr>
    </w:p>
    <w:p>
      <w:pPr>
        <w:pStyle w:val="Heading3"/>
        <w:spacing w:line="300" w:lineRule="exact"/>
        <w:ind w:left="621" w:right="1086"/>
        <w:jc w:val="left"/>
      </w:pPr>
      <w:r>
        <w:rPr>
          <w:rFonts w:ascii="宋体" w:hAnsi="宋体" w:cs="宋体" w:eastAsia="宋体" w:hint="default"/>
          <w:b/>
          <w:bCs/>
        </w:rPr>
        <w:t>四、其他信息</w:t>
      </w:r>
      <w:r>
        <w:rPr>
          <w:rFonts w:ascii="宋体" w:hAnsi="宋体" w:cs="宋体" w:eastAsia="宋体" w:hint="default"/>
          <w:b/>
          <w:bCs/>
          <w:w w:val="99"/>
        </w:rPr>
        <w:t> </w:t>
      </w:r>
      <w:r>
        <w:rPr/>
        <w:t>管理层对其他信息负责。其他信息包括年度报告中涵盖的信息，但不包括财务报表和我</w:t>
      </w:r>
    </w:p>
    <w:p>
      <w:pPr>
        <w:pStyle w:val="Heading3"/>
        <w:spacing w:line="316" w:lineRule="exact" w:before="2"/>
        <w:ind w:left="621" w:right="1086" w:hanging="481"/>
        <w:jc w:val="left"/>
      </w:pPr>
      <w:r>
        <w:rPr/>
        <w:t>们的审计报告。 我们对财务报表发表的审计意见不涵盖其他信息，我们也不对其他信息发表任何形式的</w:t>
      </w:r>
    </w:p>
    <w:p>
      <w:pPr>
        <w:pStyle w:val="Heading3"/>
        <w:spacing w:line="286" w:lineRule="exact"/>
        <w:ind w:right="0"/>
        <w:jc w:val="both"/>
      </w:pPr>
      <w:r>
        <w:rPr/>
        <w:t>鉴证结论。</w:t>
      </w:r>
    </w:p>
    <w:p>
      <w:pPr>
        <w:pStyle w:val="Heading3"/>
        <w:spacing w:line="300" w:lineRule="exact" w:before="41"/>
        <w:ind w:right="1086" w:firstLine="480"/>
        <w:jc w:val="left"/>
      </w:pPr>
      <w:r>
        <w:rPr/>
        <w:t>结合我们对财务报表的审计，我们的责任是阅读其他信息，在此过程中，考虑其他信息 是否与财务报表或我们在审计过程中了解到的情况存在重大不一致或者似乎存在重大错报。</w:t>
      </w:r>
    </w:p>
    <w:p>
      <w:pPr>
        <w:spacing w:after="0" w:line="300" w:lineRule="exact"/>
        <w:jc w:val="left"/>
        <w:sectPr>
          <w:pgSz w:w="11910" w:h="16850"/>
          <w:pgMar w:header="866" w:footer="981" w:top="1120" w:bottom="1180" w:left="1000" w:right="0"/>
        </w:sectPr>
      </w:pPr>
    </w:p>
    <w:p>
      <w:pPr>
        <w:spacing w:line="240" w:lineRule="auto" w:before="1"/>
        <w:rPr>
          <w:rFonts w:ascii="宋体" w:hAnsi="宋体" w:cs="宋体" w:eastAsia="宋体" w:hint="default"/>
          <w:sz w:val="19"/>
          <w:szCs w:val="19"/>
        </w:rPr>
      </w:pPr>
    </w:p>
    <w:p>
      <w:pPr>
        <w:pStyle w:val="Heading3"/>
        <w:spacing w:line="240" w:lineRule="auto" w:before="26"/>
        <w:ind w:right="1086" w:firstLine="480"/>
        <w:jc w:val="left"/>
      </w:pPr>
      <w:r>
        <w:rPr/>
        <w:t>基于我们已执行的工作，如果我们确定其他信息存在重大错报，我们应当报告该事实。 在这方面，我们无任何事项需要报告。</w:t>
      </w:r>
    </w:p>
    <w:p>
      <w:pPr>
        <w:spacing w:line="240" w:lineRule="auto" w:before="0"/>
        <w:rPr>
          <w:rFonts w:ascii="宋体" w:hAnsi="宋体" w:cs="宋体" w:eastAsia="宋体" w:hint="default"/>
          <w:sz w:val="23"/>
          <w:szCs w:val="23"/>
        </w:rPr>
      </w:pPr>
    </w:p>
    <w:p>
      <w:pPr>
        <w:spacing w:before="0"/>
        <w:ind w:left="621" w:right="1086" w:firstLine="0"/>
        <w:jc w:val="left"/>
        <w:rPr>
          <w:rFonts w:ascii="宋体" w:hAnsi="宋体" w:cs="宋体" w:eastAsia="宋体" w:hint="default"/>
          <w:sz w:val="24"/>
          <w:szCs w:val="24"/>
        </w:rPr>
      </w:pPr>
      <w:r>
        <w:rPr>
          <w:rFonts w:ascii="宋体" w:hAnsi="宋体" w:cs="宋体" w:eastAsia="宋体" w:hint="default"/>
          <w:b/>
          <w:bCs/>
          <w:sz w:val="24"/>
          <w:szCs w:val="24"/>
        </w:rPr>
        <w:t>五、管理层和治理层对财务报表的责任</w:t>
      </w:r>
      <w:r>
        <w:rPr>
          <w:rFonts w:ascii="宋体" w:hAnsi="宋体" w:cs="宋体" w:eastAsia="宋体" w:hint="default"/>
          <w:b/>
          <w:bCs/>
          <w:w w:val="99"/>
          <w:sz w:val="24"/>
          <w:szCs w:val="24"/>
        </w:rPr>
        <w:t> </w:t>
      </w:r>
      <w:r>
        <w:rPr>
          <w:rFonts w:ascii="宋体" w:hAnsi="宋体" w:cs="宋体" w:eastAsia="宋体" w:hint="default"/>
          <w:sz w:val="24"/>
          <w:szCs w:val="24"/>
        </w:rPr>
        <w:t>管理层负责按照企业会计准则的规定编制财务报表，使其实现公允反映，并设计、执行</w:t>
      </w:r>
    </w:p>
    <w:p>
      <w:pPr>
        <w:pStyle w:val="Heading3"/>
        <w:spacing w:line="240" w:lineRule="auto" w:before="1"/>
        <w:ind w:left="621" w:right="1086" w:hanging="481"/>
        <w:jc w:val="left"/>
      </w:pPr>
      <w:r>
        <w:rPr/>
        <w:t>和维护必要的内部控制，以使财务报表不存在由于舞弊或错误导致的重大错报。 在编制财务报表时，管理层负责评估思创医惠公司的持续经营能力，披露与持续经营相</w:t>
      </w:r>
    </w:p>
    <w:p>
      <w:pPr>
        <w:pStyle w:val="Heading3"/>
        <w:spacing w:line="300" w:lineRule="exact" w:before="41"/>
        <w:ind w:right="1116"/>
        <w:jc w:val="both"/>
      </w:pPr>
      <w:r>
        <w:rPr/>
        <w:t>关的事项（如适用），并运用持续经营假设，除非计划进行清算、终止运营或别无其他现实</w:t>
      </w:r>
      <w:r>
        <w:rPr>
          <w:spacing w:val="-90"/>
        </w:rPr>
        <w:t> </w:t>
      </w:r>
      <w:r>
        <w:rPr>
          <w:spacing w:val="-90"/>
        </w:rPr>
      </w:r>
      <w:r>
        <w:rPr/>
        <w:t>的选择。</w:t>
      </w:r>
    </w:p>
    <w:p>
      <w:pPr>
        <w:pStyle w:val="Heading3"/>
        <w:spacing w:line="289" w:lineRule="exact"/>
        <w:ind w:left="621" w:right="1086"/>
        <w:jc w:val="left"/>
      </w:pPr>
      <w:r>
        <w:rPr/>
        <w:t>思创医惠公司治理层（以下简称治理层）负责监督思创医惠公司的财务报告过程。</w:t>
      </w:r>
    </w:p>
    <w:p>
      <w:pPr>
        <w:spacing w:line="240" w:lineRule="auto" w:before="2"/>
        <w:rPr>
          <w:rFonts w:ascii="宋体" w:hAnsi="宋体" w:cs="宋体" w:eastAsia="宋体" w:hint="default"/>
          <w:sz w:val="24"/>
          <w:szCs w:val="24"/>
        </w:rPr>
      </w:pPr>
    </w:p>
    <w:p>
      <w:pPr>
        <w:spacing w:before="0"/>
        <w:ind w:left="621" w:right="1086" w:firstLine="0"/>
        <w:jc w:val="left"/>
        <w:rPr>
          <w:rFonts w:ascii="宋体" w:hAnsi="宋体" w:cs="宋体" w:eastAsia="宋体" w:hint="default"/>
          <w:sz w:val="24"/>
          <w:szCs w:val="24"/>
        </w:rPr>
      </w:pPr>
      <w:r>
        <w:rPr>
          <w:rFonts w:ascii="宋体" w:hAnsi="宋体" w:cs="宋体" w:eastAsia="宋体" w:hint="default"/>
          <w:b/>
          <w:bCs/>
          <w:sz w:val="24"/>
          <w:szCs w:val="24"/>
        </w:rPr>
        <w:t>六、注册会计师对财务报表审计的责任</w:t>
      </w:r>
      <w:r>
        <w:rPr>
          <w:rFonts w:ascii="宋体" w:hAnsi="宋体" w:cs="宋体" w:eastAsia="宋体" w:hint="default"/>
          <w:b/>
          <w:bCs/>
          <w:w w:val="99"/>
          <w:sz w:val="24"/>
          <w:szCs w:val="24"/>
        </w:rPr>
        <w:t> </w:t>
      </w:r>
      <w:r>
        <w:rPr>
          <w:rFonts w:ascii="宋体" w:hAnsi="宋体" w:cs="宋体" w:eastAsia="宋体" w:hint="default"/>
          <w:spacing w:val="8"/>
          <w:sz w:val="24"/>
          <w:szCs w:val="24"/>
        </w:rPr>
        <w:t>我们的目标是对财务报表整体是否不存在由于舞弊或错误导致的重大错报获取合理保</w:t>
      </w:r>
    </w:p>
    <w:p>
      <w:pPr>
        <w:pStyle w:val="Heading3"/>
        <w:spacing w:line="240" w:lineRule="auto"/>
        <w:ind w:right="1116"/>
        <w:jc w:val="both"/>
      </w:pPr>
      <w:r>
        <w:rPr/>
        <w:t>证，并出具包含审计意见的审计报告。合理保证是高水平的保证，但并不能保证按照审计准</w:t>
      </w:r>
      <w:r>
        <w:rPr>
          <w:spacing w:val="-90"/>
        </w:rPr>
        <w:t> </w:t>
      </w:r>
      <w:r>
        <w:rPr>
          <w:spacing w:val="-90"/>
        </w:rPr>
      </w:r>
      <w:r>
        <w:rPr/>
        <w:t>则执行的审计在某一重大错报存在时总能发现。错报可能由于舞弊或错误导致，如果合理预</w:t>
      </w:r>
      <w:r>
        <w:rPr>
          <w:spacing w:val="-90"/>
        </w:rPr>
        <w:t> </w:t>
      </w:r>
      <w:r>
        <w:rPr>
          <w:spacing w:val="-90"/>
        </w:rPr>
      </w:r>
      <w:r>
        <w:rPr/>
        <w:t>期错报单独或汇总起来可能影响财务报表使用者依据财务报表作出的经济决策，则通常认为</w:t>
      </w:r>
      <w:r>
        <w:rPr>
          <w:spacing w:val="-90"/>
        </w:rPr>
        <w:t> </w:t>
      </w:r>
      <w:r>
        <w:rPr>
          <w:spacing w:val="-90"/>
        </w:rPr>
      </w:r>
      <w:r>
        <w:rPr/>
        <w:t>错报是重大的。</w:t>
      </w:r>
    </w:p>
    <w:p>
      <w:pPr>
        <w:pStyle w:val="Heading3"/>
        <w:spacing w:line="300" w:lineRule="exact" w:before="41"/>
        <w:ind w:right="1086" w:firstLine="480"/>
        <w:jc w:val="left"/>
      </w:pPr>
      <w:r>
        <w:rPr/>
        <w:t>在按照审计准则执行审计工作的过程中，我们运用职业判断，并保持职业怀疑。同时， 我们也执行以下工作：</w:t>
      </w:r>
    </w:p>
    <w:p>
      <w:pPr>
        <w:pStyle w:val="Heading3"/>
        <w:spacing w:line="316" w:lineRule="exact" w:before="2"/>
        <w:ind w:right="1086" w:firstLine="48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识别和评估由于舞弊或错误导致的财务报表重大错报风险，设计和实施审计程序以</w:t>
      </w:r>
      <w:r>
        <w:rPr>
          <w:w w:val="99"/>
        </w:rPr>
        <w:t> </w:t>
      </w:r>
      <w:r>
        <w:rPr/>
        <w:t>应对这些风险，并获取充分、适当的审计证据，作为发表审计意见的基础。由于舞弊可能涉</w:t>
      </w:r>
    </w:p>
    <w:p>
      <w:pPr>
        <w:pStyle w:val="Heading3"/>
        <w:spacing w:line="316" w:lineRule="exact"/>
        <w:ind w:right="1116"/>
        <w:jc w:val="both"/>
      </w:pPr>
      <w:r>
        <w:rPr/>
        <w:t>及串通、伪造、故意遗漏、虚假陈述或凌驾于内部控制之上，未能发现由于舞弊导致的重大</w:t>
      </w:r>
      <w:r>
        <w:rPr>
          <w:spacing w:val="-90"/>
        </w:rPr>
        <w:t> </w:t>
      </w:r>
      <w:r>
        <w:rPr>
          <w:spacing w:val="-90"/>
        </w:rPr>
      </w:r>
      <w:r>
        <w:rPr/>
        <w:t>错报的风险高于未能发现由于错误导致的重大错报的风险。</w:t>
      </w:r>
    </w:p>
    <w:p>
      <w:pPr>
        <w:pStyle w:val="Heading3"/>
        <w:spacing w:line="281" w:lineRule="exact"/>
        <w:ind w:left="621" w:right="108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了解与审计相关的内部控制，以设计恰当的审计程序，但目的并非对内部控制的有</w:t>
      </w:r>
    </w:p>
    <w:p>
      <w:pPr>
        <w:pStyle w:val="Heading3"/>
        <w:spacing w:line="305" w:lineRule="exact"/>
        <w:ind w:right="0"/>
        <w:jc w:val="both"/>
      </w:pPr>
      <w:r>
        <w:rPr/>
        <w:t>效性发表意见。</w:t>
      </w:r>
    </w:p>
    <w:p>
      <w:pPr>
        <w:pStyle w:val="Heading3"/>
        <w:spacing w:line="324" w:lineRule="exact" w:before="1"/>
        <w:ind w:left="621" w:right="108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评价管理层选用会计政策的恰当性和作出会计估计及相关披露的合理性。</w:t>
      </w:r>
    </w:p>
    <w:p>
      <w:pPr>
        <w:pStyle w:val="Heading3"/>
        <w:spacing w:line="235" w:lineRule="auto"/>
        <w:ind w:right="1116" w:firstLine="48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对管理层使用持续经营假设的恰当性得出结论。同时，根据获取的审计证据，就可</w:t>
      </w:r>
      <w:r>
        <w:rPr>
          <w:w w:val="99"/>
        </w:rPr>
        <w:t> </w:t>
      </w:r>
      <w:r>
        <w:rPr/>
        <w:t>能导致对思创医惠公司持续经营能力产生重大疑虑的事项或情况是否存在重大不确定性得出</w:t>
      </w:r>
      <w:r>
        <w:rPr>
          <w:spacing w:val="-91"/>
        </w:rPr>
        <w:t> </w:t>
      </w:r>
      <w:r>
        <w:rPr>
          <w:spacing w:val="-91"/>
        </w:rPr>
      </w:r>
      <w:r>
        <w:rPr/>
        <w:t>结论。如果我们得出结论认为存在重大不确定性，审计准则要求我们在审计报告中提请报表</w:t>
      </w:r>
      <w:r>
        <w:rPr>
          <w:spacing w:val="-91"/>
        </w:rPr>
        <w:t> </w:t>
      </w:r>
      <w:r>
        <w:rPr>
          <w:spacing w:val="-91"/>
        </w:rPr>
      </w:r>
      <w:r>
        <w:rPr/>
        <w:t>使用者注意财务报表中的相关披露；如果披露不充分，我们应当发表非无保留意见。我们的</w:t>
      </w:r>
      <w:r>
        <w:rPr>
          <w:spacing w:val="-91"/>
        </w:rPr>
        <w:t> </w:t>
      </w:r>
      <w:r>
        <w:rPr>
          <w:spacing w:val="-91"/>
        </w:rPr>
      </w:r>
      <w:r>
        <w:rPr/>
        <w:t>结论基于截至审计报告日可获得的信息。然而，未来的事项或情况可能导致思创医惠公司不</w:t>
      </w:r>
      <w:r>
        <w:rPr>
          <w:spacing w:val="-96"/>
        </w:rPr>
        <w:t> </w:t>
      </w:r>
      <w:r>
        <w:rPr>
          <w:spacing w:val="-96"/>
        </w:rPr>
      </w:r>
      <w:r>
        <w:rPr/>
        <w:t>能持续经营。</w:t>
      </w:r>
    </w:p>
    <w:p>
      <w:pPr>
        <w:pStyle w:val="Heading3"/>
        <w:spacing w:line="300" w:lineRule="exact" w:before="42"/>
        <w:ind w:right="1086" w:firstLine="48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评价财务报表的总体列报、结构和内容，并评价财务报表是否公允反映相关交易和</w:t>
      </w:r>
      <w:r>
        <w:rPr>
          <w:w w:val="99"/>
        </w:rPr>
        <w:t> </w:t>
      </w:r>
      <w:r>
        <w:rPr/>
        <w:t>事项。</w:t>
      </w:r>
    </w:p>
    <w:p>
      <w:pPr>
        <w:pStyle w:val="Heading3"/>
        <w:spacing w:line="316" w:lineRule="exact" w:before="2"/>
        <w:ind w:right="1117" w:firstLine="480"/>
        <w:jc w:val="righ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48"/>
        </w:rPr>
        <w:t> </w:t>
      </w:r>
      <w:r>
        <w:rPr/>
        <w:t>就思创医惠公司中实体或业务活动的财务信息获取充分、适当的审计证据，以对财</w:t>
      </w:r>
      <w:r>
        <w:rPr>
          <w:w w:val="99"/>
        </w:rPr>
        <w:t> </w:t>
      </w:r>
      <w:r>
        <w:rPr>
          <w:w w:val="95"/>
        </w:rPr>
        <w:t>务报表发表审计意见。我们负责指导、监督和执行集团审计，并对审计意见承担全部责任。</w:t>
      </w:r>
      <w:r>
        <w:rPr/>
      </w:r>
    </w:p>
    <w:p>
      <w:pPr>
        <w:pStyle w:val="Heading3"/>
        <w:spacing w:line="316" w:lineRule="exact"/>
        <w:ind w:right="1086" w:firstLine="480"/>
        <w:jc w:val="left"/>
      </w:pPr>
      <w:r>
        <w:rPr/>
        <w:t>我们与治理层就计划的审计范围、时间安排和重大审计发现等事项进行沟通，包括沟通 我们在审计中识别出的值得关注的内部控制缺陷。</w:t>
      </w:r>
    </w:p>
    <w:p>
      <w:pPr>
        <w:pStyle w:val="Heading3"/>
        <w:spacing w:line="271" w:lineRule="exact"/>
        <w:ind w:left="621" w:right="1086"/>
        <w:jc w:val="left"/>
      </w:pPr>
      <w:r>
        <w:rPr/>
        <w:t>我们还就已遵守与独立性相关的职业道德要求向治理层提供声明，并与治理层沟通可能</w:t>
      </w:r>
    </w:p>
    <w:p>
      <w:pPr>
        <w:pStyle w:val="Heading3"/>
        <w:spacing w:line="240" w:lineRule="auto" w:before="1"/>
        <w:ind w:left="621" w:right="1086" w:hanging="481"/>
        <w:jc w:val="left"/>
      </w:pPr>
      <w:r>
        <w:rPr/>
        <w:t>被合理认为影响我们独立性的所有关系和其他事项，以及相关的防范措施（如适用）。 从与治理层沟通过的事项中，我们确定哪些事项对本期财务报表审计最为重要，因而构</w:t>
      </w:r>
    </w:p>
    <w:p>
      <w:pPr>
        <w:pStyle w:val="Heading3"/>
        <w:spacing w:line="235" w:lineRule="auto" w:before="6"/>
        <w:ind w:right="1116"/>
        <w:jc w:val="both"/>
      </w:pPr>
      <w:r>
        <w:rPr/>
        <w:t>成关键审计事项。我们在审计报告中描述这些事项，除非法律法规禁止公开披露这些事项，</w:t>
      </w:r>
      <w:r>
        <w:rPr>
          <w:spacing w:val="-90"/>
        </w:rPr>
        <w:t> </w:t>
      </w:r>
      <w:r>
        <w:rPr>
          <w:spacing w:val="-90"/>
        </w:rPr>
      </w:r>
      <w:r>
        <w:rPr/>
        <w:t>或在极少数情形下，如果合理预期在审计报告中沟通某事项造成的负面后果超过在公众利益</w:t>
      </w:r>
      <w:r>
        <w:rPr>
          <w:spacing w:val="-90"/>
        </w:rPr>
        <w:t> </w:t>
      </w:r>
      <w:r>
        <w:rPr>
          <w:spacing w:val="-90"/>
        </w:rPr>
      </w:r>
      <w:r>
        <w:rPr/>
        <w:t>方面产生的益处，我们确定不应在审计报告中沟通该事项。</w:t>
      </w:r>
    </w:p>
    <w:p>
      <w:pPr>
        <w:spacing w:after="0" w:line="235" w:lineRule="auto"/>
        <w:jc w:val="both"/>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Heading3"/>
        <w:tabs>
          <w:tab w:pos="4346" w:val="left" w:leader="none"/>
        </w:tabs>
        <w:spacing w:line="240" w:lineRule="auto" w:before="26"/>
        <w:ind w:right="1086"/>
        <w:jc w:val="left"/>
      </w:pPr>
      <w:r>
        <w:rPr/>
        <w:t>天健会计师事务所（特殊普通合伙）</w:t>
        <w:tab/>
        <w:t>中国注册会计师：胡彦龙</w:t>
      </w:r>
    </w:p>
    <w:p>
      <w:pPr>
        <w:pStyle w:val="Heading3"/>
        <w:spacing w:line="240" w:lineRule="auto" w:before="1"/>
        <w:ind w:left="561" w:right="1086"/>
        <w:jc w:val="left"/>
      </w:pPr>
      <w:r>
        <w:rPr/>
        <w:t>（项目合伙人）</w:t>
      </w:r>
    </w:p>
    <w:p>
      <w:pPr>
        <w:spacing w:line="240" w:lineRule="auto" w:before="0"/>
        <w:rPr>
          <w:rFonts w:ascii="宋体" w:hAnsi="宋体" w:cs="宋体" w:eastAsia="宋体" w:hint="default"/>
          <w:sz w:val="23"/>
          <w:szCs w:val="23"/>
        </w:rPr>
      </w:pPr>
    </w:p>
    <w:p>
      <w:pPr>
        <w:pStyle w:val="Heading3"/>
        <w:tabs>
          <w:tab w:pos="3355" w:val="left" w:leader="none"/>
        </w:tabs>
        <w:spacing w:line="456" w:lineRule="auto"/>
        <w:ind w:left="3821" w:right="4441" w:hanging="3259"/>
        <w:jc w:val="left"/>
      </w:pPr>
      <w:r>
        <w:rPr>
          <w:spacing w:val="-2"/>
        </w:rPr>
        <w:t>中国</w:t>
      </w:r>
      <w:r>
        <w:rPr>
          <w:rFonts w:ascii="Times New Roman" w:hAnsi="Times New Roman" w:cs="Times New Roman" w:eastAsia="Times New Roman" w:hint="default"/>
          <w:spacing w:val="-2"/>
        </w:rPr>
        <w:t>·</w:t>
      </w:r>
      <w:r>
        <w:rPr>
          <w:spacing w:val="-2"/>
        </w:rPr>
        <w:t>杭州</w:t>
        <w:tab/>
      </w:r>
      <w:r>
        <w:rPr/>
        <w:t>中国注册会计师：徐莉丽 二〇二〇年四月二十八日</w:t>
      </w:r>
    </w:p>
    <w:p>
      <w:pPr>
        <w:spacing w:line="240" w:lineRule="auto" w:before="8"/>
        <w:rPr>
          <w:rFonts w:ascii="宋体" w:hAnsi="宋体" w:cs="宋体" w:eastAsia="宋体" w:hint="default"/>
          <w:sz w:val="30"/>
          <w:szCs w:val="30"/>
        </w:rPr>
      </w:pPr>
    </w:p>
    <w:p>
      <w:pPr>
        <w:pStyle w:val="Heading2"/>
        <w:spacing w:line="240" w:lineRule="auto"/>
        <w:ind w:right="1086"/>
        <w:jc w:val="left"/>
        <w:rPr>
          <w:b w:val="0"/>
          <w:bCs w:val="0"/>
        </w:rPr>
      </w:pPr>
      <w:bookmarkStart w:name="二、财务报表" w:id="155"/>
      <w:bookmarkEnd w:id="155"/>
      <w:r>
        <w:rPr>
          <w:b w:val="0"/>
          <w:bCs w:val="0"/>
        </w:rPr>
      </w:r>
      <w:r>
        <w:rPr/>
        <w:t>二、财务报表</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before="0"/>
        <w:ind w:right="1086"/>
        <w:jc w:val="left"/>
      </w:pPr>
      <w:r>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编制单位：思创医惠科技股份有限公司</w:t>
      </w:r>
    </w:p>
    <w:p>
      <w:pPr>
        <w:pStyle w:val="BodyText"/>
        <w:spacing w:line="240" w:lineRule="auto" w:before="140"/>
        <w:ind w:left="0" w:right="968"/>
        <w:jc w:val="center"/>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532,074,102.60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482,794,143.90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18,740,100.68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1,112,503.48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3,209,541.77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1,057,208,363.26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775,700,936.92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1,031,468.48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97,514,475.98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74,086,541.01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72,300,824.80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82,292,806.84</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245,294,442.02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246,776,678.36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230,185,002.84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8,871,365.10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2,255,461,284.14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1,673,732,013.90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144,293,265.00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50,993,734.67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53,659,554.80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373,887,709.34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324,840,817.49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134,293,265.00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60,524,295.60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64,326,422.31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349,602,866.28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300,292,739.88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106,826,286.64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20,133,141.32</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98,247,156.04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82,307,697.36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22,000,038.74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13,577,114.53</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679,431,751.73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696,076,002.48</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32,326,511.32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24,433,403.27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25,431,052.41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17,867,331.01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35,590,800.00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8,556,200.33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1,969,155,467.77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1,750,363,689.78</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4,224,616,751.91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3,424,095,703.68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506,679,330.68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567,025,913.80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4,293,047.58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36,279,069.18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22,396,727.46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178,137,250.40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131,560,783.91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15,592,437.97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15,305,449.37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58,523,290.59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49,781,747.29</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75,494,300.84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70,945,146.01</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32,644,780.71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25,736,158.45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108,034,456.07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95,935,080.00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1,011,384,916.44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982,980,053.87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268,687,211.09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192,948,000.00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418,300.00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319,500.00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1,126,984.12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269,105,511.09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194,394,484.12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1,280,490,427.53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1,177,374,537.99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859,275,466.00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807,885,334.00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1,317,085,260.26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800,302,155.78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-3,236,652.35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-1,983,142.91</w:t>
            </w:r>
            <w:r>
              <w:rPr>
                <w:rFonts w:ascii="Times New Roman"/>
                <w:sz w:val="18"/>
              </w:rPr>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72,600,033.72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72,600,033.72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646,202,481.56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513,136,506.47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2,891,926,589.19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2,191,940,887.06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52,199,735.19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54,780,278.63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2,944,126,324.38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2,246,721,165.69</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4,224,616,751.91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3,424,095,703.68</w:t>
            </w:r>
          </w:p>
        </w:tc>
      </w:tr>
    </w:tbl>
    <w:p>
      <w:pPr>
        <w:spacing w:line="240" w:lineRule="auto" w:before="3"/>
        <w:rPr>
          <w:rFonts w:ascii="Times New Roman" w:hAnsi="Times New Roman" w:cs="Times New Roman" w:eastAsia="Times New Roman" w:hint="default"/>
          <w:sz w:val="22"/>
          <w:szCs w:val="22"/>
        </w:rPr>
      </w:pPr>
    </w:p>
    <w:p>
      <w:pPr>
        <w:pStyle w:val="BodyText"/>
        <w:tabs>
          <w:tab w:pos="3745" w:val="left" w:leader="none"/>
          <w:tab w:pos="7890" w:val="left" w:leader="none"/>
        </w:tabs>
        <w:spacing w:line="240" w:lineRule="auto"/>
        <w:ind w:right="1086"/>
        <w:jc w:val="left"/>
      </w:pPr>
      <w:r>
        <w:rPr/>
        <w:t>法定代表人：章笠中</w:t>
        <w:tab/>
        <w:t>主管会计工作负责人：王凛</w:t>
        <w:tab/>
        <w:t>会计机构负责人：王凛</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66"/>
        <w:gridCol w:w="3305"/>
        <w:gridCol w:w="3304"/>
      </w:tblGrid>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06"/>
              <w:jc w:val="right"/>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2125" w:right="0"/>
              <w:jc w:val="left"/>
              <w:rPr>
                <w:rFonts w:ascii="Times New Roman" w:hAnsi="Times New Roman" w:cs="Times New Roman" w:eastAsia="Times New Roman" w:hint="default"/>
                <w:sz w:val="18"/>
                <w:szCs w:val="18"/>
              </w:rPr>
            </w:pPr>
            <w:r>
              <w:rPr>
                <w:rFonts w:ascii="Times New Roman"/>
                <w:sz w:val="18"/>
              </w:rPr>
              <w:t>376,117,706.45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132" w:right="0"/>
              <w:jc w:val="left"/>
              <w:rPr>
                <w:rFonts w:ascii="Times New Roman" w:hAnsi="Times New Roman" w:cs="Times New Roman" w:eastAsia="Times New Roman" w:hint="default"/>
                <w:sz w:val="18"/>
                <w:szCs w:val="18"/>
              </w:rPr>
            </w:pPr>
            <w:r>
              <w:rPr>
                <w:rFonts w:ascii="Times New Roman"/>
                <w:sz w:val="18"/>
              </w:rPr>
              <w:t>219,178,400.63</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22"/>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6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1,032,817.27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107,689,823.46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123,193,745.12</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206,469.48</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133,649,706.97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14,545,234.46</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159,205,711.14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75,640,386.82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11,996,959.87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31,890,464.72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221,640,021.89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1,681,556.79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1,010,506,399.26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467,162,605.81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91,211,900.00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164,740,512.35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160,888,222.35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1,846,556,136.01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1,862,788,880.88</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91,211,900.00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42,076,337.75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45,060,161.60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31,368,051.58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35,847,719.37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2,099,500.00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3,180,487.36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344,582.42</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2,779,929.25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3,440,090.07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4,888,753.06</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2,121,475.41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2,808,179.53</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2,186,794,490.53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2,206,618,328.46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3,197,300,889.79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2,673,780,934.27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192,401,095.12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290,705,913.80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96,112,686.81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22,396,727.46</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56,011,262.57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83,060,985.15</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17,127,803.94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9,848,279.64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8,893,202.02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8,203,222.31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1,367,341.07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749,409.64</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236,725,482.89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119,390,009.47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92,121,388.89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95,935,080.00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700,760,263.31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630,289,627.47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105,038,642.68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192,948,000.00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105,038,642.68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192,948,000.00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805,798,905.99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823,237,627.47</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859,275,466.00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807,885,334.00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1,322,541,812.68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807,814,903.09</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-879,412.58</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-96,534.78</w:t>
            </w:r>
            <w:r>
              <w:rPr>
                <w:rFonts w:ascii="Times New Roman"/>
                <w:sz w:val="18"/>
              </w:rPr>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72,600,033.72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72,600,033.72</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137,964,083.98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162,339,570.77</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2,391,501,983.80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1,850,543,306.80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3,197,300,889.79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2,673,780,934.27</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86"/>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1,573,993,606.47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1,294,633,555.55</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1,573,993,606.47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1,294,633,555.55</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9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1,399,087,689.99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1,129,939,226.48</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936,028,688.01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741,695,848.46</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98"/>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9,948,819.79</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11,680,417.19</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128,313,322.23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86,377,596.51</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152,597,375.93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144,970,049.16</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138,080,781.60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106,214,943.06</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34,118,702.43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39,000,372.10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29,365,044.38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24,016,378.44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2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3,066,406.13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2,171,568.06</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47,473,339.17</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40,792,055.81</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3,507,645.84</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-1,618,189.74</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-3,892,234.01</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-2,173,297.05</w:t>
            </w:r>
            <w:r>
              <w:rPr>
                <w:rFonts w:ascii="Times New Roman"/>
                <w:sz w:val="18"/>
              </w:rPr>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57"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60"/>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335,076.34</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-60,793,173.95</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-1,111,965.06</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-40,919,336.46</w:t>
            </w:r>
            <w:r>
              <w:rPr>
                <w:rFonts w:ascii="Times New Roman"/>
                <w:sz w:val="18"/>
              </w:rPr>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310,032.21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-20,364.76</w:t>
            </w:r>
            <w:r>
              <w:rPr>
                <w:rFonts w:ascii="Times New Roman"/>
                <w:sz w:val="18"/>
              </w:rPr>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164,626,871.03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162,928,493.92</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842,643.21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761,124.84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583,984.51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1,511,797.82</w:t>
            </w:r>
          </w:p>
        </w:tc>
      </w:tr>
      <w:tr>
        <w:trPr>
          <w:trHeight w:val="391"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2042" w:val="left" w:leader="none"/>
              </w:tabs>
              <w:spacing w:line="240" w:lineRule="auto" w:before="45"/>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164,885,529.73</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162,177,820.94</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18,644,141.02</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21,213,151.51</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146,241,388.71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140,964,669.43</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146,241,388.71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140,964,669.43</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3079"/>
        <w:gridCol w:w="3214"/>
        <w:gridCol w:w="3289"/>
      </w:tblGrid>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11"/>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147,607,911.10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143,472,605.91</w:t>
            </w: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-1,366,522.39</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-2,507,936.48</w:t>
            </w:r>
            <w:r>
              <w:rPr>
                <w:rFonts w:ascii="Times New Roman"/>
                <w:sz w:val="18"/>
              </w:rPr>
            </w:r>
          </w:p>
        </w:tc>
      </w:tr>
      <w:tr>
        <w:trPr>
          <w:trHeight w:val="39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-1,181,157.73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154,046.32</w:t>
            </w: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-1,253,509.44</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760,086.82</w:t>
            </w:r>
          </w:p>
        </w:tc>
      </w:tr>
      <w:tr>
        <w:trPr>
          <w:trHeight w:val="72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6"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6"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-1,253,509.44</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760,086.82</w:t>
            </w:r>
          </w:p>
        </w:tc>
      </w:tr>
      <w:tr>
        <w:trPr>
          <w:trHeight w:val="72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-782,877.80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-22,978.78</w:t>
            </w:r>
            <w:r>
              <w:rPr>
                <w:rFonts w:ascii="Times New Roman"/>
                <w:sz w:val="18"/>
              </w:rPr>
            </w: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1"/>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-470,631.64</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783,065.60</w:t>
            </w:r>
          </w:p>
        </w:tc>
      </w:tr>
      <w:tr>
        <w:trPr>
          <w:trHeight w:val="39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4" w:type="dxa"/>
            <w:tcBorders>
              <w:top w:val="single" w:sz="6" w:space="0" w:color="000000"/>
              <w:left w:val="single" w:sz="6" w:space="0" w:color="000000"/>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72,351.71</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-606,040.50</w:t>
            </w:r>
            <w:r>
              <w:rPr>
                <w:rFonts w:ascii="Times New Roman"/>
                <w:sz w:val="18"/>
              </w:rPr>
            </w:r>
          </w:p>
        </w:tc>
      </w:tr>
      <w:tr>
        <w:trPr>
          <w:trHeight w:val="406"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145,060,230.98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141,118,715.75</w:t>
            </w:r>
          </w:p>
        </w:tc>
      </w:tr>
      <w:tr>
        <w:trPr>
          <w:trHeight w:val="705" w:hRule="exact"/>
        </w:trPr>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146,354,401.66</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144,232,692.73</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-1,294,170.68</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-3,113,976.98</w:t>
            </w:r>
            <w:r>
              <w:rPr>
                <w:rFonts w:ascii="Times New Roman"/>
                <w:sz w:val="18"/>
              </w:rPr>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0.18</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0.18</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0.18</w:t>
            </w:r>
          </w:p>
        </w:tc>
      </w:tr>
    </w:tbl>
    <w:p>
      <w:pPr>
        <w:pStyle w:val="BodyText"/>
        <w:tabs>
          <w:tab w:pos="3745" w:val="left" w:leader="none"/>
          <w:tab w:pos="7890" w:val="left" w:leader="none"/>
        </w:tabs>
        <w:spacing w:line="612" w:lineRule="auto" w:before="45"/>
        <w:ind w:right="1218"/>
        <w:jc w:val="left"/>
      </w:pPr>
      <w:r>
        <w:rPr/>
        <w:t>本期发生同一控制下企业合并的，被合并方在合并前实现的净利润为：元，上期被合并方实现的净利润为：元。 法定代表人：章笠中</w:t>
        <w:tab/>
        <w:t>主管会计工作负责人：王凛</w:t>
        <w:tab/>
        <w:t>会计机构负责人：王凛</w:t>
      </w:r>
    </w:p>
    <w:p>
      <w:pPr>
        <w:pStyle w:val="Heading5"/>
        <w:spacing w:line="240" w:lineRule="auto" w:before="111"/>
        <w:ind w:right="1086"/>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375,125,104.48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356,548,202.90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298,352,031.79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281,858,794.21</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2,862,282.08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2,229,352.92</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33,402,009.34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32,476,647.55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23,815,046.03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22,551,758.45</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13,397,584.00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20,766,812.84</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22,627,526.65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21,103,283.87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73"/>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18,450,583.76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19,726,849.15</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72"/>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4,480,684.43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3,325,043.17</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1,784,536.71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5,847,982.00</w:t>
            </w: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23,476,023.48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34,440,274.82</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-3,720,274.00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-828,921.88</w:t>
            </w:r>
            <w:r>
              <w:rPr>
                <w:rFonts w:ascii="Times New Roman"/>
                <w:sz w:val="18"/>
              </w:rPr>
            </w:r>
          </w:p>
        </w:tc>
      </w:tr>
      <w:tr>
        <w:trPr>
          <w:trHeight w:val="103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以摊余成本计量的金融</w:t>
            </w:r>
          </w:p>
          <w:p>
            <w:pPr>
              <w:pStyle w:val="TableParagraph"/>
              <w:spacing w:line="273" w:lineRule="auto" w:before="95"/>
              <w:ind w:left="7" w:right="185"/>
              <w:jc w:val="left"/>
              <w:rPr>
                <w:rFonts w:ascii="宋体" w:hAnsi="宋体" w:cs="宋体" w:eastAsia="宋体" w:hint="default"/>
                <w:sz w:val="18"/>
                <w:szCs w:val="18"/>
              </w:rPr>
            </w:pP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7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-10,975,830.85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-9,689,168.68</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588.76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7,187.33</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-5,046,057.31</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6,167,828.53</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87,618.99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153,139.23</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729,302.31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1,327,851.39</w:t>
            </w: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73"/>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-5,687,740.63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4,993,116.37</w:t>
            </w:r>
          </w:p>
        </w:tc>
      </w:tr>
      <w:tr>
        <w:trPr>
          <w:trHeight w:val="39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687,131.93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-798,550.91</w:t>
            </w:r>
            <w:r>
              <w:rPr>
                <w:rFonts w:ascii="Times New Roman"/>
                <w:sz w:val="18"/>
              </w:rPr>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-6,374,872.56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5,791,667.28</w:t>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-6,374,872.56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5,791,667.28</w:t>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15" w:right="6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-782,877.80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-22,978.78</w:t>
            </w:r>
            <w:r>
              <w:rPr>
                <w:rFonts w:ascii="Times New Roman"/>
                <w:sz w:val="18"/>
              </w:rPr>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-782,877.80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-22,978.78</w:t>
            </w:r>
            <w:r>
              <w:rPr>
                <w:rFonts w:ascii="Times New Roman"/>
                <w:sz w:val="18"/>
              </w:rPr>
            </w:r>
          </w:p>
        </w:tc>
      </w:tr>
      <w:tr>
        <w:trPr>
          <w:trHeight w:val="7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-782,877.80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-22,978.78</w:t>
            </w:r>
            <w:r>
              <w:rPr>
                <w:rFonts w:ascii="Times New Roman"/>
                <w:sz w:val="18"/>
              </w:rPr>
            </w: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9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36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-7,157,750.36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5,768,688.50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86"/>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1,242,291,971.26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1,158,444,430.57</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62,459,648.92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68,129,828.79</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161,474,903.77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44,809,480.16</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1,466,226,523.95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1,271,383,739.52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749,433,426.84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677,000,217.22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348,217,107.13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281,514,786.58</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89,663,210.82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106,867,140.36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274,896,726.95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208,252,071.87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1,462,210,471.74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1,273,634,216.03</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4,016,052.21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-2,250,476.51</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10,385,769.00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6,184,347.55</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11,081,300.06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555,107.31</w:t>
            </w: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2,217,031.82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207,777.87</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146,356,958.05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94,364,780.26</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170,041,058.93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101,312,012.99</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4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243,257,882.91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76,496,344.93</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29,943,300.00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185,078,625.00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11,543,770.96</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387,178,433.62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90,000,000.00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660,379,616.53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363,118,740.89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-490,338,557.60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-261,806,727.90</w:t>
            </w:r>
            <w:r>
              <w:rPr>
                <w:rFonts w:ascii="Times New Roman"/>
                <w:sz w:val="18"/>
              </w:rPr>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567,182,047.56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3,375,000.00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3,375,000.00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724,103,710.00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713,069,639.40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600,000.00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1,292,385,757.56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717,044,639.40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701,040,470.00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362,800,000.00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6"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46,815,481.92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38,520,354.35</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1,821,734.87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1,426,964.21</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20,996,757.80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8,072,201.17</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768,852,709.72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409,392,555.52</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523,533,047.84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307,652,083.88</w:t>
            </w:r>
          </w:p>
        </w:tc>
      </w:tr>
      <w:tr>
        <w:trPr>
          <w:trHeight w:val="72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-365,351.63</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-1,193,656.32</w:t>
            </w:r>
            <w:r>
              <w:rPr>
                <w:rFonts w:ascii="Times New Roman"/>
                <w:sz w:val="18"/>
              </w:rPr>
            </w:r>
          </w:p>
        </w:tc>
      </w:tr>
      <w:tr>
        <w:trPr>
          <w:trHeight w:val="391"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36,845,190.82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42,401,223.15</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468,158,593.60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425,757,370.45</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505,003,784.42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468,158,593.60</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86"/>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416,400,686.14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397,073,431.87</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23,225,747.59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35,937,957.99</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123,538,492.91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71,317,203.57</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563,164,926.64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504,328,593.43</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364,537,928.17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263,072,495.62</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38,486,813.58</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39,330,443.52</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5,631,488.21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8,523,002.32</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244,806,643.84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66,076,157.14</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653,462,873.80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377,002,098.60</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-90,297,947.16</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127,326,494.83</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6,184,347.55</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36,774,751.65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35,269,196.70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2,041.43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21,250.41</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1,000,000.00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99,275,624.73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87,781,870.85</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137,052,417.81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129,256,665.51</w:t>
            </w:r>
          </w:p>
        </w:tc>
      </w:tr>
    </w:tbl>
    <w:p>
      <w:pPr>
        <w:spacing w:after="0" w:line="240" w:lineRule="auto"/>
        <w:jc w:val="right"/>
        <w:rPr>
          <w:rFonts w:ascii="Times New Roman" w:hAnsi="Times New Roman" w:cs="Times New Roman" w:eastAsia="Times New Roman" w:hint="default"/>
          <w:sz w:val="18"/>
          <w:szCs w:val="18"/>
        </w:rPr>
        <w:sectPr>
          <w:footerReference w:type="default" r:id="rId18"/>
          <w:pgSz w:w="11910" w:h="16850"/>
          <w:pgMar w:footer="981" w:header="866" w:top="1120" w:bottom="1180" w:left="1000" w:right="0"/>
        </w:sectPr>
      </w:pPr>
    </w:p>
    <w:p>
      <w:pPr>
        <w:spacing w:line="240" w:lineRule="auto" w:before="2"/>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4,134,529.21</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11,263,748.32</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2,693,300.00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164,899,900.00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7"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295,356,958.05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107,500,000.00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302,184,787.26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283,663,648.32</w:t>
            </w:r>
          </w:p>
        </w:tc>
      </w:tr>
      <w:tr>
        <w:trPr>
          <w:trHeight w:val="39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-165,132,369.45</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-154,406,982.81</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566,582,047.56</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100,798,800.00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436,749,639.40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70,000,000.00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15,000,000.00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737,380,847.56</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451,749,639.40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294,577,470.00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210,000,000.00</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34,814,294.15</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31,589,534.50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4,094,356.62</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18,165,745.61</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333,486,120.77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259,755,280.11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403,894,726.79</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191,994,359.29</w:t>
            </w:r>
          </w:p>
        </w:tc>
      </w:tr>
      <w:tr>
        <w:trPr>
          <w:trHeight w:val="721"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-4,518,472.54</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28,221.11</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143,945,937.64</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164,942,092.42</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206,521,850.63</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41,579,758.21</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350,467,788.27</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206,521,850.63</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1086"/>
        <w:jc w:val="left"/>
      </w:pPr>
      <w:r>
        <w:rPr/>
        <w:t>本期金额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54"/>
        <w:gridCol w:w="481"/>
        <w:gridCol w:w="465"/>
        <w:gridCol w:w="481"/>
        <w:gridCol w:w="466"/>
        <w:gridCol w:w="585"/>
        <w:gridCol w:w="586"/>
        <w:gridCol w:w="586"/>
        <w:gridCol w:w="571"/>
        <w:gridCol w:w="585"/>
        <w:gridCol w:w="586"/>
        <w:gridCol w:w="586"/>
        <w:gridCol w:w="586"/>
        <w:gridCol w:w="586"/>
        <w:gridCol w:w="586"/>
        <w:gridCol w:w="586"/>
      </w:tblGrid>
      <w:tr>
        <w:trPr>
          <w:trHeight w:val="390" w:hRule="exact"/>
        </w:trPr>
        <w:tc>
          <w:tcPr>
            <w:tcW w:w="1254" w:type="dxa"/>
            <w:vMerge w:val="restart"/>
            <w:tcBorders>
              <w:top w:val="single" w:sz="6" w:space="0" w:color="000000"/>
              <w:left w:val="single" w:sz="6" w:space="0" w:color="000000"/>
              <w:right w:val="single" w:sz="6" w:space="0" w:color="000000"/>
            </w:tcBorders>
            <w:shd w:val="clear" w:color="auto" w:fill="D2D2D2"/>
          </w:tcPr>
          <w:p>
            <w:pPr/>
          </w:p>
        </w:tc>
        <w:tc>
          <w:tcPr>
            <w:tcW w:w="8320"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98" w:hRule="exact"/>
        </w:trPr>
        <w:tc>
          <w:tcPr>
            <w:tcW w:w="1254" w:type="dxa"/>
            <w:vMerge/>
            <w:tcBorders>
              <w:left w:val="single" w:sz="6" w:space="0" w:color="000000"/>
              <w:right w:val="single" w:sz="6" w:space="0" w:color="000000"/>
            </w:tcBorders>
            <w:shd w:val="clear" w:color="auto" w:fill="D2D2D2"/>
          </w:tcPr>
          <w:p>
            <w:pPr/>
          </w:p>
        </w:tc>
        <w:tc>
          <w:tcPr>
            <w:tcW w:w="7149"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7"/>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65" w:hRule="exact"/>
        </w:trPr>
        <w:tc>
          <w:tcPr>
            <w:tcW w:w="1254" w:type="dxa"/>
            <w:vMerge/>
            <w:tcBorders>
              <w:left w:val="single" w:sz="6" w:space="0" w:color="000000"/>
              <w:right w:val="single" w:sz="6" w:space="0" w:color="000000"/>
            </w:tcBorders>
            <w:shd w:val="clear" w:color="auto" w:fill="D2D2D2"/>
          </w:tcPr>
          <w:p>
            <w:pPr/>
          </w:p>
        </w:tc>
        <w:tc>
          <w:tcPr>
            <w:tcW w:w="7149" w:type="dxa"/>
            <w:gridSpan w:val="13"/>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43"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7149"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03" w:hRule="exact"/>
        </w:trPr>
        <w:tc>
          <w:tcPr>
            <w:tcW w:w="125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90"/>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73"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54" w:type="dxa"/>
            <w:vMerge w:val="restart"/>
            <w:tcBorders>
              <w:top w:val="nil" w:sz="6" w:space="0" w:color="auto"/>
              <w:left w:val="single" w:sz="6" w:space="0" w:color="000000"/>
              <w:right w:val="single" w:sz="6" w:space="0" w:color="000000"/>
            </w:tcBorders>
            <w:shd w:val="clear" w:color="auto" w:fill="D2D2D2"/>
          </w:tcPr>
          <w:p>
            <w:pPr/>
          </w:p>
        </w:tc>
        <w:tc>
          <w:tcPr>
            <w:tcW w:w="4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74"/>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74"/>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28" w:hRule="exact"/>
        </w:trPr>
        <w:tc>
          <w:tcPr>
            <w:tcW w:w="1254"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31" w:hRule="exact"/>
        </w:trPr>
        <w:tc>
          <w:tcPr>
            <w:tcW w:w="1254"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54"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7" w:hRule="exact"/>
        </w:trPr>
        <w:tc>
          <w:tcPr>
            <w:tcW w:w="1254" w:type="dxa"/>
            <w:tcBorders>
              <w:top w:val="single" w:sz="6" w:space="0" w:color="000000"/>
              <w:left w:val="single" w:sz="6" w:space="0" w:color="000000"/>
              <w:bottom w:val="nil" w:sz="6" w:space="0" w:color="auto"/>
              <w:right w:val="single" w:sz="6" w:space="0" w:color="000000"/>
            </w:tcBorders>
            <w:shd w:val="clear" w:color="auto" w:fill="D2D2D2"/>
          </w:tcPr>
          <w:p>
            <w:pPr/>
          </w:p>
        </w:tc>
        <w:tc>
          <w:tcPr>
            <w:tcW w:w="481" w:type="dxa"/>
            <w:vMerge w:val="restart"/>
            <w:tcBorders>
              <w:top w:val="single" w:sz="6" w:space="0" w:color="000000"/>
              <w:left w:val="single" w:sz="18" w:space="0" w:color="D2D2D2"/>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807,8</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85,33</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4.00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800,30</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2,155.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78</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142.91</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72,600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,033.7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2</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65"/>
              <w:ind w:left="60" w:right="0"/>
              <w:jc w:val="left"/>
              <w:rPr>
                <w:rFonts w:ascii="Times New Roman" w:hAnsi="Times New Roman" w:cs="Times New Roman" w:eastAsia="Times New Roman" w:hint="default"/>
                <w:sz w:val="18"/>
                <w:szCs w:val="18"/>
              </w:rPr>
            </w:pPr>
            <w:r>
              <w:rPr>
                <w:rFonts w:ascii="Times New Roman"/>
                <w:sz w:val="18"/>
              </w:rPr>
              <w:t>513,13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6,506.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47</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2,191,</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940,88</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7.06</w:t>
            </w: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54,780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,278.6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42"/>
              <w:ind w:left="60" w:right="0"/>
              <w:jc w:val="center"/>
              <w:rPr>
                <w:rFonts w:ascii="Times New Roman" w:hAnsi="Times New Roman" w:cs="Times New Roman" w:eastAsia="Times New Roman" w:hint="default"/>
                <w:sz w:val="18"/>
                <w:szCs w:val="18"/>
              </w:rPr>
            </w:pPr>
            <w:r>
              <w:rPr>
                <w:rFonts w:ascii="Times New Roman"/>
                <w:sz w:val="18"/>
              </w:rPr>
              <w:t>2,246,</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721,16</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5.69</w:t>
            </w:r>
          </w:p>
        </w:tc>
      </w:tr>
      <w:tr>
        <w:trPr>
          <w:trHeight w:val="706" w:hRule="exact"/>
        </w:trPr>
        <w:tc>
          <w:tcPr>
            <w:tcW w:w="12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4" w:lineRule="auto" w:before="45"/>
              <w:ind w:left="7" w:right="2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vMerge/>
            <w:tcBorders>
              <w:left w:val="single" w:sz="18"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58" w:hRule="exact"/>
        </w:trPr>
        <w:tc>
          <w:tcPr>
            <w:tcW w:w="1254" w:type="dxa"/>
            <w:tcBorders>
              <w:top w:val="nil" w:sz="6" w:space="0" w:color="auto"/>
              <w:left w:val="single" w:sz="6" w:space="0" w:color="000000"/>
              <w:bottom w:val="single" w:sz="6" w:space="0" w:color="000000"/>
              <w:right w:val="single" w:sz="6" w:space="0" w:color="000000"/>
            </w:tcBorders>
            <w:shd w:val="clear" w:color="auto" w:fill="D2D2D2"/>
          </w:tcPr>
          <w:p>
            <w:pPr/>
          </w:p>
        </w:tc>
        <w:tc>
          <w:tcPr>
            <w:tcW w:w="481" w:type="dxa"/>
            <w:vMerge/>
            <w:tcBorders>
              <w:left w:val="single" w:sz="18"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bl>
    <w:p>
      <w:pPr>
        <w:spacing w:after="0"/>
        <w:sectPr>
          <w:footerReference w:type="default" r:id="rId19"/>
          <w:pgSz w:w="11910" w:h="16850"/>
          <w:pgMar w:footer="981" w:header="866" w:top="1120" w:bottom="1180" w:left="1000" w:right="0"/>
          <w:pgNumType w:start="101"/>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8"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48"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807,8</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85,33</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4.00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800,30</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2,155.</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78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142.91</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72,600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,033.7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513,13</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6,506.</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47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center"/>
              <w:rPr>
                <w:rFonts w:ascii="Times New Roman" w:hAnsi="Times New Roman" w:cs="Times New Roman" w:eastAsia="Times New Roman" w:hint="default"/>
                <w:sz w:val="18"/>
                <w:szCs w:val="18"/>
              </w:rPr>
            </w:pPr>
            <w:r>
              <w:rPr>
                <w:rFonts w:ascii="Times New Roman"/>
                <w:sz w:val="18"/>
              </w:rPr>
              <w:t>2,191,</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940,88</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7.06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54,780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,278.6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center"/>
              <w:rPr>
                <w:rFonts w:ascii="Times New Roman" w:hAnsi="Times New Roman" w:cs="Times New Roman" w:eastAsia="Times New Roman" w:hint="default"/>
                <w:sz w:val="18"/>
                <w:szCs w:val="18"/>
              </w:rPr>
            </w:pPr>
            <w:r>
              <w:rPr>
                <w:rFonts w:ascii="Times New Roman"/>
                <w:sz w:val="18"/>
              </w:rPr>
              <w:t>2,246,</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721,16</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5.69</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30"/>
              <w:ind w:left="15"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51,39</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0,132</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516,78</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3,104.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-1,253,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509.44</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133,06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5,975.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699,98</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5,702.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13</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-2,580,</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543.44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697,40</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5,158.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69</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-1,253,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509.44</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147,60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7,911.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146,35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4,401.</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66</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-1,294,</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170.68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145,06</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0,230.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98</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51,39</w:t>
            </w:r>
          </w:p>
          <w:p>
            <w:pPr>
              <w:pStyle w:val="TableParagraph"/>
              <w:spacing w:line="240" w:lineRule="auto" w:before="108"/>
              <w:ind w:left="29" w:right="0"/>
              <w:jc w:val="center"/>
              <w:rPr>
                <w:rFonts w:ascii="Times New Roman" w:hAnsi="Times New Roman" w:cs="Times New Roman" w:eastAsia="Times New Roman" w:hint="default"/>
                <w:sz w:val="18"/>
                <w:szCs w:val="18"/>
              </w:rPr>
            </w:pPr>
            <w:r>
              <w:rPr>
                <w:rFonts w:ascii="Times New Roman"/>
                <w:sz w:val="18"/>
              </w:rPr>
              <w:t>0,132</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516,78</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3,104.</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568,17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3,236.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48</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7,237,</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877.51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575,41</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1,113.</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99</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88" w:lineRule="auto"/>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51,39</w:t>
            </w:r>
          </w:p>
          <w:p>
            <w:pPr>
              <w:pStyle w:val="TableParagraph"/>
              <w:spacing w:line="240" w:lineRule="auto" w:before="93"/>
              <w:ind w:left="29" w:right="0"/>
              <w:jc w:val="center"/>
              <w:rPr>
                <w:rFonts w:ascii="Times New Roman" w:hAnsi="Times New Roman" w:cs="Times New Roman" w:eastAsia="Times New Roman" w:hint="default"/>
                <w:sz w:val="18"/>
                <w:szCs w:val="18"/>
              </w:rPr>
            </w:pPr>
            <w:r>
              <w:rPr>
                <w:rFonts w:ascii="Times New Roman"/>
                <w:sz w:val="18"/>
              </w:rPr>
              <w:t>0,132</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left"/>
              <w:rPr>
                <w:rFonts w:ascii="Times New Roman" w:hAnsi="Times New Roman" w:cs="Times New Roman" w:eastAsia="Times New Roman" w:hint="default"/>
                <w:sz w:val="18"/>
                <w:szCs w:val="18"/>
              </w:rPr>
            </w:pPr>
            <w:r>
              <w:rPr>
                <w:rFonts w:ascii="Times New Roman"/>
                <w:sz w:val="18"/>
              </w:rPr>
              <w:t>514,01</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2,670.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565,40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2,802.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27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8"/>
              <w:ind w:left="224" w:right="0"/>
              <w:jc w:val="center"/>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566,00</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2,802.</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27</w:t>
            </w:r>
          </w:p>
        </w:tc>
      </w:tr>
      <w:tr>
        <w:trPr>
          <w:trHeight w:val="103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3,396,</w:t>
            </w:r>
          </w:p>
          <w:p>
            <w:pPr>
              <w:pStyle w:val="TableParagraph"/>
              <w:spacing w:line="240" w:lineRule="auto" w:before="93"/>
              <w:ind w:left="44" w:right="0"/>
              <w:jc w:val="left"/>
              <w:rPr>
                <w:rFonts w:ascii="Times New Roman" w:hAnsi="Times New Roman" w:cs="Times New Roman" w:eastAsia="Times New Roman" w:hint="default"/>
                <w:sz w:val="18"/>
                <w:szCs w:val="18"/>
              </w:rPr>
            </w:pPr>
            <w:r>
              <w:rPr>
                <w:rFonts w:ascii="Times New Roman"/>
                <w:sz w:val="18"/>
              </w:rPr>
              <w:t>267.65</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3,396,</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267.65</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1,018,</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996.50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4,415,</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264.15</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left"/>
              <w:rPr>
                <w:rFonts w:ascii="Times New Roman" w:hAnsi="Times New Roman" w:cs="Times New Roman" w:eastAsia="Times New Roman" w:hint="default"/>
                <w:sz w:val="18"/>
                <w:szCs w:val="18"/>
              </w:rPr>
            </w:pPr>
            <w:r>
              <w:rPr>
                <w:rFonts w:ascii="Times New Roman"/>
                <w:sz w:val="18"/>
              </w:rPr>
              <w:t>-625,8</w:t>
            </w:r>
          </w:p>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33.44</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-625,8</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33.44</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5,618,</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881.01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4,993,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047.57</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-1,821,</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734.87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-16,36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3,670.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88</w:t>
            </w: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1,936.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0" w:right="0"/>
              <w:jc w:val="left"/>
              <w:rPr>
                <w:rFonts w:ascii="Times New Roman" w:hAnsi="Times New Roman" w:cs="Times New Roman" w:eastAsia="Times New Roman" w:hint="default"/>
                <w:sz w:val="18"/>
                <w:szCs w:val="18"/>
              </w:rPr>
            </w:pPr>
            <w:r>
              <w:rPr>
                <w:rFonts w:ascii="Times New Roman"/>
                <w:sz w:val="18"/>
              </w:rPr>
              <w:t>14,541</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,936.0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-1,821,</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734.87</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-16,36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3,670.</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36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75" w:right="0"/>
              <w:jc w:val="left"/>
              <w:rPr>
                <w:rFonts w:ascii="Times New Roman" w:hAnsi="Times New Roman" w:cs="Times New Roman" w:eastAsia="Times New Roman" w:hint="default"/>
                <w:sz w:val="18"/>
                <w:szCs w:val="18"/>
              </w:rPr>
            </w:pPr>
            <w:r>
              <w:rPr>
                <w:rFonts w:ascii="Times New Roman"/>
                <w:sz w:val="18"/>
              </w:rPr>
              <w:t>01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1</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360" w:right="0"/>
              <w:jc w:val="left"/>
              <w:rPr>
                <w:rFonts w:ascii="Times New Roman" w:hAnsi="Times New Roman" w:cs="Times New Roman" w:eastAsia="Times New Roman" w:hint="default"/>
                <w:sz w:val="18"/>
                <w:szCs w:val="18"/>
              </w:rPr>
            </w:pPr>
            <w:r>
              <w:rPr>
                <w:rFonts w:ascii="Times New Roman"/>
                <w:sz w:val="18"/>
              </w:rPr>
              <w:t>88</w:t>
            </w: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-6,702,</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515.40</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-6,702,</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515.40</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859,2</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75,46</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6.00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1,317,</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085,26</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0.26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-3,236,</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652.35</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72,600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,033.7</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646,20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2,481.</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56</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center"/>
              <w:rPr>
                <w:rFonts w:ascii="Times New Roman" w:hAnsi="Times New Roman" w:cs="Times New Roman" w:eastAsia="Times New Roman" w:hint="default"/>
                <w:sz w:val="18"/>
                <w:szCs w:val="18"/>
              </w:rPr>
            </w:pPr>
            <w:r>
              <w:rPr>
                <w:rFonts w:ascii="Times New Roman"/>
                <w:sz w:val="18"/>
              </w:rPr>
              <w:t>2,891,</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926,58</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9.19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52,199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,735.1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center"/>
              <w:rPr>
                <w:rFonts w:ascii="Times New Roman" w:hAnsi="Times New Roman" w:cs="Times New Roman" w:eastAsia="Times New Roman" w:hint="default"/>
                <w:sz w:val="18"/>
                <w:szCs w:val="18"/>
              </w:rPr>
            </w:pPr>
            <w:r>
              <w:rPr>
                <w:rFonts w:ascii="Times New Roman"/>
                <w:sz w:val="18"/>
              </w:rPr>
              <w:t>2,944,</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126,32</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4.38</w:t>
            </w:r>
          </w:p>
        </w:tc>
      </w:tr>
    </w:tbl>
    <w:p>
      <w:pPr>
        <w:pStyle w:val="BodyText"/>
        <w:spacing w:line="240" w:lineRule="auto"/>
        <w:ind w:right="1086"/>
        <w:jc w:val="left"/>
      </w:pPr>
      <w:r>
        <w:rPr/>
        <w:t>上期金额</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405" w:hRule="exact"/>
        </w:trPr>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365"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8" w:hRule="exact"/>
        </w:trPr>
        <w:tc>
          <w:tcPr>
            <w:tcW w:w="1217" w:type="dxa"/>
            <w:vMerge/>
            <w:tcBorders>
              <w:left w:val="single" w:sz="6" w:space="0" w:color="000000"/>
              <w:right w:val="single" w:sz="6" w:space="0" w:color="000000"/>
            </w:tcBorders>
            <w:shd w:val="clear" w:color="auto" w:fill="D2D2D2"/>
          </w:tcPr>
          <w:p>
            <w:pPr/>
          </w:p>
        </w:tc>
        <w:tc>
          <w:tcPr>
            <w:tcW w:w="7074"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32"/>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17" w:type="dxa"/>
            <w:vMerge/>
            <w:tcBorders>
              <w:left w:val="single" w:sz="6" w:space="0" w:color="000000"/>
              <w:right w:val="single" w:sz="6" w:space="0" w:color="000000"/>
            </w:tcBorders>
            <w:shd w:val="clear" w:color="auto" w:fill="D2D2D2"/>
          </w:tcPr>
          <w:p>
            <w:pPr/>
          </w:p>
        </w:tc>
        <w:tc>
          <w:tcPr>
            <w:tcW w:w="7074"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4"/>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1"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8"/>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3"/>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3"/>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3"/>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76" w:hRule="exact"/>
        </w:trPr>
        <w:tc>
          <w:tcPr>
            <w:tcW w:w="1217"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8"/>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56"/>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8"/>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8"/>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69" w:hRule="exact"/>
        </w:trPr>
        <w:tc>
          <w:tcPr>
            <w:tcW w:w="1217"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54" w:hRule="exact"/>
        </w:trPr>
        <w:tc>
          <w:tcPr>
            <w:tcW w:w="1217"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14" w:hRule="exact"/>
        </w:trPr>
        <w:tc>
          <w:tcPr>
            <w:tcW w:w="1217"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r>
              <w:rPr>
                <w:rFonts w:ascii="Times New Roman"/>
                <w:sz w:val="18"/>
              </w:rPr>
              <w:t>807,8</w:t>
            </w:r>
          </w:p>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85,33</w:t>
            </w:r>
          </w:p>
          <w:p>
            <w:pPr>
              <w:pStyle w:val="TableParagraph"/>
              <w:spacing w:line="240" w:lineRule="auto" w:before="108"/>
              <w:ind w:left="127"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800,16</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9,321.</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78</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-2,743,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229.73</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72,020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,866.9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384,78</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5,003.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2,062,</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117,29</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6.34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49,965,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613.98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2,112,0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82,910.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32</w:t>
            </w: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加：会计</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36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政策变更</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3"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807,8</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85,33</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800,16</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9,321.</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78</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-2,743,</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229.73</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72,020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,866.9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384,78</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5,003.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30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2,062,</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117,29</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6.34</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49,965,</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613.98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2,112,0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82,910.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32</w:t>
            </w:r>
          </w:p>
        </w:tc>
      </w:tr>
      <w:tr>
        <w:trPr>
          <w:trHeight w:val="135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4"/>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19" w:lineRule="exact"/>
              <w:ind w:left="15" w:right="0"/>
              <w:jc w:val="both"/>
              <w:rPr>
                <w:rFonts w:ascii="宋体" w:hAnsi="宋体" w:cs="宋体" w:eastAsia="宋体" w:hint="default"/>
                <w:sz w:val="18"/>
                <w:szCs w:val="18"/>
              </w:rPr>
            </w:pPr>
            <w:r>
              <w:rPr>
                <w:rFonts w:ascii="宋体" w:hAnsi="宋体" w:cs="宋体" w:eastAsia="宋体" w:hint="default"/>
                <w:sz w:val="18"/>
                <w:szCs w:val="18"/>
              </w:rPr>
              <w:t>列）</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132,83</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4.00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760,08</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6.82</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579,16</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6.73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128,35</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1,503.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129,82</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3,590.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72</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4,814,6</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64.65</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134,638</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,255.37</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760,08</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6.82</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143,47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2,605.</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91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144,23</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2,692.</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73</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-3,113,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976.98</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141,118</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,715.75</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-7,791,</w:t>
            </w:r>
          </w:p>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345.16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-7,791,</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345.16</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11,166,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345.16</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3,375,0</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00.00</w:t>
            </w: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3,375,0</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00.00</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3,375,0</w:t>
            </w:r>
          </w:p>
          <w:p>
            <w:pPr>
              <w:pStyle w:val="TableParagraph"/>
              <w:spacing w:line="240" w:lineRule="auto" w:before="93"/>
              <w:ind w:left="210" w:right="0"/>
              <w:jc w:val="center"/>
              <w:rPr>
                <w:rFonts w:ascii="Times New Roman" w:hAnsi="Times New Roman" w:cs="Times New Roman" w:eastAsia="Times New Roman" w:hint="default"/>
                <w:sz w:val="18"/>
                <w:szCs w:val="18"/>
              </w:rPr>
            </w:pPr>
            <w:r>
              <w:rPr>
                <w:rFonts w:ascii="Times New Roman"/>
                <w:sz w:val="18"/>
              </w:rPr>
              <w:t>00.00</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left"/>
              <w:rPr>
                <w:rFonts w:ascii="Times New Roman" w:hAnsi="Times New Roman" w:cs="Times New Roman" w:eastAsia="Times New Roman" w:hint="default"/>
                <w:sz w:val="18"/>
                <w:szCs w:val="18"/>
              </w:rPr>
            </w:pPr>
            <w:r>
              <w:rPr>
                <w:rFonts w:ascii="Times New Roman"/>
                <w:sz w:val="18"/>
              </w:rPr>
              <w:t>-7,791,</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345.16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-7,791,</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345.16</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7,791,3</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45.16</w:t>
            </w: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579,16</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6.73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1,102.</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74</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-1,426,</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964.21</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-15,968</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,900.22</w:t>
            </w: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579,16</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6.73</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-579,1</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66.73</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0.00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36"/>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01</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-14,54</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1,936.</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01</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-1,426,</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964.21</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-15,968</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,900.22</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4" w:right="0"/>
              <w:jc w:val="left"/>
              <w:rPr>
                <w:rFonts w:ascii="Times New Roman" w:hAnsi="Times New Roman" w:cs="Times New Roman" w:eastAsia="Times New Roman" w:hint="default"/>
                <w:sz w:val="18"/>
                <w:szCs w:val="18"/>
              </w:rPr>
            </w:pPr>
            <w:r>
              <w:rPr>
                <w:rFonts w:ascii="Times New Roman"/>
                <w:sz w:val="18"/>
              </w:rPr>
              <w:t>7,924,</w:t>
            </w:r>
          </w:p>
          <w:p>
            <w:pPr>
              <w:pStyle w:val="TableParagraph"/>
              <w:spacing w:line="240" w:lineRule="auto" w:before="108"/>
              <w:ind w:left="59" w:right="0"/>
              <w:jc w:val="left"/>
              <w:rPr>
                <w:rFonts w:ascii="Times New Roman" w:hAnsi="Times New Roman" w:cs="Times New Roman" w:eastAsia="Times New Roman" w:hint="default"/>
                <w:sz w:val="18"/>
                <w:szCs w:val="18"/>
              </w:rPr>
            </w:pPr>
            <w:r>
              <w:rPr>
                <w:rFonts w:ascii="Times New Roman"/>
                <w:sz w:val="18"/>
              </w:rPr>
              <w:t>179.16</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7,924,</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179.16</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-1,810,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739.32</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center"/>
              <w:rPr>
                <w:rFonts w:ascii="Times New Roman" w:hAnsi="Times New Roman" w:cs="Times New Roman" w:eastAsia="Times New Roman" w:hint="default"/>
                <w:sz w:val="18"/>
                <w:szCs w:val="18"/>
              </w:rPr>
            </w:pPr>
            <w:r>
              <w:rPr>
                <w:rFonts w:ascii="Times New Roman"/>
                <w:sz w:val="18"/>
              </w:rPr>
              <w:t>6,113,4</w:t>
            </w:r>
          </w:p>
          <w:p>
            <w:pPr>
              <w:pStyle w:val="TableParagraph"/>
              <w:spacing w:line="240" w:lineRule="auto" w:before="108"/>
              <w:ind w:left="210" w:right="0"/>
              <w:jc w:val="center"/>
              <w:rPr>
                <w:rFonts w:ascii="Times New Roman" w:hAnsi="Times New Roman" w:cs="Times New Roman" w:eastAsia="Times New Roman" w:hint="default"/>
                <w:sz w:val="18"/>
                <w:szCs w:val="18"/>
              </w:rPr>
            </w:pPr>
            <w:r>
              <w:rPr>
                <w:rFonts w:ascii="Times New Roman"/>
                <w:sz w:val="18"/>
              </w:rPr>
              <w:t>39.84</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807,8</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85,33</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4.00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800,30</w:t>
            </w:r>
          </w:p>
          <w:p>
            <w:pPr>
              <w:pStyle w:val="TableParagraph"/>
              <w:spacing w:line="240" w:lineRule="auto" w:before="93"/>
              <w:ind w:right="0"/>
              <w:jc w:val="right"/>
              <w:rPr>
                <w:rFonts w:ascii="Times New Roman" w:hAnsi="Times New Roman" w:cs="Times New Roman" w:eastAsia="Times New Roman" w:hint="default"/>
                <w:sz w:val="18"/>
                <w:szCs w:val="18"/>
              </w:rPr>
            </w:pPr>
            <w:r>
              <w:rPr>
                <w:rFonts w:ascii="Times New Roman"/>
                <w:sz w:val="18"/>
              </w:rPr>
              <w:t>2,155.</w:t>
            </w:r>
          </w:p>
          <w:p>
            <w:pPr>
              <w:pStyle w:val="TableParagraph"/>
              <w:spacing w:line="240" w:lineRule="auto" w:before="108"/>
              <w:ind w:right="-1"/>
              <w:jc w:val="right"/>
              <w:rPr>
                <w:rFonts w:ascii="Times New Roman" w:hAnsi="Times New Roman" w:cs="Times New Roman" w:eastAsia="Times New Roman" w:hint="default"/>
                <w:sz w:val="18"/>
                <w:szCs w:val="18"/>
              </w:rPr>
            </w:pPr>
            <w:r>
              <w:rPr>
                <w:rFonts w:ascii="Times New Roman"/>
                <w:sz w:val="18"/>
              </w:rPr>
              <w:t>78</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-1,983,</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142.91</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72,600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,033.7</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513,13</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6,506.</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47</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2,191,</w:t>
            </w:r>
          </w:p>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940,88</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7.06</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54,780,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278.63</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2,246,7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21,165.</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69</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86"/>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本期金额</w:t>
      </w:r>
    </w:p>
    <w:p>
      <w:pPr>
        <w:pStyle w:val="BodyText"/>
        <w:spacing w:line="240" w:lineRule="auto" w:before="125"/>
        <w:ind w:left="0" w:right="1110"/>
        <w:jc w:val="right"/>
      </w:pPr>
      <w:r>
        <w:rPr/>
        <w:pict>
          <v:group style="position:absolute;margin-left:354.450012pt;margin-top:46.786716pt;width:.1pt;height:34.550pt;mso-position-horizontal-relative:page;mso-position-vertical-relative:paragraph;z-index:-1276528" coordorigin="7089,936" coordsize="2,691">
            <v:shape style="position:absolute;left:7089;top:936;width:2;height:691" coordorigin="7089,936" coordsize="0,691" path="m7089,936l7089,1626e" filled="false" stroked="true" strokeweight="1.5pt" strokecolor="#d2d2d2">
              <v:path arrowok="t"/>
            </v:shape>
            <w10:wrap type="none"/>
          </v:group>
        </w:pict>
      </w: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99"/>
        <w:gridCol w:w="638"/>
        <w:gridCol w:w="601"/>
        <w:gridCol w:w="601"/>
        <w:gridCol w:w="615"/>
        <w:gridCol w:w="721"/>
        <w:gridCol w:w="736"/>
        <w:gridCol w:w="721"/>
        <w:gridCol w:w="736"/>
        <w:gridCol w:w="721"/>
        <w:gridCol w:w="616"/>
        <w:gridCol w:w="706"/>
        <w:gridCol w:w="871"/>
      </w:tblGrid>
      <w:tr>
        <w:trPr>
          <w:trHeight w:val="406" w:hRule="exact"/>
        </w:trPr>
        <w:tc>
          <w:tcPr>
            <w:tcW w:w="12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8283"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02" w:hRule="exact"/>
        </w:trPr>
        <w:tc>
          <w:tcPr>
            <w:tcW w:w="1299" w:type="dxa"/>
            <w:vMerge/>
            <w:tcBorders>
              <w:left w:val="single" w:sz="6" w:space="0" w:color="000000"/>
              <w:right w:val="single" w:sz="6" w:space="0" w:color="000000"/>
            </w:tcBorders>
            <w:shd w:val="clear" w:color="auto" w:fill="D2D2D2"/>
          </w:tcPr>
          <w:p>
            <w:pPr/>
          </w:p>
        </w:tc>
        <w:tc>
          <w:tcPr>
            <w:tcW w:w="6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203" w:hRule="exact"/>
        </w:trPr>
        <w:tc>
          <w:tcPr>
            <w:tcW w:w="1299" w:type="dxa"/>
            <w:vMerge/>
            <w:tcBorders>
              <w:left w:val="single" w:sz="6" w:space="0" w:color="000000"/>
              <w:right w:val="single" w:sz="6" w:space="0" w:color="000000"/>
            </w:tcBorders>
            <w:shd w:val="clear" w:color="auto" w:fill="D2D2D2"/>
          </w:tcPr>
          <w:p>
            <w:pPr/>
          </w:p>
        </w:tc>
        <w:tc>
          <w:tcPr>
            <w:tcW w:w="63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188" w:hRule="exact"/>
        </w:trPr>
        <w:tc>
          <w:tcPr>
            <w:tcW w:w="1299" w:type="dxa"/>
            <w:vMerge/>
            <w:tcBorders>
              <w:left w:val="single" w:sz="6" w:space="0" w:color="000000"/>
              <w:right w:val="single" w:sz="6" w:space="0" w:color="000000"/>
            </w:tcBorders>
            <w:shd w:val="clear" w:color="auto" w:fill="D2D2D2"/>
          </w:tcPr>
          <w:p>
            <w:pPr/>
          </w:p>
        </w:tc>
        <w:tc>
          <w:tcPr>
            <w:tcW w:w="638"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9" w:type="dxa"/>
            <w:vMerge/>
            <w:tcBorders>
              <w:left w:val="single" w:sz="6" w:space="0" w:color="000000"/>
              <w:bottom w:val="single" w:sz="6" w:space="0" w:color="000000"/>
              <w:right w:val="single" w:sz="6" w:space="0" w:color="000000"/>
            </w:tcBorders>
            <w:shd w:val="clear" w:color="auto" w:fill="D2D2D2"/>
          </w:tcPr>
          <w:p>
            <w:pPr/>
          </w:p>
        </w:tc>
        <w:tc>
          <w:tcPr>
            <w:tcW w:w="638"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07" w:lineRule="auto"/>
              <w:ind w:left="15" w:right="21"/>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807,88</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5,334.0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807,814,</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903.09</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-96,534.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78</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72,600,0</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33.72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162,33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9,570.7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1,850,543,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306.80</w:t>
            </w:r>
          </w:p>
        </w:tc>
      </w:tr>
      <w:tr>
        <w:trPr>
          <w:trHeight w:val="390" w:hRule="exact"/>
        </w:trPr>
        <w:tc>
          <w:tcPr>
            <w:tcW w:w="12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pacing w:val="-3"/>
                <w:sz w:val="18"/>
                <w:szCs w:val="18"/>
              </w:rPr>
              <w:t>加：会计政</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36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807,88</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5,334.0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807,814,</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903.09</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-96,534.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78</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72,600,0</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33.72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162,33</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9,570.7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1,850,543,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306.80</w:t>
            </w: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51,390,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132.00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514,726,</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909.59</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-782,877</w:t>
            </w:r>
          </w:p>
          <w:p>
            <w:pPr>
              <w:pStyle w:val="TableParagraph"/>
              <w:spacing w:line="240" w:lineRule="auto" w:before="93"/>
              <w:ind w:left="465" w:right="0"/>
              <w:jc w:val="left"/>
              <w:rPr>
                <w:rFonts w:ascii="Times New Roman" w:hAnsi="Times New Roman" w:cs="Times New Roman" w:eastAsia="Times New Roman" w:hint="default"/>
                <w:sz w:val="18"/>
                <w:szCs w:val="18"/>
              </w:rPr>
            </w:pPr>
            <w:r>
              <w:rPr>
                <w:rFonts w:ascii="Times New Roman"/>
                <w:sz w:val="18"/>
              </w:rPr>
              <w:t>.80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-24,375</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,486.79</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540,958,6</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77.00</w:t>
            </w: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-782,877</w:t>
            </w:r>
          </w:p>
          <w:p>
            <w:pPr>
              <w:pStyle w:val="TableParagraph"/>
              <w:spacing w:line="240" w:lineRule="auto" w:before="93"/>
              <w:ind w:left="465" w:right="0"/>
              <w:jc w:val="left"/>
              <w:rPr>
                <w:rFonts w:ascii="Times New Roman" w:hAnsi="Times New Roman" w:cs="Times New Roman" w:eastAsia="Times New Roman" w:hint="default"/>
                <w:sz w:val="18"/>
                <w:szCs w:val="18"/>
              </w:rPr>
            </w:pPr>
            <w:r>
              <w:rPr>
                <w:rFonts w:ascii="Times New Roman"/>
                <w:sz w:val="18"/>
              </w:rPr>
              <w:t>.80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-6,374,</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872.56</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-7,157,750</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.36</w:t>
            </w: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51,390,</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132.00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4" w:right="0"/>
              <w:jc w:val="center"/>
              <w:rPr>
                <w:rFonts w:ascii="Times New Roman" w:hAnsi="Times New Roman" w:cs="Times New Roman" w:eastAsia="Times New Roman" w:hint="default"/>
                <w:sz w:val="18"/>
                <w:szCs w:val="18"/>
              </w:rPr>
            </w:pPr>
            <w:r>
              <w:rPr>
                <w:rFonts w:ascii="Times New Roman"/>
                <w:sz w:val="18"/>
              </w:rPr>
              <w:t>514,012,</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670.27</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20" w:right="0"/>
              <w:jc w:val="left"/>
              <w:rPr>
                <w:rFonts w:ascii="Times New Roman" w:hAnsi="Times New Roman" w:cs="Times New Roman" w:eastAsia="Times New Roman" w:hint="default"/>
                <w:sz w:val="18"/>
                <w:szCs w:val="18"/>
              </w:rPr>
            </w:pPr>
            <w:r>
              <w:rPr>
                <w:rFonts w:ascii="Times New Roman"/>
                <w:sz w:val="18"/>
              </w:rPr>
              <w:t>565,402,8</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02.27</w:t>
            </w: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51,390,</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132.00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4" w:right="0"/>
              <w:jc w:val="center"/>
              <w:rPr>
                <w:rFonts w:ascii="Times New Roman" w:hAnsi="Times New Roman" w:cs="Times New Roman" w:eastAsia="Times New Roman" w:hint="default"/>
                <w:sz w:val="18"/>
                <w:szCs w:val="18"/>
              </w:rPr>
            </w:pPr>
            <w:r>
              <w:rPr>
                <w:rFonts w:ascii="Times New Roman"/>
                <w:sz w:val="18"/>
              </w:rPr>
              <w:t>514,012,</w:t>
            </w:r>
          </w:p>
          <w:p>
            <w:pPr>
              <w:pStyle w:val="TableParagraph"/>
              <w:spacing w:line="240" w:lineRule="auto" w:before="108"/>
              <w:ind w:left="180" w:right="0"/>
              <w:jc w:val="center"/>
              <w:rPr>
                <w:rFonts w:ascii="Times New Roman" w:hAnsi="Times New Roman" w:cs="Times New Roman" w:eastAsia="Times New Roman" w:hint="default"/>
                <w:sz w:val="18"/>
                <w:szCs w:val="18"/>
              </w:rPr>
            </w:pPr>
            <w:r>
              <w:rPr>
                <w:rFonts w:ascii="Times New Roman"/>
                <w:sz w:val="18"/>
              </w:rPr>
              <w:t>670.27</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0" w:right="0"/>
              <w:jc w:val="left"/>
              <w:rPr>
                <w:rFonts w:ascii="Times New Roman" w:hAnsi="Times New Roman" w:cs="Times New Roman" w:eastAsia="Times New Roman" w:hint="default"/>
                <w:sz w:val="18"/>
                <w:szCs w:val="18"/>
              </w:rPr>
            </w:pPr>
            <w:r>
              <w:rPr>
                <w:rFonts w:ascii="Times New Roman"/>
                <w:sz w:val="18"/>
              </w:rPr>
              <w:t>565,402,8</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02.27</w:t>
            </w:r>
          </w:p>
        </w:tc>
      </w:tr>
      <w:tr>
        <w:trPr>
          <w:trHeight w:val="103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15" w:right="0"/>
              <w:jc w:val="left"/>
              <w:rPr>
                <w:rFonts w:ascii="Times New Roman" w:hAnsi="Times New Roman" w:cs="Times New Roman" w:eastAsia="Times New Roman" w:hint="default"/>
                <w:sz w:val="18"/>
                <w:szCs w:val="18"/>
              </w:rPr>
            </w:pPr>
            <w:r>
              <w:rPr>
                <w:rFonts w:ascii="Times New Roman"/>
                <w:sz w:val="18"/>
              </w:rPr>
              <w:t>-14,541</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,936.01</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60" w:right="0"/>
              <w:jc w:val="left"/>
              <w:rPr>
                <w:rFonts w:ascii="Times New Roman" w:hAnsi="Times New Roman" w:cs="Times New Roman" w:eastAsia="Times New Roman" w:hint="default"/>
                <w:sz w:val="18"/>
                <w:szCs w:val="18"/>
              </w:rPr>
            </w:pPr>
            <w:r>
              <w:rPr>
                <w:rFonts w:ascii="Times New Roman"/>
                <w:sz w:val="18"/>
              </w:rPr>
              <w:t>-14,541,93</w:t>
            </w:r>
          </w:p>
          <w:p>
            <w:pPr>
              <w:pStyle w:val="TableParagraph"/>
              <w:spacing w:line="240" w:lineRule="auto" w:before="108"/>
              <w:ind w:left="525" w:right="0"/>
              <w:jc w:val="left"/>
              <w:rPr>
                <w:rFonts w:ascii="Times New Roman" w:hAnsi="Times New Roman" w:cs="Times New Roman" w:eastAsia="Times New Roman" w:hint="default"/>
                <w:sz w:val="18"/>
                <w:szCs w:val="18"/>
              </w:rPr>
            </w:pPr>
            <w:r>
              <w:rPr>
                <w:rFonts w:ascii="Times New Roman"/>
                <w:sz w:val="18"/>
              </w:rPr>
              <w:t>6.01</w:t>
            </w: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-14,541</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,936.01</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-14,541,93</w:t>
            </w:r>
          </w:p>
          <w:p>
            <w:pPr>
              <w:pStyle w:val="TableParagraph"/>
              <w:spacing w:line="240" w:lineRule="auto" w:before="93"/>
              <w:ind w:left="525" w:right="0"/>
              <w:jc w:val="left"/>
              <w:rPr>
                <w:rFonts w:ascii="Times New Roman" w:hAnsi="Times New Roman" w:cs="Times New Roman" w:eastAsia="Times New Roman" w:hint="default"/>
                <w:sz w:val="18"/>
                <w:szCs w:val="18"/>
              </w:rPr>
            </w:pPr>
            <w:r>
              <w:rPr>
                <w:rFonts w:ascii="Times New Roman"/>
                <w:sz w:val="18"/>
              </w:rPr>
              <w:t>6.01</w:t>
            </w: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36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714,239.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32</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-3,458,</w:t>
            </w:r>
          </w:p>
          <w:p>
            <w:pPr>
              <w:pStyle w:val="TableParagraph"/>
              <w:spacing w:line="240" w:lineRule="auto" w:before="93"/>
              <w:ind w:left="75" w:right="0"/>
              <w:jc w:val="left"/>
              <w:rPr>
                <w:rFonts w:ascii="Times New Roman" w:hAnsi="Times New Roman" w:cs="Times New Roman" w:eastAsia="Times New Roman" w:hint="default"/>
                <w:sz w:val="18"/>
                <w:szCs w:val="18"/>
              </w:rPr>
            </w:pPr>
            <w:r>
              <w:rPr>
                <w:rFonts w:ascii="Times New Roman"/>
                <w:sz w:val="18"/>
              </w:rPr>
              <w:t>678.22</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-2,744,438</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.90</w:t>
            </w: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859,27</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5,466.0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1,322,54</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1,812.68</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-879,412</w:t>
            </w:r>
          </w:p>
          <w:p>
            <w:pPr>
              <w:pStyle w:val="TableParagraph"/>
              <w:spacing w:line="240" w:lineRule="auto" w:before="93"/>
              <w:ind w:left="465" w:right="0"/>
              <w:jc w:val="left"/>
              <w:rPr>
                <w:rFonts w:ascii="Times New Roman" w:hAnsi="Times New Roman" w:cs="Times New Roman" w:eastAsia="Times New Roman" w:hint="default"/>
                <w:sz w:val="18"/>
                <w:szCs w:val="18"/>
              </w:rPr>
            </w:pPr>
            <w:r>
              <w:rPr>
                <w:rFonts w:ascii="Times New Roman"/>
                <w:sz w:val="18"/>
              </w:rPr>
              <w:t>.58</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72,600,0</w:t>
            </w:r>
          </w:p>
          <w:p>
            <w:pPr>
              <w:pStyle w:val="TableParagraph"/>
              <w:spacing w:line="240" w:lineRule="auto" w:before="93"/>
              <w:ind w:left="284" w:right="0"/>
              <w:jc w:val="left"/>
              <w:rPr>
                <w:rFonts w:ascii="Times New Roman" w:hAnsi="Times New Roman" w:cs="Times New Roman" w:eastAsia="Times New Roman" w:hint="default"/>
                <w:sz w:val="18"/>
                <w:szCs w:val="18"/>
              </w:rPr>
            </w:pPr>
            <w:r>
              <w:rPr>
                <w:rFonts w:ascii="Times New Roman"/>
                <w:sz w:val="18"/>
              </w:rPr>
              <w:t>33.72</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137,96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4,083.9</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2,391,501,</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983.80</w:t>
            </w:r>
          </w:p>
        </w:tc>
      </w:tr>
    </w:tbl>
    <w:p>
      <w:pPr>
        <w:pStyle w:val="BodyText"/>
        <w:spacing w:line="240" w:lineRule="auto"/>
        <w:ind w:right="1086"/>
        <w:jc w:val="left"/>
      </w:pPr>
      <w:r>
        <w:rPr/>
        <w:t>上期金额</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24"/>
        <w:gridCol w:w="608"/>
        <w:gridCol w:w="571"/>
        <w:gridCol w:w="570"/>
        <w:gridCol w:w="571"/>
        <w:gridCol w:w="691"/>
        <w:gridCol w:w="676"/>
        <w:gridCol w:w="691"/>
        <w:gridCol w:w="781"/>
        <w:gridCol w:w="675"/>
        <w:gridCol w:w="796"/>
        <w:gridCol w:w="796"/>
        <w:gridCol w:w="931"/>
      </w:tblGrid>
      <w:tr>
        <w:trPr>
          <w:trHeight w:val="405" w:hRule="exact"/>
        </w:trPr>
        <w:tc>
          <w:tcPr>
            <w:tcW w:w="12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03" w:hRule="exact"/>
        </w:trPr>
        <w:tc>
          <w:tcPr>
            <w:tcW w:w="1224" w:type="dxa"/>
            <w:vMerge/>
            <w:tcBorders>
              <w:left w:val="single" w:sz="6" w:space="0" w:color="000000"/>
              <w:right w:val="single" w:sz="6" w:space="0" w:color="000000"/>
            </w:tcBorders>
            <w:shd w:val="clear" w:color="auto" w:fill="D2D2D2"/>
          </w:tcPr>
          <w:p>
            <w:pPr/>
          </w:p>
        </w:tc>
        <w:tc>
          <w:tcPr>
            <w:tcW w:w="608"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21"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4" w:hRule="exact"/>
        </w:trPr>
        <w:tc>
          <w:tcPr>
            <w:tcW w:w="1224" w:type="dxa"/>
            <w:vMerge/>
            <w:tcBorders>
              <w:left w:val="single" w:sz="6" w:space="0" w:color="000000"/>
              <w:right w:val="single" w:sz="6" w:space="0" w:color="000000"/>
            </w:tcBorders>
            <w:shd w:val="clear" w:color="auto" w:fill="D2D2D2"/>
          </w:tcPr>
          <w:p>
            <w:pPr/>
          </w:p>
        </w:tc>
        <w:tc>
          <w:tcPr>
            <w:tcW w:w="608"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5"/>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72" w:hRule="exact"/>
        </w:trPr>
        <w:tc>
          <w:tcPr>
            <w:tcW w:w="1224" w:type="dxa"/>
            <w:vMerge/>
            <w:tcBorders>
              <w:left w:val="single" w:sz="6" w:space="0" w:color="000000"/>
              <w:right w:val="single" w:sz="6" w:space="0" w:color="000000"/>
            </w:tcBorders>
            <w:shd w:val="clear" w:color="auto" w:fill="D2D2D2"/>
          </w:tcPr>
          <w:p>
            <w:pPr/>
          </w:p>
        </w:tc>
        <w:tc>
          <w:tcPr>
            <w:tcW w:w="60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12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4"/>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64"/>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0" w:hRule="exact"/>
        </w:trPr>
        <w:tc>
          <w:tcPr>
            <w:tcW w:w="1224" w:type="dxa"/>
            <w:vMerge/>
            <w:tcBorders>
              <w:left w:val="single" w:sz="6" w:space="0" w:color="000000"/>
              <w:right w:val="single" w:sz="6" w:space="0" w:color="000000"/>
            </w:tcBorders>
            <w:shd w:val="clear" w:color="auto" w:fill="D2D2D2"/>
          </w:tcPr>
          <w:p>
            <w:pPr/>
          </w:p>
        </w:tc>
        <w:tc>
          <w:tcPr>
            <w:tcW w:w="608"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18" w:hRule="exact"/>
        </w:trPr>
        <w:tc>
          <w:tcPr>
            <w:tcW w:w="1224" w:type="dxa"/>
            <w:vMerge/>
            <w:tcBorders>
              <w:left w:val="single" w:sz="6" w:space="0" w:color="000000"/>
              <w:bottom w:val="single" w:sz="6" w:space="0" w:color="000000"/>
              <w:right w:val="single" w:sz="6" w:space="0" w:color="000000"/>
            </w:tcBorders>
            <w:shd w:val="clear" w:color="auto" w:fill="D2D2D2"/>
          </w:tcPr>
          <w:p>
            <w:pPr/>
          </w:p>
        </w:tc>
        <w:tc>
          <w:tcPr>
            <w:tcW w:w="608"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15" w:right="23"/>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807,88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800,301</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,463.25</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-73,556.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72,020,</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866.99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171,669,0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06.23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1,851,803,1</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14.47</w:t>
            </w:r>
          </w:p>
        </w:tc>
      </w:tr>
      <w:tr>
        <w:trPr>
          <w:trHeight w:val="7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1"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3"/>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807,88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800,301</w:t>
            </w:r>
          </w:p>
          <w:p>
            <w:pPr>
              <w:pStyle w:val="TableParagraph"/>
              <w:spacing w:line="240" w:lineRule="auto" w:before="108"/>
              <w:ind w:left="120" w:right="0"/>
              <w:jc w:val="left"/>
              <w:rPr>
                <w:rFonts w:ascii="Times New Roman" w:hAnsi="Times New Roman" w:cs="Times New Roman" w:eastAsia="Times New Roman" w:hint="default"/>
                <w:sz w:val="18"/>
                <w:szCs w:val="18"/>
              </w:rPr>
            </w:pPr>
            <w:r>
              <w:rPr>
                <w:rFonts w:ascii="Times New Roman"/>
                <w:sz w:val="18"/>
              </w:rPr>
              <w:t>,463.25</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-73,556.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72,020,</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866.99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171,669,0</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06.23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1,851,803,1</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14.47</w:t>
            </w: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3"/>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4" w:right="0"/>
              <w:jc w:val="center"/>
              <w:rPr>
                <w:rFonts w:ascii="Times New Roman" w:hAnsi="Times New Roman" w:cs="Times New Roman" w:eastAsia="Times New Roman" w:hint="default"/>
                <w:sz w:val="18"/>
                <w:szCs w:val="18"/>
              </w:rPr>
            </w:pPr>
            <w:r>
              <w:rPr>
                <w:rFonts w:ascii="Times New Roman"/>
                <w:sz w:val="18"/>
              </w:rPr>
              <w:t>7,513,4</w:t>
            </w:r>
          </w:p>
          <w:p>
            <w:pPr>
              <w:pStyle w:val="TableParagraph"/>
              <w:spacing w:line="240" w:lineRule="auto" w:before="108"/>
              <w:ind w:left="239" w:right="0"/>
              <w:jc w:val="center"/>
              <w:rPr>
                <w:rFonts w:ascii="Times New Roman" w:hAnsi="Times New Roman" w:cs="Times New Roman" w:eastAsia="Times New Roman" w:hint="default"/>
                <w:sz w:val="18"/>
                <w:szCs w:val="18"/>
              </w:rPr>
            </w:pPr>
            <w:r>
              <w:rPr>
                <w:rFonts w:ascii="Times New Roman"/>
                <w:sz w:val="18"/>
              </w:rPr>
              <w:t>39.84</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-22,978.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78</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579,166</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.73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-9,329,43</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5.46</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-1,259,807.</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67</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3"/>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8"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-22,978.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78</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5,791,667</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.28</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5,768,688.5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579,166</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.73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-15,121,1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02.74</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-14,541,936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.01</w:t>
            </w: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579,166</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.73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-579,166.</w:t>
            </w:r>
            <w:r>
              <w:rPr>
                <w:rFonts w:ascii="Times New Roman"/>
                <w:sz w:val="18"/>
              </w:rPr>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73</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-14,541,9</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36.01</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-14,541,936</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.01</w:t>
            </w: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7,513,4</w:t>
            </w:r>
          </w:p>
          <w:p>
            <w:pPr>
              <w:pStyle w:val="TableParagraph"/>
              <w:spacing w:line="240" w:lineRule="auto" w:before="93"/>
              <w:ind w:left="239" w:right="0"/>
              <w:jc w:val="center"/>
              <w:rPr>
                <w:rFonts w:ascii="Times New Roman" w:hAnsi="Times New Roman" w:cs="Times New Roman" w:eastAsia="Times New Roman" w:hint="default"/>
                <w:sz w:val="18"/>
                <w:szCs w:val="18"/>
              </w:rPr>
            </w:pPr>
            <w:r>
              <w:rPr>
                <w:rFonts w:ascii="Times New Roman"/>
                <w:sz w:val="18"/>
              </w:rPr>
              <w:t>39.84</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7,513,439.8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w:t>
            </w: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807,88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807,814</w:t>
            </w:r>
          </w:p>
          <w:p>
            <w:pPr>
              <w:pStyle w:val="TableParagraph"/>
              <w:spacing w:line="240" w:lineRule="auto" w:before="93"/>
              <w:ind w:left="120" w:right="0"/>
              <w:jc w:val="left"/>
              <w:rPr>
                <w:rFonts w:ascii="Times New Roman" w:hAnsi="Times New Roman" w:cs="Times New Roman" w:eastAsia="Times New Roman" w:hint="default"/>
                <w:sz w:val="18"/>
                <w:szCs w:val="18"/>
              </w:rPr>
            </w:pPr>
            <w:r>
              <w:rPr>
                <w:rFonts w:ascii="Times New Roman"/>
                <w:sz w:val="18"/>
              </w:rPr>
              <w:t>,903.09</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-96,534.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78</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72,600,</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033.72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162,339,5</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70.77</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1,850,543,3</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06.80</w:t>
            </w:r>
          </w:p>
        </w:tc>
      </w:tr>
    </w:tbl>
    <w:p>
      <w:pPr>
        <w:spacing w:line="240" w:lineRule="auto" w:before="4"/>
        <w:rPr>
          <w:rFonts w:ascii="Times New Roman" w:hAnsi="Times New Roman" w:cs="Times New Roman" w:eastAsia="Times New Roman" w:hint="default"/>
          <w:sz w:val="20"/>
          <w:szCs w:val="20"/>
        </w:rPr>
      </w:pPr>
    </w:p>
    <w:p>
      <w:pPr>
        <w:pStyle w:val="Heading2"/>
        <w:spacing w:line="240" w:lineRule="auto" w:before="26"/>
        <w:ind w:right="1086"/>
        <w:jc w:val="left"/>
        <w:rPr>
          <w:b w:val="0"/>
          <w:bCs w:val="0"/>
        </w:rPr>
      </w:pPr>
      <w:bookmarkStart w:name="三、公司基本情况" w:id="164"/>
      <w:bookmarkEnd w:id="164"/>
      <w:r>
        <w:rPr>
          <w:b w:val="0"/>
          <w:bCs w:val="0"/>
        </w:rPr>
      </w:r>
      <w:r>
        <w:rPr/>
        <w:t>三、公司基本情况</w:t>
      </w:r>
      <w:r>
        <w:rPr>
          <w:b w:val="0"/>
          <w:bCs w:val="0"/>
        </w:rPr>
      </w:r>
    </w:p>
    <w:p>
      <w:pPr>
        <w:spacing w:line="240" w:lineRule="auto" w:before="8"/>
        <w:rPr>
          <w:rFonts w:ascii="宋体" w:hAnsi="宋体" w:cs="宋体" w:eastAsia="宋体" w:hint="default"/>
          <w:b/>
          <w:bCs/>
          <w:sz w:val="24"/>
          <w:szCs w:val="24"/>
        </w:rPr>
      </w:pPr>
    </w:p>
    <w:p>
      <w:pPr>
        <w:pStyle w:val="Heading6"/>
        <w:spacing w:line="261" w:lineRule="auto"/>
        <w:ind w:right="1088" w:firstLine="420"/>
        <w:jc w:val="both"/>
      </w:pPr>
      <w:r>
        <w:rPr/>
        <w:t>思创医惠科技股份有限公司（以下简称公司或本公司）前身系原杭州中瑞思创科技有限公司（以下简 称中瑞有限公司），中瑞有限公司系由路楠、俞国骅共同投资设立，于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日在杭州市工商行政 </w:t>
      </w:r>
      <w:r>
        <w:rPr>
          <w:spacing w:val="-2"/>
        </w:rPr>
        <w:t>管理局登记注册，总部位于浙江省杭州市。公司现持有统一社会信用代码为</w:t>
      </w:r>
      <w:r>
        <w:rPr>
          <w:rFonts w:ascii="Times New Roman" w:hAnsi="Times New Roman" w:cs="Times New Roman" w:eastAsia="Times New Roman" w:hint="default"/>
          <w:spacing w:val="-2"/>
        </w:rPr>
        <w:t>91330000754441902G</w:t>
      </w:r>
      <w:r>
        <w:rPr>
          <w:spacing w:val="-2"/>
        </w:rPr>
        <w:t>的营业执</w:t>
      </w:r>
      <w:r>
        <w:rPr>
          <w:spacing w:val="-62"/>
        </w:rPr>
        <w:t> </w:t>
      </w:r>
      <w:r>
        <w:rPr>
          <w:spacing w:val="-2"/>
        </w:rPr>
        <w:t>照，注册资本</w:t>
      </w:r>
      <w:r>
        <w:rPr>
          <w:rFonts w:ascii="Times New Roman" w:hAnsi="Times New Roman" w:cs="Times New Roman" w:eastAsia="Times New Roman" w:hint="default"/>
          <w:spacing w:val="-2"/>
        </w:rPr>
        <w:t>85,927.55</w:t>
      </w:r>
      <w:r>
        <w:rPr>
          <w:spacing w:val="-2"/>
        </w:rPr>
        <w:t>万元，股份总数</w:t>
      </w:r>
      <w:r>
        <w:rPr>
          <w:rFonts w:ascii="Times New Roman" w:hAnsi="Times New Roman" w:cs="Times New Roman" w:eastAsia="Times New Roman" w:hint="default"/>
          <w:spacing w:val="-2"/>
        </w:rPr>
        <w:t>85,927.55</w:t>
      </w:r>
      <w:r>
        <w:rPr>
          <w:spacing w:val="-2"/>
        </w:rPr>
        <w:t>万股（每股面值</w:t>
      </w:r>
      <w:r>
        <w:rPr>
          <w:rFonts w:ascii="Times New Roman" w:hAnsi="Times New Roman" w:cs="Times New Roman" w:eastAsia="Times New Roman" w:hint="default"/>
          <w:spacing w:val="-2"/>
        </w:rPr>
        <w:t>1</w:t>
      </w:r>
      <w:r>
        <w:rPr>
          <w:spacing w:val="-2"/>
        </w:rPr>
        <w:t>元）。其中，有限售条件的流通股份：</w:t>
      </w:r>
      <w:r>
        <w:rPr>
          <w:rFonts w:ascii="Times New Roman" w:hAnsi="Times New Roman" w:cs="Times New Roman" w:eastAsia="Times New Roman" w:hint="default"/>
          <w:spacing w:val="-2"/>
        </w:rPr>
        <w:t>A </w:t>
      </w:r>
      <w:r>
        <w:rPr>
          <w:spacing w:val="-2"/>
        </w:rPr>
        <w:t>股</w:t>
      </w:r>
      <w:r>
        <w:rPr>
          <w:rFonts w:ascii="Times New Roman" w:hAnsi="Times New Roman" w:cs="Times New Roman" w:eastAsia="Times New Roman" w:hint="default"/>
          <w:spacing w:val="-2"/>
        </w:rPr>
        <w:t>12,998.32</w:t>
      </w:r>
      <w:r>
        <w:rPr>
          <w:spacing w:val="-2"/>
        </w:rPr>
        <w:t>万股；无限售条件的流通股份：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72,929.23</w:t>
      </w:r>
      <w:r>
        <w:rPr>
          <w:spacing w:val="-2"/>
        </w:rPr>
        <w:t>万股。公司股票已于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日在深圳证券交</w:t>
      </w:r>
      <w:r>
        <w:rPr>
          <w:spacing w:val="-68"/>
        </w:rPr>
        <w:t> </w:t>
      </w:r>
      <w:r>
        <w:rPr/>
        <w:t>易所挂牌交易。</w:t>
      </w:r>
    </w:p>
    <w:p>
      <w:pPr>
        <w:pStyle w:val="Heading6"/>
        <w:spacing w:line="276" w:lineRule="auto" w:before="7"/>
        <w:ind w:right="996" w:firstLine="420"/>
        <w:jc w:val="left"/>
      </w:pPr>
      <w:r>
        <w:rPr>
          <w:spacing w:val="-3"/>
        </w:rPr>
        <w:t>本公司属于计算机、通信及其他电子设备制造业。经营范围：塑胶产品、电子产品、五金产品的制造、</w:t>
      </w:r>
      <w:r>
        <w:rPr/>
        <w:t> 开发及销售；物联网技术开发、技术应用推广服务，信息系统集成等。主要产品：商业智能、智慧医疗产 品等。</w:t>
      </w:r>
    </w:p>
    <w:p>
      <w:pPr>
        <w:pStyle w:val="Heading6"/>
        <w:spacing w:line="254" w:lineRule="auto" w:before="9"/>
        <w:ind w:right="1089" w:firstLine="420"/>
        <w:jc w:val="left"/>
      </w:pPr>
      <w:r>
        <w:rPr/>
        <w:t>本财务报表业经公司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日第四届第十九次董事会批准对外报出。 本公司将杭州思创汇联科技有限公司、杭州思越科技有限公司等</w:t>
      </w:r>
      <w:r>
        <w:rPr>
          <w:rFonts w:ascii="Times New Roman" w:hAnsi="Times New Roman" w:cs="Times New Roman" w:eastAsia="Times New Roman" w:hint="default"/>
        </w:rPr>
        <w:t>39</w:t>
      </w:r>
      <w:r>
        <w:rPr/>
        <w:t>家子公司纳入本期合并财务报表范围， 情况详见本财务报表附注合并范围的变更和在其他主体中的权益之说明。</w:t>
      </w:r>
    </w:p>
    <w:p>
      <w:pPr>
        <w:spacing w:line="240" w:lineRule="auto" w:before="7"/>
        <w:rPr>
          <w:rFonts w:ascii="宋体" w:hAnsi="宋体" w:cs="宋体" w:eastAsia="宋体" w:hint="default"/>
          <w:sz w:val="23"/>
          <w:szCs w:val="23"/>
        </w:rPr>
      </w:pPr>
    </w:p>
    <w:p>
      <w:pPr>
        <w:pStyle w:val="Heading2"/>
        <w:spacing w:line="240" w:lineRule="auto"/>
        <w:ind w:right="1086"/>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1086"/>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left="561" w:right="1086"/>
        <w:jc w:val="left"/>
      </w:pPr>
      <w:r>
        <w:rPr/>
        <w:t>本公司财务报表以持续经营为编制基础。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7" w:lineRule="auto" w:before="147"/>
        <w:ind w:left="141" w:right="2769" w:firstLine="0"/>
        <w:jc w:val="left"/>
        <w:rPr>
          <w:rFonts w:ascii="宋体" w:hAnsi="宋体" w:cs="宋体" w:eastAsia="宋体" w:hint="default"/>
          <w:sz w:val="24"/>
          <w:szCs w:val="24"/>
        </w:rPr>
      </w:pPr>
      <w:bookmarkStart w:name="2、持续经营" w:id="167"/>
      <w:bookmarkEnd w:id="16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w w:val="99"/>
          <w:sz w:val="21"/>
          <w:szCs w:val="21"/>
        </w:rPr>
        <w:t> </w:t>
      </w:r>
      <w:r>
        <w:rPr>
          <w:rFonts w:ascii="宋体" w:hAnsi="宋体" w:cs="宋体" w:eastAsia="宋体" w:hint="default"/>
          <w:sz w:val="21"/>
          <w:szCs w:val="21"/>
        </w:rPr>
        <w:t>本公司不存在导致对报告期末起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个月内的持续经营能力产生重大疑虑的事项或情况。 </w:t>
      </w:r>
      <w:bookmarkStart w:name="五、重要会计政策及会计估计" w:id="168"/>
      <w:bookmarkEnd w:id="168"/>
      <w:r>
        <w:rPr>
          <w:rFonts w:ascii="宋体" w:hAnsi="宋体" w:cs="宋体" w:eastAsia="宋体" w:hint="default"/>
          <w:sz w:val="21"/>
          <w:szCs w:val="21"/>
        </w:rPr>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pStyle w:val="BodyText"/>
        <w:spacing w:line="240" w:lineRule="auto" w:before="94"/>
        <w:ind w:right="1086"/>
        <w:jc w:val="left"/>
      </w:pPr>
      <w:r>
        <w:rPr/>
        <w:t>具体会计政策和会计估计提示：</w:t>
      </w:r>
    </w:p>
    <w:p>
      <w:pPr>
        <w:pStyle w:val="Heading6"/>
        <w:spacing w:line="261" w:lineRule="auto" w:before="104"/>
        <w:ind w:right="0"/>
        <w:jc w:val="left"/>
      </w:pPr>
      <w:r>
        <w:rPr/>
        <w:t>重要提示：本公司根据实际生产经营特点针对金融工具减值、固定资产折旧、无形资产摊销、收入确认等 交易或事项制定了具体会计政策和会计估计。</w:t>
      </w:r>
    </w:p>
    <w:p>
      <w:pPr>
        <w:spacing w:line="580" w:lineRule="atLeast" w:before="47"/>
        <w:ind w:left="561" w:right="0" w:hanging="421"/>
        <w:jc w:val="left"/>
        <w:rPr>
          <w:rFonts w:ascii="宋体" w:hAnsi="宋体" w:cs="宋体" w:eastAsia="宋体" w:hint="default"/>
          <w:sz w:val="21"/>
          <w:szCs w:val="21"/>
        </w:rPr>
      </w:pPr>
      <w:bookmarkStart w:name="1、遵循企业会计准则的声明" w:id="169"/>
      <w:bookmarkEnd w:id="1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本公司所编制的财务报表符合企业会计准则的要求，真实、完整地反映了公司的财务状况、经营成果</w:t>
      </w:r>
    </w:p>
    <w:p>
      <w:pPr>
        <w:pStyle w:val="Heading6"/>
        <w:spacing w:line="240" w:lineRule="auto" w:before="40"/>
        <w:ind w:right="1086"/>
        <w:jc w:val="left"/>
      </w:pPr>
      <w:r>
        <w:rPr/>
        <w:t>和现金流量等有关信息。</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left="561" w:right="1086"/>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Heading5"/>
        <w:spacing w:line="240" w:lineRule="auto"/>
        <w:ind w:right="1086"/>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left="561" w:right="1086"/>
        <w:jc w:val="left"/>
        <w:rPr>
          <w:i w:val="0"/>
        </w:rPr>
      </w:pPr>
      <w:r>
        <w:rPr/>
        <w:t>公司经营业务的营业周期较短，以</w:t>
      </w:r>
      <w:r>
        <w:rPr>
          <w:rFonts w:ascii="Times New Roman" w:hAnsi="Times New Roman" w:cs="Times New Roman" w:eastAsia="Times New Roman" w:hint="default"/>
          <w:i/>
          <w:sz w:val="21"/>
          <w:szCs w:val="21"/>
        </w:rPr>
        <w:t>12</w:t>
      </w:r>
      <w:r>
        <w:rPr/>
        <w:t>个月作为资产和负债的流动性划分标准。</w:t>
      </w:r>
      <w:r>
        <w:rPr>
          <w:i w:val="0"/>
        </w:rPr>
      </w:r>
    </w:p>
    <w:p>
      <w:pPr>
        <w:spacing w:line="240" w:lineRule="auto" w:before="0"/>
        <w:rPr>
          <w:rFonts w:ascii="宋体" w:hAnsi="宋体" w:cs="宋体" w:eastAsia="宋体" w:hint="default"/>
          <w:i/>
          <w:sz w:val="22"/>
          <w:szCs w:val="22"/>
        </w:rPr>
      </w:pPr>
    </w:p>
    <w:p>
      <w:pPr>
        <w:spacing w:line="240" w:lineRule="auto" w:before="1"/>
        <w:rPr>
          <w:rFonts w:ascii="宋体" w:hAnsi="宋体" w:cs="宋体" w:eastAsia="宋体" w:hint="default"/>
          <w:i/>
          <w:sz w:val="28"/>
          <w:szCs w:val="28"/>
        </w:rPr>
      </w:pPr>
    </w:p>
    <w:p>
      <w:pPr>
        <w:pStyle w:val="Heading5"/>
        <w:spacing w:line="240" w:lineRule="auto"/>
        <w:ind w:right="1086"/>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left="561" w:right="1086"/>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33"/>
        <w:ind w:right="1086"/>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9"/>
        <w:rPr>
          <w:rFonts w:ascii="宋体" w:hAnsi="宋体" w:cs="宋体" w:eastAsia="宋体" w:hint="default"/>
          <w:b/>
          <w:bCs/>
          <w:sz w:val="23"/>
          <w:szCs w:val="23"/>
        </w:rPr>
      </w:pPr>
    </w:p>
    <w:p>
      <w:pPr>
        <w:pStyle w:val="Heading6"/>
        <w:spacing w:line="261" w:lineRule="auto"/>
        <w:ind w:left="561" w:right="108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同一控制下企业合并的会计处理方法 公司在企业合并中取得的资产和负债，按照合并日被合并方在最终控制方合并财务报表中的账面价值</w:t>
      </w:r>
    </w:p>
    <w:p>
      <w:pPr>
        <w:pStyle w:val="Heading6"/>
        <w:spacing w:line="276" w:lineRule="auto" w:before="21"/>
        <w:ind w:right="1086"/>
        <w:jc w:val="left"/>
      </w:pPr>
      <w:r>
        <w:rPr>
          <w:spacing w:val="-1"/>
        </w:rPr>
        <w:t>计量。公司按照被合并方所有者权益在最终控制方合并财务报表中的账面价值份额与支付的合并对价账面</w:t>
      </w:r>
      <w:r>
        <w:rPr>
          <w:spacing w:val="-74"/>
        </w:rPr>
        <w:t> </w:t>
      </w:r>
      <w:r>
        <w:rPr>
          <w:spacing w:val="-74"/>
        </w:rPr>
      </w:r>
      <w:r>
        <w:rPr/>
        <w:t>价值或发行股份面值总额的差额，调整资本公积；资本公积不足冲减的，调整留存收益。</w:t>
      </w:r>
    </w:p>
    <w:p>
      <w:pPr>
        <w:pStyle w:val="Heading6"/>
        <w:spacing w:line="247" w:lineRule="auto" w:before="8"/>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非同一控制下企业合并的会计处理方法 </w:t>
      </w:r>
      <w:r>
        <w:rPr>
          <w:spacing w:val="4"/>
        </w:rPr>
        <w:t>公司在购买日对合并成本大于合并中取得的被购买方可辨认净资产公允价值份额的差额，确认为商</w:t>
      </w:r>
    </w:p>
    <w:p>
      <w:pPr>
        <w:pStyle w:val="Heading6"/>
        <w:spacing w:line="276" w:lineRule="auto" w:before="34"/>
        <w:ind w:right="1118"/>
        <w:jc w:val="both"/>
      </w:pPr>
      <w:r>
        <w:rPr>
          <w:spacing w:val="-1"/>
        </w:rPr>
        <w:t>誉；如果合并成本小于合并中取得的被购买方可辨认净资产公允价值份额，首先对取得的被购买方各项可</w:t>
      </w:r>
      <w:r>
        <w:rPr>
          <w:spacing w:val="-89"/>
        </w:rPr>
        <w:t> </w:t>
      </w:r>
      <w:r>
        <w:rPr>
          <w:spacing w:val="-89"/>
        </w:rPr>
      </w:r>
      <w:r>
        <w:rPr>
          <w:spacing w:val="-1"/>
        </w:rPr>
        <w:t>辨认资产、负债及或有负债的公允价值以及合并成本的计量进行复核，经复核后合并成本仍小于合并中取</w:t>
      </w:r>
      <w:r>
        <w:rPr>
          <w:spacing w:val="-89"/>
        </w:rPr>
        <w:t> </w:t>
      </w:r>
      <w:r>
        <w:rPr>
          <w:spacing w:val="-89"/>
        </w:rPr>
      </w:r>
      <w:r>
        <w:rPr/>
        <w:t>得的被购买方可辨认净资产公允价值份额的，其差额计入当期损益。</w:t>
      </w:r>
    </w:p>
    <w:p>
      <w:pPr>
        <w:spacing w:line="240" w:lineRule="auto" w:before="8"/>
        <w:rPr>
          <w:rFonts w:ascii="宋体" w:hAnsi="宋体" w:cs="宋体" w:eastAsia="宋体" w:hint="default"/>
          <w:sz w:val="25"/>
          <w:szCs w:val="25"/>
        </w:rPr>
      </w:pPr>
    </w:p>
    <w:p>
      <w:pPr>
        <w:spacing w:line="580" w:lineRule="atLeast" w:before="0"/>
        <w:ind w:left="561" w:right="1089" w:hanging="421"/>
        <w:jc w:val="left"/>
        <w:rPr>
          <w:rFonts w:ascii="宋体" w:hAnsi="宋体" w:cs="宋体" w:eastAsia="宋体" w:hint="default"/>
          <w:sz w:val="21"/>
          <w:szCs w:val="21"/>
        </w:rPr>
      </w:pPr>
      <w:bookmarkStart w:name="6、合并财务报表的编制方法" w:id="174"/>
      <w:bookmarkEnd w:id="17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spacing w:val="-101"/>
          <w:sz w:val="21"/>
          <w:szCs w:val="21"/>
        </w:rPr>
        <w:t> </w:t>
      </w:r>
      <w:r>
        <w:rPr>
          <w:rFonts w:ascii="宋体" w:hAnsi="宋体" w:cs="宋体" w:eastAsia="宋体" w:hint="default"/>
          <w:b/>
          <w:bCs/>
          <w:spacing w:val="-101"/>
          <w:sz w:val="21"/>
          <w:szCs w:val="21"/>
        </w:rPr>
      </w:r>
      <w:r>
        <w:rPr>
          <w:rFonts w:ascii="宋体" w:hAnsi="宋体" w:cs="宋体" w:eastAsia="宋体" w:hint="default"/>
          <w:sz w:val="21"/>
          <w:szCs w:val="21"/>
        </w:rPr>
        <w:t>母公司将其控制的所有子公司纳入合并财务报表的合并范围。合并财务报表以母公司及其子公司的财</w:t>
      </w:r>
    </w:p>
    <w:p>
      <w:pPr>
        <w:pStyle w:val="Heading6"/>
        <w:spacing w:line="240" w:lineRule="auto" w:before="40"/>
        <w:ind w:right="1086"/>
        <w:jc w:val="left"/>
      </w:pP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5"/>
        <w:spacing w:line="240" w:lineRule="auto"/>
        <w:ind w:right="1086"/>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570" w:lineRule="atLeast" w:before="46"/>
        <w:ind w:left="561" w:right="1089" w:hanging="421"/>
        <w:jc w:val="left"/>
        <w:rPr>
          <w:rFonts w:ascii="宋体" w:hAnsi="宋体" w:cs="宋体" w:eastAsia="宋体" w:hint="default"/>
          <w:sz w:val="21"/>
          <w:szCs w:val="21"/>
        </w:rPr>
      </w:pPr>
      <w:bookmarkStart w:name="8、现金及现金等价物的确定标准" w:id="176"/>
      <w:bookmarkEnd w:id="17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列示于现金流量表中的现金是指库存现金以及可以随时用于支付的存款。现金等价物是指企业持有的</w:t>
      </w:r>
    </w:p>
    <w:p>
      <w:pPr>
        <w:pStyle w:val="Heading6"/>
        <w:spacing w:line="240" w:lineRule="auto" w:before="40"/>
        <w:ind w:right="1086"/>
        <w:jc w:val="left"/>
      </w:pPr>
      <w:r>
        <w:rPr/>
        <w:t>期限短、流动性强、易于转换为已知金额现金、价值变动风险很小的投资。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7"/>
        <w:ind w:right="1086"/>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外币业务折算</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71" w:lineRule="auto" w:before="35"/>
        <w:ind w:right="1083" w:firstLine="420"/>
        <w:jc w:val="both"/>
      </w:pPr>
      <w:r>
        <w:rPr/>
        <w:t>外币交易在初始确认时，采用交易发生日的即期汇率折算为人民币金额。资产负债表日，外币货币性 项目采用资产负债表日即期汇率折算，因汇率不同而产生的汇兑差额，除与购建符合资本化条件资产有关 的外币专门借款本金及利息的汇兑差额外，计入当期损益；以历史成本计量的外币非货币性项目仍采用交 易发生日的即期汇率折算，不改变其人民币金额；以公允价值计量的外币非货币性项目，采用公允价值确 定日的即期汇率折算，差额计入当期损益或其他综合收益。</w:t>
      </w:r>
    </w:p>
    <w:p>
      <w:pPr>
        <w:pStyle w:val="Heading6"/>
        <w:spacing w:line="261" w:lineRule="auto" w:before="13"/>
        <w:ind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 目外，其他项目采用交易发生日的即期汇率折算；利润表中的收入和费用项目，采用交易发生日即期汇率 的近似汇率折算。按照上述折算产生的外币财务报表折算差额，计入其他综合收益。</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5"/>
        <w:spacing w:line="240" w:lineRule="auto"/>
        <w:ind w:right="1086"/>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t>金融资产和金融负债的分类</w:t>
      </w:r>
    </w:p>
    <w:p>
      <w:pPr>
        <w:pStyle w:val="Heading6"/>
        <w:spacing w:line="247" w:lineRule="auto" w:before="25"/>
        <w:ind w:right="1092" w:firstLine="420"/>
        <w:jc w:val="left"/>
      </w:pPr>
      <w:r>
        <w:rPr/>
        <w:t>金融资产在初始确认时划分为以下三类：</w:t>
      </w:r>
      <w:r>
        <w:rPr>
          <w:rFonts w:ascii="Times New Roman" w:hAnsi="Times New Roman" w:cs="Times New Roman" w:eastAsia="Times New Roman" w:hint="default"/>
        </w:rPr>
        <w:t>(1) </w:t>
      </w:r>
      <w:r>
        <w:rPr/>
        <w:t>以摊余成本计量的金融资产；</w:t>
      </w:r>
      <w:r>
        <w:rPr>
          <w:rFonts w:ascii="Times New Roman" w:hAnsi="Times New Roman" w:cs="Times New Roman" w:eastAsia="Times New Roman" w:hint="default"/>
        </w:rPr>
        <w:t>(2)</w:t>
      </w:r>
      <w:r>
        <w:rPr>
          <w:rFonts w:ascii="Times New Roman" w:hAnsi="Times New Roman" w:cs="Times New Roman" w:eastAsia="Times New Roman" w:hint="default"/>
          <w:spacing w:val="32"/>
        </w:rPr>
        <w:t> </w:t>
      </w:r>
      <w:r>
        <w:rPr/>
        <w:t>以公允价值计量且其变 动计入其他综合收益的金融资产；</w:t>
      </w: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以公允价值计量且其变动计入当期损益的金融资产。</w:t>
      </w:r>
    </w:p>
    <w:p>
      <w:pPr>
        <w:pStyle w:val="Heading6"/>
        <w:spacing w:line="259" w:lineRule="auto" w:before="17"/>
        <w:ind w:right="986" w:firstLine="420"/>
        <w:jc w:val="both"/>
      </w:pPr>
      <w:r>
        <w:rPr/>
        <w:t>金融负债在初始确认时划分为以下四类：</w:t>
      </w:r>
      <w:r>
        <w:rPr>
          <w:rFonts w:ascii="Times New Roman" w:hAnsi="Times New Roman" w:cs="Times New Roman" w:eastAsia="Times New Roman" w:hint="default"/>
        </w:rPr>
        <w:t>(1)</w:t>
      </w:r>
      <w:r>
        <w:rPr>
          <w:rFonts w:ascii="Times New Roman" w:hAnsi="Times New Roman" w:cs="Times New Roman" w:eastAsia="Times New Roman" w:hint="default"/>
          <w:spacing w:val="47"/>
        </w:rPr>
        <w:t> </w:t>
      </w:r>
      <w:r>
        <w:rPr/>
        <w:t>以公允价值计量且其变动计入当期损益的金融负债；</w:t>
      </w:r>
      <w:r>
        <w:rPr>
          <w:rFonts w:ascii="Times New Roman" w:hAnsi="Times New Roman" w:cs="Times New Roman" w:eastAsia="Times New Roman" w:hint="default"/>
        </w:rPr>
        <w:t>(2) </w:t>
      </w:r>
      <w:r>
        <w:rPr/>
        <w:t>金融资产转移不符合终止确认条件或继续涉入被转移金融资产所形成的金融负债；</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 </w:t>
      </w:r>
      <w:r>
        <w:rPr>
          <w:spacing w:val="-2"/>
        </w:rPr>
        <w:t>的财务担保合同，以及不属于上述</w:t>
      </w:r>
      <w:r>
        <w:rPr>
          <w:rFonts w:ascii="Times New Roman" w:hAnsi="Times New Roman" w:cs="Times New Roman" w:eastAsia="Times New Roman" w:hint="default"/>
          <w:spacing w:val="-2"/>
        </w:rPr>
        <w:t>(1)</w:t>
      </w:r>
      <w:r>
        <w:rPr>
          <w:spacing w:val="-2"/>
        </w:rPr>
        <w:t>并以低于市场利率贷款的贷款承诺；</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48"/>
        </w:rPr>
        <w:t> </w:t>
      </w:r>
      <w:r>
        <w:rPr/>
        <w:t>以摊余成本计量的金融负债。</w:t>
      </w:r>
    </w:p>
    <w:p>
      <w:pPr>
        <w:pStyle w:val="Heading6"/>
        <w:spacing w:line="240" w:lineRule="auto" w:before="5"/>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金融资产和金融负债的确认依据、计量方法和终止确认条件</w:t>
      </w:r>
    </w:p>
    <w:p>
      <w:pPr>
        <w:pStyle w:val="Heading6"/>
        <w:spacing w:line="259" w:lineRule="auto" w:before="9"/>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金融资产和金融负债的确认依据和初始计量方法</w:t>
      </w:r>
      <w:r>
        <w:rPr>
          <w:spacing w:val="-102"/>
        </w:rPr>
        <w:t> </w:t>
      </w:r>
      <w:r>
        <w:rPr/>
        <w:t>公司成为金融工具合同的一方时，确认一项金融资产或金融负债。初始确认金融资产或金融负债时，</w:t>
      </w:r>
    </w:p>
    <w:p>
      <w:pPr>
        <w:pStyle w:val="Heading6"/>
        <w:spacing w:line="271" w:lineRule="auto" w:before="23"/>
        <w:ind w:right="1083"/>
        <w:jc w:val="both"/>
      </w:pPr>
      <w:r>
        <w:rPr/>
        <w:t>按照公允价值计量；对于以公允价值计量且其变动计入当期损益的金融资产和金融负债，相关交易费用直 接计入当期损益；对于其他类别的金融资产或金融负债，相关交易费用计入初始确认金额。但是，公司初 始确认的应收账款未包含重大融资成分或公司不考虑未超过一年的合同中的融资成分的，按照交易价格进 行初始计量。</w:t>
      </w:r>
    </w:p>
    <w:p>
      <w:pPr>
        <w:pStyle w:val="Heading6"/>
        <w:spacing w:line="240" w:lineRule="auto" w:before="13"/>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金融资产的后续计量方法</w:t>
      </w:r>
    </w:p>
    <w:p>
      <w:pPr>
        <w:pStyle w:val="Heading6"/>
        <w:spacing w:line="259" w:lineRule="auto" w:before="25"/>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以摊余成本计量的金融资产</w:t>
      </w:r>
      <w:r>
        <w:rPr>
          <w:w w:val="99"/>
        </w:rPr>
        <w:t> </w:t>
      </w:r>
      <w:r>
        <w:rPr>
          <w:spacing w:val="-1"/>
        </w:rPr>
        <w:t>采用实际利率法，按照摊余成本进行后续计量。以摊余成本计量且不属于任何套期关系的一部分的金</w:t>
      </w:r>
    </w:p>
    <w:p>
      <w:pPr>
        <w:pStyle w:val="Heading6"/>
        <w:spacing w:line="261" w:lineRule="auto" w:before="23"/>
        <w:ind w:left="561" w:right="993" w:hanging="421"/>
        <w:jc w:val="left"/>
      </w:pPr>
      <w:r>
        <w:rPr/>
        <w:t>融资产所产生的利得或损失，在终止确认、重分类、按照实际利率法摊销或确认减值时，计入当期损益。 </w:t>
      </w: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以公允价值计量且其变动计入其他综合收益的债务工具投资 </w:t>
      </w:r>
      <w:r>
        <w:rPr>
          <w:spacing w:val="-3"/>
        </w:rPr>
        <w:t>采用公允价值进行后续计量。采用实际利率法计算的利息、减值损失或利得及汇兑损益计入当期损益，</w:t>
      </w:r>
    </w:p>
    <w:p>
      <w:pPr>
        <w:pStyle w:val="Heading6"/>
        <w:spacing w:line="276" w:lineRule="auto" w:before="21"/>
        <w:ind w:right="1114"/>
        <w:jc w:val="both"/>
      </w:pPr>
      <w:r>
        <w:rPr>
          <w:spacing w:val="-1"/>
        </w:rPr>
        <w:t>其他利得或损失计入其他综合收益。终止确认时，将之前计入其他综合收益的累计利得或损失从其他综合</w:t>
      </w:r>
      <w:r>
        <w:rPr>
          <w:spacing w:val="-91"/>
        </w:rPr>
        <w:t> </w:t>
      </w:r>
      <w:r>
        <w:rPr>
          <w:spacing w:val="-91"/>
        </w:rPr>
      </w:r>
      <w:r>
        <w:rPr/>
        <w:t>收益中转出，计入当期损益。</w:t>
      </w:r>
    </w:p>
    <w:p>
      <w:pPr>
        <w:pStyle w:val="Heading6"/>
        <w:spacing w:line="247" w:lineRule="auto" w:before="9"/>
        <w:ind w:left="56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以公允价值计量且其变动计入其他综合收益的权益工具投资</w:t>
      </w:r>
      <w:r>
        <w:rPr>
          <w:w w:val="99"/>
        </w:rPr>
        <w:t> </w:t>
      </w:r>
      <w:r>
        <w:rPr/>
        <w:t>采用公允价值进行后续计量。获得的股利（属于投资成本收回部分的除外）计入当期损益，其他利得</w:t>
      </w:r>
    </w:p>
    <w:p>
      <w:pPr>
        <w:pStyle w:val="Heading6"/>
        <w:spacing w:line="276" w:lineRule="auto" w:before="34"/>
        <w:ind w:right="1114"/>
        <w:jc w:val="both"/>
      </w:pPr>
      <w:r>
        <w:rPr>
          <w:spacing w:val="-1"/>
        </w:rPr>
        <w:t>或损失计入其他综合收益。终止确认时，将之前计入其他综合收益的累计利得或损失从其他综合收益中转</w:t>
      </w:r>
      <w:r>
        <w:rPr>
          <w:spacing w:val="-91"/>
        </w:rPr>
        <w:t> </w:t>
      </w:r>
      <w:r>
        <w:rPr>
          <w:spacing w:val="-91"/>
        </w:rPr>
      </w:r>
      <w:r>
        <w:rPr/>
        <w:t>出，计入留存收益。</w:t>
      </w:r>
    </w:p>
    <w:p>
      <w:pPr>
        <w:pStyle w:val="Heading6"/>
        <w:spacing w:line="259" w:lineRule="auto" w:before="9"/>
        <w:ind w:left="561" w:right="10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2"/>
        </w:rPr>
        <w:t> </w:t>
      </w:r>
      <w:r>
        <w:rPr/>
        <w:t>以公允价值计量且其变动计入当期损益的金融资产</w:t>
      </w:r>
      <w:r>
        <w:rPr>
          <w:w w:val="99"/>
        </w:rPr>
        <w:t> </w:t>
      </w:r>
      <w:r>
        <w:rPr>
          <w:spacing w:val="-3"/>
        </w:rPr>
        <w:t>采用公允价值进行后续计量，产生的利得或损失（包括利息和股利收入</w:t>
      </w:r>
      <w:r>
        <w:rPr>
          <w:rFonts w:ascii="Times New Roman" w:hAnsi="Times New Roman" w:cs="Times New Roman" w:eastAsia="Times New Roman" w:hint="default"/>
          <w:spacing w:val="-3"/>
        </w:rPr>
        <w:t>)</w:t>
      </w:r>
      <w:r>
        <w:rPr>
          <w:spacing w:val="-3"/>
        </w:rPr>
        <w:t>计入当期损益，除非该金融资</w:t>
      </w:r>
    </w:p>
    <w:p>
      <w:pPr>
        <w:pStyle w:val="Heading6"/>
        <w:spacing w:line="266" w:lineRule="exact"/>
        <w:ind w:right="1086"/>
        <w:jc w:val="left"/>
      </w:pPr>
      <w:r>
        <w:rPr/>
        <w:t>产属于套期关系的一部分。</w:t>
      </w:r>
    </w:p>
    <w:p>
      <w:pPr>
        <w:pStyle w:val="Heading6"/>
        <w:spacing w:line="240" w:lineRule="auto" w:before="40"/>
        <w:ind w:left="561" w:right="10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6"/>
        </w:rPr>
        <w:t> </w:t>
      </w:r>
      <w:r>
        <w:rPr/>
        <w:t>金融负债的后续计量方法</w:t>
      </w:r>
    </w:p>
    <w:p>
      <w:pPr>
        <w:pStyle w:val="Heading6"/>
        <w:spacing w:line="261" w:lineRule="auto" w:before="24"/>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以公允价值计量且其变动计入当期损益的金融负债</w:t>
      </w:r>
      <w:r>
        <w:rPr>
          <w:w w:val="99"/>
        </w:rPr>
        <w:t> </w:t>
      </w:r>
      <w:r>
        <w:rPr>
          <w:spacing w:val="-1"/>
        </w:rPr>
        <w:t>此类金融负债包括交易性金融负债（含属于金融负债的衍生工具）和指定为以公允价值计量且其变动</w:t>
      </w:r>
    </w:p>
    <w:p>
      <w:pPr>
        <w:spacing w:after="0" w:line="261"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71" w:lineRule="auto" w:before="35"/>
        <w:ind w:right="1083"/>
        <w:jc w:val="both"/>
      </w:pPr>
      <w:r>
        <w:rPr/>
        <w:t>计入当期损益的金融负债。对于此类金融负债以公允价值进行后续计量。因公司自身信用风险变动引起的 指定为以公允价值计量且其变动计入当期损益的金融负债的公允价值变动金额计入其他综合收益，除非该 处理会造成或扩大损益中的会计错配。此类金融负债产生的其他利得或损失（包括利息费用、除因公司自 身信用风险变动引起的公允价值变动）计入当期损益，除非该金融负债属于套期关系的一部分。终止确认 时，将之前计入其他综合收益的累计利得或损失从其他综合收益中转出，计入留存收益。</w:t>
      </w:r>
    </w:p>
    <w:p>
      <w:pPr>
        <w:pStyle w:val="Heading6"/>
        <w:spacing w:line="259" w:lineRule="auto" w:before="13"/>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金融资产转移不符合终止确认条件或继续涉入被转移金融资产所形成的金融负债</w:t>
      </w:r>
      <w:r>
        <w:rPr>
          <w:w w:val="99"/>
        </w:rPr>
        <w:t> </w:t>
      </w:r>
      <w:r>
        <w:rPr/>
        <w:t>按照《企业会计准则第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金融资产转移》相关规定进行计量。</w:t>
      </w:r>
    </w:p>
    <w:p>
      <w:pPr>
        <w:pStyle w:val="Heading6"/>
        <w:spacing w:line="247" w:lineRule="auto" w:before="6"/>
        <w:ind w:left="561" w:right="10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不属于上述</w:t>
      </w:r>
      <w:r>
        <w:rPr>
          <w:rFonts w:ascii="Times New Roman" w:hAnsi="Times New Roman" w:cs="Times New Roman" w:eastAsia="Times New Roman" w:hint="default"/>
        </w:rPr>
        <w:t>1)</w:t>
      </w:r>
      <w:r>
        <w:rPr/>
        <w:t>或</w:t>
      </w:r>
      <w:r>
        <w:rPr>
          <w:rFonts w:ascii="Times New Roman" w:hAnsi="Times New Roman" w:cs="Times New Roman" w:eastAsia="Times New Roman" w:hint="default"/>
        </w:rPr>
        <w:t>2)</w:t>
      </w:r>
      <w:r>
        <w:rPr/>
        <w:t>的财务担保合同，以及不属于上述</w:t>
      </w:r>
      <w:r>
        <w:rPr>
          <w:rFonts w:ascii="Times New Roman" w:hAnsi="Times New Roman" w:cs="Times New Roman" w:eastAsia="Times New Roman" w:hint="default"/>
        </w:rPr>
        <w:t>1)</w:t>
      </w:r>
      <w:r>
        <w:rPr/>
        <w:t>并以低于市场利率贷款的贷款承诺</w:t>
      </w:r>
      <w:r>
        <w:rPr>
          <w:w w:val="99"/>
        </w:rPr>
        <w:t> </w:t>
      </w:r>
      <w:r>
        <w:rPr>
          <w:spacing w:val="2"/>
        </w:rPr>
        <w:t>在初始确认后按照下列两项金额之中的较高者进行后续计量：①</w:t>
      </w:r>
      <w:r>
        <w:rPr>
          <w:spacing w:val="13"/>
        </w:rPr>
        <w:t> </w:t>
      </w:r>
      <w:r>
        <w:rPr/>
        <w:t>按照金融工具的减值规定确定的损</w:t>
      </w:r>
    </w:p>
    <w:p>
      <w:pPr>
        <w:pStyle w:val="Heading6"/>
        <w:spacing w:line="240" w:lineRule="auto" w:before="34"/>
        <w:ind w:right="0"/>
        <w:jc w:val="both"/>
      </w:pPr>
      <w:r>
        <w:rPr/>
        <w:t>失准备金额；②</w:t>
      </w:r>
      <w:r>
        <w:rPr>
          <w:spacing w:val="-16"/>
        </w:rPr>
        <w:t> </w:t>
      </w:r>
      <w:r>
        <w:rPr/>
        <w:t>初始确认金额扣除按照相关规定所确定的累计摊销额后的余额。</w:t>
      </w:r>
    </w:p>
    <w:p>
      <w:pPr>
        <w:pStyle w:val="Heading6"/>
        <w:spacing w:line="259" w:lineRule="auto" w:before="40"/>
        <w:ind w:left="561" w:right="10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2"/>
        </w:rPr>
        <w:t> </w:t>
      </w:r>
      <w:r>
        <w:rPr/>
        <w:t>以摊余成本计量的金融负债</w:t>
      </w:r>
      <w:r>
        <w:rPr>
          <w:w w:val="99"/>
        </w:rPr>
        <w:t> </w:t>
      </w:r>
      <w:r>
        <w:rPr>
          <w:spacing w:val="-1"/>
        </w:rPr>
        <w:t>采用实际利率法以摊余成本计量。以摊余成本计量且不属于任何套期关系的一部分的金融负债所产生</w:t>
      </w:r>
    </w:p>
    <w:p>
      <w:pPr>
        <w:pStyle w:val="Heading6"/>
        <w:spacing w:line="240" w:lineRule="auto" w:before="24"/>
        <w:ind w:right="0"/>
        <w:jc w:val="both"/>
      </w:pPr>
      <w:r>
        <w:rPr/>
        <w:t>的利得或损失，在终止确认、按照实际利率法摊销时计入当期损益。</w:t>
      </w:r>
    </w:p>
    <w:p>
      <w:pPr>
        <w:pStyle w:val="Heading6"/>
        <w:spacing w:line="240" w:lineRule="auto" w:before="25"/>
        <w:ind w:left="561" w:right="10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6"/>
        </w:rPr>
        <w:t> </w:t>
      </w:r>
      <w:r>
        <w:rPr/>
        <w:t>金融资产和金融负债的终止确认</w:t>
      </w:r>
    </w:p>
    <w:p>
      <w:pPr>
        <w:pStyle w:val="Heading6"/>
        <w:spacing w:line="240" w:lineRule="auto" w:before="25"/>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当满足下列条件之一时，终止确认金融资产：</w:t>
      </w:r>
    </w:p>
    <w:p>
      <w:pPr>
        <w:pStyle w:val="Heading6"/>
        <w:spacing w:line="240" w:lineRule="auto" w:before="24"/>
        <w:ind w:left="561" w:right="1086"/>
        <w:jc w:val="left"/>
      </w:pPr>
      <w:r>
        <w:rPr/>
        <w:t>①</w:t>
      </w:r>
      <w:r>
        <w:rPr>
          <w:spacing w:val="-15"/>
        </w:rPr>
        <w:t> </w:t>
      </w:r>
      <w:r>
        <w:rPr/>
        <w:t>收取金融资产现金流量的合同权利已终止；</w:t>
      </w:r>
    </w:p>
    <w:p>
      <w:pPr>
        <w:pStyle w:val="Heading6"/>
        <w:spacing w:line="259" w:lineRule="auto" w:before="40"/>
        <w:ind w:right="1122" w:firstLine="420"/>
        <w:jc w:val="both"/>
      </w:pPr>
      <w:r>
        <w:rPr/>
        <w:t>②</w:t>
      </w:r>
      <w:r>
        <w:rPr>
          <w:spacing w:val="53"/>
        </w:rPr>
        <w:t> </w:t>
      </w:r>
      <w:r>
        <w:rPr/>
        <w:t>金融资产已转移，且该转移满足《企业会计准则第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金融资产转移》关于金融资产终止确 认的规定。</w:t>
      </w:r>
    </w:p>
    <w:p>
      <w:pPr>
        <w:pStyle w:val="Heading6"/>
        <w:spacing w:line="240" w:lineRule="auto" w:before="9"/>
        <w:ind w:left="561"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spacing w:val="-9"/>
        </w:rPr>
        <w:t>当金融负债（或其一部分）的现时义务已经解除时，相应终止确认该金融负债（或该部分金融负债）。</w:t>
      </w:r>
    </w:p>
    <w:p>
      <w:pPr>
        <w:pStyle w:val="Heading6"/>
        <w:spacing w:line="259" w:lineRule="auto" w:before="24"/>
        <w:ind w:left="561" w:right="10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金融资产转移的确认依据和计量方法 </w:t>
      </w:r>
      <w:r>
        <w:rPr>
          <w:spacing w:val="-1"/>
        </w:rPr>
        <w:t>公司转移了金融资产所有权上几乎所有的风险和报酬的，终止确认该金融资产，并将转移中产生或保</w:t>
      </w:r>
    </w:p>
    <w:p>
      <w:pPr>
        <w:pStyle w:val="Heading6"/>
        <w:spacing w:line="264" w:lineRule="auto" w:before="23"/>
        <w:ind w:right="1114"/>
        <w:jc w:val="both"/>
      </w:pPr>
      <w:r>
        <w:rPr>
          <w:spacing w:val="-1"/>
        </w:rPr>
        <w:t>留的权利和义务单独确认为资产或负债；保留了金融资产所有权上几乎所有的风险和报酬的，继续确认所</w:t>
      </w:r>
      <w:r>
        <w:rPr>
          <w:spacing w:val="-91"/>
        </w:rPr>
        <w:t> </w:t>
      </w:r>
      <w:r>
        <w:rPr>
          <w:spacing w:val="-91"/>
        </w:rPr>
      </w:r>
      <w:r>
        <w:rPr>
          <w:spacing w:val="-1"/>
        </w:rPr>
        <w:t>转移的金融资产。公司既没有转移也没有保留金融资产所有权上几乎所有的风险和报酬的，分别下列情况</w:t>
      </w:r>
      <w:r>
        <w:rPr>
          <w:spacing w:val="-91"/>
        </w:rPr>
        <w:t> </w:t>
      </w:r>
      <w:r>
        <w:rPr>
          <w:spacing w:val="-91"/>
        </w:rPr>
      </w:r>
      <w:r>
        <w:rPr/>
        <w:t>处理：</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未保留对该金融资产控制的，终止确认该金融资产，并将转移中产生或保留的权利和义务单独</w:t>
      </w:r>
      <w:r>
        <w:rPr>
          <w:spacing w:val="-95"/>
        </w:rPr>
        <w:t> </w:t>
      </w:r>
      <w:r>
        <w:rPr>
          <w:spacing w:val="-95"/>
        </w:rPr>
      </w:r>
      <w:r>
        <w:rPr/>
        <w:t>确认为资产或负债；</w:t>
      </w: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保留了对该金融资产控制的，按照继续涉入所转移金融资产的程度确认有关金融</w:t>
      </w:r>
      <w:r>
        <w:rPr>
          <w:spacing w:val="-95"/>
        </w:rPr>
        <w:t> </w:t>
      </w:r>
      <w:r>
        <w:rPr>
          <w:spacing w:val="-95"/>
        </w:rPr>
      </w:r>
      <w:r>
        <w:rPr/>
        <w:t>资产，并相应确认有关负债。</w:t>
      </w:r>
    </w:p>
    <w:p>
      <w:pPr>
        <w:pStyle w:val="Heading6"/>
        <w:spacing w:line="266" w:lineRule="auto" w:before="19"/>
        <w:ind w:right="1083" w:firstLine="420"/>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t>所转移金融资产 在终止确认日的账面价值；</w:t>
      </w:r>
      <w:r>
        <w:rPr>
          <w:rFonts w:ascii="Times New Roman" w:hAnsi="Times New Roman" w:cs="Times New Roman" w:eastAsia="Times New Roman" w:hint="default"/>
        </w:rPr>
        <w:t>(2) </w:t>
      </w:r>
      <w:r>
        <w:rPr/>
        <w:t>因转移金融资产而收到的对价，与原直接计入其他综合收益的公允价值变</w:t>
      </w:r>
      <w:r>
        <w:rPr>
          <w:spacing w:val="-69"/>
        </w:rPr>
        <w:t> </w:t>
      </w:r>
      <w:r>
        <w:rPr>
          <w:spacing w:val="-69"/>
        </w:rPr>
      </w:r>
      <w:r>
        <w:rPr/>
        <w:t>动累计额中对应终止确认部分的金额（涉及转移的金融资产为以公允价值计量且其变动计入其他综合收益</w:t>
      </w:r>
      <w:r>
        <w:rPr/>
        <w:t> 的债务工具投资）之和。转移了金融资产的一部分，且该被转移部分整体满足终止确认条件的，将转移前 金融资产整体的账面价值，在终止确认部分和继续确认部分之间，按照转移日各自的相对公允价值进行分 摊，并将下列两项金额的差额计入当期损益：</w:t>
      </w:r>
      <w:r>
        <w:rPr>
          <w:rFonts w:ascii="Times New Roman" w:hAnsi="Times New Roman" w:cs="Times New Roman" w:eastAsia="Times New Roman" w:hint="default"/>
        </w:rPr>
        <w:t>(1) </w:t>
      </w:r>
      <w:r>
        <w:rPr/>
        <w:t>终止确认部分的账面价值；</w:t>
      </w: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终止确认部分的对价，与 原直接计入其他综合收益的公允价值变动累计额中对应终止确认部分的金额（涉及转移的金融资产为以公 允价值计量且其变动计入其他综合收益的债务工具投资）之和。</w:t>
      </w:r>
    </w:p>
    <w:p>
      <w:pPr>
        <w:pStyle w:val="Heading6"/>
        <w:spacing w:line="259" w:lineRule="auto" w:before="17"/>
        <w:ind w:left="561" w:right="10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5"/>
        </w:rPr>
        <w:t> </w:t>
      </w:r>
      <w:r>
        <w:rPr/>
        <w:t>金融资产和金融负债的公允价值确定方法 </w:t>
      </w:r>
      <w:r>
        <w:rPr>
          <w:spacing w:val="4"/>
        </w:rPr>
        <w:t>公司采用在当前情况下适用并且有足够可利用数据和其他信息支持的估值技术确定相关金融资产和</w:t>
      </w:r>
    </w:p>
    <w:p>
      <w:pPr>
        <w:pStyle w:val="Heading6"/>
        <w:spacing w:line="240" w:lineRule="auto" w:before="24"/>
        <w:ind w:right="0"/>
        <w:jc w:val="both"/>
      </w:pPr>
      <w:r>
        <w:rPr/>
        <w:t>金融负债的公允价值。公司将估值技术使用的输入值分以下层级，并依次使用：</w:t>
      </w:r>
    </w:p>
    <w:p>
      <w:pPr>
        <w:pStyle w:val="Heading6"/>
        <w:spacing w:line="240" w:lineRule="auto" w:before="40"/>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第一层次输入值是在计量日能够取得的相同资产或负债在活跃市场上未经调整的报价；</w:t>
      </w:r>
    </w:p>
    <w:p>
      <w:pPr>
        <w:pStyle w:val="Heading6"/>
        <w:spacing w:line="268" w:lineRule="auto" w:before="9"/>
        <w:ind w:right="1115"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第二层次输入值是除第一层次输入值外相关资产或负债直接或间接可观察的输入值，包括：活跃</w:t>
      </w:r>
      <w:r>
        <w:rPr>
          <w:w w:val="99"/>
        </w:rPr>
        <w:t> </w:t>
      </w:r>
      <w:r>
        <w:rPr>
          <w:spacing w:val="-1"/>
        </w:rPr>
        <w:t>市场中类似资产或负债的报价；非活跃市场中相同或类似资产或负债的报价；除报价以外的其他可观察输</w:t>
      </w:r>
      <w:r>
        <w:rPr>
          <w:spacing w:val="-92"/>
        </w:rPr>
        <w:t> </w:t>
      </w:r>
      <w:r>
        <w:rPr>
          <w:spacing w:val="-92"/>
        </w:rPr>
      </w:r>
      <w:r>
        <w:rPr/>
        <w:t>入值，如在正常报价间隔期间可观察的利率和收益率曲线等；市场验证的输入值等；</w:t>
      </w:r>
    </w:p>
    <w:p>
      <w:pPr>
        <w:pStyle w:val="Heading6"/>
        <w:spacing w:line="261" w:lineRule="auto" w:before="15"/>
        <w:ind w:right="1083"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第三层次输入值是相关资产或负债的不可观察输入值，包括不能直接观察或无法由可观察市场数</w:t>
      </w:r>
      <w:r>
        <w:rPr>
          <w:w w:val="99"/>
        </w:rPr>
        <w:t> </w:t>
      </w:r>
      <w:r>
        <w:rPr/>
        <w:t>据验证的利率、股票波动率、企业合并中承担的弃置义务的未来现金流量、使用自身数据作出的财务预测</w:t>
      </w:r>
      <w:r>
        <w:rPr>
          <w:w w:val="99"/>
        </w:rPr>
        <w:t> </w:t>
      </w:r>
      <w:r>
        <w:rPr/>
        <w:t>等。</w:t>
      </w:r>
    </w:p>
    <w:p>
      <w:pPr>
        <w:spacing w:after="0" w:line="261"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40" w:lineRule="auto" w:before="35"/>
        <w:ind w:left="561" w:right="108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t>金融工具减值</w:t>
      </w:r>
    </w:p>
    <w:p>
      <w:pPr>
        <w:pStyle w:val="Heading6"/>
        <w:spacing w:line="259" w:lineRule="auto" w:before="24"/>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金融工具减值计量和会计处理</w:t>
      </w:r>
      <w:r>
        <w:rPr>
          <w:spacing w:val="-102"/>
        </w:rPr>
        <w:t> </w:t>
      </w:r>
      <w:r>
        <w:rPr>
          <w:spacing w:val="-1"/>
        </w:rPr>
        <w:t>公司以预期信用损失为基础，对以摊余成本计量的金融资产、以公允价值计量且其变动计入其他综合</w:t>
      </w:r>
    </w:p>
    <w:p>
      <w:pPr>
        <w:pStyle w:val="Heading6"/>
        <w:spacing w:line="276" w:lineRule="auto" w:before="8"/>
        <w:ind w:right="1102"/>
        <w:jc w:val="both"/>
      </w:pPr>
      <w:r>
        <w:rPr>
          <w:spacing w:val="-1"/>
        </w:rPr>
        <w:t>收益的债务工具投资、租赁应收款、分类为以公允价值计量且其变动计入当期损益的金融负债以外的贷款</w:t>
      </w:r>
      <w:r>
        <w:rPr>
          <w:spacing w:val="-93"/>
        </w:rPr>
        <w:t> </w:t>
      </w:r>
      <w:r>
        <w:rPr>
          <w:spacing w:val="-93"/>
        </w:rPr>
      </w:r>
      <w:r>
        <w:rPr>
          <w:spacing w:val="-1"/>
        </w:rPr>
        <w:t>承诺、不属于以公允价值计量且其变动计入当期损益的金融负债或不属于金融资产转移不符合终止确认条</w:t>
      </w:r>
      <w:r>
        <w:rPr>
          <w:spacing w:val="-74"/>
        </w:rPr>
        <w:t> </w:t>
      </w:r>
      <w:r>
        <w:rPr>
          <w:spacing w:val="-74"/>
        </w:rPr>
      </w:r>
      <w:r>
        <w:rPr/>
        <w:t>件或继续涉入被转移金融资产所形成的金融负债的财务担保合同进行减值处理并确认损失准备。</w:t>
      </w:r>
    </w:p>
    <w:p>
      <w:pPr>
        <w:pStyle w:val="Heading6"/>
        <w:spacing w:line="271" w:lineRule="auto" w:before="8"/>
        <w:ind w:right="1085" w:firstLine="420"/>
        <w:jc w:val="both"/>
      </w:pPr>
      <w:r>
        <w:rPr/>
        <w:t>预期信用损失，是指以发生违约的风险为权重的金融工具信用损失的加权平均值。信用损失，是指公 司按照原实际利率折现的、根据合同应收的所有合同现金流量与预期收取的所有现金流量之间的差额，即 全部现金短缺的现值。其中，对于公司购买或源生的已发生信用减值的金融资产，按照该金融资产经信用 调整的实际利率折现。</w:t>
      </w:r>
    </w:p>
    <w:p>
      <w:pPr>
        <w:pStyle w:val="Heading6"/>
        <w:spacing w:line="276" w:lineRule="auto" w:before="13"/>
        <w:ind w:right="1099" w:firstLine="420"/>
        <w:jc w:val="both"/>
      </w:pPr>
      <w:r>
        <w:rPr/>
        <w:t>对于购买或源生的已发生信用减值的金融资产，公司在资产负债表日仅将自初始确认后整个存续期内 预期信用损失的累计变动确认为损失准备。</w:t>
      </w:r>
    </w:p>
    <w:p>
      <w:pPr>
        <w:pStyle w:val="Heading6"/>
        <w:spacing w:line="261" w:lineRule="auto" w:before="9"/>
        <w:ind w:right="1099" w:firstLine="420"/>
        <w:jc w:val="both"/>
      </w:pPr>
      <w:r>
        <w:rPr/>
        <w:t>对于不含重大融资成分或者公司不考虑不超过一年的合同中的融资成分的应收账款，公司运用简化计 量方法，按照相当于整个存续期内的预期信用损失金额计量损失准备。</w:t>
      </w:r>
    </w:p>
    <w:p>
      <w:pPr>
        <w:pStyle w:val="Heading6"/>
        <w:spacing w:line="276" w:lineRule="auto" w:before="22"/>
        <w:ind w:right="1085" w:firstLine="420"/>
        <w:jc w:val="both"/>
      </w:pPr>
      <w:r>
        <w:rPr/>
        <w:t>对于租赁应收款、包含重大融资成分的应收账款，公司运用简化计量方法，按照相当于整个存续期内 的预期信用损失金额计量损失准备。</w:t>
      </w:r>
    </w:p>
    <w:p>
      <w:pPr>
        <w:pStyle w:val="Heading6"/>
        <w:spacing w:line="266" w:lineRule="auto" w:before="9"/>
        <w:ind w:right="1111" w:firstLine="420"/>
        <w:jc w:val="both"/>
      </w:pPr>
      <w:r>
        <w:rPr>
          <w:spacing w:val="-1"/>
        </w:rPr>
        <w:t>除上述计量方法以外的金融资产，公司在每个资产负债表日评估其信用风险自初始确认后是否已经显</w:t>
      </w:r>
      <w:r>
        <w:rPr/>
        <w:t> </w:t>
      </w:r>
      <w:r>
        <w:rPr>
          <w:spacing w:val="-1"/>
        </w:rPr>
        <w:t>著增加。如果信用风险自初始确认后已显著增加，公司按照整个存续期内预期信用损失的金额计量损失准</w:t>
      </w:r>
      <w:r>
        <w:rPr>
          <w:spacing w:val="-89"/>
        </w:rPr>
        <w:t> </w:t>
      </w:r>
      <w:r>
        <w:rPr>
          <w:spacing w:val="-89"/>
        </w:rPr>
      </w:r>
      <w:r>
        <w:rPr>
          <w:spacing w:val="-1"/>
        </w:rPr>
        <w:t>备；如果信用风险自初始确认后未显著增加，公司按照该金融工具未来</w:t>
      </w:r>
      <w:r>
        <w:rPr>
          <w:rFonts w:ascii="Times New Roman" w:hAnsi="Times New Roman" w:cs="Times New Roman" w:eastAsia="Times New Roman" w:hint="default"/>
          <w:spacing w:val="-1"/>
        </w:rPr>
        <w:t>12</w:t>
      </w:r>
      <w:r>
        <w:rPr>
          <w:spacing w:val="-1"/>
        </w:rPr>
        <w:t>个月内预期信用损失的金额计量</w:t>
      </w:r>
      <w:r>
        <w:rPr>
          <w:spacing w:val="-92"/>
        </w:rPr>
        <w:t> </w:t>
      </w:r>
      <w:r>
        <w:rPr/>
        <w:t>损失准备。</w:t>
      </w:r>
    </w:p>
    <w:p>
      <w:pPr>
        <w:pStyle w:val="Heading4"/>
        <w:spacing w:line="261" w:lineRule="auto" w:before="6"/>
        <w:ind w:right="1115" w:firstLine="420"/>
        <w:jc w:val="both"/>
        <w:rPr>
          <w:i w:val="0"/>
        </w:rPr>
      </w:pPr>
      <w:r>
        <w:rPr>
          <w:spacing w:val="-1"/>
          <w:w w:val="95"/>
        </w:rPr>
        <w:t>公司利用可获得的合理且有依据的信息，包括前瞻性信息，通过比较金融工具在资产负债表日发生违</w:t>
      </w:r>
      <w:r>
        <w:rPr>
          <w:w w:val="95"/>
        </w:rPr>
        <w:t> </w:t>
      </w:r>
      <w:r>
        <w:rPr>
          <w:w w:val="95"/>
        </w:rPr>
        <w:t>约的风险与在初始确认日发生违约的风险，以确定金融工具的信用风险自初始确认后是否已显著增加。</w:t>
      </w:r>
      <w:r>
        <w:rPr>
          <w:i w:val="0"/>
        </w:rPr>
      </w:r>
    </w:p>
    <w:p>
      <w:pPr>
        <w:pStyle w:val="Heading6"/>
        <w:spacing w:line="261" w:lineRule="auto" w:before="19"/>
        <w:ind w:right="1115" w:firstLine="420"/>
        <w:jc w:val="both"/>
      </w:pPr>
      <w:r>
        <w:rPr>
          <w:spacing w:val="-1"/>
        </w:rPr>
        <w:t>于资产负债表日，若公司判断金融工具只具有较低的信用风险，则假定该金融工具的信用风险自初始</w:t>
      </w:r>
      <w:r>
        <w:rPr/>
        <w:t> 确认后并未显著增加。</w:t>
      </w:r>
    </w:p>
    <w:p>
      <w:pPr>
        <w:pStyle w:val="Heading6"/>
        <w:spacing w:line="276" w:lineRule="auto" w:before="21"/>
        <w:ind w:right="1102" w:firstLine="420"/>
        <w:jc w:val="both"/>
      </w:pPr>
      <w:r>
        <w:rPr>
          <w:spacing w:val="-1"/>
        </w:rPr>
        <w:t>公司以单项金融工具或金融工具组合为基础评估预期信用风险和计量预期信用损失。当以金融工具组</w:t>
      </w:r>
      <w:r>
        <w:rPr/>
        <w:t> 合为基础时，公司以共同风险特征为依据，将金融工具划分为不同组合。</w:t>
      </w:r>
    </w:p>
    <w:p>
      <w:pPr>
        <w:pStyle w:val="Heading6"/>
        <w:spacing w:line="271" w:lineRule="auto" w:before="8"/>
        <w:ind w:right="1114" w:firstLine="420"/>
        <w:jc w:val="both"/>
      </w:pPr>
      <w:r>
        <w:rPr>
          <w:spacing w:val="-1"/>
        </w:rPr>
        <w:t>公司在每个资产负债表日重新计量预期信用损失，由此形成的损失准备的增加或转回金额，作为减值</w:t>
      </w:r>
      <w:r>
        <w:rPr/>
        <w:t> </w:t>
      </w:r>
      <w:r>
        <w:rPr>
          <w:spacing w:val="-1"/>
        </w:rPr>
        <w:t>损失或利得计入当期损益。对于以摊余成本计量的金融资产，损失准备抵减该金融资产在资产负债表中列</w:t>
      </w:r>
      <w:r>
        <w:rPr>
          <w:spacing w:val="-91"/>
        </w:rPr>
        <w:t> </w:t>
      </w:r>
      <w:r>
        <w:rPr>
          <w:spacing w:val="-91"/>
        </w:rPr>
      </w:r>
      <w:r>
        <w:rPr>
          <w:spacing w:val="-1"/>
        </w:rPr>
        <w:t>示的账面价值；对于以公允价值计量且其变动计入其他综合收益的债权投资，公司在其他综合收益中确认</w:t>
      </w:r>
      <w:r>
        <w:rPr>
          <w:spacing w:val="-89"/>
        </w:rPr>
        <w:t> </w:t>
      </w:r>
      <w:r>
        <w:rPr>
          <w:spacing w:val="-89"/>
        </w:rPr>
      </w:r>
      <w:r>
        <w:rPr/>
        <w:t>其损失准备，不抵减该金融资产的账面价值。</w:t>
      </w:r>
    </w:p>
    <w:p>
      <w:pPr>
        <w:pStyle w:val="Heading6"/>
        <w:spacing w:line="240" w:lineRule="auto" w:before="13"/>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按组合评估预期信用风险和计量预期信用损失的金融工具</w:t>
      </w:r>
    </w:p>
    <w:p>
      <w:pPr>
        <w:spacing w:line="240" w:lineRule="auto" w:before="6"/>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869"/>
        <w:gridCol w:w="2794"/>
        <w:gridCol w:w="3252"/>
      </w:tblGrid>
      <w:tr>
        <w:trPr>
          <w:trHeight w:val="345"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375"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0"/>
                <w:sz w:val="21"/>
                <w:szCs w:val="21"/>
              </w:rPr>
              <w:t> </w:t>
            </w:r>
            <w:r>
              <w:rPr>
                <w:rFonts w:ascii="宋体" w:hAnsi="宋体" w:cs="宋体" w:eastAsia="宋体" w:hint="default"/>
                <w:sz w:val="21"/>
                <w:szCs w:val="21"/>
              </w:rPr>
              <w:t>目</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1"/>
              <w:jc w:val="center"/>
              <w:rPr>
                <w:rFonts w:ascii="宋体" w:hAnsi="宋体" w:cs="宋体" w:eastAsia="宋体" w:hint="default"/>
                <w:sz w:val="21"/>
                <w:szCs w:val="21"/>
              </w:rPr>
            </w:pPr>
            <w:r>
              <w:rPr>
                <w:rFonts w:ascii="宋体" w:hAnsi="宋体" w:cs="宋体" w:eastAsia="宋体" w:hint="default"/>
                <w:sz w:val="21"/>
                <w:szCs w:val="21"/>
              </w:rPr>
              <w:t>确定组合的依据</w:t>
            </w:r>
          </w:p>
        </w:tc>
        <w:tc>
          <w:tcPr>
            <w:tcW w:w="3252"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left="450"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1592"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2"/>
              <w:jc w:val="center"/>
              <w:rPr>
                <w:rFonts w:ascii="宋体" w:hAnsi="宋体" w:cs="宋体" w:eastAsia="宋体" w:hint="default"/>
                <w:sz w:val="22"/>
                <w:szCs w:val="22"/>
              </w:rPr>
            </w:pPr>
            <w:r>
              <w:rPr>
                <w:rFonts w:ascii="宋体" w:hAnsi="宋体" w:cs="宋体" w:eastAsia="宋体" w:hint="default"/>
                <w:i/>
                <w:sz w:val="22"/>
                <w:szCs w:val="22"/>
              </w:rPr>
              <w:t>账龄</w:t>
            </w:r>
            <w:r>
              <w:rPr>
                <w:rFonts w:ascii="宋体" w:hAnsi="宋体" w:cs="宋体" w:eastAsia="宋体" w:hint="default"/>
                <w:sz w:val="22"/>
                <w:szCs w:val="22"/>
              </w:rPr>
            </w:r>
          </w:p>
        </w:tc>
        <w:tc>
          <w:tcPr>
            <w:tcW w:w="3252" w:type="dxa"/>
            <w:tcBorders>
              <w:top w:val="single" w:sz="6" w:space="0" w:color="000000"/>
              <w:left w:val="single" w:sz="6" w:space="0" w:color="000000"/>
              <w:bottom w:val="single" w:sz="6" w:space="0" w:color="000000"/>
              <w:right w:val="nil" w:sz="6" w:space="0" w:color="auto"/>
            </w:tcBorders>
          </w:tcPr>
          <w:p>
            <w:pPr>
              <w:pStyle w:val="TableParagraph"/>
              <w:spacing w:line="300" w:lineRule="exact"/>
              <w:ind w:left="-1" w:right="27"/>
              <w:jc w:val="both"/>
              <w:rPr>
                <w:rFonts w:ascii="宋体" w:hAnsi="宋体" w:cs="宋体" w:eastAsia="宋体" w:hint="default"/>
                <w:sz w:val="22"/>
                <w:szCs w:val="22"/>
              </w:rPr>
            </w:pPr>
            <w:r>
              <w:rPr>
                <w:rFonts w:ascii="宋体" w:hAnsi="宋体" w:cs="宋体" w:eastAsia="宋体" w:hint="default"/>
                <w:i/>
                <w:spacing w:val="4"/>
                <w:w w:val="95"/>
                <w:sz w:val="22"/>
                <w:szCs w:val="22"/>
              </w:rPr>
              <w:t>参考历史信用损失经验，结合当前</w:t>
            </w:r>
            <w:r>
              <w:rPr>
                <w:rFonts w:ascii="宋体" w:hAnsi="宋体" w:cs="宋体" w:eastAsia="宋体" w:hint="default"/>
                <w:i/>
                <w:spacing w:val="-90"/>
                <w:w w:val="95"/>
                <w:sz w:val="22"/>
                <w:szCs w:val="22"/>
              </w:rPr>
              <w:t> </w:t>
            </w:r>
            <w:r>
              <w:rPr>
                <w:rFonts w:ascii="宋体" w:hAnsi="宋体" w:cs="宋体" w:eastAsia="宋体" w:hint="default"/>
                <w:i/>
                <w:spacing w:val="-90"/>
                <w:w w:val="95"/>
                <w:sz w:val="22"/>
                <w:szCs w:val="22"/>
              </w:rPr>
            </w:r>
            <w:r>
              <w:rPr>
                <w:rFonts w:ascii="宋体" w:hAnsi="宋体" w:cs="宋体" w:eastAsia="宋体" w:hint="default"/>
                <w:i/>
                <w:spacing w:val="4"/>
                <w:w w:val="95"/>
                <w:sz w:val="22"/>
                <w:szCs w:val="22"/>
              </w:rPr>
              <w:t>状况以及对未来经济状况的预测，</w:t>
            </w:r>
            <w:r>
              <w:rPr>
                <w:rFonts w:ascii="宋体" w:hAnsi="宋体" w:cs="宋体" w:eastAsia="宋体" w:hint="default"/>
                <w:spacing w:val="4"/>
                <w:sz w:val="22"/>
                <w:szCs w:val="22"/>
              </w:rPr>
            </w:r>
          </w:p>
          <w:p>
            <w:pPr>
              <w:pStyle w:val="TableParagraph"/>
              <w:spacing w:line="256" w:lineRule="auto"/>
              <w:ind w:left="-1" w:right="27"/>
              <w:jc w:val="both"/>
              <w:rPr>
                <w:rFonts w:ascii="宋体" w:hAnsi="宋体" w:cs="宋体" w:eastAsia="宋体" w:hint="default"/>
                <w:sz w:val="22"/>
                <w:szCs w:val="22"/>
              </w:rPr>
            </w:pPr>
            <w:r>
              <w:rPr>
                <w:rFonts w:ascii="宋体" w:hAnsi="宋体" w:cs="宋体" w:eastAsia="宋体" w:hint="default"/>
                <w:i/>
                <w:spacing w:val="3"/>
                <w:w w:val="95"/>
                <w:sz w:val="22"/>
                <w:szCs w:val="22"/>
              </w:rPr>
              <w:t>通过违约风险敞口和未来</w:t>
            </w:r>
            <w:r>
              <w:rPr>
                <w:rFonts w:ascii="Times New Roman" w:hAnsi="Times New Roman" w:cs="Times New Roman" w:eastAsia="Times New Roman" w:hint="default"/>
                <w:i/>
                <w:spacing w:val="3"/>
                <w:w w:val="95"/>
                <w:sz w:val="21"/>
                <w:szCs w:val="21"/>
              </w:rPr>
              <w:t>12</w:t>
            </w:r>
            <w:r>
              <w:rPr>
                <w:rFonts w:ascii="宋体" w:hAnsi="宋体" w:cs="宋体" w:eastAsia="宋体" w:hint="default"/>
                <w:i/>
                <w:spacing w:val="3"/>
                <w:w w:val="95"/>
                <w:sz w:val="22"/>
                <w:szCs w:val="22"/>
              </w:rPr>
              <w:t>个月内</w:t>
            </w:r>
            <w:r>
              <w:rPr>
                <w:rFonts w:ascii="宋体" w:hAnsi="宋体" w:cs="宋体" w:eastAsia="宋体" w:hint="default"/>
                <w:i/>
                <w:spacing w:val="-69"/>
                <w:w w:val="95"/>
                <w:sz w:val="22"/>
                <w:szCs w:val="22"/>
              </w:rPr>
              <w:t> </w:t>
            </w:r>
            <w:r>
              <w:rPr>
                <w:rFonts w:ascii="宋体" w:hAnsi="宋体" w:cs="宋体" w:eastAsia="宋体" w:hint="default"/>
                <w:i/>
                <w:spacing w:val="-69"/>
                <w:w w:val="95"/>
                <w:sz w:val="22"/>
                <w:szCs w:val="22"/>
              </w:rPr>
            </w:r>
            <w:r>
              <w:rPr>
                <w:rFonts w:ascii="宋体" w:hAnsi="宋体" w:cs="宋体" w:eastAsia="宋体" w:hint="default"/>
                <w:i/>
                <w:spacing w:val="4"/>
                <w:w w:val="95"/>
                <w:sz w:val="22"/>
                <w:szCs w:val="22"/>
              </w:rPr>
              <w:t>或整个存续期预期信用损失率，计</w:t>
            </w:r>
            <w:r>
              <w:rPr>
                <w:rFonts w:ascii="宋体" w:hAnsi="宋体" w:cs="宋体" w:eastAsia="宋体" w:hint="default"/>
                <w:i/>
                <w:spacing w:val="-90"/>
                <w:w w:val="95"/>
                <w:sz w:val="22"/>
                <w:szCs w:val="22"/>
              </w:rPr>
              <w:t> </w:t>
            </w:r>
            <w:r>
              <w:rPr>
                <w:rFonts w:ascii="宋体" w:hAnsi="宋体" w:cs="宋体" w:eastAsia="宋体" w:hint="default"/>
                <w:i/>
                <w:spacing w:val="-90"/>
                <w:w w:val="95"/>
                <w:sz w:val="22"/>
                <w:szCs w:val="22"/>
              </w:rPr>
            </w:r>
            <w:r>
              <w:rPr>
                <w:rFonts w:ascii="宋体" w:hAnsi="宋体" w:cs="宋体" w:eastAsia="宋体" w:hint="default"/>
                <w:i/>
                <w:sz w:val="22"/>
                <w:szCs w:val="22"/>
              </w:rPr>
              <w:t>算预期信用损失</w:t>
            </w:r>
            <w:r>
              <w:rPr>
                <w:rFonts w:ascii="宋体" w:hAnsi="宋体" w:cs="宋体" w:eastAsia="宋体" w:hint="default"/>
                <w:sz w:val="22"/>
                <w:szCs w:val="22"/>
              </w:rPr>
            </w:r>
          </w:p>
        </w:tc>
      </w:tr>
    </w:tbl>
    <w:p>
      <w:pPr>
        <w:spacing w:line="270" w:lineRule="exact" w:before="0"/>
        <w:ind w:left="561" w:right="1086" w:firstLine="0"/>
        <w:jc w:val="left"/>
        <w:rPr>
          <w:rFonts w:ascii="宋体" w:hAnsi="宋体" w:cs="宋体" w:eastAsia="宋体" w:hint="default"/>
          <w:sz w:val="22"/>
          <w:szCs w:val="22"/>
        </w:rPr>
      </w:pPr>
      <w:r>
        <w:rPr>
          <w:rFonts w:ascii="Times New Roman" w:hAnsi="Times New Roman" w:cs="Times New Roman" w:eastAsia="Times New Roman" w:hint="default"/>
          <w:i/>
          <w:w w:val="95"/>
          <w:sz w:val="21"/>
          <w:szCs w:val="21"/>
        </w:rPr>
        <w:t>(3) </w:t>
      </w:r>
      <w:r>
        <w:rPr>
          <w:rFonts w:ascii="Times New Roman" w:hAnsi="Times New Roman" w:cs="Times New Roman" w:eastAsia="Times New Roman" w:hint="default"/>
          <w:i/>
          <w:spacing w:val="27"/>
          <w:w w:val="95"/>
          <w:sz w:val="21"/>
          <w:szCs w:val="21"/>
        </w:rPr>
        <w:t> </w:t>
      </w:r>
      <w:r>
        <w:rPr>
          <w:rFonts w:ascii="宋体" w:hAnsi="宋体" w:cs="宋体" w:eastAsia="宋体" w:hint="default"/>
          <w:i/>
          <w:w w:val="95"/>
          <w:sz w:val="22"/>
          <w:szCs w:val="22"/>
        </w:rPr>
        <w:t>按组合计量预期信用损失的应收款项</w:t>
      </w:r>
      <w:r>
        <w:rPr>
          <w:rFonts w:ascii="宋体" w:hAnsi="宋体" w:cs="宋体" w:eastAsia="宋体" w:hint="default"/>
          <w:sz w:val="22"/>
          <w:szCs w:val="22"/>
        </w:rPr>
      </w:r>
    </w:p>
    <w:p>
      <w:pPr>
        <w:pStyle w:val="Heading6"/>
        <w:spacing w:line="240" w:lineRule="auto" w:before="24"/>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具体组合及计量预期信用损失的方法</w:t>
      </w:r>
    </w:p>
    <w:p>
      <w:pPr>
        <w:spacing w:line="240" w:lineRule="auto" w:before="5"/>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869"/>
        <w:gridCol w:w="2794"/>
        <w:gridCol w:w="3252"/>
      </w:tblGrid>
      <w:tr>
        <w:trPr>
          <w:trHeight w:val="345"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75"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0"/>
                <w:sz w:val="21"/>
                <w:szCs w:val="21"/>
              </w:rPr>
              <w:t> </w:t>
            </w:r>
            <w:r>
              <w:rPr>
                <w:rFonts w:ascii="宋体" w:hAnsi="宋体" w:cs="宋体" w:eastAsia="宋体" w:hint="default"/>
                <w:sz w:val="21"/>
                <w:szCs w:val="21"/>
              </w:rPr>
              <w:t>目</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46" w:right="0"/>
              <w:jc w:val="left"/>
              <w:rPr>
                <w:rFonts w:ascii="宋体" w:hAnsi="宋体" w:cs="宋体" w:eastAsia="宋体" w:hint="default"/>
                <w:sz w:val="21"/>
                <w:szCs w:val="21"/>
              </w:rPr>
            </w:pPr>
            <w:r>
              <w:rPr>
                <w:rFonts w:ascii="宋体" w:hAnsi="宋体" w:cs="宋体" w:eastAsia="宋体" w:hint="default"/>
                <w:sz w:val="21"/>
                <w:szCs w:val="21"/>
              </w:rPr>
              <w:t>确定组合的依据</w:t>
            </w:r>
          </w:p>
        </w:tc>
        <w:tc>
          <w:tcPr>
            <w:tcW w:w="3252"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450" w:right="0"/>
              <w:jc w:val="left"/>
              <w:rPr>
                <w:rFonts w:ascii="宋体" w:hAnsi="宋体" w:cs="宋体" w:eastAsia="宋体" w:hint="default"/>
                <w:sz w:val="21"/>
                <w:szCs w:val="21"/>
              </w:rPr>
            </w:pPr>
            <w:r>
              <w:rPr>
                <w:rFonts w:ascii="宋体" w:hAnsi="宋体" w:cs="宋体" w:eastAsia="宋体" w:hint="default"/>
                <w:sz w:val="21"/>
                <w:szCs w:val="21"/>
              </w:rPr>
              <w:t>计量预期信用损失的方法</w:t>
            </w:r>
          </w:p>
        </w:tc>
      </w:tr>
      <w:tr>
        <w:trPr>
          <w:trHeight w:val="345"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2"/>
                <w:szCs w:val="22"/>
              </w:rPr>
            </w:pPr>
            <w:r>
              <w:rPr>
                <w:rFonts w:ascii="宋体" w:hAnsi="宋体" w:cs="宋体" w:eastAsia="宋体" w:hint="default"/>
                <w:i/>
                <w:sz w:val="22"/>
                <w:szCs w:val="22"/>
              </w:rPr>
              <w:t>应收银行承兑汇票</w:t>
            </w:r>
            <w:r>
              <w:rPr>
                <w:rFonts w:ascii="宋体" w:hAnsi="宋体" w:cs="宋体" w:eastAsia="宋体" w:hint="default"/>
                <w:sz w:val="22"/>
                <w:szCs w:val="22"/>
              </w:rPr>
            </w:r>
          </w:p>
        </w:tc>
        <w:tc>
          <w:tcPr>
            <w:tcW w:w="2794" w:type="dxa"/>
            <w:vMerge w:val="restart"/>
            <w:tcBorders>
              <w:top w:val="single" w:sz="6" w:space="0" w:color="000000"/>
              <w:left w:val="single" w:sz="6" w:space="0" w:color="000000"/>
              <w:right w:val="single" w:sz="6" w:space="0" w:color="000000"/>
            </w:tcBorders>
          </w:tcPr>
          <w:p>
            <w:pPr>
              <w:pStyle w:val="TableParagraph"/>
              <w:spacing w:line="271" w:lineRule="exact"/>
              <w:ind w:right="12"/>
              <w:jc w:val="center"/>
              <w:rPr>
                <w:rFonts w:ascii="宋体" w:hAnsi="宋体" w:cs="宋体" w:eastAsia="宋体" w:hint="default"/>
                <w:sz w:val="22"/>
                <w:szCs w:val="22"/>
              </w:rPr>
            </w:pPr>
            <w:r>
              <w:rPr>
                <w:rFonts w:ascii="宋体" w:hAnsi="宋体" w:cs="宋体" w:eastAsia="宋体" w:hint="default"/>
                <w:i/>
                <w:sz w:val="22"/>
                <w:szCs w:val="22"/>
              </w:rPr>
              <w:t>票据类型</w:t>
            </w:r>
            <w:r>
              <w:rPr>
                <w:rFonts w:ascii="宋体" w:hAnsi="宋体" w:cs="宋体" w:eastAsia="宋体" w:hint="default"/>
                <w:sz w:val="22"/>
                <w:szCs w:val="22"/>
              </w:rPr>
            </w:r>
          </w:p>
        </w:tc>
        <w:tc>
          <w:tcPr>
            <w:tcW w:w="3252" w:type="dxa"/>
            <w:vMerge w:val="restart"/>
            <w:tcBorders>
              <w:top w:val="single" w:sz="6" w:space="0" w:color="000000"/>
              <w:left w:val="single" w:sz="6" w:space="0" w:color="000000"/>
              <w:right w:val="nil" w:sz="6" w:space="0" w:color="auto"/>
            </w:tcBorders>
          </w:tcPr>
          <w:p>
            <w:pPr>
              <w:pStyle w:val="TableParagraph"/>
              <w:spacing w:line="300" w:lineRule="exact"/>
              <w:ind w:left="-1" w:right="84"/>
              <w:jc w:val="left"/>
              <w:rPr>
                <w:rFonts w:ascii="宋体" w:hAnsi="宋体" w:cs="宋体" w:eastAsia="宋体" w:hint="default"/>
                <w:sz w:val="22"/>
                <w:szCs w:val="22"/>
              </w:rPr>
            </w:pPr>
            <w:r>
              <w:rPr>
                <w:rFonts w:ascii="宋体" w:hAnsi="宋体" w:cs="宋体" w:eastAsia="宋体" w:hint="default"/>
                <w:i/>
                <w:w w:val="95"/>
                <w:sz w:val="22"/>
                <w:szCs w:val="22"/>
              </w:rPr>
              <w:t>参考历史信用损失经验，结合当前</w:t>
            </w:r>
            <w:r>
              <w:rPr>
                <w:rFonts w:ascii="宋体" w:hAnsi="宋体" w:cs="宋体" w:eastAsia="宋体" w:hint="default"/>
                <w:i/>
                <w:spacing w:val="-90"/>
                <w:w w:val="95"/>
                <w:sz w:val="22"/>
                <w:szCs w:val="22"/>
              </w:rPr>
              <w:t> </w:t>
            </w:r>
            <w:r>
              <w:rPr>
                <w:rFonts w:ascii="宋体" w:hAnsi="宋体" w:cs="宋体" w:eastAsia="宋体" w:hint="default"/>
                <w:i/>
                <w:w w:val="95"/>
                <w:sz w:val="22"/>
                <w:szCs w:val="22"/>
              </w:rPr>
              <w:t>状况以及对未来经济状况的预测，</w:t>
            </w:r>
            <w:r>
              <w:rPr>
                <w:rFonts w:ascii="宋体" w:hAnsi="宋体" w:cs="宋体" w:eastAsia="宋体" w:hint="default"/>
                <w:sz w:val="22"/>
                <w:szCs w:val="22"/>
              </w:rPr>
            </w:r>
          </w:p>
          <w:p>
            <w:pPr>
              <w:pStyle w:val="TableParagraph"/>
              <w:spacing w:line="264" w:lineRule="auto"/>
              <w:ind w:left="-1" w:right="84"/>
              <w:jc w:val="left"/>
              <w:rPr>
                <w:rFonts w:ascii="宋体" w:hAnsi="宋体" w:cs="宋体" w:eastAsia="宋体" w:hint="default"/>
                <w:sz w:val="22"/>
                <w:szCs w:val="22"/>
              </w:rPr>
            </w:pPr>
            <w:r>
              <w:rPr>
                <w:rFonts w:ascii="宋体" w:hAnsi="宋体" w:cs="宋体" w:eastAsia="宋体" w:hint="default"/>
                <w:i/>
                <w:w w:val="95"/>
                <w:sz w:val="22"/>
                <w:szCs w:val="22"/>
              </w:rPr>
              <w:t>通过违约风险敞口和整个存续期预</w:t>
            </w:r>
            <w:r>
              <w:rPr>
                <w:rFonts w:ascii="宋体" w:hAnsi="宋体" w:cs="宋体" w:eastAsia="宋体" w:hint="default"/>
                <w:i/>
                <w:spacing w:val="-90"/>
                <w:w w:val="95"/>
                <w:sz w:val="22"/>
                <w:szCs w:val="22"/>
              </w:rPr>
              <w:t> </w:t>
            </w:r>
            <w:r>
              <w:rPr>
                <w:rFonts w:ascii="宋体" w:hAnsi="宋体" w:cs="宋体" w:eastAsia="宋体" w:hint="default"/>
                <w:i/>
                <w:w w:val="95"/>
                <w:sz w:val="22"/>
                <w:szCs w:val="22"/>
              </w:rPr>
              <w:t>期信用损失率，计算预期信用损失</w:t>
            </w:r>
            <w:r>
              <w:rPr>
                <w:rFonts w:ascii="宋体" w:hAnsi="宋体" w:cs="宋体" w:eastAsia="宋体" w:hint="default"/>
                <w:sz w:val="22"/>
                <w:szCs w:val="22"/>
              </w:rPr>
            </w:r>
          </w:p>
        </w:tc>
      </w:tr>
      <w:tr>
        <w:trPr>
          <w:trHeight w:val="946"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应收商业承兑汇票</w:t>
            </w:r>
          </w:p>
        </w:tc>
        <w:tc>
          <w:tcPr>
            <w:tcW w:w="2794" w:type="dxa"/>
            <w:vMerge/>
            <w:tcBorders>
              <w:left w:val="single" w:sz="6" w:space="0" w:color="000000"/>
              <w:bottom w:val="single" w:sz="6" w:space="0" w:color="000000"/>
              <w:right w:val="single" w:sz="6" w:space="0" w:color="000000"/>
            </w:tcBorders>
          </w:tcPr>
          <w:p>
            <w:pPr/>
          </w:p>
        </w:tc>
        <w:tc>
          <w:tcPr>
            <w:tcW w:w="3252" w:type="dxa"/>
            <w:vMerge/>
            <w:tcBorders>
              <w:left w:val="single" w:sz="6" w:space="0" w:color="000000"/>
              <w:bottom w:val="single" w:sz="6" w:space="0" w:color="000000"/>
              <w:right w:val="nil" w:sz="6" w:space="0" w:color="auto"/>
            </w:tcBorders>
          </w:tcPr>
          <w:p>
            <w:pPr/>
          </w:p>
        </w:tc>
      </w:tr>
    </w:tbl>
    <w:p>
      <w:pPr>
        <w:spacing w:after="0"/>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869"/>
        <w:gridCol w:w="2794"/>
        <w:gridCol w:w="3252"/>
      </w:tblGrid>
      <w:tr>
        <w:trPr>
          <w:trHeight w:val="1591"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Times New Roman" w:hAnsi="Times New Roman" w:cs="Times New Roman" w:eastAsia="Times New Roman" w:hint="default"/>
                <w:sz w:val="21"/>
                <w:szCs w:val="21"/>
              </w:rPr>
              <w:t>——</w:t>
            </w:r>
            <w:r>
              <w:rPr>
                <w:rFonts w:ascii="宋体" w:hAnsi="宋体" w:cs="宋体" w:eastAsia="宋体" w:hint="default"/>
                <w:sz w:val="21"/>
                <w:szCs w:val="21"/>
              </w:rPr>
              <w:t>账龄组合</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2"/>
              <w:jc w:val="center"/>
              <w:rPr>
                <w:rFonts w:ascii="宋体" w:hAnsi="宋体" w:cs="宋体" w:eastAsia="宋体" w:hint="default"/>
                <w:sz w:val="21"/>
                <w:szCs w:val="21"/>
              </w:rPr>
            </w:pPr>
            <w:r>
              <w:rPr>
                <w:rFonts w:ascii="宋体" w:hAnsi="宋体" w:cs="宋体" w:eastAsia="宋体" w:hint="default"/>
                <w:sz w:val="21"/>
                <w:szCs w:val="21"/>
              </w:rPr>
              <w:t>账龄</w:t>
            </w:r>
          </w:p>
        </w:tc>
        <w:tc>
          <w:tcPr>
            <w:tcW w:w="3252" w:type="dxa"/>
            <w:tcBorders>
              <w:top w:val="single" w:sz="6" w:space="0" w:color="000000"/>
              <w:left w:val="single" w:sz="6" w:space="0" w:color="000000"/>
              <w:bottom w:val="single" w:sz="6" w:space="0" w:color="000000"/>
              <w:right w:val="nil" w:sz="6" w:space="0" w:color="auto"/>
            </w:tcBorders>
          </w:tcPr>
          <w:p>
            <w:pPr>
              <w:pStyle w:val="TableParagraph"/>
              <w:spacing w:line="271" w:lineRule="auto"/>
              <w:ind w:left="-1" w:right="84"/>
              <w:jc w:val="both"/>
              <w:rPr>
                <w:rFonts w:ascii="宋体" w:hAnsi="宋体" w:cs="宋体" w:eastAsia="宋体" w:hint="default"/>
                <w:sz w:val="21"/>
                <w:szCs w:val="21"/>
              </w:rPr>
            </w:pPr>
            <w:r>
              <w:rPr>
                <w:rFonts w:ascii="宋体" w:hAnsi="宋体" w:cs="宋体" w:eastAsia="宋体" w:hint="default"/>
                <w:sz w:val="21"/>
                <w:szCs w:val="21"/>
              </w:rPr>
              <w:t>参考历史信用损失经验，结合当前 状况以及对未来经济状况的预测， 编制应收账款账龄与整个存续期预 期信用损失率对照表，计算预期信 用损失</w:t>
            </w:r>
          </w:p>
        </w:tc>
      </w:tr>
      <w:tr>
        <w:trPr>
          <w:trHeight w:val="1292" w:hRule="exact"/>
        </w:trPr>
        <w:tc>
          <w:tcPr>
            <w:tcW w:w="286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279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2"/>
              <w:jc w:val="center"/>
              <w:rPr>
                <w:rFonts w:ascii="宋体" w:hAnsi="宋体" w:cs="宋体" w:eastAsia="宋体" w:hint="default"/>
                <w:sz w:val="22"/>
                <w:szCs w:val="22"/>
              </w:rPr>
            </w:pPr>
            <w:r>
              <w:rPr>
                <w:rFonts w:ascii="宋体" w:hAnsi="宋体" w:cs="宋体" w:eastAsia="宋体" w:hint="default"/>
                <w:i/>
                <w:sz w:val="22"/>
                <w:szCs w:val="22"/>
              </w:rPr>
              <w:t>款项性质</w:t>
            </w:r>
            <w:r>
              <w:rPr>
                <w:rFonts w:ascii="宋体" w:hAnsi="宋体" w:cs="宋体" w:eastAsia="宋体" w:hint="default"/>
                <w:sz w:val="22"/>
                <w:szCs w:val="22"/>
              </w:rPr>
            </w:r>
          </w:p>
        </w:tc>
        <w:tc>
          <w:tcPr>
            <w:tcW w:w="3252" w:type="dxa"/>
            <w:tcBorders>
              <w:top w:val="single" w:sz="6" w:space="0" w:color="000000"/>
              <w:left w:val="single" w:sz="6" w:space="0" w:color="000000"/>
              <w:bottom w:val="single" w:sz="6" w:space="0" w:color="000000"/>
              <w:right w:val="nil" w:sz="6" w:space="0" w:color="auto"/>
            </w:tcBorders>
          </w:tcPr>
          <w:p>
            <w:pPr>
              <w:pStyle w:val="TableParagraph"/>
              <w:spacing w:line="272" w:lineRule="exact"/>
              <w:ind w:left="-1" w:right="0"/>
              <w:jc w:val="both"/>
              <w:rPr>
                <w:rFonts w:ascii="宋体" w:hAnsi="宋体" w:cs="宋体" w:eastAsia="宋体" w:hint="default"/>
                <w:sz w:val="22"/>
                <w:szCs w:val="22"/>
              </w:rPr>
            </w:pPr>
            <w:r>
              <w:rPr>
                <w:rFonts w:ascii="宋体" w:hAnsi="宋体" w:cs="宋体" w:eastAsia="宋体" w:hint="default"/>
                <w:i/>
                <w:spacing w:val="4"/>
                <w:w w:val="95"/>
                <w:sz w:val="22"/>
                <w:szCs w:val="22"/>
              </w:rPr>
              <w:t>参考历史信用损失经验，结合当前</w:t>
            </w:r>
            <w:r>
              <w:rPr>
                <w:rFonts w:ascii="宋体" w:hAnsi="宋体" w:cs="宋体" w:eastAsia="宋体" w:hint="default"/>
                <w:spacing w:val="4"/>
                <w:sz w:val="22"/>
                <w:szCs w:val="22"/>
              </w:rPr>
            </w:r>
          </w:p>
          <w:p>
            <w:pPr>
              <w:pStyle w:val="TableParagraph"/>
              <w:spacing w:line="256" w:lineRule="auto" w:before="27"/>
              <w:ind w:left="-1" w:right="27"/>
              <w:jc w:val="both"/>
              <w:rPr>
                <w:rFonts w:ascii="宋体" w:hAnsi="宋体" w:cs="宋体" w:eastAsia="宋体" w:hint="default"/>
                <w:sz w:val="22"/>
                <w:szCs w:val="22"/>
              </w:rPr>
            </w:pPr>
            <w:r>
              <w:rPr>
                <w:rFonts w:ascii="宋体" w:hAnsi="宋体" w:cs="宋体" w:eastAsia="宋体" w:hint="default"/>
                <w:i/>
                <w:spacing w:val="4"/>
                <w:w w:val="95"/>
                <w:sz w:val="22"/>
                <w:szCs w:val="22"/>
              </w:rPr>
              <w:t>状况以及对未来经济状况的预测，</w:t>
            </w:r>
            <w:r>
              <w:rPr>
                <w:rFonts w:ascii="宋体" w:hAnsi="宋体" w:cs="宋体" w:eastAsia="宋体" w:hint="default"/>
                <w:i/>
                <w:spacing w:val="-90"/>
                <w:w w:val="95"/>
                <w:sz w:val="22"/>
                <w:szCs w:val="22"/>
              </w:rPr>
              <w:t> </w:t>
            </w:r>
            <w:r>
              <w:rPr>
                <w:rFonts w:ascii="宋体" w:hAnsi="宋体" w:cs="宋体" w:eastAsia="宋体" w:hint="default"/>
                <w:i/>
                <w:spacing w:val="-90"/>
                <w:w w:val="95"/>
                <w:sz w:val="22"/>
                <w:szCs w:val="22"/>
              </w:rPr>
            </w:r>
            <w:r>
              <w:rPr>
                <w:rFonts w:ascii="宋体" w:hAnsi="宋体" w:cs="宋体" w:eastAsia="宋体" w:hint="default"/>
                <w:i/>
                <w:spacing w:val="4"/>
                <w:w w:val="95"/>
                <w:sz w:val="22"/>
                <w:szCs w:val="22"/>
              </w:rPr>
              <w:t>通过违约风险敞口和整个存续期预</w:t>
            </w:r>
            <w:r>
              <w:rPr>
                <w:rFonts w:ascii="宋体" w:hAnsi="宋体" w:cs="宋体" w:eastAsia="宋体" w:hint="default"/>
                <w:i/>
                <w:spacing w:val="-90"/>
                <w:w w:val="95"/>
                <w:sz w:val="22"/>
                <w:szCs w:val="22"/>
              </w:rPr>
              <w:t> </w:t>
            </w:r>
            <w:r>
              <w:rPr>
                <w:rFonts w:ascii="宋体" w:hAnsi="宋体" w:cs="宋体" w:eastAsia="宋体" w:hint="default"/>
                <w:i/>
                <w:spacing w:val="-90"/>
                <w:w w:val="95"/>
                <w:sz w:val="22"/>
                <w:szCs w:val="22"/>
              </w:rPr>
            </w:r>
            <w:r>
              <w:rPr>
                <w:rFonts w:ascii="宋体" w:hAnsi="宋体" w:cs="宋体" w:eastAsia="宋体" w:hint="default"/>
                <w:i/>
                <w:w w:val="95"/>
                <w:sz w:val="22"/>
                <w:szCs w:val="22"/>
              </w:rPr>
              <w:t>期信用损失率，计算预期信用损失</w:t>
            </w:r>
            <w:r>
              <w:rPr>
                <w:rFonts w:ascii="宋体" w:hAnsi="宋体" w:cs="宋体" w:eastAsia="宋体" w:hint="default"/>
                <w:sz w:val="22"/>
                <w:szCs w:val="22"/>
              </w:rPr>
            </w:r>
          </w:p>
        </w:tc>
      </w:tr>
    </w:tbl>
    <w:p>
      <w:pPr>
        <w:pStyle w:val="Heading6"/>
        <w:spacing w:line="270" w:lineRule="exact"/>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应收商业承兑汇票、应收账款</w:t>
      </w:r>
      <w:r>
        <w:rPr>
          <w:rFonts w:ascii="Times New Roman" w:hAnsi="Times New Roman" w:cs="Times New Roman" w:eastAsia="Times New Roman" w:hint="default"/>
        </w:rPr>
        <w:t>——</w:t>
      </w:r>
      <w:r>
        <w:rPr/>
        <w:t>账龄组合的账龄与整个存续期预期信用损失率对照表</w:t>
      </w:r>
    </w:p>
    <w:p>
      <w:pPr>
        <w:pStyle w:val="Heading6"/>
        <w:spacing w:line="261" w:lineRule="auto" w:before="24"/>
        <w:ind w:left="201" w:right="1133" w:firstLine="360"/>
        <w:jc w:val="left"/>
      </w:pPr>
      <w:r>
        <w:rPr/>
        <w:t>由于商业智能业务和智慧医疗业务的应收款项具有不同风险特征，因此采用不同的账龄组合比例： </w:t>
      </w:r>
      <w:r>
        <w:rPr>
          <w:rFonts w:ascii="宋体" w:hAnsi="宋体" w:cs="宋体" w:eastAsia="宋体" w:hint="default"/>
        </w:rPr>
        <w:t>1.</w:t>
      </w:r>
      <w:r>
        <w:rPr>
          <w:rFonts w:ascii="宋体" w:hAnsi="宋体" w:cs="宋体" w:eastAsia="宋体" w:hint="default"/>
          <w:spacing w:val="45"/>
        </w:rPr>
        <w:t> </w:t>
      </w:r>
      <w:r>
        <w:rPr/>
        <w:t>商业智能业务</w:t>
      </w:r>
    </w:p>
    <w:p>
      <w:pPr>
        <w:spacing w:line="240" w:lineRule="auto" w:before="2"/>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401"/>
        <w:gridCol w:w="4138"/>
      </w:tblGrid>
      <w:tr>
        <w:trPr>
          <w:trHeight w:val="661"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8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0"/>
                <w:sz w:val="21"/>
                <w:szCs w:val="21"/>
              </w:rPr>
              <w:t> </w:t>
            </w:r>
            <w:r>
              <w:rPr>
                <w:rFonts w:ascii="宋体" w:hAnsi="宋体" w:cs="宋体" w:eastAsia="宋体" w:hint="default"/>
                <w:sz w:val="21"/>
                <w:szCs w:val="21"/>
              </w:rPr>
              <w:t>龄</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76" w:lineRule="auto"/>
              <w:ind w:left="1156" w:right="1170" w:firstLine="63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 预期信用损失率</w:t>
            </w:r>
            <w:r>
              <w:rPr>
                <w:rFonts w:ascii="Times New Roman" w:hAnsi="Times New Roman" w:cs="Times New Roman" w:eastAsia="Times New Roman" w:hint="default"/>
                <w:sz w:val="21"/>
                <w:szCs w:val="21"/>
              </w:rPr>
              <w:t>(%)</w:t>
            </w:r>
          </w:p>
        </w:tc>
      </w:tr>
      <w:tr>
        <w:trPr>
          <w:trHeight w:val="346"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年以内（含，下同）</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27"/>
              <w:jc w:val="center"/>
              <w:rPr>
                <w:rFonts w:ascii="Times New Roman" w:hAnsi="Times New Roman" w:cs="Times New Roman" w:eastAsia="Times New Roman" w:hint="default"/>
                <w:sz w:val="21"/>
                <w:szCs w:val="21"/>
              </w:rPr>
            </w:pPr>
            <w:r>
              <w:rPr>
                <w:rFonts w:ascii="Times New Roman"/>
                <w:sz w:val="21"/>
              </w:rPr>
              <w:t>5.00</w:t>
            </w:r>
          </w:p>
        </w:tc>
      </w:tr>
      <w:tr>
        <w:trPr>
          <w:trHeight w:val="345"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4"/>
              <w:jc w:val="center"/>
              <w:rPr>
                <w:rFonts w:ascii="Times New Roman" w:hAnsi="Times New Roman" w:cs="Times New Roman" w:eastAsia="Times New Roman" w:hint="default"/>
                <w:sz w:val="21"/>
                <w:szCs w:val="21"/>
              </w:rPr>
            </w:pPr>
            <w:r>
              <w:rPr>
                <w:rFonts w:ascii="Times New Roman"/>
                <w:sz w:val="21"/>
              </w:rPr>
              <w:t>10.00</w:t>
            </w:r>
          </w:p>
        </w:tc>
      </w:tr>
      <w:tr>
        <w:trPr>
          <w:trHeight w:val="360"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4"/>
              <w:jc w:val="center"/>
              <w:rPr>
                <w:rFonts w:ascii="Times New Roman" w:hAnsi="Times New Roman" w:cs="Times New Roman" w:eastAsia="Times New Roman" w:hint="default"/>
                <w:sz w:val="21"/>
                <w:szCs w:val="21"/>
              </w:rPr>
            </w:pPr>
            <w:r>
              <w:rPr>
                <w:rFonts w:ascii="Times New Roman"/>
                <w:sz w:val="21"/>
              </w:rPr>
              <w:t>30.00</w:t>
            </w:r>
          </w:p>
        </w:tc>
      </w:tr>
      <w:tr>
        <w:trPr>
          <w:trHeight w:val="346"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9"/>
              <w:jc w:val="center"/>
              <w:rPr>
                <w:rFonts w:ascii="Times New Roman" w:hAnsi="Times New Roman" w:cs="Times New Roman" w:eastAsia="Times New Roman" w:hint="default"/>
                <w:sz w:val="21"/>
                <w:szCs w:val="21"/>
              </w:rPr>
            </w:pPr>
            <w:r>
              <w:rPr>
                <w:rFonts w:ascii="Times New Roman"/>
                <w:sz w:val="21"/>
              </w:rPr>
              <w:t>100.00</w:t>
            </w:r>
          </w:p>
        </w:tc>
      </w:tr>
    </w:tbl>
    <w:p>
      <w:pPr>
        <w:pStyle w:val="Heading6"/>
        <w:spacing w:line="255" w:lineRule="exact"/>
        <w:ind w:left="201" w:right="1086"/>
        <w:jc w:val="left"/>
      </w:pPr>
      <w:r>
        <w:rPr>
          <w:rFonts w:ascii="宋体" w:hAnsi="宋体" w:cs="宋体" w:eastAsia="宋体" w:hint="default"/>
        </w:rPr>
        <w:t>1.</w:t>
      </w:r>
      <w:r>
        <w:rPr>
          <w:rFonts w:ascii="宋体" w:hAnsi="宋体" w:cs="宋体" w:eastAsia="宋体" w:hint="default"/>
          <w:spacing w:val="45"/>
        </w:rPr>
        <w:t> </w:t>
      </w:r>
      <w:r>
        <w:rPr/>
        <w:t>智慧医疗业务</w:t>
      </w:r>
    </w:p>
    <w:p>
      <w:pPr>
        <w:spacing w:line="240" w:lineRule="auto" w:before="8"/>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401"/>
        <w:gridCol w:w="4138"/>
      </w:tblGrid>
      <w:tr>
        <w:trPr>
          <w:trHeight w:val="646"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8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0"/>
                <w:sz w:val="21"/>
                <w:szCs w:val="21"/>
              </w:rPr>
              <w:t> </w:t>
            </w:r>
            <w:r>
              <w:rPr>
                <w:rFonts w:ascii="宋体" w:hAnsi="宋体" w:cs="宋体" w:eastAsia="宋体" w:hint="default"/>
                <w:sz w:val="21"/>
                <w:szCs w:val="21"/>
              </w:rPr>
              <w:t>龄</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left="1786" w:right="0"/>
              <w:jc w:val="left"/>
              <w:rPr>
                <w:rFonts w:ascii="宋体" w:hAnsi="宋体" w:cs="宋体" w:eastAsia="宋体" w:hint="default"/>
                <w:sz w:val="21"/>
                <w:szCs w:val="21"/>
              </w:rPr>
            </w:pPr>
            <w:r>
              <w:rPr>
                <w:rFonts w:ascii="宋体" w:hAnsi="宋体" w:cs="宋体" w:eastAsia="宋体" w:hint="default"/>
                <w:sz w:val="21"/>
                <w:szCs w:val="21"/>
              </w:rPr>
              <w:t>应收账款</w:t>
            </w:r>
          </w:p>
          <w:p>
            <w:pPr>
              <w:pStyle w:val="TableParagraph"/>
              <w:spacing w:line="240" w:lineRule="auto" w:before="40"/>
              <w:ind w:left="115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预期信用损失率</w:t>
            </w:r>
            <w:r>
              <w:rPr>
                <w:rFonts w:ascii="Times New Roman" w:hAnsi="Times New Roman" w:cs="Times New Roman" w:eastAsia="Times New Roman" w:hint="default"/>
                <w:sz w:val="21"/>
                <w:szCs w:val="21"/>
              </w:rPr>
              <w:t>(%)</w:t>
            </w:r>
          </w:p>
        </w:tc>
      </w:tr>
      <w:tr>
        <w:trPr>
          <w:trHeight w:val="360"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年以内（含，下同）</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27"/>
              <w:jc w:val="center"/>
              <w:rPr>
                <w:rFonts w:ascii="Times New Roman" w:hAnsi="Times New Roman" w:cs="Times New Roman" w:eastAsia="Times New Roman" w:hint="default"/>
                <w:sz w:val="21"/>
                <w:szCs w:val="21"/>
              </w:rPr>
            </w:pPr>
            <w:r>
              <w:rPr>
                <w:rFonts w:ascii="Times New Roman"/>
                <w:sz w:val="21"/>
              </w:rPr>
              <w:t>5.00</w:t>
            </w:r>
          </w:p>
        </w:tc>
      </w:tr>
      <w:tr>
        <w:trPr>
          <w:trHeight w:val="346"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4"/>
              <w:jc w:val="center"/>
              <w:rPr>
                <w:rFonts w:ascii="Times New Roman" w:hAnsi="Times New Roman" w:cs="Times New Roman" w:eastAsia="Times New Roman" w:hint="default"/>
                <w:sz w:val="21"/>
                <w:szCs w:val="21"/>
              </w:rPr>
            </w:pPr>
            <w:r>
              <w:rPr>
                <w:rFonts w:ascii="Times New Roman"/>
                <w:sz w:val="21"/>
              </w:rPr>
              <w:t>10.00</w:t>
            </w:r>
          </w:p>
        </w:tc>
      </w:tr>
      <w:tr>
        <w:trPr>
          <w:trHeight w:val="345"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4"/>
              <w:jc w:val="center"/>
              <w:rPr>
                <w:rFonts w:ascii="Times New Roman" w:hAnsi="Times New Roman" w:cs="Times New Roman" w:eastAsia="Times New Roman" w:hint="default"/>
                <w:sz w:val="21"/>
                <w:szCs w:val="21"/>
              </w:rPr>
            </w:pPr>
            <w:r>
              <w:rPr>
                <w:rFonts w:ascii="Times New Roman"/>
                <w:sz w:val="21"/>
              </w:rPr>
              <w:t>15.00</w:t>
            </w:r>
          </w:p>
        </w:tc>
      </w:tr>
      <w:tr>
        <w:trPr>
          <w:trHeight w:val="346"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4"/>
              <w:jc w:val="center"/>
              <w:rPr>
                <w:rFonts w:ascii="Times New Roman" w:hAnsi="Times New Roman" w:cs="Times New Roman" w:eastAsia="Times New Roman" w:hint="default"/>
                <w:sz w:val="21"/>
                <w:szCs w:val="21"/>
              </w:rPr>
            </w:pPr>
            <w:r>
              <w:rPr>
                <w:rFonts w:ascii="Times New Roman"/>
                <w:sz w:val="21"/>
              </w:rPr>
              <w:t>30.00</w:t>
            </w:r>
          </w:p>
        </w:tc>
      </w:tr>
      <w:tr>
        <w:trPr>
          <w:trHeight w:val="345"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4"/>
              <w:jc w:val="center"/>
              <w:rPr>
                <w:rFonts w:ascii="Times New Roman" w:hAnsi="Times New Roman" w:cs="Times New Roman" w:eastAsia="Times New Roman" w:hint="default"/>
                <w:sz w:val="21"/>
                <w:szCs w:val="21"/>
              </w:rPr>
            </w:pPr>
            <w:r>
              <w:rPr>
                <w:rFonts w:ascii="Times New Roman"/>
                <w:sz w:val="21"/>
              </w:rPr>
              <w:t>50.00</w:t>
            </w:r>
          </w:p>
        </w:tc>
      </w:tr>
      <w:tr>
        <w:trPr>
          <w:trHeight w:val="345" w:hRule="exact"/>
        </w:trPr>
        <w:tc>
          <w:tcPr>
            <w:tcW w:w="440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413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29"/>
              <w:jc w:val="center"/>
              <w:rPr>
                <w:rFonts w:ascii="Times New Roman" w:hAnsi="Times New Roman" w:cs="Times New Roman" w:eastAsia="Times New Roman" w:hint="default"/>
                <w:sz w:val="21"/>
                <w:szCs w:val="21"/>
              </w:rPr>
            </w:pPr>
            <w:r>
              <w:rPr>
                <w:rFonts w:ascii="Times New Roman"/>
                <w:sz w:val="21"/>
              </w:rPr>
              <w:t>100.00</w:t>
            </w:r>
          </w:p>
        </w:tc>
      </w:tr>
    </w:tbl>
    <w:p>
      <w:pPr>
        <w:pStyle w:val="Heading6"/>
        <w:spacing w:line="271" w:lineRule="exact"/>
        <w:ind w:left="561" w:right="1086"/>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5"/>
        </w:rPr>
        <w:t> </w:t>
      </w:r>
      <w:r>
        <w:rPr/>
        <w:t>金融资产和金融负债的抵销</w:t>
      </w:r>
    </w:p>
    <w:p>
      <w:pPr>
        <w:pStyle w:val="Heading6"/>
        <w:spacing w:line="261" w:lineRule="auto" w:before="24"/>
        <w:ind w:right="1029" w:firstLine="420"/>
        <w:jc w:val="left"/>
      </w:pPr>
      <w:r>
        <w:rPr/>
        <w:t>金融资产和金融负债在资产负债表内分别列示，不相互抵销。但同时满足下列条件的，公司以相互抵 销后的净额在资产负债表内列示：</w:t>
      </w:r>
      <w:r>
        <w:rPr>
          <w:rFonts w:ascii="Times New Roman" w:hAnsi="Times New Roman" w:cs="Times New Roman" w:eastAsia="Times New Roman" w:hint="default"/>
        </w:rPr>
        <w:t>(1) </w:t>
      </w:r>
      <w:r>
        <w:rPr/>
        <w:t>公司具有抵销已确认金额的法定权利，且该种法定权利是当前可执</w:t>
      </w:r>
      <w:r>
        <w:rPr>
          <w:spacing w:val="-69"/>
        </w:rPr>
        <w:t> </w:t>
      </w:r>
      <w:r>
        <w:rPr>
          <w:spacing w:val="-69"/>
        </w:rPr>
      </w:r>
      <w:r>
        <w:rPr/>
        <w:t>行的；</w:t>
      </w: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公司计划以净额结算，或同时变现该金融资产和清偿该金融负债。</w:t>
      </w:r>
      <w:r>
        <w:rPr>
          <w:spacing w:val="-103"/>
        </w:rPr>
        <w:t> </w:t>
      </w:r>
      <w:r>
        <w:rPr/>
        <w:t>不满足终止确认条件的金融资产转移，公司不对已转移的金融资产和相关负债进行抵销。</w:t>
      </w:r>
    </w:p>
    <w:p>
      <w:pPr>
        <w:spacing w:line="240" w:lineRule="auto" w:before="10"/>
        <w:rPr>
          <w:rFonts w:ascii="宋体" w:hAnsi="宋体" w:cs="宋体" w:eastAsia="宋体" w:hint="default"/>
          <w:sz w:val="25"/>
          <w:szCs w:val="25"/>
        </w:rPr>
      </w:pPr>
    </w:p>
    <w:p>
      <w:pPr>
        <w:pStyle w:val="Heading5"/>
        <w:spacing w:line="240" w:lineRule="auto"/>
        <w:ind w:right="1086"/>
        <w:jc w:val="left"/>
        <w:rPr>
          <w:b w:val="0"/>
          <w:bCs w:val="0"/>
        </w:rPr>
      </w:pPr>
      <w:bookmarkStart w:name="11、应收票据" w:id="179"/>
      <w:bookmarkEnd w:id="179"/>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2、应收账款" w:id="180"/>
      <w:bookmarkEnd w:id="180"/>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3、应收款项融资" w:id="181"/>
      <w:bookmarkEnd w:id="181"/>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4、其他应收款" w:id="182"/>
      <w:bookmarkEnd w:id="182"/>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其他应收款的预期信用损失的确定方法及会计处理方法</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15、存货" w:id="183"/>
      <w:bookmarkEnd w:id="183"/>
      <w:r>
        <w:rPr>
          <w:b w:val="0"/>
          <w:bCs w:val="0"/>
        </w:rPr>
      </w:r>
      <w:r>
        <w:rPr>
          <w:rFonts w:ascii="Times New Roman" w:hAnsi="Times New Roman" w:cs="Times New Roman" w:eastAsia="Times New Roman" w:hint="default"/>
        </w:rPr>
        <w:t>15</w:t>
      </w:r>
      <w:r>
        <w:rPr/>
        <w:t>、存货</w:t>
      </w:r>
      <w:r>
        <w:rPr>
          <w:b w:val="0"/>
          <w:bCs w:val="0"/>
        </w:rPr>
      </w:r>
    </w:p>
    <w:p>
      <w:pPr>
        <w:spacing w:line="240" w:lineRule="auto" w:before="7"/>
        <w:rPr>
          <w:rFonts w:ascii="宋体" w:hAnsi="宋体" w:cs="宋体" w:eastAsia="宋体" w:hint="default"/>
          <w:b/>
          <w:bCs/>
          <w:sz w:val="22"/>
          <w:szCs w:val="22"/>
        </w:rPr>
      </w:pPr>
    </w:p>
    <w:p>
      <w:pPr>
        <w:pStyle w:val="Heading6"/>
        <w:spacing w:line="259" w:lineRule="auto"/>
        <w:ind w:left="561" w:right="1086"/>
        <w:jc w:val="left"/>
      </w:pPr>
      <w:r>
        <w:rPr>
          <w:rFonts w:ascii="Times New Roman" w:hAnsi="Times New Roman" w:cs="Times New Roman" w:eastAsia="Times New Roman" w:hint="default"/>
        </w:rPr>
        <w:t>1</w:t>
      </w:r>
      <w:r>
        <w:rPr/>
        <w:t>、存货的分类 </w:t>
      </w:r>
      <w:r>
        <w:rPr>
          <w:spacing w:val="-1"/>
        </w:rPr>
        <w:t>存货包括在日常活动中持有以备出售的产成品或商品、处在生产过程中的在产品、在生产过程或提供</w:t>
      </w:r>
    </w:p>
    <w:p>
      <w:pPr>
        <w:pStyle w:val="Heading6"/>
        <w:spacing w:line="240" w:lineRule="auto" w:before="8"/>
        <w:ind w:right="1086"/>
        <w:jc w:val="left"/>
      </w:pPr>
      <w:r>
        <w:rPr/>
        <w:t>劳务过程中耗用的材料和物料等。</w:t>
      </w:r>
    </w:p>
    <w:p>
      <w:pPr>
        <w:pStyle w:val="Heading6"/>
        <w:spacing w:line="268" w:lineRule="auto" w:before="40"/>
        <w:ind w:left="561" w:right="696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存货可变现净值的确定依据</w:t>
      </w:r>
    </w:p>
    <w:p>
      <w:pPr>
        <w:pStyle w:val="Heading6"/>
        <w:spacing w:line="273" w:lineRule="auto"/>
        <w:ind w:right="0" w:firstLine="420"/>
        <w:jc w:val="left"/>
      </w:pPr>
      <w:r>
        <w:rPr/>
        <w:t>资产负债表日，存货采用成本与可变现净值孰低计量，按照存货类别成本高于可变现净值的差额计提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103"/>
        </w:rPr>
        <w:t> </w:t>
      </w:r>
      <w:r>
        <w:rPr>
          <w:spacing w:val="-103"/>
        </w:rPr>
      </w:r>
      <w:r>
        <w:rPr/>
        <w:t>并与其对应的成本进行比较，分别确定存货跌价准备的计提或转回的金额。</w:t>
      </w:r>
    </w:p>
    <w:p>
      <w:pPr>
        <w:pStyle w:val="Heading6"/>
        <w:spacing w:line="259" w:lineRule="auto"/>
        <w:ind w:left="561" w:right="738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5"/>
        </w:rPr>
        <w:t> </w:t>
      </w:r>
      <w:r>
        <w:rPr/>
        <w:t>存货的盘存制度 存货的盘存制度为永续盘存制。</w:t>
      </w:r>
    </w:p>
    <w:p>
      <w:pPr>
        <w:pStyle w:val="Heading6"/>
        <w:spacing w:line="259" w:lineRule="auto" w:before="23"/>
        <w:ind w:left="561" w:right="7134"/>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t>低值易耗品和包装物的摊销方法 按照一次转销法进行摊销。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spacing w:line="240" w:lineRule="auto"/>
        <w:ind w:right="1086"/>
        <w:jc w:val="left"/>
        <w:rPr>
          <w:b w:val="0"/>
          <w:bCs w:val="0"/>
        </w:rPr>
      </w:pPr>
      <w:bookmarkStart w:name="16、合同资产" w:id="184"/>
      <w:bookmarkEnd w:id="184"/>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7、合同成本" w:id="185"/>
      <w:bookmarkEnd w:id="185"/>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8、持有待售资产" w:id="186"/>
      <w:bookmarkEnd w:id="186"/>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9、债权投资" w:id="187"/>
      <w:bookmarkEnd w:id="187"/>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20、其他债权投资" w:id="188"/>
      <w:bookmarkEnd w:id="188"/>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21、长期应收款" w:id="189"/>
      <w:bookmarkEnd w:id="189"/>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22、长期股权投资" w:id="190"/>
      <w:bookmarkEnd w:id="190"/>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9"/>
        <w:rPr>
          <w:rFonts w:ascii="宋体" w:hAnsi="宋体" w:cs="宋体" w:eastAsia="宋体" w:hint="default"/>
          <w:b/>
          <w:bCs/>
          <w:sz w:val="23"/>
          <w:szCs w:val="23"/>
        </w:rPr>
      </w:pPr>
    </w:p>
    <w:p>
      <w:pPr>
        <w:pStyle w:val="Heading6"/>
        <w:spacing w:line="247" w:lineRule="auto"/>
        <w:ind w:left="561" w:right="108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共同控制、重要影响的判断 按照相关约定对某项安排存在共有的控制，并且该安排的相关活动必须经过分享控制权的参与方一致</w:t>
      </w:r>
    </w:p>
    <w:p>
      <w:pPr>
        <w:pStyle w:val="Heading6"/>
        <w:spacing w:line="276" w:lineRule="auto" w:before="34"/>
        <w:ind w:right="1086"/>
        <w:jc w:val="left"/>
      </w:pPr>
      <w:r>
        <w:rPr/>
        <w:t>同意后才能决策，认定为共同控制。对被投资单位的财务和经营政策有参与决策的权力，但并不能够控制 或者与其他方一起共同控制这些政策的制定，认定为重大影响。</w:t>
      </w:r>
    </w:p>
    <w:p>
      <w:pPr>
        <w:pStyle w:val="Heading6"/>
        <w:spacing w:line="240" w:lineRule="auto" w:before="9"/>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投资成本的确定</w:t>
      </w:r>
    </w:p>
    <w:p>
      <w:pPr>
        <w:pStyle w:val="Heading6"/>
        <w:spacing w:line="266" w:lineRule="auto" w:before="24"/>
        <w:ind w:right="109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3"/>
        </w:rPr>
        <w:t> </w:t>
      </w:r>
      <w:r>
        <w:rPr/>
        <w:t>同一控制下的企业合并形成的，合并方以支付现金、转让非现金资产、承担债务或发行权益性证</w:t>
      </w:r>
      <w:r>
        <w:rPr>
          <w:w w:val="99"/>
        </w:rPr>
        <w:t> </w:t>
      </w:r>
      <w:r>
        <w:rPr/>
        <w:t>券作为合并对价的，在合并日按照取得被合并方所有者权益在最终控制方合并财务报表中的账面价值的份</w:t>
      </w:r>
      <w:r>
        <w:rPr>
          <w:w w:val="99"/>
        </w:rPr>
        <w:t> </w:t>
      </w:r>
      <w:r>
        <w:rPr/>
        <w:t>额作为其初始投资成本。长期股权投资初始投资成本与支付的合并对价的账面价值或发行股份的面值总额</w:t>
      </w:r>
      <w:r>
        <w:rPr>
          <w:w w:val="99"/>
        </w:rPr>
        <w:t> </w:t>
      </w:r>
      <w:r>
        <w:rPr/>
        <w:t>之间的差额调整资本公积；资本公积不足冲减的，调整留存收益。</w:t>
      </w:r>
    </w:p>
    <w:p>
      <w:pPr>
        <w:pStyle w:val="Heading6"/>
        <w:spacing w:line="261" w:lineRule="auto" w:before="17"/>
        <w:ind w:right="1112" w:firstLine="420"/>
        <w:jc w:val="left"/>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w:t>
      </w:r>
    </w:p>
    <w:p>
      <w:pPr>
        <w:spacing w:after="0" w:line="261"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76" w:lineRule="auto" w:before="35"/>
        <w:ind w:right="1103"/>
        <w:jc w:val="both"/>
      </w:pPr>
      <w:r>
        <w:rPr>
          <w:spacing w:val="-1"/>
        </w:rPr>
        <w:t>合并日，根据合并后应享有被合并方净资产在最终控制方合并财务报表中的账面价值的份额确定初始投资</w:t>
      </w:r>
      <w:r>
        <w:rPr>
          <w:spacing w:val="-74"/>
        </w:rPr>
        <w:t> </w:t>
      </w:r>
      <w:r>
        <w:rPr>
          <w:spacing w:val="-74"/>
        </w:rPr>
      </w:r>
      <w:r>
        <w:rPr>
          <w:spacing w:val="-1"/>
        </w:rPr>
        <w:t>成本。合并日长期股权投资的初始投资成本，与达到合并前的长期股权投资账面价值加上合并日进一步取</w:t>
      </w:r>
      <w:r>
        <w:rPr>
          <w:spacing w:val="-89"/>
        </w:rPr>
        <w:t> </w:t>
      </w:r>
      <w:r>
        <w:rPr>
          <w:spacing w:val="-89"/>
        </w:rPr>
      </w:r>
      <w:r>
        <w:rPr/>
        <w:t>得股份新支付对价的账面价值之和的差额，调整资本公积；资本公积不足冲减的，调整留存收益。</w:t>
      </w:r>
    </w:p>
    <w:p>
      <w:pPr>
        <w:pStyle w:val="Heading6"/>
        <w:spacing w:line="259" w:lineRule="auto"/>
        <w:ind w:left="56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w:t>
      </w:r>
    </w:p>
    <w:p>
      <w:pPr>
        <w:pStyle w:val="Heading6"/>
        <w:spacing w:line="240" w:lineRule="auto" w:before="24"/>
        <w:ind w:right="0"/>
        <w:jc w:val="both"/>
      </w:pPr>
      <w:r>
        <w:rPr/>
        <w:t>务报表进行相关会计处理：</w:t>
      </w:r>
    </w:p>
    <w:p>
      <w:pPr>
        <w:pStyle w:val="Heading6"/>
        <w:spacing w:line="259" w:lineRule="auto" w:before="40"/>
        <w:ind w:right="1084"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在个别财务报表中，按照原持有的股权投资的账面价值加上新增投资成本之和，作为改按成本法核</w:t>
      </w:r>
      <w:r>
        <w:rPr>
          <w:w w:val="99"/>
        </w:rPr>
        <w:t> </w:t>
      </w:r>
      <w:r>
        <w:rPr/>
        <w:t>算的初始投资成本。</w:t>
      </w:r>
    </w:p>
    <w:p>
      <w:pPr>
        <w:pStyle w:val="Heading6"/>
        <w:spacing w:line="268" w:lineRule="auto" w:before="8"/>
        <w:ind w:right="109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 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 </w:t>
      </w:r>
      <w:r>
        <w:rPr>
          <w:spacing w:val="-1"/>
        </w:rPr>
        <w:t>权在购买日的公允价值进行重新计量，公允价值与其账面价值的差额计入当期投资收益；购买日之前持有</w:t>
      </w:r>
      <w:r>
        <w:rPr>
          <w:spacing w:val="-91"/>
        </w:rPr>
        <w:t> </w:t>
      </w:r>
      <w:r>
        <w:rPr>
          <w:spacing w:val="-91"/>
        </w:rPr>
      </w:r>
      <w:r>
        <w:rPr/>
        <w:t>的被购买方的股权涉及权益法核算下的其他综合收益等的，与其相关的其他综合收益等转为购买日所属当</w:t>
      </w:r>
      <w:r>
        <w:rPr/>
        <w:t> 期收益。但由于被投资方重新计量设定受益计划净负债或净资产变动而产生的其他综合收益除外。</w:t>
      </w:r>
    </w:p>
    <w:p>
      <w:pPr>
        <w:pStyle w:val="Heading6"/>
        <w:spacing w:line="266" w:lineRule="auto"/>
        <w:ind w:right="1083"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0"/>
        </w:rPr>
        <w:t> </w:t>
      </w:r>
      <w:r>
        <w:rPr/>
        <w:t>除企业合并形成以外的：以支付现金取得的，按照实际支付的购买价款作为其初始投资成本；以</w:t>
      </w:r>
      <w:r>
        <w:rPr>
          <w:w w:val="99"/>
        </w:rPr>
        <w:t> </w:t>
      </w:r>
      <w:r>
        <w:rPr/>
        <w:t>发行权益性证券取得的，按照发行权益性证券的公允价值作为其初始投资成本；以债务重组方式取得的，</w:t>
      </w:r>
      <w:r>
        <w:rPr>
          <w:w w:val="99"/>
        </w:rPr>
        <w:t> </w:t>
      </w:r>
      <w:r>
        <w:rPr/>
        <w:t>按《企业会计准则第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债务重组》确定其初始投资成本；以非货币性资产交换取得的，按《企业会</w:t>
      </w:r>
      <w:r>
        <w:rPr>
          <w:w w:val="99"/>
        </w:rPr>
        <w:t> </w:t>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Heading6"/>
        <w:spacing w:line="247" w:lineRule="auto"/>
        <w:ind w:left="561" w:right="10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后续计量及损益确认方法 </w:t>
      </w:r>
      <w:r>
        <w:rPr>
          <w:spacing w:val="-1"/>
        </w:rPr>
        <w:t>对被投资单位实施控制的长期股权投资采用成本法核算；对联营企业和合营企业的长期股权投资，采</w:t>
      </w:r>
    </w:p>
    <w:p>
      <w:pPr>
        <w:pStyle w:val="Heading6"/>
        <w:spacing w:line="240" w:lineRule="auto" w:before="34"/>
        <w:ind w:right="0"/>
        <w:jc w:val="both"/>
      </w:pPr>
      <w:r>
        <w:rPr/>
        <w:t>用权益法核算。</w:t>
      </w:r>
    </w:p>
    <w:p>
      <w:pPr>
        <w:pStyle w:val="Heading6"/>
        <w:spacing w:line="240" w:lineRule="auto" w:before="40"/>
        <w:ind w:left="561" w:right="1086"/>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5"/>
        </w:rPr>
        <w:t> </w:t>
      </w:r>
      <w:r>
        <w:rPr/>
        <w:t>通过多次交易分步处置对子公司投资至丧失控制权的处理方法</w:t>
      </w:r>
    </w:p>
    <w:p>
      <w:pPr>
        <w:pStyle w:val="Heading6"/>
        <w:spacing w:line="259" w:lineRule="auto" w:before="24"/>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个别财务报表</w:t>
      </w:r>
      <w:r>
        <w:rPr>
          <w:spacing w:val="-102"/>
        </w:rPr>
        <w:t> </w:t>
      </w:r>
      <w:r>
        <w:rPr/>
        <w:t>对处置的股权，其账面价值与实际取得价款之间的差额，计入当期损益。对于剩余股权，对被投资单</w:t>
      </w:r>
    </w:p>
    <w:p>
      <w:pPr>
        <w:pStyle w:val="Heading6"/>
        <w:spacing w:line="276" w:lineRule="auto" w:before="9"/>
        <w:ind w:right="0"/>
        <w:jc w:val="left"/>
      </w:pPr>
      <w:r>
        <w:rPr/>
        <w:t>位仍具有重大影响或者与其他方一起实施共同控制的，转为权益法核算；不能再对被投资单位实施控制、 共同控制或重大影响的，按照《企业会计准则第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金融工具确认和计量》的相关规定进行核算。</w:t>
      </w:r>
    </w:p>
    <w:p>
      <w:pPr>
        <w:pStyle w:val="Heading6"/>
        <w:spacing w:line="281" w:lineRule="exact"/>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合并财务报表</w:t>
      </w:r>
    </w:p>
    <w:p>
      <w:pPr>
        <w:pStyle w:val="Heading6"/>
        <w:spacing w:line="261" w:lineRule="auto" w:before="24"/>
        <w:ind w:left="561" w:right="108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1"/>
        </w:rPr>
        <w:t>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在丧失控制权之前，处置价款与处置长期股权投资相对应享有子公司自购买日或合并日开始持续计算</w:t>
      </w:r>
    </w:p>
    <w:p>
      <w:pPr>
        <w:pStyle w:val="Heading6"/>
        <w:spacing w:line="276" w:lineRule="auto" w:before="6"/>
        <w:ind w:left="561" w:right="0" w:hanging="421"/>
        <w:jc w:val="left"/>
      </w:pPr>
      <w:r>
        <w:rPr/>
        <w:t>的净资产份额之间的差额，调整资本公积（资本溢价），资本溢价不足冲减的，冲减留存收益。 丧失对原子公司控制权时，对于剩余股权，按照其在丧失控制权日的公允价值进行重新计量。处置股</w:t>
      </w:r>
    </w:p>
    <w:p>
      <w:pPr>
        <w:pStyle w:val="Heading6"/>
        <w:spacing w:line="276" w:lineRule="auto" w:before="8"/>
        <w:ind w:right="1094"/>
        <w:jc w:val="both"/>
      </w:pPr>
      <w:r>
        <w:rPr/>
        <w:t>权取得的对价与剩余股权公允价值之和，减去按原持股比例计算应享有原有子公司自购买日或合并日开始 持续计算的净资产的份额之间的差额，计入丧失控制权当期的投资收益，同时冲减商誉。与原有子公司股 权投资相关的其他综合收益等，应当在丧失控制权时转为当期投资收益。</w:t>
      </w:r>
    </w:p>
    <w:p>
      <w:pPr>
        <w:pStyle w:val="Heading6"/>
        <w:spacing w:line="271" w:lineRule="auto"/>
        <w:ind w:right="108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将各项交易作为一项处置子公司并丧失控制权的交易进行会计处理。但是，在丧失控制权之前每一次处置</w:t>
      </w:r>
      <w:r>
        <w:rPr>
          <w:spacing w:val="-91"/>
        </w:rPr>
        <w:t> </w:t>
      </w:r>
      <w:r>
        <w:rPr>
          <w:spacing w:val="-91"/>
        </w:rPr>
      </w:r>
      <w:r>
        <w:rPr>
          <w:spacing w:val="-1"/>
        </w:rPr>
        <w:t>价款与处置投资对应的享有该子公司净资产份额的差额，在合并财务报表中确认为其他综合收益，在丧失</w:t>
      </w:r>
      <w:r>
        <w:rPr>
          <w:spacing w:val="-91"/>
        </w:rPr>
        <w:t> </w:t>
      </w:r>
      <w:r>
        <w:rPr>
          <w:spacing w:val="-91"/>
        </w:rPr>
      </w:r>
      <w:r>
        <w:rPr/>
        <w:t>控制权时一并转入丧失控制权当期的损益。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5"/>
        <w:spacing w:line="240" w:lineRule="auto"/>
        <w:ind w:right="0"/>
        <w:jc w:val="both"/>
        <w:rPr>
          <w:b w:val="0"/>
          <w:bCs w:val="0"/>
        </w:rPr>
      </w:pPr>
      <w:bookmarkStart w:name="23、投资性房地产" w:id="191"/>
      <w:bookmarkEnd w:id="191"/>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3"/>
        <w:rPr>
          <w:rFonts w:ascii="宋体" w:hAnsi="宋体" w:cs="宋体" w:eastAsia="宋体" w:hint="default"/>
          <w:b/>
          <w:bCs/>
          <w:sz w:val="25"/>
          <w:szCs w:val="25"/>
        </w:rPr>
      </w:pPr>
    </w:p>
    <w:p>
      <w:pPr>
        <w:pStyle w:val="BodyText"/>
        <w:spacing w:line="360" w:lineRule="auto" w:before="0"/>
        <w:ind w:right="8949"/>
        <w:jc w:val="left"/>
      </w:pPr>
      <w:r>
        <w:rPr/>
        <w:t>投资性房地产计量模式 成本法计量 折旧或摊销方法</w:t>
      </w:r>
    </w:p>
    <w:p>
      <w:pPr>
        <w:spacing w:after="0" w:line="36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40" w:lineRule="auto" w:before="35"/>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t>投资性房地产包括已出租的土地使用权、持有并准备增值后转让的土地使用权和已出租的建筑物。</w:t>
      </w:r>
    </w:p>
    <w:p>
      <w:pPr>
        <w:pStyle w:val="Heading6"/>
        <w:spacing w:line="259" w:lineRule="auto" w:before="24"/>
        <w:ind w:right="109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投资性房地产按照成本进行初始计量，采用成本模式进行后续计量，并采用与固定资产和无形资产 相同的方法计提折旧或进行摊销。</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spacing w:line="240" w:lineRule="auto"/>
        <w:ind w:right="1086"/>
        <w:jc w:val="left"/>
        <w:rPr>
          <w:b w:val="0"/>
          <w:bCs w:val="0"/>
        </w:rPr>
      </w:pPr>
      <w:bookmarkStart w:name="24、固定资产" w:id="192"/>
      <w:bookmarkEnd w:id="192"/>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确认条件" w:id="193"/>
      <w:bookmarkEnd w:id="19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5"/>
        <w:rPr>
          <w:rFonts w:ascii="宋体" w:hAnsi="宋体" w:cs="宋体" w:eastAsia="宋体" w:hint="default"/>
          <w:b/>
          <w:bCs/>
          <w:sz w:val="26"/>
          <w:szCs w:val="26"/>
        </w:rPr>
      </w:pPr>
    </w:p>
    <w:p>
      <w:pPr>
        <w:pStyle w:val="BodyText"/>
        <w:spacing w:line="288" w:lineRule="auto" w:before="0"/>
        <w:ind w:right="1086"/>
        <w:jc w:val="left"/>
      </w:pPr>
      <w:r>
        <w:rPr>
          <w:rFonts w:ascii="Times New Roman" w:hAnsi="Times New Roman" w:cs="Times New Roman" w:eastAsia="Times New Roman" w:hint="default"/>
        </w:rPr>
        <w:t>1. </w:t>
      </w:r>
      <w:r>
        <w:rPr/>
        <w:t>固定资产确认条件固定资产是指为生产商品、提供劳务、出租或经营管理而持有的，使用年限超过一个会计年度的有形 资产。固定资产在同时满足经济利益很可能流入、成本能够可靠计量时予以确认。</w:t>
      </w:r>
    </w:p>
    <w:p>
      <w:pPr>
        <w:spacing w:line="240" w:lineRule="auto" w:before="12"/>
        <w:rPr>
          <w:rFonts w:ascii="宋体" w:hAnsi="宋体" w:cs="宋体" w:eastAsia="宋体" w:hint="default"/>
          <w:sz w:val="25"/>
          <w:szCs w:val="25"/>
        </w:rPr>
      </w:pPr>
    </w:p>
    <w:p>
      <w:pPr>
        <w:pStyle w:val="Heading5"/>
        <w:spacing w:line="240" w:lineRule="auto"/>
        <w:ind w:right="1086"/>
        <w:jc w:val="left"/>
        <w:rPr>
          <w:b w:val="0"/>
          <w:bCs w:val="0"/>
        </w:rPr>
      </w:pPr>
      <w:bookmarkStart w:name="（2）折旧方法" w:id="194"/>
      <w:bookmarkEnd w:id="19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4.75</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31.66-19.00</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3-10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31.66-9.50</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11"/>
        <w:rPr>
          <w:rFonts w:ascii="宋体" w:hAnsi="宋体" w:cs="宋体" w:eastAsia="宋体" w:hint="default"/>
          <w:b/>
          <w:bCs/>
          <w:sz w:val="19"/>
          <w:szCs w:val="19"/>
        </w:rPr>
      </w:pPr>
    </w:p>
    <w:p>
      <w:pPr>
        <w:pStyle w:val="Heading5"/>
        <w:spacing w:line="508" w:lineRule="auto" w:before="35"/>
        <w:ind w:right="5795"/>
        <w:jc w:val="left"/>
        <w:rPr>
          <w:b w:val="0"/>
          <w:bCs w:val="0"/>
        </w:rPr>
      </w:pPr>
      <w:bookmarkStart w:name="（3）融资租入固定资产的认定依据、计价和折旧方法" w:id="195"/>
      <w:bookmarkEnd w:id="195"/>
      <w:r>
        <w:rPr>
          <w:b w:val="0"/>
          <w:bCs w:val="0"/>
        </w:rPr>
      </w:r>
      <w:r>
        <w:rPr/>
        <w:t>（</w:t>
      </w:r>
      <w:r>
        <w:rPr>
          <w:rFonts w:ascii="Times New Roman" w:hAnsi="Times New Roman" w:cs="Times New Roman" w:eastAsia="Times New Roman" w:hint="default"/>
        </w:rPr>
        <w:t>3</w:t>
      </w:r>
      <w:r>
        <w:rPr/>
        <w:t>）融资租入固定资产的认定依据、计价和折旧方法</w:t>
      </w:r>
      <w:r>
        <w:rPr>
          <w:w w:val="99"/>
        </w:rPr>
        <w:t> </w:t>
      </w:r>
      <w:bookmarkStart w:name="25、在建工程" w:id="196"/>
      <w:bookmarkEnd w:id="196"/>
      <w:r>
        <w:rPr>
          <w:w w:val="99"/>
        </w:rPr>
      </w:r>
      <w:r>
        <w:rPr>
          <w:rFonts w:ascii="Times New Roman" w:hAnsi="Times New Roman" w:cs="Times New Roman" w:eastAsia="Times New Roman" w:hint="default"/>
        </w:rPr>
        <w:t>25</w:t>
      </w:r>
      <w:r>
        <w:rPr/>
        <w:t>、在建工程</w:t>
      </w:r>
      <w:r>
        <w:rPr>
          <w:b w:val="0"/>
          <w:bCs w:val="0"/>
        </w:rPr>
      </w:r>
    </w:p>
    <w:p>
      <w:pPr>
        <w:pStyle w:val="Heading6"/>
        <w:spacing w:line="259" w:lineRule="auto" w:before="49"/>
        <w:ind w:right="109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在建工程同时满足经济利益很可能流入、成本能够可靠计量则予以确认。在建工程按建造该项资产 达到预定可使用状态前所发生的实际成本计量。</w:t>
      </w:r>
    </w:p>
    <w:p>
      <w:pPr>
        <w:pStyle w:val="Heading6"/>
        <w:spacing w:line="268" w:lineRule="auto" w:before="9"/>
        <w:ind w:right="1093"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在建工程达到预定可使用状态时，按工程实际成本转入固定资产。已达到预定可使用状态但尚未办 理竣工决算的，先按估计价值转入固定资产，待办理竣工决算后再按实际成本调整原暂估价值，但不再调 整原已计提的折旧。</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Heading5"/>
        <w:spacing w:line="240" w:lineRule="auto"/>
        <w:ind w:right="1086"/>
        <w:jc w:val="left"/>
        <w:rPr>
          <w:b w:val="0"/>
          <w:bCs w:val="0"/>
        </w:rPr>
      </w:pPr>
      <w:bookmarkStart w:name="26、借款费用" w:id="197"/>
      <w:bookmarkEnd w:id="197"/>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9"/>
        <w:rPr>
          <w:rFonts w:ascii="宋体" w:hAnsi="宋体" w:cs="宋体" w:eastAsia="宋体" w:hint="default"/>
          <w:b/>
          <w:bCs/>
          <w:sz w:val="23"/>
          <w:szCs w:val="23"/>
        </w:rPr>
      </w:pPr>
    </w:p>
    <w:p>
      <w:pPr>
        <w:pStyle w:val="Heading6"/>
        <w:spacing w:line="247" w:lineRule="auto"/>
        <w:ind w:left="56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借款费用资本化的确认原则 公司发生的借款费用，可直接归属于符合资本化条件的资产的购建或者生产的，予以资本化，计入相</w:t>
      </w:r>
    </w:p>
    <w:p>
      <w:pPr>
        <w:pStyle w:val="Heading6"/>
        <w:spacing w:line="240" w:lineRule="auto" w:before="34"/>
        <w:ind w:right="1086"/>
        <w:jc w:val="left"/>
      </w:pPr>
      <w:r>
        <w:rPr/>
        <w:t>关资产成本；其他借款费用，在发生时确认为费用，计入当期损益。</w:t>
      </w:r>
    </w:p>
    <w:p>
      <w:pPr>
        <w:pStyle w:val="Heading6"/>
        <w:spacing w:line="240" w:lineRule="auto" w:before="40"/>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借款费用资本化期间</w:t>
      </w:r>
    </w:p>
    <w:p>
      <w:pPr>
        <w:pStyle w:val="Heading6"/>
        <w:spacing w:line="259" w:lineRule="auto" w:before="24"/>
        <w:ind w:right="1096" w:firstLine="420"/>
        <w:jc w:val="both"/>
      </w:pPr>
      <w:r>
        <w:rPr>
          <w:rFonts w:ascii="Times New Roman" w:hAnsi="Times New Roman" w:cs="Times New Roman" w:eastAsia="Times New Roman" w:hint="default"/>
        </w:rPr>
        <w:t>(1) </w:t>
      </w:r>
      <w:r>
        <w:rPr>
          <w:spacing w:val="-7"/>
        </w:rPr>
        <w:t>当借款费用同时满足下列条件时，开始资本化：</w:t>
      </w:r>
      <w:r>
        <w:rPr>
          <w:rFonts w:ascii="Times New Roman" w:hAnsi="Times New Roman" w:cs="Times New Roman" w:eastAsia="Times New Roman" w:hint="default"/>
          <w:spacing w:val="-7"/>
        </w:rPr>
        <w:t>1) </w:t>
      </w:r>
      <w:r>
        <w:rPr>
          <w:spacing w:val="-7"/>
        </w:rPr>
        <w:t>资产支出已经发生；</w:t>
      </w:r>
      <w:r>
        <w:rPr>
          <w:rFonts w:ascii="Times New Roman" w:hAnsi="Times New Roman" w:cs="Times New Roman" w:eastAsia="Times New Roman" w:hint="default"/>
          <w:spacing w:val="-7"/>
        </w:rPr>
        <w:t>2) </w:t>
      </w:r>
      <w:r>
        <w:rPr>
          <w:spacing w:val="-7"/>
        </w:rPr>
        <w:t>借款费用已经发生；</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33"/>
        </w:rPr>
        <w:t> </w:t>
      </w:r>
      <w:r>
        <w:rPr/>
        <w:t>为</w:t>
      </w:r>
      <w:r>
        <w:rPr>
          <w:w w:val="99"/>
        </w:rPr>
        <w:t> </w:t>
      </w:r>
      <w:r>
        <w:rPr/>
        <w:t>使资产达到预定可使用或可销售状态所必要的购建或者生产活动已经开始。</w:t>
      </w:r>
    </w:p>
    <w:p>
      <w:pPr>
        <w:pStyle w:val="Heading6"/>
        <w:spacing w:line="268" w:lineRule="auto" w:before="8"/>
        <w:ind w:right="1063"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w w:val="99"/>
        </w:rPr>
        <w:t> </w:t>
      </w:r>
      <w:r>
        <w:rPr/>
        <w:t>暂停借款费用的资本化；中断期间发生的借款费用确认为当期费用，直至资产的购建或者生产活动重新开</w:t>
      </w:r>
      <w:r>
        <w:rPr>
          <w:w w:val="99"/>
        </w:rPr>
        <w:t> </w:t>
      </w:r>
      <w:r>
        <w:rPr/>
        <w:t>始。</w:t>
      </w:r>
    </w:p>
    <w:p>
      <w:pPr>
        <w:pStyle w:val="Heading6"/>
        <w:spacing w:line="240" w:lineRule="auto" w:before="15"/>
        <w:ind w:left="56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当所购建或者生产符合资本化条件的资产达到预定可使用或可销售状态时，借款费用停止资本化。</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68" w:lineRule="auto" w:before="35"/>
        <w:ind w:right="1086"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借款费用资本化率以及资本化金额 </w:t>
      </w:r>
      <w:r>
        <w:rPr>
          <w:spacing w:val="-1"/>
        </w:rPr>
        <w:t>为购建或者生产符合资本化条件的资产而借入专门借款的，以专门借款当期实际发生的利息费用（包括按</w:t>
      </w:r>
      <w:r>
        <w:rPr>
          <w:spacing w:val="-91"/>
        </w:rPr>
        <w:t> </w:t>
      </w:r>
      <w:r>
        <w:rPr>
          <w:spacing w:val="-91"/>
        </w:rPr>
      </w:r>
      <w:r>
        <w:rPr>
          <w:spacing w:val="-1"/>
        </w:rPr>
        <w:t>照实际利率法确定的折价或溢价的摊销），减去将尚未动用的借款资金存入银行取得的利息收入或进行暂</w:t>
      </w:r>
      <w:r>
        <w:rPr>
          <w:spacing w:val="-91"/>
        </w:rPr>
        <w:t> </w:t>
      </w:r>
      <w:r>
        <w:rPr>
          <w:spacing w:val="-91"/>
        </w:rPr>
      </w:r>
      <w:r>
        <w:rPr>
          <w:spacing w:val="-1"/>
        </w:rPr>
        <w:t>时性投资取得的投资收益后的金额，确定应予资本化的利息金额；为购建或者生产符合资本化条件的资产</w:t>
      </w:r>
      <w:r>
        <w:rPr>
          <w:spacing w:val="-100"/>
        </w:rPr>
        <w:t> </w:t>
      </w:r>
      <w:r>
        <w:rPr>
          <w:spacing w:val="-100"/>
        </w:rPr>
      </w:r>
      <w:r>
        <w:rPr>
          <w:spacing w:val="4"/>
        </w:rPr>
        <w:t>占用了一般借款的，根据累计资产支出超过专门借款的资产支出加权平均数乘以占用一般借款的资本化</w:t>
      </w:r>
      <w:r>
        <w:rPr/>
        <w:t> 率，计算确定一般借款应予资本化的利息金额。</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5"/>
        <w:spacing w:line="240" w:lineRule="auto"/>
        <w:ind w:right="1086"/>
        <w:jc w:val="left"/>
        <w:rPr>
          <w:b w:val="0"/>
          <w:bCs w:val="0"/>
        </w:rPr>
      </w:pPr>
      <w:bookmarkStart w:name="27、生物资产" w:id="198"/>
      <w:bookmarkEnd w:id="198"/>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28、油气资产" w:id="199"/>
      <w:bookmarkEnd w:id="199"/>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29、使用权资产" w:id="200"/>
      <w:bookmarkEnd w:id="200"/>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30、无形资产" w:id="201"/>
      <w:bookmarkEnd w:id="201"/>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计价方法、使用寿命、减值测试" w:id="202"/>
      <w:bookmarkEnd w:id="202"/>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10"/>
        <w:rPr>
          <w:rFonts w:ascii="宋体" w:hAnsi="宋体" w:cs="宋体" w:eastAsia="宋体" w:hint="default"/>
          <w:b/>
          <w:bCs/>
          <w:sz w:val="22"/>
          <w:szCs w:val="22"/>
        </w:rPr>
      </w:pPr>
    </w:p>
    <w:p>
      <w:pPr>
        <w:pStyle w:val="Heading4"/>
        <w:spacing w:line="240" w:lineRule="auto"/>
        <w:ind w:left="561" w:right="1086"/>
        <w:jc w:val="left"/>
        <w:rPr>
          <w:i w:val="0"/>
        </w:rPr>
      </w:pPr>
      <w:r>
        <w:rPr>
          <w:rFonts w:ascii="Times New Roman" w:hAnsi="Times New Roman" w:cs="Times New Roman" w:eastAsia="Times New Roman" w:hint="default"/>
          <w:i/>
          <w:w w:val="95"/>
          <w:sz w:val="21"/>
          <w:szCs w:val="21"/>
        </w:rPr>
        <w:t>1. </w:t>
      </w:r>
      <w:r>
        <w:rPr>
          <w:rFonts w:ascii="Times New Roman" w:hAnsi="Times New Roman" w:cs="Times New Roman" w:eastAsia="Times New Roman" w:hint="default"/>
          <w:i/>
          <w:spacing w:val="39"/>
          <w:w w:val="95"/>
          <w:sz w:val="21"/>
          <w:szCs w:val="21"/>
        </w:rPr>
        <w:t> </w:t>
      </w:r>
      <w:r>
        <w:rPr>
          <w:w w:val="95"/>
        </w:rPr>
        <w:t>无形资产包括土地使用权、专利权及非专利技术等，按成本进行初始计量。</w:t>
      </w:r>
      <w:r>
        <w:rPr>
          <w:i w:val="0"/>
        </w:rPr>
      </w:r>
    </w:p>
    <w:p>
      <w:pPr>
        <w:pStyle w:val="Heading6"/>
        <w:spacing w:line="259" w:lineRule="auto" w:before="24"/>
        <w:ind w:right="109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使用寿命有限的无形资产，在使用寿命内按照与该项无形资产有关的经济利益的预期实现方式系统 合理地摊销，无法可靠确定预期实现方式的，采用直线法摊销。具体年限如下：</w:t>
      </w:r>
    </w:p>
    <w:p>
      <w:pPr>
        <w:spacing w:line="240" w:lineRule="auto" w:before="2"/>
        <w:rPr>
          <w:rFonts w:ascii="宋体" w:hAnsi="宋体" w:cs="宋体" w:eastAsia="宋体" w:hint="default"/>
          <w:sz w:val="2"/>
          <w:szCs w:val="2"/>
        </w:rPr>
      </w:pPr>
    </w:p>
    <w:tbl>
      <w:tblPr>
        <w:tblW w:w="0" w:type="auto"/>
        <w:jc w:val="left"/>
        <w:tblInd w:w="487" w:type="dxa"/>
        <w:tblLayout w:type="fixed"/>
        <w:tblCellMar>
          <w:top w:w="0" w:type="dxa"/>
          <w:left w:w="0" w:type="dxa"/>
          <w:bottom w:w="0" w:type="dxa"/>
          <w:right w:w="0" w:type="dxa"/>
        </w:tblCellMar>
        <w:tblLook w:val="01E0"/>
      </w:tblPr>
      <w:tblGrid>
        <w:gridCol w:w="2343"/>
        <w:gridCol w:w="1990"/>
      </w:tblGrid>
      <w:tr>
        <w:trPr>
          <w:trHeight w:val="360"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5"/>
                <w:sz w:val="21"/>
                <w:szCs w:val="21"/>
              </w:rPr>
              <w:t> </w:t>
            </w:r>
            <w:r>
              <w:rPr>
                <w:rFonts w:ascii="宋体" w:hAnsi="宋体" w:cs="宋体" w:eastAsia="宋体" w:hint="default"/>
                <w:sz w:val="21"/>
                <w:szCs w:val="21"/>
              </w:rPr>
              <w:t>目</w:t>
            </w: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85" w:lineRule="exact"/>
              <w:ind w:left="3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5"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5-10</w:t>
            </w:r>
          </w:p>
        </w:tc>
      </w:tr>
      <w:tr>
        <w:trPr>
          <w:trHeight w:val="346"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50</w:t>
            </w:r>
          </w:p>
        </w:tc>
      </w:tr>
      <w:tr>
        <w:trPr>
          <w:trHeight w:val="345" w:hRule="exact"/>
        </w:trPr>
        <w:tc>
          <w:tcPr>
            <w:tcW w:w="234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专有技术、专利及商标</w:t>
            </w: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5-10</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5"/>
        <w:spacing w:line="240" w:lineRule="auto" w:before="35"/>
        <w:ind w:right="1086"/>
        <w:jc w:val="left"/>
        <w:rPr>
          <w:b w:val="0"/>
          <w:bCs w:val="0"/>
        </w:rPr>
      </w:pPr>
      <w:bookmarkStart w:name="（2）内部研究开发支出会计政策" w:id="203"/>
      <w:bookmarkEnd w:id="203"/>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9"/>
        <w:rPr>
          <w:rFonts w:ascii="宋体" w:hAnsi="宋体" w:cs="宋体" w:eastAsia="宋体" w:hint="default"/>
          <w:b/>
          <w:bCs/>
          <w:sz w:val="23"/>
          <w:szCs w:val="23"/>
        </w:rPr>
      </w:pPr>
    </w:p>
    <w:p>
      <w:pPr>
        <w:pStyle w:val="Heading6"/>
        <w:spacing w:line="261" w:lineRule="auto"/>
        <w:ind w:right="1085" w:firstLine="420"/>
        <w:jc w:val="both"/>
      </w:pPr>
      <w:r>
        <w:rPr/>
        <w:t>内部研究开发项目研究阶段的支出，于发生时计入当期损益。内部研究开发项目开发阶段的支出，同 时满足下列条件的，确认为无形资产：</w:t>
      </w:r>
      <w:r>
        <w:rPr>
          <w:rFonts w:ascii="Times New Roman" w:hAnsi="Times New Roman" w:cs="Times New Roman" w:eastAsia="Times New Roman" w:hint="default"/>
        </w:rPr>
        <w:t>(1) </w:t>
      </w:r>
      <w:r>
        <w:rPr/>
        <w:t>完成该无形资产以使其能够使用或出售在技术上具有可行性；</w:t>
      </w:r>
      <w:r>
        <w:rPr>
          <w:spacing w:val="-70"/>
        </w:rPr>
        <w:t> </w:t>
      </w:r>
      <w:r>
        <w:rPr>
          <w:spacing w:val="-70"/>
        </w:rPr>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25"/>
        </w:rPr>
        <w:t> </w:t>
      </w:r>
      <w:r>
        <w:rPr/>
        <w:t>无形资产产生经济利益的方式，包括能够证明运用该无 </w:t>
      </w:r>
      <w:r>
        <w:rPr>
          <w:spacing w:val="-4"/>
        </w:rPr>
        <w:t>形资产生产的产品存在市场或无形资产自身存在市场，无形资产将在内部使用的，能证明其有用性；</w:t>
      </w:r>
      <w:r>
        <w:rPr>
          <w:rFonts w:ascii="Times New Roman" w:hAnsi="Times New Roman" w:cs="Times New Roman" w:eastAsia="Times New Roman" w:hint="default"/>
          <w:spacing w:val="-4"/>
        </w:rPr>
        <w:t>(4)</w:t>
      </w:r>
      <w:r>
        <w:rPr>
          <w:rFonts w:ascii="Times New Roman" w:hAnsi="Times New Roman" w:cs="Times New Roman" w:eastAsia="Times New Roman" w:hint="default"/>
          <w:spacing w:val="27"/>
        </w:rPr>
        <w:t> </w:t>
      </w:r>
      <w:r>
        <w:rPr/>
        <w:t>有</w:t>
      </w:r>
      <w:r>
        <w:rPr>
          <w:spacing w:val="-93"/>
        </w:rPr>
        <w:t> </w:t>
      </w:r>
      <w:r>
        <w:rPr>
          <w:spacing w:val="-2"/>
        </w:rPr>
        <w:t>足够的技术、财务资源和其他资源支持，以完成该无形资产的开发，并有能力使用或出售该无形资产；</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归属于该无形资产开发阶段的支出能够可靠地计量。公司将软件开发立项之前的前期调查探索支出作为研 究阶段支出，将立项之后与业务项目有关的支出作为开发阶段支出。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580" w:lineRule="atLeast" w:before="154"/>
        <w:ind w:left="561" w:right="0" w:hanging="421"/>
        <w:jc w:val="left"/>
      </w:pPr>
      <w:bookmarkStart w:name="31、长期资产减值" w:id="204"/>
      <w:bookmarkEnd w:id="204"/>
      <w:r>
        <w:rPr/>
      </w:r>
      <w:r>
        <w:rPr>
          <w:rFonts w:ascii="Times New Roman" w:hAnsi="Times New Roman" w:cs="Times New Roman" w:eastAsia="Times New Roman" w:hint="default"/>
          <w:b/>
          <w:bCs/>
        </w:rPr>
        <w:t>31</w:t>
      </w:r>
      <w:r>
        <w:rPr>
          <w:rFonts w:ascii="宋体" w:hAnsi="宋体" w:cs="宋体" w:eastAsia="宋体" w:hint="default"/>
          <w:b/>
          <w:bCs/>
        </w:rPr>
        <w:t>、长期资产减值</w:t>
      </w:r>
      <w:r>
        <w:rPr>
          <w:rFonts w:ascii="宋体" w:hAnsi="宋体" w:cs="宋体" w:eastAsia="宋体" w:hint="default"/>
          <w:b/>
          <w:bCs/>
          <w:w w:val="99"/>
        </w:rPr>
        <w:t> </w:t>
      </w:r>
      <w:r>
        <w:rPr/>
        <w:t>对长期股权投资、采用成本模式计量的投资性房地产、固定资产、在建工程、使用寿命有限的无形资</w:t>
      </w:r>
    </w:p>
    <w:p>
      <w:pPr>
        <w:pStyle w:val="Heading6"/>
        <w:spacing w:line="261" w:lineRule="auto" w:before="40"/>
        <w:ind w:right="0"/>
        <w:jc w:val="left"/>
      </w:pPr>
      <w:r>
        <w:rPr/>
        <w:t>产等长期资产，在资产负债表日有迹象表明发生减值的，估计其可收回金额。对因企业合并所形成的商誉 和使用寿命不确定的无形资产，无论是否存在减值迹象，每年都进行减值测试。商誉结合与其相关的资产</w:t>
      </w:r>
    </w:p>
    <w:p>
      <w:pPr>
        <w:spacing w:after="0" w:line="261"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76" w:lineRule="auto" w:before="35"/>
        <w:ind w:left="561" w:right="1086" w:hanging="421"/>
        <w:jc w:val="left"/>
      </w:pPr>
      <w:r>
        <w:rPr/>
        <w:t>组或者资产组组合进行减值测试。 若上述长期资产的可收回金额低于其账面价值的，按其差额确认资产减值准备并计入当期损益。</w:t>
      </w:r>
    </w:p>
    <w:p>
      <w:pPr>
        <w:spacing w:line="240" w:lineRule="auto" w:before="1"/>
        <w:rPr>
          <w:rFonts w:ascii="宋体" w:hAnsi="宋体" w:cs="宋体" w:eastAsia="宋体" w:hint="default"/>
          <w:sz w:val="24"/>
          <w:szCs w:val="24"/>
        </w:rPr>
      </w:pPr>
    </w:p>
    <w:p>
      <w:pPr>
        <w:pStyle w:val="Heading6"/>
        <w:spacing w:line="600" w:lineRule="atLeast"/>
        <w:ind w:left="561" w:right="1089" w:hanging="421"/>
        <w:jc w:val="left"/>
      </w:pPr>
      <w:bookmarkStart w:name="32、长期待摊费用" w:id="205"/>
      <w:bookmarkEnd w:id="205"/>
      <w:r>
        <w:rPr/>
      </w:r>
      <w:r>
        <w:rPr>
          <w:rFonts w:ascii="Times New Roman" w:hAnsi="Times New Roman" w:cs="Times New Roman" w:eastAsia="Times New Roman" w:hint="default"/>
          <w:b/>
          <w:bCs/>
        </w:rPr>
        <w:t>32</w:t>
      </w:r>
      <w:r>
        <w:rPr>
          <w:rFonts w:ascii="宋体" w:hAnsi="宋体" w:cs="宋体" w:eastAsia="宋体" w:hint="default"/>
          <w:b/>
          <w:bCs/>
        </w:rPr>
        <w:t>、长期待摊费用</w:t>
      </w:r>
      <w:r>
        <w:rPr>
          <w:rFonts w:ascii="宋体" w:hAnsi="宋体" w:cs="宋体" w:eastAsia="宋体" w:hint="default"/>
          <w:b/>
          <w:bCs/>
          <w:w w:val="99"/>
        </w:rPr>
        <w:t> </w:t>
      </w:r>
      <w:r>
        <w:rPr/>
        <w:t>长期待摊费用核算已经支出，摊销期限在</w:t>
      </w:r>
      <w:r>
        <w:rPr>
          <w:rFonts w:ascii="Times New Roman" w:hAnsi="Times New Roman" w:cs="Times New Roman" w:eastAsia="Times New Roman" w:hint="default"/>
        </w:rPr>
        <w:t>1</w:t>
      </w:r>
      <w:r>
        <w:rPr/>
        <w:t>年以上（不含</w:t>
      </w:r>
      <w:r>
        <w:rPr>
          <w:rFonts w:ascii="Times New Roman" w:hAnsi="Times New Roman" w:cs="Times New Roman" w:eastAsia="Times New Roman" w:hint="default"/>
        </w:rPr>
        <w:t>1</w:t>
      </w:r>
      <w:r>
        <w:rPr/>
        <w:t>年）的各项费用。长期待摊费用按实际发生</w:t>
      </w:r>
    </w:p>
    <w:p>
      <w:pPr>
        <w:pStyle w:val="Heading6"/>
        <w:spacing w:line="276" w:lineRule="auto" w:before="24"/>
        <w:ind w:right="1086"/>
        <w:jc w:val="left"/>
      </w:pPr>
      <w:r>
        <w:rPr>
          <w:spacing w:val="-1"/>
        </w:rPr>
        <w:t>额入账，在受益期或规定的期限内分期平均摊销。如果长期待摊的费用项目不能使以后会计期间受益则将</w:t>
      </w:r>
      <w:r>
        <w:rPr>
          <w:spacing w:val="-89"/>
        </w:rPr>
        <w:t> </w:t>
      </w:r>
      <w:r>
        <w:rPr>
          <w:spacing w:val="-89"/>
        </w:rPr>
      </w:r>
      <w:r>
        <w:rPr/>
        <w:t>尚未摊销的该项目的摊余价值全部转入当期损益。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right="1086"/>
        <w:jc w:val="left"/>
        <w:rPr>
          <w:b w:val="0"/>
          <w:bCs w:val="0"/>
        </w:rPr>
      </w:pPr>
      <w:bookmarkStart w:name="33、合同负债" w:id="206"/>
      <w:bookmarkEnd w:id="206"/>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34、职工薪酬" w:id="207"/>
      <w:bookmarkEnd w:id="207"/>
      <w:r>
        <w:rPr>
          <w:b w:val="0"/>
          <w:bCs w:val="0"/>
        </w:rPr>
      </w:r>
      <w:r>
        <w:rPr>
          <w:rFonts w:ascii="Times New Roman" w:hAnsi="Times New Roman" w:cs="Times New Roman" w:eastAsia="Times New Roman" w:hint="default"/>
        </w:rPr>
        <w:t>34</w:t>
      </w:r>
      <w:r>
        <w:rPr/>
        <w:t>、职工薪酬</w:t>
      </w:r>
      <w:r>
        <w:rPr>
          <w:b w:val="0"/>
          <w:bCs w:val="0"/>
        </w:rPr>
      </w:r>
    </w:p>
    <w:p>
      <w:pPr>
        <w:spacing w:line="580" w:lineRule="atLeast" w:before="35"/>
        <w:ind w:left="561" w:right="1086" w:hanging="421"/>
        <w:jc w:val="left"/>
        <w:rPr>
          <w:rFonts w:ascii="宋体" w:hAnsi="宋体" w:cs="宋体" w:eastAsia="宋体" w:hint="default"/>
          <w:sz w:val="21"/>
          <w:szCs w:val="21"/>
        </w:rPr>
      </w:pPr>
      <w:bookmarkStart w:name="（1）短期薪酬的会计处理方法" w:id="208"/>
      <w:bookmarkEnd w:id="20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Heading6"/>
        <w:spacing w:line="240" w:lineRule="auto" w:before="40"/>
        <w:ind w:right="1086"/>
        <w:jc w:val="left"/>
      </w:pPr>
      <w:r>
        <w:rPr/>
        <w:t>成本。</w:t>
      </w:r>
    </w:p>
    <w:p>
      <w:pPr>
        <w:spacing w:line="240" w:lineRule="auto" w:before="12"/>
        <w:rPr>
          <w:rFonts w:ascii="宋体" w:hAnsi="宋体" w:cs="宋体" w:eastAsia="宋体" w:hint="default"/>
          <w:sz w:val="29"/>
          <w:szCs w:val="29"/>
        </w:rPr>
      </w:pPr>
    </w:p>
    <w:p>
      <w:pPr>
        <w:spacing w:line="570" w:lineRule="atLeast" w:before="0"/>
        <w:ind w:left="561" w:right="5919" w:hanging="421"/>
        <w:jc w:val="left"/>
        <w:rPr>
          <w:rFonts w:ascii="宋体" w:hAnsi="宋体" w:cs="宋体" w:eastAsia="宋体" w:hint="default"/>
          <w:sz w:val="21"/>
          <w:szCs w:val="21"/>
        </w:rPr>
      </w:pPr>
      <w:bookmarkStart w:name="（2）离职后福利的会计处理方法" w:id="209"/>
      <w:bookmarkEnd w:id="20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离职后福利分为设定提存计划和设定受益计划。</w:t>
      </w:r>
    </w:p>
    <w:p>
      <w:pPr>
        <w:pStyle w:val="Heading6"/>
        <w:spacing w:line="259" w:lineRule="auto" w:before="40"/>
        <w:ind w:right="1115"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在职工为公司提供服务的会计期间，根据设定提存计划计算的应缴存金额确认为负债，并计入当</w:t>
      </w:r>
      <w:r>
        <w:rPr>
          <w:w w:val="99"/>
        </w:rPr>
        <w:t> </w:t>
      </w:r>
      <w:r>
        <w:rPr/>
        <w:t>期损益或相关资产成本。</w:t>
      </w:r>
    </w:p>
    <w:p>
      <w:pPr>
        <w:pStyle w:val="Heading6"/>
        <w:spacing w:line="240" w:lineRule="auto" w:before="23"/>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对设定受益计划的会计处理通常包括下列步骤：</w:t>
      </w:r>
    </w:p>
    <w:p>
      <w:pPr>
        <w:pStyle w:val="Heading6"/>
        <w:spacing w:line="261" w:lineRule="auto" w:before="25"/>
        <w:ind w:right="1083"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根据预期累计福利单位法，采用无偏且相互一致的精算假设对有关人口统计变量和财务变量等作出</w:t>
      </w:r>
      <w:r>
        <w:rPr>
          <w:w w:val="99"/>
        </w:rPr>
        <w:t> </w:t>
      </w:r>
      <w:r>
        <w:rPr/>
        <w:t>估计，计量设定受益计划所产生的义务，并确定相关义务的所属期间。同时，对设定受益计划所产生的义</w:t>
      </w:r>
      <w:r>
        <w:rPr>
          <w:w w:val="99"/>
        </w:rPr>
        <w:t> </w:t>
      </w:r>
      <w:r>
        <w:rPr/>
        <w:t>务予以折现，以确定设定受益计划义务的现值和当期服务成本；</w:t>
      </w:r>
    </w:p>
    <w:p>
      <w:pPr>
        <w:pStyle w:val="Heading6"/>
        <w:spacing w:line="268" w:lineRule="auto" w:before="21"/>
        <w:ind w:right="1099"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设定受益计划存在资产的，将设定受益计划义务现值减去设定受益计划资产公允价值所形成的赤字</w:t>
      </w:r>
      <w:r>
        <w:rPr>
          <w:w w:val="99"/>
        </w:rPr>
        <w:t> </w:t>
      </w:r>
      <w:r>
        <w:rPr>
          <w:spacing w:val="-1"/>
        </w:rPr>
        <w:t>或盈余确认为一项设定受益计划净负债或净资产。设定受益计划存在盈余的，以设定受益计划的盈余和资</w:t>
      </w:r>
      <w:r>
        <w:rPr>
          <w:spacing w:val="-92"/>
        </w:rPr>
        <w:t> </w:t>
      </w:r>
      <w:r>
        <w:rPr>
          <w:spacing w:val="-92"/>
        </w:rPr>
      </w:r>
      <w:r>
        <w:rPr/>
        <w:t>产上限两项的孰低者计量设定受益计划净资产；</w:t>
      </w:r>
    </w:p>
    <w:p>
      <w:pPr>
        <w:pStyle w:val="Heading6"/>
        <w:spacing w:line="271" w:lineRule="auto"/>
        <w:ind w:right="108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期末，将设定受益计划产生的职工薪酬成本确认为服务成本、设定受益计划净负债或净资产的利息</w:t>
      </w:r>
      <w:r>
        <w:rPr>
          <w:w w:val="99"/>
        </w:rPr>
        <w:t> </w:t>
      </w:r>
      <w:r>
        <w:rPr/>
        <w:t>净额以及重新计量设定受益计划净负债或净资产所产生的变动等三部分，其中服务成本和设定受益计划净</w:t>
      </w:r>
      <w:r>
        <w:rPr>
          <w:w w:val="99"/>
        </w:rPr>
        <w:t> </w:t>
      </w:r>
      <w:r>
        <w:rPr/>
        <w:t>负债或净资产的利息净额计入当期损益或相关资产成本，重新计量设定受益计划净负债或净资产所产生的</w:t>
      </w:r>
      <w:r>
        <w:rPr>
          <w:w w:val="99"/>
        </w:rPr>
        <w:t> </w:t>
      </w:r>
      <w:r>
        <w:rPr/>
        <w:t>变动计入其他综合收益，并且在后续会计期间不允许转回至损益，但可以在权益范围内转移这些在其他综</w:t>
      </w:r>
      <w:r>
        <w:rPr>
          <w:w w:val="99"/>
        </w:rPr>
        <w:t> </w:t>
      </w:r>
      <w:r>
        <w:rPr/>
        <w:t>合收益确认的金额。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80" w:lineRule="atLeast" w:before="131"/>
        <w:ind w:left="561" w:right="1086" w:hanging="421"/>
        <w:jc w:val="left"/>
        <w:rPr>
          <w:rFonts w:ascii="宋体" w:hAnsi="宋体" w:cs="宋体" w:eastAsia="宋体" w:hint="default"/>
          <w:sz w:val="21"/>
          <w:szCs w:val="21"/>
        </w:rPr>
      </w:pPr>
      <w:bookmarkStart w:name="（3）辞退福利的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向职工提供的辞退福利，在下列两者孰早日确认辞退福利产生的职工薪酬负债，并计入当期损益：</w:t>
      </w:r>
    </w:p>
    <w:p>
      <w:pPr>
        <w:pStyle w:val="Heading6"/>
        <w:spacing w:line="240" w:lineRule="auto" w:before="40"/>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公司不能单方面撤回因解除劳动关系计划或裁减建议所提供的辞退福利时；</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40" w:lineRule="auto" w:before="35"/>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公司确认与涉及支付辞退福利的重组相关的成本或费用时。</w:t>
      </w:r>
    </w:p>
    <w:p>
      <w:pPr>
        <w:spacing w:line="240" w:lineRule="auto" w:before="9"/>
        <w:rPr>
          <w:rFonts w:ascii="宋体" w:hAnsi="宋体" w:cs="宋体" w:eastAsia="宋体" w:hint="default"/>
          <w:sz w:val="28"/>
          <w:szCs w:val="28"/>
        </w:rPr>
      </w:pPr>
    </w:p>
    <w:p>
      <w:pPr>
        <w:spacing w:line="570" w:lineRule="atLeast" w:before="0"/>
        <w:ind w:left="561" w:right="0" w:hanging="421"/>
        <w:jc w:val="left"/>
        <w:rPr>
          <w:rFonts w:ascii="宋体" w:hAnsi="宋体" w:cs="宋体" w:eastAsia="宋体" w:hint="default"/>
          <w:sz w:val="21"/>
          <w:szCs w:val="21"/>
        </w:rPr>
      </w:pPr>
      <w:bookmarkStart w:name="（4）其他长期职工福利的会计处理方法" w:id="211"/>
      <w:bookmarkEnd w:id="21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pStyle w:val="Heading6"/>
        <w:spacing w:line="276" w:lineRule="auto" w:before="40"/>
        <w:ind w:right="1085"/>
        <w:jc w:val="both"/>
      </w:pPr>
      <w:r>
        <w:rPr/>
        <w:t>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right="0"/>
        <w:jc w:val="both"/>
        <w:rPr>
          <w:b w:val="0"/>
          <w:bCs w:val="0"/>
        </w:rPr>
      </w:pPr>
      <w:bookmarkStart w:name="35、租赁负债" w:id="212"/>
      <w:bookmarkEnd w:id="212"/>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both"/>
        <w:rPr>
          <w:b w:val="0"/>
          <w:bCs w:val="0"/>
        </w:rPr>
      </w:pPr>
      <w:bookmarkStart w:name="36、预计负债" w:id="213"/>
      <w:bookmarkEnd w:id="213"/>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9"/>
        <w:rPr>
          <w:rFonts w:ascii="宋体" w:hAnsi="宋体" w:cs="宋体" w:eastAsia="宋体" w:hint="default"/>
          <w:b/>
          <w:bCs/>
          <w:sz w:val="23"/>
          <w:szCs w:val="23"/>
        </w:rPr>
      </w:pPr>
    </w:p>
    <w:p>
      <w:pPr>
        <w:pStyle w:val="Heading6"/>
        <w:spacing w:line="268" w:lineRule="auto"/>
        <w:ind w:right="1083"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因对外提供担保、诉讼事项、产品质量保证、亏损合同等或有事项形成的义务成为公司承担的现时 义务，履行该义务很可能导致经济利益流出公司，且该义务的金额能够可靠的计量时，公司将该项义务确 认为预计负债。</w:t>
      </w:r>
    </w:p>
    <w:p>
      <w:pPr>
        <w:pStyle w:val="Heading6"/>
        <w:spacing w:line="247" w:lineRule="auto" w:before="15"/>
        <w:ind w:right="1115" w:firstLine="345"/>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3"/>
        </w:rPr>
        <w:t> </w:t>
      </w:r>
      <w:r>
        <w:rPr/>
        <w:t>公司按照履行相关现时义务所需支出的最佳估计数对预计负债进行初始计量，并在资产负债表日对 预计负债的账面价值进行复核。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1"/>
        <w:ind w:right="0"/>
        <w:jc w:val="both"/>
        <w:rPr>
          <w:b w:val="0"/>
          <w:bCs w:val="0"/>
        </w:rPr>
      </w:pPr>
      <w:bookmarkStart w:name="37、股份支付" w:id="214"/>
      <w:bookmarkEnd w:id="214"/>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9"/>
        <w:rPr>
          <w:rFonts w:ascii="宋体" w:hAnsi="宋体" w:cs="宋体" w:eastAsia="宋体" w:hint="default"/>
          <w:b/>
          <w:bCs/>
          <w:sz w:val="23"/>
          <w:szCs w:val="23"/>
        </w:rPr>
      </w:pPr>
    </w:p>
    <w:p>
      <w:pPr>
        <w:pStyle w:val="Heading6"/>
        <w:spacing w:line="268" w:lineRule="auto"/>
        <w:ind w:left="561" w:right="528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股份支付的种类 包括以权益结算的股份支付和以现金结算的股份支付。 </w:t>
      </w: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实施、修改、终止股份支付计划的相关会计处理</w:t>
      </w:r>
    </w:p>
    <w:p>
      <w:pPr>
        <w:pStyle w:val="Heading6"/>
        <w:spacing w:line="273" w:lineRule="exact"/>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以权益结算的股份支付</w:t>
      </w:r>
    </w:p>
    <w:p>
      <w:pPr>
        <w:pStyle w:val="Heading6"/>
        <w:spacing w:line="276" w:lineRule="auto" w:before="24"/>
        <w:ind w:right="0" w:firstLine="420"/>
        <w:jc w:val="left"/>
      </w:pPr>
      <w:r>
        <w:rPr/>
        <w:t>授予后立即可行权的换取职工服务的以权益结算的股份支付，在授予日按照权益工具的公允价值计入 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0"/>
        </w:rPr>
        <w:t> </w:t>
      </w:r>
      <w:r>
        <w:rPr>
          <w:spacing w:val="-90"/>
        </w:rPr>
      </w:r>
      <w:r>
        <w:rPr/>
        <w:t>按权益工具授予日的公允价值，将当期取得的服务计入相关成本或费用，相应调整资本公积。</w:t>
      </w:r>
    </w:p>
    <w:p>
      <w:pPr>
        <w:pStyle w:val="Heading6"/>
        <w:spacing w:line="276" w:lineRule="auto"/>
        <w:ind w:right="1114" w:firstLine="420"/>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r>
        <w:rPr>
          <w:spacing w:val="-91"/>
        </w:rPr>
        <w:t> </w:t>
      </w:r>
      <w:r>
        <w:rPr>
          <w:spacing w:val="-91"/>
        </w:rPr>
      </w:r>
      <w:r>
        <w:rPr/>
        <w:t>计量的，按照权益工具在服务取得日的公允价值计量，计入相关成本或费用，相应增加所有者权益。</w:t>
      </w:r>
    </w:p>
    <w:p>
      <w:pPr>
        <w:pStyle w:val="Heading6"/>
        <w:spacing w:line="261" w:lineRule="auto" w:before="9"/>
        <w:ind w:left="561" w:right="108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以现金结算的股份支付</w:t>
      </w:r>
      <w:r>
        <w:rPr>
          <w:spacing w:val="-102"/>
        </w:rPr>
        <w:t> </w:t>
      </w:r>
      <w:r>
        <w:rPr/>
        <w:t>授予后立即可行权的换取职工服务的以现金结算的股份支付，在授予日按公司承担负债的公允价值计</w:t>
      </w:r>
    </w:p>
    <w:p>
      <w:pPr>
        <w:pStyle w:val="Heading6"/>
        <w:spacing w:line="276" w:lineRule="auto" w:before="6"/>
        <w:ind w:right="1083"/>
        <w:jc w:val="both"/>
      </w:pPr>
      <w:r>
        <w:rPr/>
        <w:t>入相关成本或费用，相应增加负债。完成等待期内的服务或达到规定业绩条件才可行权的换取职工服务的 以现金结算的股份支付，在等待期内的每个资产负债表日，以对可行权情况的最佳估计为基础，按公司承 担负债的公允价值，将当期取得的服务计入相关成本或费用和相应的负债。</w:t>
      </w:r>
    </w:p>
    <w:p>
      <w:pPr>
        <w:pStyle w:val="Heading6"/>
        <w:spacing w:line="259" w:lineRule="auto" w:before="9"/>
        <w:ind w:left="561" w:right="108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修改、终止股份支付计划</w:t>
      </w:r>
      <w:r>
        <w:rPr>
          <w:spacing w:val="-102"/>
        </w:rPr>
        <w:t> </w:t>
      </w:r>
      <w:r>
        <w:rPr/>
        <w:t>如果修改增加了所授予的权益工具的公允价值，公司按照权益工具公允价值的增加相应地确认取得服</w:t>
      </w:r>
    </w:p>
    <w:p>
      <w:pPr>
        <w:pStyle w:val="Heading6"/>
        <w:spacing w:line="276" w:lineRule="auto" w:before="8"/>
        <w:ind w:right="1089"/>
        <w:jc w:val="both"/>
      </w:pPr>
      <w:r>
        <w:rPr/>
        <w:t>务的增加；如果修改增加了所授予的权益工具的数量，公司将增加的权益工具的公允价值相应地确认为取 得服务的增加；如果公司按照有利于职工的方式修改可行权条件，公司在处理可行权条件时，考虑修改后 的可行权条件。</w:t>
      </w:r>
    </w:p>
    <w:p>
      <w:pPr>
        <w:spacing w:after="0" w:line="276"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71" w:lineRule="auto" w:before="35"/>
        <w:ind w:right="1083" w:firstLine="420"/>
        <w:jc w:val="both"/>
      </w:pPr>
      <w:r>
        <w:rPr/>
        <w:t>如果修改减少了授予的权益工具的公允价值，公司继续以权益工具在授予日的公允价值为基础，确认 取得服务的金额，而不考虑权益工具公允价值的减少；如果修改减少了授予的权益工具的数量，公司将减 少部分作为已授予的权益工具的取消来进行处理；如果以不利于职工的方式修改了可行权条件，在处理可 行权条件时，不考虑修改后的可行权条件。</w:t>
      </w:r>
    </w:p>
    <w:p>
      <w:pPr>
        <w:pStyle w:val="Heading6"/>
        <w:spacing w:line="276" w:lineRule="auto" w:before="13"/>
        <w:ind w:right="1099" w:firstLine="420"/>
        <w:jc w:val="both"/>
      </w:pPr>
      <w:r>
        <w:rPr/>
        <w:t>如果公司在等待期内取消了所授予的权益工具或结算了所授予的权益工具（因未满足可行权条件而被 取消的除外），则将取消或结算作为加速可行权处理，立即确认原本在剩余等待期内确认的金额。</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spacing w:line="240" w:lineRule="auto"/>
        <w:ind w:right="1086"/>
        <w:jc w:val="left"/>
        <w:rPr>
          <w:b w:val="0"/>
          <w:bCs w:val="0"/>
        </w:rPr>
      </w:pPr>
      <w:bookmarkStart w:name="38、优先股、永续债等其他金融工具" w:id="215"/>
      <w:bookmarkEnd w:id="215"/>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39、收入" w:id="216"/>
      <w:bookmarkEnd w:id="216"/>
      <w:r>
        <w:rPr>
          <w:b w:val="0"/>
          <w:bCs w:val="0"/>
        </w:rPr>
      </w:r>
      <w:r>
        <w:rPr>
          <w:rFonts w:ascii="Times New Roman" w:hAnsi="Times New Roman" w:cs="Times New Roman" w:eastAsia="Times New Roman" w:hint="default"/>
        </w:rPr>
        <w:t>39</w:t>
      </w:r>
      <w:r>
        <w:rPr/>
        <w:t>、收入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是否已执行新收入准则</w:t>
      </w:r>
    </w:p>
    <w:p>
      <w:pPr>
        <w:pStyle w:val="BodyText"/>
        <w:spacing w:line="240" w:lineRule="auto" w:before="140"/>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40、政府补助" w:id="217"/>
      <w:bookmarkEnd w:id="217"/>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9"/>
        <w:rPr>
          <w:rFonts w:ascii="宋体" w:hAnsi="宋体" w:cs="宋体" w:eastAsia="宋体" w:hint="default"/>
          <w:b/>
          <w:bCs/>
          <w:sz w:val="23"/>
          <w:szCs w:val="23"/>
        </w:rPr>
      </w:pPr>
    </w:p>
    <w:p>
      <w:pPr>
        <w:pStyle w:val="Heading6"/>
        <w:spacing w:line="261" w:lineRule="auto"/>
        <w:ind w:right="1083" w:firstLine="420"/>
        <w:jc w:val="both"/>
      </w:pPr>
      <w:r>
        <w:rPr>
          <w:rFonts w:ascii="Times New Roman" w:hAnsi="Times New Roman" w:cs="Times New Roman" w:eastAsia="Times New Roman" w:hint="default"/>
        </w:rPr>
        <w:t>1. </w:t>
      </w:r>
      <w:r>
        <w:rPr>
          <w:spacing w:val="-3"/>
        </w:rPr>
        <w:t>政府补助在同时满足下列条件时予以确认：</w:t>
      </w:r>
      <w:r>
        <w:rPr>
          <w:rFonts w:ascii="Times New Roman" w:hAnsi="Times New Roman" w:cs="Times New Roman" w:eastAsia="Times New Roman" w:hint="default"/>
          <w:spacing w:val="-3"/>
        </w:rPr>
        <w:t>(1) </w:t>
      </w:r>
      <w:r>
        <w:rPr>
          <w:spacing w:val="-3"/>
        </w:rPr>
        <w:t>公司能够满足政府补助所附的条件；</w:t>
      </w:r>
      <w:r>
        <w:rPr>
          <w:rFonts w:ascii="Times New Roman" w:hAnsi="Times New Roman" w:cs="Times New Roman" w:eastAsia="Times New Roman" w:hint="default"/>
          <w:spacing w:val="-3"/>
        </w:rPr>
        <w:t>(2)</w:t>
      </w:r>
      <w:r>
        <w:rPr>
          <w:rFonts w:ascii="Times New Roman" w:hAnsi="Times New Roman" w:cs="Times New Roman" w:eastAsia="Times New Roman" w:hint="default"/>
          <w:spacing w:val="44"/>
        </w:rPr>
        <w:t> </w:t>
      </w:r>
      <w:r>
        <w:rPr/>
        <w:t>公司能够收 到政府补助。政府补助为货币性资产的，按照收到或应收的金额计量。政府补助为非货币性资产的，按照 公允价值计量；公允价值不能可靠取得的，按照名义金额计量。</w:t>
      </w:r>
    </w:p>
    <w:p>
      <w:pPr>
        <w:pStyle w:val="Heading6"/>
        <w:spacing w:line="259" w:lineRule="auto" w:before="21"/>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与资产相关的政府补助判断依据及会计处理方法 </w:t>
      </w:r>
      <w:r>
        <w:rPr>
          <w:spacing w:val="-1"/>
        </w:rPr>
        <w:t>政府文件规定用于购建或以其他方式形成长期资产的政府补助划分为与资产相关的政府补助。政府文</w:t>
      </w:r>
    </w:p>
    <w:p>
      <w:pPr>
        <w:pStyle w:val="Heading6"/>
        <w:spacing w:line="271" w:lineRule="auto" w:before="23"/>
        <w:ind w:right="0"/>
        <w:jc w:val="left"/>
      </w:pPr>
      <w:r>
        <w:rPr/>
        <w:t>件不明确的，以取得该补助必须具备的基本条件为基础进行判断，以购建或其他方式形成长期资产为基本 </w:t>
      </w:r>
      <w:r>
        <w:rPr>
          <w:spacing w:val="-3"/>
        </w:rPr>
        <w:t>条件的作为与资产相关的政府补助。与资产相关的政府补助，冲减相关资产的账面价值或确认为递延收益。</w:t>
      </w:r>
      <w:r>
        <w:rPr>
          <w:spacing w:val="-84"/>
        </w:rPr>
        <w:t> </w:t>
      </w:r>
      <w:r>
        <w:rPr>
          <w:spacing w:val="-84"/>
        </w:rPr>
      </w:r>
      <w:r>
        <w:rPr/>
        <w:t>与资产相关的政府补助确认为递延收益的，在相关资产使用寿命内按照合理、系统的方法分期计入损益。 按照名义金额计量的政府补助，直接计入当期损益。相关资产在使用寿命结束前被出售、转让、报废或发 生毁损的，将尚未分配的相关递延收益余额转入资产处置当期的损益。</w:t>
      </w:r>
    </w:p>
    <w:p>
      <w:pPr>
        <w:pStyle w:val="Heading6"/>
        <w:spacing w:line="247" w:lineRule="auto" w:before="13"/>
        <w:ind w:left="561" w:right="108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5"/>
        </w:rPr>
        <w:t> </w:t>
      </w:r>
      <w:r>
        <w:rPr/>
        <w:t>与收益相关的政府补助判断依据及会计处理方法 除与资产相关的政府补助之外的政府补助划分为与收益相关的政府补助。对于同时包含与资产相关部</w:t>
      </w:r>
    </w:p>
    <w:p>
      <w:pPr>
        <w:pStyle w:val="Heading6"/>
        <w:spacing w:line="276" w:lineRule="auto" w:before="34"/>
        <w:ind w:right="1083"/>
        <w:jc w:val="both"/>
      </w:pPr>
      <w:r>
        <w:rPr/>
        <w:t>分和与收益相关部分的政府补助，难以区分与资产相关或与收益相关的，整体归类为与收益相关的政府补 助。与收益相关的政府补助，用于补偿以后期间的相关成本费用或损失的，确认为递延收益，在确认相关 成本费用或损失的期间，计入当期损益或冲减相关成本；用于补偿已发生的相关成本费用或损失的，直接 计入当期损益或冲减相关成本。</w:t>
      </w:r>
    </w:p>
    <w:p>
      <w:pPr>
        <w:pStyle w:val="Heading6"/>
        <w:spacing w:line="259" w:lineRule="auto"/>
        <w:ind w:right="1086"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7"/>
        </w:rPr>
        <w:t> </w:t>
      </w:r>
      <w:r>
        <w:rPr/>
        <w:t>与公司日常经营活动相关的政府补助，按照经济业务实质，计入其他收益或冲减相关成本费用。与 公司日常活动无关的政府补助，计入营业外收支。</w:t>
      </w:r>
    </w:p>
    <w:p>
      <w:pPr>
        <w:pStyle w:val="Heading6"/>
        <w:spacing w:line="240" w:lineRule="auto" w:before="23"/>
        <w:ind w:left="561" w:right="108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5"/>
        </w:rPr>
        <w:t> </w:t>
      </w:r>
      <w:r>
        <w:rPr/>
        <w:t>政策性优惠贷款贴息的会计处理方法</w:t>
      </w:r>
    </w:p>
    <w:p>
      <w:pPr>
        <w:pStyle w:val="Heading6"/>
        <w:spacing w:line="259" w:lineRule="auto" w:before="25"/>
        <w:ind w:right="1115"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财政将贴息资金拨付给贷款银行，由贷款银行以政策性优惠利率向公司提供贷款的，以实际收到</w:t>
      </w:r>
      <w:r>
        <w:rPr>
          <w:w w:val="99"/>
        </w:rPr>
        <w:t> </w:t>
      </w:r>
      <w:r>
        <w:rPr/>
        <w:t>的借款金额作为借款的入账价值，按照借款本金和该政策性优惠利率计算相关借款费用。</w:t>
      </w:r>
    </w:p>
    <w:p>
      <w:pPr>
        <w:pStyle w:val="Heading6"/>
        <w:spacing w:line="240" w:lineRule="auto" w:before="8"/>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6"/>
        </w:rPr>
        <w:t> </w:t>
      </w:r>
      <w:r>
        <w:rPr/>
        <w:t>财政将贴息资金直接拨付给公司的，将对应的贴息冲减相关借款费用。</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5"/>
        <w:spacing w:line="240" w:lineRule="auto"/>
        <w:ind w:right="1086"/>
        <w:jc w:val="left"/>
        <w:rPr>
          <w:b w:val="0"/>
          <w:bCs w:val="0"/>
        </w:rPr>
      </w:pPr>
      <w:bookmarkStart w:name="41、递延所得税资产/递延所得税负债" w:id="218"/>
      <w:bookmarkEnd w:id="218"/>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left="561" w:right="1086"/>
        <w:jc w:val="left"/>
      </w:pPr>
      <w:r>
        <w:rPr>
          <w:rFonts w:ascii="Times New Roman" w:hAnsi="Times New Roman" w:cs="Times New Roman" w:eastAsia="Times New Roman" w:hint="default"/>
        </w:rPr>
        <w:t>1.</w:t>
      </w:r>
      <w:r>
        <w:rPr/>
        <w:t>根据资产、负债的账面价值与其计税基础之间的差额（未作为资产和负债确认的项目按照税法规定</w:t>
      </w:r>
    </w:p>
    <w:p>
      <w:pPr>
        <w:spacing w:after="0" w:line="240" w:lineRule="auto"/>
        <w:jc w:val="left"/>
        <w:sectPr>
          <w:footerReference w:type="default" r:id="rId20"/>
          <w:pgSz w:w="11910" w:h="16850"/>
          <w:pgMar w:footer="981" w:header="866" w:top="1120" w:bottom="1180" w:left="1000" w:right="0"/>
          <w:pgNumType w:start="121"/>
        </w:sectPr>
      </w:pPr>
    </w:p>
    <w:p>
      <w:pPr>
        <w:spacing w:line="240" w:lineRule="auto" w:before="11"/>
        <w:rPr>
          <w:rFonts w:ascii="宋体" w:hAnsi="宋体" w:cs="宋体" w:eastAsia="宋体" w:hint="default"/>
          <w:sz w:val="19"/>
          <w:szCs w:val="19"/>
        </w:rPr>
      </w:pPr>
    </w:p>
    <w:p>
      <w:pPr>
        <w:pStyle w:val="Heading6"/>
        <w:spacing w:line="276" w:lineRule="auto" w:before="35"/>
        <w:ind w:right="1089"/>
        <w:jc w:val="left"/>
      </w:pPr>
      <w:r>
        <w:rPr/>
        <w:t>可以确定其计税基础的，该计税基础与其账面数之间的差额），按照预期收回该资产或清偿该负债期间的 适用税率计算确认递延所得税资产或递延所得税负债。</w:t>
      </w:r>
    </w:p>
    <w:p>
      <w:pPr>
        <w:pStyle w:val="Heading6"/>
        <w:spacing w:line="261" w:lineRule="auto" w:before="9"/>
        <w:ind w:right="0" w:firstLine="420"/>
        <w:jc w:val="left"/>
      </w:pPr>
      <w:r>
        <w:rPr>
          <w:rFonts w:ascii="Times New Roman" w:hAnsi="Times New Roman" w:cs="Times New Roman" w:eastAsia="Times New Roman" w:hint="default"/>
          <w:spacing w:val="-2"/>
        </w:rPr>
        <w:t>2.</w:t>
      </w:r>
      <w:r>
        <w:rPr>
          <w:spacing w:val="-2"/>
        </w:rPr>
        <w:t>确认递延所得税资产以很可能取得用来抵扣可抵扣暂时性差异的应纳税所得额为限。资产负债表日，</w:t>
      </w:r>
      <w:r>
        <w:rPr/>
        <w:t> 有确凿证据表明未来期间很可能获得足够的应纳税所得额用来抵扣可抵扣暂时性差异的，确认以前会计期 间未确认的递延所得税资产。</w:t>
      </w:r>
    </w:p>
    <w:p>
      <w:pPr>
        <w:pStyle w:val="Heading6"/>
        <w:spacing w:line="268" w:lineRule="auto" w:before="22"/>
        <w:ind w:right="1114" w:firstLine="420"/>
        <w:jc w:val="both"/>
      </w:pPr>
      <w:r>
        <w:rPr>
          <w:rFonts w:ascii="Times New Roman" w:hAnsi="Times New Roman" w:cs="Times New Roman" w:eastAsia="Times New Roman" w:hint="default"/>
        </w:rPr>
        <w:t>3.</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91"/>
        </w:rPr>
        <w:t> </w:t>
      </w:r>
      <w:r>
        <w:rPr>
          <w:spacing w:val="-91"/>
        </w:rPr>
      </w:r>
      <w:r>
        <w:rPr/>
        <w:t>税所得额时，转回减记的金额。</w:t>
      </w:r>
    </w:p>
    <w:p>
      <w:pPr>
        <w:pStyle w:val="Heading6"/>
        <w:spacing w:line="240" w:lineRule="auto"/>
        <w:ind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1"/>
        </w:rPr>
        <w:t> </w:t>
      </w:r>
      <w:r>
        <w:rPr/>
        <w:t>公司当期所得税和递延所得税作为所得税费用或收益计入当期损益，但不包括下列情况产生的所得税：</w:t>
      </w:r>
    </w:p>
    <w:p>
      <w:pPr>
        <w:pStyle w:val="Heading6"/>
        <w:spacing w:line="240" w:lineRule="auto" w:before="25"/>
        <w:ind w:right="1086"/>
        <w:jc w:val="left"/>
      </w:pP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直接在所有者权益中确认的交易或者事项。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5"/>
        <w:spacing w:line="240" w:lineRule="auto"/>
        <w:ind w:right="1086"/>
        <w:jc w:val="left"/>
        <w:rPr>
          <w:b w:val="0"/>
          <w:bCs w:val="0"/>
        </w:rPr>
      </w:pPr>
      <w:bookmarkStart w:name="42、租赁" w:id="219"/>
      <w:bookmarkEnd w:id="219"/>
      <w:r>
        <w:rPr>
          <w:b w:val="0"/>
          <w:bCs w:val="0"/>
        </w:rPr>
      </w:r>
      <w:r>
        <w:rPr>
          <w:rFonts w:ascii="Times New Roman" w:hAnsi="Times New Roman" w:cs="Times New Roman" w:eastAsia="Times New Roman" w:hint="default"/>
        </w:rPr>
        <w:t>42</w:t>
      </w:r>
      <w:r>
        <w:rPr/>
        <w:t>、租赁</w:t>
      </w:r>
      <w:r>
        <w:rPr>
          <w:b w:val="0"/>
          <w:bCs w:val="0"/>
        </w:rPr>
      </w:r>
    </w:p>
    <w:p>
      <w:pPr>
        <w:spacing w:line="580" w:lineRule="atLeast" w:before="35"/>
        <w:ind w:left="486" w:right="1086" w:hanging="346"/>
        <w:jc w:val="left"/>
        <w:rPr>
          <w:rFonts w:ascii="宋体" w:hAnsi="宋体" w:cs="宋体" w:eastAsia="宋体" w:hint="default"/>
          <w:sz w:val="21"/>
          <w:szCs w:val="21"/>
        </w:rPr>
      </w:pPr>
      <w:bookmarkStart w:name="（1）经营租赁的会计处理方法" w:id="220"/>
      <w:bookmarkEnd w:id="22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z w:val="21"/>
          <w:szCs w:val="21"/>
        </w:rPr>
        <w:t>公司为承租人时，在租赁期内各个期间按照直线法将租金计入相关资产成本或确认为当期损益，发生</w:t>
      </w:r>
    </w:p>
    <w:p>
      <w:pPr>
        <w:pStyle w:val="Heading6"/>
        <w:spacing w:line="276" w:lineRule="auto" w:before="25"/>
        <w:ind w:right="0"/>
        <w:jc w:val="left"/>
      </w:pPr>
      <w:r>
        <w:rPr/>
        <w:t>的初始直接费用，直接计入当期损益。或有租金在实际发生时计入当期损益。 公司为出租人时，在租赁期内各个期间按照直线法将租金确认为当期损益，发生的初始直接费用，除金额 较大的予以资本化并分期计入损益外，均直接计入当期损益。或有租金在实际发生时计入当期损益。</w:t>
      </w:r>
    </w:p>
    <w:p>
      <w:pPr>
        <w:spacing w:line="240" w:lineRule="auto" w:before="7"/>
        <w:rPr>
          <w:rFonts w:ascii="宋体" w:hAnsi="宋体" w:cs="宋体" w:eastAsia="宋体" w:hint="default"/>
          <w:sz w:val="27"/>
          <w:szCs w:val="27"/>
        </w:rPr>
      </w:pPr>
    </w:p>
    <w:p>
      <w:pPr>
        <w:spacing w:line="570" w:lineRule="atLeast" w:before="0"/>
        <w:ind w:left="561" w:right="1086" w:hanging="421"/>
        <w:jc w:val="left"/>
        <w:rPr>
          <w:rFonts w:ascii="宋体" w:hAnsi="宋体" w:cs="宋体" w:eastAsia="宋体" w:hint="default"/>
          <w:sz w:val="21"/>
          <w:szCs w:val="21"/>
        </w:rPr>
      </w:pPr>
      <w:bookmarkStart w:name="（2）融资租赁的会计处理方法" w:id="221"/>
      <w:bookmarkEnd w:id="22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1"/>
          <w:sz w:val="21"/>
          <w:szCs w:val="21"/>
        </w:rPr>
        <w:t>公司为承租人时，在租赁期开始日，公司以租赁开始日租赁资产公允价值与最低租赁付款额现值中两</w:t>
      </w:r>
    </w:p>
    <w:p>
      <w:pPr>
        <w:pStyle w:val="Heading6"/>
        <w:spacing w:line="273" w:lineRule="auto" w:before="40"/>
        <w:ind w:right="1029"/>
        <w:jc w:val="left"/>
      </w:pPr>
      <w:r>
        <w:rPr/>
        <w:t>者较低者作为租入资产的入账价值，将最低租赁付款额作为长期应付款的入账价值，其差额为未确认融资 费用，发生的初始直接费用，计入租赁资产价值。在租赁期各个期间，采用实际利率法计算确认当期的融 资费用。 公司为出租人时，在租赁期开始日，公司以租赁开始日最低租赁收款额与初始直接费用之和作为应收融资 租赁款的入账价值，同时记录未担保余值；将最低租赁收款额、初始直接费用及未担保余值之和与其现值 之和的差额确认为未实现融资收益。在租赁期各个期间，采用实际利率法计算确认当期的融资收入。</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Heading5"/>
        <w:spacing w:line="240" w:lineRule="auto"/>
        <w:ind w:right="1086"/>
        <w:jc w:val="left"/>
        <w:rPr>
          <w:b w:val="0"/>
          <w:bCs w:val="0"/>
        </w:rPr>
      </w:pPr>
      <w:bookmarkStart w:name="43、其他重要的会计政策和会计估计" w:id="222"/>
      <w:bookmarkEnd w:id="222"/>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44、重要会计政策和会计估计变更" w:id="223"/>
      <w:bookmarkEnd w:id="223"/>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重要会计政策变更" w:id="224"/>
      <w:bookmarkEnd w:id="224"/>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Heading6"/>
        <w:spacing w:line="255" w:lineRule="exact"/>
        <w:ind w:left="561" w:right="1086"/>
        <w:jc w:val="left"/>
      </w:pPr>
      <w:r>
        <w:rPr/>
        <w:t>企业会计准则变化引起的会计政策变更</w:t>
      </w:r>
    </w:p>
    <w:p>
      <w:pPr>
        <w:pStyle w:val="Heading6"/>
        <w:spacing w:line="261" w:lineRule="auto" w:before="40"/>
        <w:ind w:right="1086"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spacing w:val="-6"/>
        </w:rPr>
        <w:t>本公司根据财政部《关于修订印发</w:t>
      </w:r>
      <w:r>
        <w:rPr>
          <w:rFonts w:ascii="Times New Roman" w:hAnsi="Times New Roman" w:cs="Times New Roman" w:eastAsia="Times New Roman" w:hint="default"/>
          <w:spacing w:val="-6"/>
        </w:rPr>
        <w:t>2019</w:t>
      </w:r>
      <w:r>
        <w:rPr>
          <w:spacing w:val="-6"/>
        </w:rPr>
        <w:t>年度一般企业财务报表格式的通知》</w:t>
      </w:r>
      <w:r>
        <w:rPr>
          <w:rFonts w:ascii="Times New Roman" w:hAnsi="Times New Roman" w:cs="Times New Roman" w:eastAsia="Times New Roman" w:hint="default"/>
          <w:spacing w:val="-6"/>
        </w:rPr>
        <w:t>(</w:t>
      </w:r>
      <w:r>
        <w:rPr>
          <w:spacing w:val="-6"/>
        </w:rPr>
        <w:t>财会〔</w:t>
      </w:r>
      <w:r>
        <w:rPr>
          <w:rFonts w:ascii="Times New Roman" w:hAnsi="Times New Roman" w:cs="Times New Roman" w:eastAsia="Times New Roman" w:hint="default"/>
          <w:spacing w:val="-6"/>
        </w:rPr>
        <w:t>2019</w:t>
      </w:r>
      <w:r>
        <w:rPr>
          <w:spacing w:val="-6"/>
        </w:rPr>
        <w:t>〕</w:t>
      </w:r>
      <w:r>
        <w:rPr>
          <w:rFonts w:ascii="Times New Roman" w:hAnsi="Times New Roman" w:cs="Times New Roman" w:eastAsia="Times New Roman" w:hint="default"/>
          <w:spacing w:val="-6"/>
        </w:rPr>
        <w:t>6</w:t>
      </w:r>
      <w:r>
        <w:rPr>
          <w:spacing w:val="-6"/>
        </w:rPr>
        <w:t>号</w:t>
      </w:r>
      <w:r>
        <w:rPr>
          <w:rFonts w:ascii="Times New Roman" w:hAnsi="Times New Roman" w:cs="Times New Roman" w:eastAsia="Times New Roman" w:hint="default"/>
          <w:spacing w:val="-6"/>
        </w:rPr>
        <w:t>)</w:t>
      </w:r>
      <w:r>
        <w:rPr>
          <w:spacing w:val="-6"/>
        </w:rPr>
        <w:t>、《关</w:t>
      </w:r>
      <w:r>
        <w:rPr/>
        <w:t> 于修订印发合并财务报表格式（</w:t>
      </w:r>
      <w:r>
        <w:rPr>
          <w:rFonts w:ascii="Times New Roman" w:hAnsi="Times New Roman" w:cs="Times New Roman" w:eastAsia="Times New Roman" w:hint="default"/>
        </w:rPr>
        <w:t>2019</w:t>
      </w:r>
      <w:r>
        <w:rPr/>
        <w:t>版）的通知》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w:t>
      </w:r>
      <w:r>
        <w:rPr>
          <w:rFonts w:ascii="Times New Roman" w:hAnsi="Times New Roman" w:cs="Times New Roman" w:eastAsia="Times New Roman" w:hint="default"/>
        </w:rPr>
        <w:t>)</w:t>
      </w:r>
      <w:r>
        <w:rPr/>
        <w:t>和企业会计准则的要求编制</w:t>
      </w:r>
      <w:r>
        <w:rPr>
          <w:rFonts w:ascii="Times New Roman" w:hAnsi="Times New Roman" w:cs="Times New Roman" w:eastAsia="Times New Roman" w:hint="default"/>
        </w:rPr>
        <w:t>2019</w:t>
      </w:r>
      <w:r>
        <w:rPr/>
        <w:t>年</w:t>
      </w:r>
    </w:p>
    <w:p>
      <w:pPr>
        <w:spacing w:after="0" w:line="261"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40" w:lineRule="auto" w:before="35"/>
        <w:ind w:right="0"/>
        <w:jc w:val="left"/>
      </w:pPr>
      <w:r>
        <w:rPr/>
        <w:t>度财务报表，此项会计政策变更采用追溯调整法。</w:t>
      </w:r>
      <w:r>
        <w:rPr>
          <w:rFonts w:ascii="Times New Roman" w:hAnsi="Times New Roman" w:cs="Times New Roman" w:eastAsia="Times New Roman" w:hint="default"/>
        </w:rPr>
        <w:t>2018</w:t>
      </w:r>
      <w:r>
        <w:rPr/>
        <w:t>年度财务报表受重要影响的报表项目和金额如下：</w:t>
      </w:r>
    </w:p>
    <w:p>
      <w:pPr>
        <w:spacing w:line="240" w:lineRule="auto" w:before="5"/>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268"/>
        <w:gridCol w:w="2433"/>
        <w:gridCol w:w="1832"/>
        <w:gridCol w:w="2005"/>
      </w:tblGrid>
      <w:tr>
        <w:trPr>
          <w:trHeight w:val="345" w:hRule="exact"/>
        </w:trPr>
        <w:tc>
          <w:tcPr>
            <w:tcW w:w="4701" w:type="dxa"/>
            <w:gridSpan w:val="2"/>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291" w:right="0"/>
              <w:jc w:val="left"/>
              <w:rPr>
                <w:rFonts w:ascii="宋体" w:hAnsi="宋体" w:cs="宋体" w:eastAsia="宋体" w:hint="default"/>
                <w:sz w:val="21"/>
                <w:szCs w:val="21"/>
              </w:rPr>
            </w:pPr>
            <w:r>
              <w:rPr>
                <w:rFonts w:ascii="宋体" w:hAnsi="宋体" w:cs="宋体" w:eastAsia="宋体" w:hint="default"/>
                <w:sz w:val="21"/>
                <w:szCs w:val="21"/>
              </w:rPr>
              <w:t>原列报报表项目及金额</w:t>
            </w:r>
          </w:p>
        </w:tc>
        <w:tc>
          <w:tcPr>
            <w:tcW w:w="3837" w:type="dxa"/>
            <w:gridSpan w:val="2"/>
            <w:tcBorders>
              <w:top w:val="single" w:sz="6" w:space="0" w:color="000000"/>
              <w:left w:val="single" w:sz="6" w:space="0" w:color="000000"/>
              <w:bottom w:val="single" w:sz="6" w:space="0" w:color="000000"/>
              <w:right w:val="nil" w:sz="6" w:space="0" w:color="auto"/>
            </w:tcBorders>
          </w:tcPr>
          <w:p>
            <w:pPr>
              <w:pStyle w:val="TableParagraph"/>
              <w:spacing w:line="255" w:lineRule="exact"/>
              <w:ind w:left="855" w:right="0"/>
              <w:jc w:val="left"/>
              <w:rPr>
                <w:rFonts w:ascii="宋体" w:hAnsi="宋体" w:cs="宋体" w:eastAsia="宋体" w:hint="default"/>
                <w:sz w:val="21"/>
                <w:szCs w:val="21"/>
              </w:rPr>
            </w:pPr>
            <w:r>
              <w:rPr>
                <w:rFonts w:ascii="宋体" w:hAnsi="宋体" w:cs="宋体" w:eastAsia="宋体" w:hint="default"/>
                <w:sz w:val="21"/>
                <w:szCs w:val="21"/>
              </w:rPr>
              <w:t>新列报报表项目及金额</w:t>
            </w:r>
          </w:p>
        </w:tc>
      </w:tr>
      <w:tr>
        <w:trPr>
          <w:trHeight w:val="345" w:hRule="exact"/>
        </w:trPr>
        <w:tc>
          <w:tcPr>
            <w:tcW w:w="2268" w:type="dxa"/>
            <w:vMerge w:val="restart"/>
            <w:tcBorders>
              <w:top w:val="single" w:sz="6" w:space="0" w:color="000000"/>
              <w:left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应收票据及应收账款</w:t>
            </w:r>
          </w:p>
        </w:tc>
        <w:tc>
          <w:tcPr>
            <w:tcW w:w="2433" w:type="dxa"/>
            <w:vMerge w:val="restart"/>
            <w:tcBorders>
              <w:top w:val="single" w:sz="6" w:space="0" w:color="000000"/>
              <w:left w:val="single" w:sz="6" w:space="0" w:color="000000"/>
              <w:right w:val="single" w:sz="6" w:space="0" w:color="000000"/>
            </w:tcBorders>
          </w:tcPr>
          <w:p>
            <w:pPr>
              <w:pStyle w:val="TableParagraph"/>
              <w:spacing w:line="240" w:lineRule="auto" w:before="59"/>
              <w:ind w:left="1080" w:right="0"/>
              <w:jc w:val="left"/>
              <w:rPr>
                <w:rFonts w:ascii="Times New Roman" w:hAnsi="Times New Roman" w:cs="Times New Roman" w:eastAsia="Times New Roman" w:hint="default"/>
                <w:sz w:val="21"/>
                <w:szCs w:val="21"/>
              </w:rPr>
            </w:pPr>
            <w:r>
              <w:rPr>
                <w:rFonts w:ascii="Times New Roman"/>
                <w:sz w:val="21"/>
              </w:rPr>
              <w:t>778,910,478.69</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3,209,541.77</w:t>
            </w:r>
          </w:p>
        </w:tc>
      </w:tr>
      <w:tr>
        <w:trPr>
          <w:trHeight w:val="345" w:hRule="exact"/>
        </w:trPr>
        <w:tc>
          <w:tcPr>
            <w:tcW w:w="2268" w:type="dxa"/>
            <w:vMerge/>
            <w:tcBorders>
              <w:left w:val="single" w:sz="6" w:space="0" w:color="000000"/>
              <w:bottom w:val="single" w:sz="6" w:space="0" w:color="000000"/>
              <w:right w:val="single" w:sz="6" w:space="0" w:color="000000"/>
            </w:tcBorders>
          </w:tcPr>
          <w:p>
            <w:pPr/>
          </w:p>
        </w:tc>
        <w:tc>
          <w:tcPr>
            <w:tcW w:w="2433" w:type="dxa"/>
            <w:vMerge/>
            <w:tcBorders>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775,700,936.92</w:t>
            </w:r>
          </w:p>
        </w:tc>
      </w:tr>
      <w:tr>
        <w:trPr>
          <w:trHeight w:val="346" w:hRule="exact"/>
        </w:trPr>
        <w:tc>
          <w:tcPr>
            <w:tcW w:w="2268" w:type="dxa"/>
            <w:vMerge w:val="restart"/>
            <w:tcBorders>
              <w:top w:val="single" w:sz="6" w:space="0" w:color="000000"/>
              <w:left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应付票据及应付账款</w:t>
            </w:r>
          </w:p>
        </w:tc>
        <w:tc>
          <w:tcPr>
            <w:tcW w:w="2433" w:type="dxa"/>
            <w:vMerge w:val="restart"/>
            <w:tcBorders>
              <w:top w:val="single" w:sz="6" w:space="0" w:color="000000"/>
              <w:left w:val="single" w:sz="6" w:space="0" w:color="000000"/>
              <w:right w:val="single" w:sz="6" w:space="0" w:color="000000"/>
            </w:tcBorders>
          </w:tcPr>
          <w:p>
            <w:pPr>
              <w:pStyle w:val="TableParagraph"/>
              <w:spacing w:line="240" w:lineRule="auto" w:before="59"/>
              <w:ind w:left="1080" w:right="0"/>
              <w:jc w:val="left"/>
              <w:rPr>
                <w:rFonts w:ascii="Times New Roman" w:hAnsi="Times New Roman" w:cs="Times New Roman" w:eastAsia="Times New Roman" w:hint="default"/>
                <w:sz w:val="21"/>
                <w:szCs w:val="21"/>
              </w:rPr>
            </w:pPr>
            <w:r>
              <w:rPr>
                <w:rFonts w:ascii="Times New Roman"/>
                <w:sz w:val="21"/>
              </w:rPr>
              <w:t>153,957,511.37</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22,396,727.46</w:t>
            </w:r>
          </w:p>
        </w:tc>
      </w:tr>
      <w:tr>
        <w:trPr>
          <w:trHeight w:val="345" w:hRule="exact"/>
        </w:trPr>
        <w:tc>
          <w:tcPr>
            <w:tcW w:w="2268" w:type="dxa"/>
            <w:vMerge/>
            <w:tcBorders>
              <w:left w:val="single" w:sz="6" w:space="0" w:color="000000"/>
              <w:bottom w:val="single" w:sz="6" w:space="0" w:color="000000"/>
              <w:right w:val="single" w:sz="6" w:space="0" w:color="000000"/>
            </w:tcBorders>
          </w:tcPr>
          <w:p>
            <w:pPr/>
          </w:p>
        </w:tc>
        <w:tc>
          <w:tcPr>
            <w:tcW w:w="2433" w:type="dxa"/>
            <w:vMerge/>
            <w:tcBorders>
              <w:left w:val="single" w:sz="6" w:space="0" w:color="000000"/>
              <w:bottom w:val="single" w:sz="6" w:space="0" w:color="000000"/>
              <w:right w:val="single" w:sz="6" w:space="0" w:color="000000"/>
            </w:tcBorders>
          </w:tcPr>
          <w:p>
            <w:pP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20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131,560,783.91</w:t>
            </w:r>
          </w:p>
        </w:tc>
      </w:tr>
    </w:tbl>
    <w:p>
      <w:pPr>
        <w:pStyle w:val="Heading6"/>
        <w:spacing w:line="271" w:lineRule="exact"/>
        <w:ind w:right="1086" w:firstLine="42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7"/>
        </w:rPr>
        <w:t> </w:t>
      </w:r>
      <w:r>
        <w:rPr/>
        <w:t>本公司</w:t>
      </w:r>
      <w:r>
        <w:rPr>
          <w:spacing w:val="-1"/>
        </w:rPr>
        <w:t>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日起执行财政部修订后</w:t>
      </w:r>
      <w:r>
        <w:rPr>
          <w:spacing w:val="-90"/>
        </w:rPr>
        <w:t>的</w:t>
      </w:r>
      <w:r>
        <w:rPr/>
        <w:t>《企业会计准则</w:t>
      </w:r>
      <w:r>
        <w:rPr>
          <w:spacing w:val="-4"/>
        </w:rPr>
        <w:t>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金融工具确认和计量</w:t>
      </w:r>
      <w:r>
        <w:rPr>
          <w:spacing w:val="-181"/>
        </w:rPr>
        <w:t>》</w:t>
      </w:r>
      <w:r>
        <w:rPr/>
        <w:t>《企</w:t>
      </w:r>
    </w:p>
    <w:p>
      <w:pPr>
        <w:pStyle w:val="Heading6"/>
        <w:spacing w:line="240" w:lineRule="auto" w:before="24"/>
        <w:ind w:right="0"/>
        <w:jc w:val="left"/>
      </w:pPr>
      <w:r>
        <w:rPr/>
        <w:t>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套期保值》以及《企业会计准则第</w:t>
      </w:r>
      <w:r>
        <w:rPr>
          <w:rFonts w:ascii="Times New Roman" w:hAnsi="Times New Roman" w:cs="Times New Roman" w:eastAsia="Times New Roman" w:hint="default"/>
        </w:rPr>
        <w:t>37</w:t>
      </w:r>
      <w:r>
        <w:rPr/>
        <w:t>号</w:t>
      </w:r>
    </w:p>
    <w:p>
      <w:pPr>
        <w:pStyle w:val="Heading6"/>
        <w:spacing w:line="259" w:lineRule="auto" w:before="25"/>
        <w:ind w:right="0"/>
        <w:jc w:val="left"/>
      </w:pPr>
      <w:r>
        <w:rPr>
          <w:rFonts w:ascii="Times New Roman" w:hAnsi="Times New Roman" w:cs="Times New Roman" w:eastAsia="Times New Roman" w:hint="default"/>
        </w:rPr>
        <w:t>——</w:t>
      </w:r>
      <w:r>
        <w:rPr/>
        <w:t>金融工具列报》（以下简称新金融工具准则）。根据相关新旧准则衔接规定，对可比期间信息不予调 整，首次执行日执行新准则与原准则的差异追溯调整本报告期期初留存收益或其他综合收益。</w:t>
      </w:r>
    </w:p>
    <w:p>
      <w:pPr>
        <w:pStyle w:val="Heading6"/>
        <w:spacing w:line="268" w:lineRule="auto" w:before="23"/>
        <w:ind w:right="0" w:firstLine="420"/>
        <w:jc w:val="left"/>
      </w:pPr>
      <w:r>
        <w:rPr/>
        <w:t>新金融工具准则改变了金融资产的分类和计量方式，确定了三个计量类别：摊余成本；以公允价值计 量且其变动计入其他综合收益；以公允价值计量且其变动计入当期损益。公司考虑自身业务模式，以及金 融资产的合同现金流特征进行上述分类。权益类投资需按公允价值计量且其变动计入当期损益，但非交易 性权益类投资在初始确认时可选择按公允价值计量且其变动计入其他综合收益</w:t>
      </w:r>
      <w:r>
        <w:rPr>
          <w:rFonts w:ascii="Times New Roman" w:hAnsi="Times New Roman" w:cs="Times New Roman" w:eastAsia="Times New Roman" w:hint="default"/>
        </w:rPr>
        <w:t>(</w:t>
      </w:r>
      <w:r>
        <w:rPr/>
        <w:t>处置时的利得或损失不能 回转到损益，但股利收入计入当期损益</w:t>
      </w:r>
      <w:r>
        <w:rPr>
          <w:rFonts w:ascii="Times New Roman" w:hAnsi="Times New Roman" w:cs="Times New Roman" w:eastAsia="Times New Roman" w:hint="default"/>
        </w:rPr>
        <w:t>)</w:t>
      </w:r>
      <w:r>
        <w:rPr/>
        <w:t>，且该选择不可撤销。</w:t>
      </w:r>
    </w:p>
    <w:p>
      <w:pPr>
        <w:pStyle w:val="Heading6"/>
        <w:spacing w:line="247" w:lineRule="auto"/>
        <w:ind w:right="1086" w:firstLine="420"/>
        <w:jc w:val="left"/>
      </w:pPr>
      <w:r>
        <w:rPr>
          <w:spacing w:val="-1"/>
        </w:rPr>
        <w:t>新金融工具准则要求金融资产减值计量由</w:t>
      </w:r>
      <w:r>
        <w:rPr>
          <w:rFonts w:ascii="Times New Roman" w:hAnsi="Times New Roman" w:cs="Times New Roman" w:eastAsia="Times New Roman" w:hint="default"/>
          <w:spacing w:val="-1"/>
        </w:rPr>
        <w:t>“</w:t>
      </w:r>
      <w:r>
        <w:rPr>
          <w:spacing w:val="-1"/>
        </w:rPr>
        <w:t>已发生损失模型</w:t>
      </w:r>
      <w:r>
        <w:rPr>
          <w:rFonts w:ascii="Times New Roman" w:hAnsi="Times New Roman" w:cs="Times New Roman" w:eastAsia="Times New Roman" w:hint="default"/>
          <w:spacing w:val="-1"/>
        </w:rPr>
        <w:t>”</w:t>
      </w:r>
      <w:r>
        <w:rPr>
          <w:spacing w:val="-1"/>
        </w:rPr>
        <w:t>改为</w:t>
      </w:r>
      <w:r>
        <w:rPr>
          <w:rFonts w:ascii="Times New Roman" w:hAnsi="Times New Roman" w:cs="Times New Roman" w:eastAsia="Times New Roman" w:hint="default"/>
          <w:spacing w:val="-1"/>
        </w:rPr>
        <w:t>“</w:t>
      </w:r>
      <w:r>
        <w:rPr>
          <w:spacing w:val="-1"/>
        </w:rPr>
        <w:t>预期信用损失模型</w:t>
      </w:r>
      <w:r>
        <w:rPr>
          <w:rFonts w:ascii="Times New Roman" w:hAnsi="Times New Roman" w:cs="Times New Roman" w:eastAsia="Times New Roman" w:hint="default"/>
          <w:spacing w:val="-1"/>
        </w:rPr>
        <w:t>”</w:t>
      </w:r>
      <w:r>
        <w:rPr>
          <w:spacing w:val="-1"/>
        </w:rPr>
        <w:t>，适用于以摊余</w:t>
      </w:r>
      <w:r>
        <w:rPr/>
        <w:t> 成本计量的金融资产、以公允价值计量且其变动计入其他综合收益的金融资产、租赁应收款。</w:t>
      </w:r>
    </w:p>
    <w:p>
      <w:pPr>
        <w:pStyle w:val="Heading6"/>
        <w:spacing w:line="240" w:lineRule="auto" w:before="34"/>
        <w:ind w:right="1086"/>
        <w:jc w:val="left"/>
      </w:pPr>
      <w:r>
        <w:rPr>
          <w:rFonts w:ascii="宋体" w:hAnsi="宋体" w:cs="宋体" w:eastAsia="宋体" w:hint="default"/>
        </w:rPr>
        <w:t>1.</w:t>
      </w:r>
      <w:r>
        <w:rPr>
          <w:rFonts w:ascii="宋体" w:hAnsi="宋体" w:cs="宋体" w:eastAsia="宋体" w:hint="default"/>
          <w:spacing w:val="42"/>
        </w:rPr>
        <w:t> </w:t>
      </w:r>
      <w:r>
        <w:rPr/>
        <w:t>执行新金融工具准则对公司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日财务报表的主要影响如下：</w:t>
      </w:r>
    </w:p>
    <w:p>
      <w:pPr>
        <w:spacing w:line="240" w:lineRule="auto" w:before="5"/>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132"/>
        <w:gridCol w:w="2133"/>
        <w:gridCol w:w="2133"/>
        <w:gridCol w:w="2140"/>
      </w:tblGrid>
      <w:tr>
        <w:trPr>
          <w:trHeight w:val="345" w:hRule="exact"/>
        </w:trPr>
        <w:tc>
          <w:tcPr>
            <w:tcW w:w="2132" w:type="dxa"/>
            <w:vMerge w:val="restart"/>
            <w:tcBorders>
              <w:top w:val="single" w:sz="6" w:space="0" w:color="000000"/>
              <w:left w:val="single" w:sz="6" w:space="0" w:color="000000"/>
              <w:right w:val="single" w:sz="6" w:space="0" w:color="000000"/>
            </w:tcBorders>
          </w:tcPr>
          <w:p>
            <w:pPr>
              <w:pStyle w:val="TableParagraph"/>
              <w:spacing w:line="270" w:lineRule="exact"/>
              <w:ind w:left="21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5"/>
                <w:sz w:val="21"/>
                <w:szCs w:val="21"/>
              </w:rPr>
              <w:t> </w:t>
            </w:r>
            <w:r>
              <w:rPr>
                <w:rFonts w:ascii="宋体" w:hAnsi="宋体" w:cs="宋体" w:eastAsia="宋体" w:hint="default"/>
                <w:sz w:val="21"/>
                <w:szCs w:val="21"/>
              </w:rPr>
              <w:t>目</w:t>
            </w:r>
          </w:p>
        </w:tc>
        <w:tc>
          <w:tcPr>
            <w:tcW w:w="6406" w:type="dxa"/>
            <w:gridSpan w:val="3"/>
            <w:tcBorders>
              <w:top w:val="single" w:sz="6" w:space="0" w:color="000000"/>
              <w:left w:val="single" w:sz="6" w:space="0" w:color="000000"/>
              <w:bottom w:val="single" w:sz="6" w:space="0" w:color="000000"/>
              <w:right w:val="nil" w:sz="6" w:space="0" w:color="auto"/>
            </w:tcBorders>
          </w:tcPr>
          <w:p>
            <w:pPr>
              <w:pStyle w:val="TableParagraph"/>
              <w:spacing w:line="270" w:lineRule="exact"/>
              <w:ind w:left="181" w:right="0"/>
              <w:jc w:val="center"/>
              <w:rPr>
                <w:rFonts w:ascii="宋体" w:hAnsi="宋体" w:cs="宋体" w:eastAsia="宋体" w:hint="default"/>
                <w:sz w:val="21"/>
                <w:szCs w:val="21"/>
              </w:rPr>
            </w:pPr>
            <w:r>
              <w:rPr>
                <w:rFonts w:ascii="宋体" w:hAnsi="宋体" w:cs="宋体" w:eastAsia="宋体" w:hint="default"/>
                <w:sz w:val="21"/>
                <w:szCs w:val="21"/>
              </w:rPr>
              <w:t>资产负债表</w:t>
            </w:r>
          </w:p>
        </w:tc>
      </w:tr>
      <w:tr>
        <w:trPr>
          <w:trHeight w:val="661" w:hRule="exact"/>
        </w:trPr>
        <w:tc>
          <w:tcPr>
            <w:tcW w:w="2132" w:type="dxa"/>
            <w:vMerge/>
            <w:tcBorders>
              <w:left w:val="single" w:sz="6" w:space="0" w:color="000000"/>
              <w:bottom w:val="single" w:sz="6" w:space="0" w:color="000000"/>
              <w:right w:val="single" w:sz="6" w:space="0" w:color="000000"/>
            </w:tcBorders>
          </w:tcPr>
          <w:p>
            <w:pP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3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left="630" w:right="327" w:hanging="316"/>
              <w:jc w:val="left"/>
              <w:rPr>
                <w:rFonts w:ascii="宋体" w:hAnsi="宋体" w:cs="宋体" w:eastAsia="宋体" w:hint="default"/>
                <w:sz w:val="21"/>
                <w:szCs w:val="21"/>
              </w:rPr>
            </w:pPr>
            <w:r>
              <w:rPr>
                <w:rFonts w:ascii="宋体" w:hAnsi="宋体" w:cs="宋体" w:eastAsia="宋体" w:hint="default"/>
                <w:sz w:val="21"/>
                <w:szCs w:val="21"/>
              </w:rPr>
              <w:t>新金融工具准则 调整影响</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86" w:lineRule="exact"/>
              <w:ind w:left="4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w:t>
            </w:r>
          </w:p>
        </w:tc>
      </w:tr>
      <w:tr>
        <w:trPr>
          <w:trHeight w:val="34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3,209,541.77</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-2,502,954.35</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706,587.42</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2133" w:type="dxa"/>
            <w:tcBorders>
              <w:top w:val="single" w:sz="6" w:space="0" w:color="000000"/>
              <w:left w:val="single" w:sz="6" w:space="0" w:color="000000"/>
              <w:bottom w:val="single" w:sz="6" w:space="0" w:color="000000"/>
              <w:right w:val="single" w:sz="6" w:space="0" w:color="000000"/>
            </w:tcBorders>
          </w:tcPr>
          <w:p>
            <w:pP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2,502,954.35</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2,502,954.35</w:t>
            </w:r>
          </w:p>
        </w:tc>
      </w:tr>
      <w:tr>
        <w:trPr>
          <w:trHeight w:val="360"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144,293,265.00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-144,293,265.00</w:t>
            </w:r>
          </w:p>
        </w:tc>
        <w:tc>
          <w:tcPr>
            <w:tcW w:w="214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2133" w:type="dxa"/>
            <w:tcBorders>
              <w:top w:val="single" w:sz="6" w:space="0" w:color="000000"/>
              <w:left w:val="single" w:sz="6" w:space="0" w:color="000000"/>
              <w:bottom w:val="single" w:sz="6" w:space="0" w:color="000000"/>
              <w:right w:val="single" w:sz="6" w:space="0" w:color="000000"/>
            </w:tcBorders>
          </w:tcPr>
          <w:p>
            <w:pP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144,293,265.00</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144,293,265.00</w:t>
            </w:r>
          </w:p>
        </w:tc>
      </w:tr>
      <w:tr>
        <w:trPr>
          <w:trHeight w:val="34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
              <w:jc w:val="right"/>
              <w:rPr>
                <w:rFonts w:ascii="Times New Roman" w:hAnsi="Times New Roman" w:cs="Times New Roman" w:eastAsia="Times New Roman" w:hint="default"/>
                <w:sz w:val="21"/>
                <w:szCs w:val="21"/>
              </w:rPr>
            </w:pPr>
            <w:r>
              <w:rPr>
                <w:rFonts w:ascii="Times New Roman"/>
                <w:sz w:val="21"/>
              </w:rPr>
              <w:t>567,025,913.80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
              <w:jc w:val="right"/>
              <w:rPr>
                <w:rFonts w:ascii="Times New Roman" w:hAnsi="Times New Roman" w:cs="Times New Roman" w:eastAsia="Times New Roman" w:hint="default"/>
                <w:sz w:val="21"/>
                <w:szCs w:val="21"/>
              </w:rPr>
            </w:pPr>
            <w:r>
              <w:rPr>
                <w:rFonts w:ascii="Times New Roman"/>
                <w:sz w:val="21"/>
              </w:rPr>
              <w:t>3,050,500.93</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4"/>
              <w:jc w:val="right"/>
              <w:rPr>
                <w:rFonts w:ascii="Times New Roman" w:hAnsi="Times New Roman" w:cs="Times New Roman" w:eastAsia="Times New Roman" w:hint="default"/>
                <w:sz w:val="21"/>
                <w:szCs w:val="21"/>
              </w:rPr>
            </w:pPr>
            <w:r>
              <w:rPr>
                <w:rFonts w:ascii="Times New Roman"/>
                <w:sz w:val="21"/>
              </w:rPr>
              <w:t>570,076,414.73</w:t>
            </w:r>
          </w:p>
        </w:tc>
      </w:tr>
      <w:tr>
        <w:trPr>
          <w:trHeight w:val="1051"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以公允价值计量且其变</w:t>
            </w:r>
          </w:p>
          <w:p>
            <w:pPr>
              <w:pStyle w:val="TableParagraph"/>
              <w:spacing w:line="288" w:lineRule="auto" w:before="40"/>
              <w:ind w:right="10"/>
              <w:jc w:val="left"/>
              <w:rPr>
                <w:rFonts w:ascii="宋体" w:hAnsi="宋体" w:cs="宋体" w:eastAsia="宋体" w:hint="default"/>
                <w:sz w:val="21"/>
                <w:szCs w:val="21"/>
              </w:rPr>
            </w:pPr>
            <w:r>
              <w:rPr>
                <w:rFonts w:ascii="宋体" w:hAnsi="宋体" w:cs="宋体" w:eastAsia="宋体" w:hint="default"/>
                <w:sz w:val="21"/>
                <w:szCs w:val="21"/>
              </w:rPr>
              <w:t>动计入当期损益的金融 负债</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Times New Roman" w:hAnsi="Times New Roman" w:cs="Times New Roman" w:eastAsia="Times New Roman" w:hint="default"/>
                <w:sz w:val="21"/>
                <w:szCs w:val="21"/>
              </w:rPr>
            </w:pPr>
            <w:r>
              <w:rPr>
                <w:rFonts w:ascii="Times New Roman"/>
                <w:sz w:val="21"/>
              </w:rPr>
              <w:t>4,293,047.58</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Times New Roman" w:hAnsi="Times New Roman" w:cs="Times New Roman" w:eastAsia="Times New Roman" w:hint="default"/>
                <w:sz w:val="21"/>
                <w:szCs w:val="21"/>
              </w:rPr>
            </w:pPr>
            <w:r>
              <w:rPr>
                <w:rFonts w:ascii="Times New Roman"/>
                <w:sz w:val="21"/>
              </w:rPr>
              <w:t>-4,293,047.58</w:t>
            </w:r>
          </w:p>
        </w:tc>
        <w:tc>
          <w:tcPr>
            <w:tcW w:w="214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2133" w:type="dxa"/>
            <w:tcBorders>
              <w:top w:val="single" w:sz="6" w:space="0" w:color="000000"/>
              <w:left w:val="single" w:sz="6" w:space="0" w:color="000000"/>
              <w:bottom w:val="single" w:sz="6" w:space="0" w:color="000000"/>
              <w:right w:val="single" w:sz="6" w:space="0" w:color="000000"/>
            </w:tcBorders>
          </w:tcPr>
          <w:p>
            <w:pP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4,293,047.58</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4,293,047.58</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25,736,158.45</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-3,407,792.13</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22,328,366.32</w:t>
            </w:r>
          </w:p>
        </w:tc>
      </w:tr>
      <w:tr>
        <w:trPr>
          <w:trHeight w:val="660"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0"/>
              <w:jc w:val="left"/>
              <w:rPr>
                <w:rFonts w:ascii="宋体" w:hAnsi="宋体" w:cs="宋体" w:eastAsia="宋体" w:hint="default"/>
                <w:sz w:val="21"/>
                <w:szCs w:val="21"/>
              </w:rPr>
            </w:pPr>
            <w:r>
              <w:rPr>
                <w:rFonts w:ascii="宋体" w:hAnsi="宋体" w:cs="宋体" w:eastAsia="宋体" w:hint="default"/>
                <w:sz w:val="21"/>
                <w:szCs w:val="21"/>
              </w:rPr>
              <w:t>一年内到期的非流动负 债</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95,935,080.00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128,689.80</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96,063,769.80</w:t>
            </w:r>
          </w:p>
        </w:tc>
      </w:tr>
      <w:tr>
        <w:trPr>
          <w:trHeight w:val="34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192,948,000.00</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228,601.40</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193,176,601.40</w:t>
            </w:r>
          </w:p>
        </w:tc>
      </w:tr>
    </w:tbl>
    <w:p>
      <w:pPr>
        <w:pStyle w:val="Heading6"/>
        <w:spacing w:line="271" w:lineRule="exact"/>
        <w:ind w:right="1086"/>
        <w:jc w:val="left"/>
      </w:pPr>
      <w:r>
        <w:rPr>
          <w:rFonts w:ascii="宋体" w:hAnsi="宋体" w:cs="宋体" w:eastAsia="宋体" w:hint="default"/>
        </w:rPr>
        <w:t>1.</w:t>
      </w:r>
      <w:r>
        <w:rPr>
          <w:rFonts w:ascii="宋体" w:hAnsi="宋体" w:cs="宋体" w:eastAsia="宋体" w:hint="default"/>
          <w:spacing w:val="44"/>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日，公司金融资产和金融负债按照新金融工具准则和按原金融工具准则的规定进行分类和</w:t>
      </w:r>
    </w:p>
    <w:p>
      <w:pPr>
        <w:pStyle w:val="Heading6"/>
        <w:spacing w:line="240" w:lineRule="auto" w:before="24"/>
        <w:ind w:left="501" w:right="1086"/>
        <w:jc w:val="left"/>
      </w:pPr>
      <w:r>
        <w:rPr/>
        <w:t>计量结果对比如下表：</w:t>
      </w:r>
    </w:p>
    <w:p>
      <w:pPr>
        <w:spacing w:line="240" w:lineRule="auto" w:before="9"/>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237"/>
        <w:gridCol w:w="1848"/>
        <w:gridCol w:w="1697"/>
        <w:gridCol w:w="1847"/>
        <w:gridCol w:w="1705"/>
      </w:tblGrid>
      <w:tr>
        <w:trPr>
          <w:trHeight w:val="345" w:hRule="exact"/>
        </w:trPr>
        <w:tc>
          <w:tcPr>
            <w:tcW w:w="2237" w:type="dxa"/>
            <w:vMerge w:val="restart"/>
            <w:tcBorders>
              <w:top w:val="single" w:sz="6" w:space="0" w:color="000000"/>
              <w:left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5"/>
                <w:sz w:val="21"/>
                <w:szCs w:val="21"/>
              </w:rPr>
              <w:t> </w:t>
            </w:r>
            <w:r>
              <w:rPr>
                <w:rFonts w:ascii="宋体" w:hAnsi="宋体" w:cs="宋体" w:eastAsia="宋体" w:hint="default"/>
                <w:sz w:val="21"/>
                <w:szCs w:val="21"/>
              </w:rPr>
              <w:t>目</w:t>
            </w:r>
          </w:p>
        </w:tc>
        <w:tc>
          <w:tcPr>
            <w:tcW w:w="3545" w:type="dxa"/>
            <w:gridSpan w:val="2"/>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126" w:right="0"/>
              <w:jc w:val="left"/>
              <w:rPr>
                <w:rFonts w:ascii="宋体" w:hAnsi="宋体" w:cs="宋体" w:eastAsia="宋体" w:hint="default"/>
                <w:sz w:val="21"/>
                <w:szCs w:val="21"/>
              </w:rPr>
            </w:pPr>
            <w:r>
              <w:rPr>
                <w:rFonts w:ascii="宋体" w:hAnsi="宋体" w:cs="宋体" w:eastAsia="宋体" w:hint="default"/>
                <w:sz w:val="21"/>
                <w:szCs w:val="21"/>
              </w:rPr>
              <w:t>原金融工具准则</w:t>
            </w:r>
          </w:p>
        </w:tc>
        <w:tc>
          <w:tcPr>
            <w:tcW w:w="3552" w:type="dxa"/>
            <w:gridSpan w:val="2"/>
            <w:tcBorders>
              <w:top w:val="single" w:sz="6" w:space="0" w:color="000000"/>
              <w:left w:val="single" w:sz="6" w:space="0" w:color="000000"/>
              <w:bottom w:val="single" w:sz="6" w:space="0" w:color="000000"/>
              <w:right w:val="nil" w:sz="6" w:space="0" w:color="auto"/>
            </w:tcBorders>
          </w:tcPr>
          <w:p>
            <w:pPr>
              <w:pStyle w:val="TableParagraph"/>
              <w:spacing w:line="255" w:lineRule="exact"/>
              <w:ind w:left="1126" w:right="0"/>
              <w:jc w:val="left"/>
              <w:rPr>
                <w:rFonts w:ascii="宋体" w:hAnsi="宋体" w:cs="宋体" w:eastAsia="宋体" w:hint="default"/>
                <w:sz w:val="21"/>
                <w:szCs w:val="21"/>
              </w:rPr>
            </w:pPr>
            <w:r>
              <w:rPr>
                <w:rFonts w:ascii="宋体" w:hAnsi="宋体" w:cs="宋体" w:eastAsia="宋体" w:hint="default"/>
                <w:sz w:val="21"/>
                <w:szCs w:val="21"/>
              </w:rPr>
              <w:t>新金融工具准则</w:t>
            </w:r>
          </w:p>
        </w:tc>
      </w:tr>
      <w:tr>
        <w:trPr>
          <w:trHeight w:val="345" w:hRule="exact"/>
        </w:trPr>
        <w:tc>
          <w:tcPr>
            <w:tcW w:w="2237" w:type="dxa"/>
            <w:vMerge/>
            <w:tcBorders>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02"/>
              <w:jc w:val="right"/>
              <w:rPr>
                <w:rFonts w:ascii="宋体" w:hAnsi="宋体" w:cs="宋体" w:eastAsia="宋体" w:hint="default"/>
                <w:sz w:val="21"/>
                <w:szCs w:val="21"/>
              </w:rPr>
            </w:pPr>
            <w:r>
              <w:rPr>
                <w:rFonts w:ascii="宋体" w:hAnsi="宋体" w:cs="宋体" w:eastAsia="宋体" w:hint="default"/>
                <w:sz w:val="21"/>
                <w:szCs w:val="21"/>
              </w:rPr>
              <w:t>计量类别</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1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586" w:right="0"/>
              <w:jc w:val="left"/>
              <w:rPr>
                <w:rFonts w:ascii="宋体" w:hAnsi="宋体" w:cs="宋体" w:eastAsia="宋体" w:hint="default"/>
                <w:sz w:val="21"/>
                <w:szCs w:val="21"/>
              </w:rPr>
            </w:pPr>
            <w:r>
              <w:rPr>
                <w:rFonts w:ascii="宋体" w:hAnsi="宋体" w:cs="宋体" w:eastAsia="宋体" w:hint="default"/>
                <w:sz w:val="21"/>
                <w:szCs w:val="21"/>
              </w:rPr>
              <w:t>计量类别</w:t>
            </w:r>
          </w:p>
        </w:tc>
        <w:tc>
          <w:tcPr>
            <w:tcW w:w="170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51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57"/>
              <w:jc w:val="right"/>
              <w:rPr>
                <w:rFonts w:ascii="宋体" w:hAnsi="宋体" w:cs="宋体" w:eastAsia="宋体" w:hint="default"/>
                <w:sz w:val="21"/>
                <w:szCs w:val="21"/>
              </w:rPr>
            </w:pPr>
            <w:r>
              <w:rPr>
                <w:rFonts w:ascii="宋体" w:hAnsi="宋体" w:cs="宋体" w:eastAsia="宋体" w:hint="default"/>
                <w:sz w:val="21"/>
                <w:szCs w:val="21"/>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482,794,143.90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482,794,143.90</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357"/>
              <w:jc w:val="right"/>
              <w:rPr>
                <w:rFonts w:ascii="宋体" w:hAnsi="宋体" w:cs="宋体" w:eastAsia="宋体" w:hint="default"/>
                <w:sz w:val="21"/>
                <w:szCs w:val="21"/>
              </w:rPr>
            </w:pPr>
            <w:r>
              <w:rPr>
                <w:rFonts w:ascii="宋体" w:hAnsi="宋体" w:cs="宋体" w:eastAsia="宋体" w:hint="default"/>
                <w:sz w:val="21"/>
                <w:szCs w:val="21"/>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3,209,541.77</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706,587.42</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84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pacing w:val="11"/>
                <w:sz w:val="21"/>
                <w:szCs w:val="21"/>
              </w:rPr>
              <w:t>以公允价</w:t>
            </w:r>
            <w:r>
              <w:rPr>
                <w:rFonts w:ascii="宋体" w:hAnsi="宋体" w:cs="宋体" w:eastAsia="宋体" w:hint="default"/>
                <w:spacing w:val="-74"/>
                <w:sz w:val="21"/>
                <w:szCs w:val="21"/>
              </w:rPr>
              <w:t> </w:t>
            </w:r>
            <w:r>
              <w:rPr>
                <w:rFonts w:ascii="宋体" w:hAnsi="宋体" w:cs="宋体" w:eastAsia="宋体" w:hint="default"/>
                <w:spacing w:val="7"/>
                <w:sz w:val="21"/>
                <w:szCs w:val="21"/>
              </w:rPr>
              <w:t>值计</w:t>
            </w:r>
            <w:r>
              <w:rPr>
                <w:rFonts w:ascii="宋体" w:hAnsi="宋体" w:cs="宋体" w:eastAsia="宋体" w:hint="default"/>
                <w:spacing w:val="-74"/>
                <w:sz w:val="21"/>
                <w:szCs w:val="21"/>
              </w:rPr>
              <w:t> </w:t>
            </w:r>
            <w:r>
              <w:rPr>
                <w:rFonts w:ascii="宋体" w:hAnsi="宋体" w:cs="宋体" w:eastAsia="宋体" w:hint="default"/>
                <w:spacing w:val="7"/>
                <w:sz w:val="21"/>
                <w:szCs w:val="21"/>
              </w:rPr>
              <w:t>量且</w:t>
            </w:r>
          </w:p>
        </w:tc>
        <w:tc>
          <w:tcPr>
            <w:tcW w:w="170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2,502,954.35</w:t>
            </w:r>
          </w:p>
        </w:tc>
      </w:tr>
    </w:tbl>
    <w:p>
      <w:pPr>
        <w:spacing w:after="0" w:line="240" w:lineRule="auto"/>
        <w:jc w:val="right"/>
        <w:rPr>
          <w:rFonts w:ascii="Times New Roman" w:hAnsi="Times New Roman" w:cs="Times New Roman" w:eastAsia="Times New Roman" w:hint="default"/>
          <w:sz w:val="21"/>
          <w:szCs w:val="21"/>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237"/>
        <w:gridCol w:w="1848"/>
        <w:gridCol w:w="1697"/>
        <w:gridCol w:w="1847"/>
        <w:gridCol w:w="1704"/>
      </w:tblGrid>
      <w:tr>
        <w:trPr>
          <w:trHeight w:val="660" w:hRule="exact"/>
        </w:trPr>
        <w:tc>
          <w:tcPr>
            <w:tcW w:w="2237"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left="-1" w:right="13"/>
              <w:jc w:val="left"/>
              <w:rPr>
                <w:rFonts w:ascii="宋体" w:hAnsi="宋体" w:cs="宋体" w:eastAsia="宋体" w:hint="default"/>
                <w:sz w:val="21"/>
                <w:szCs w:val="21"/>
              </w:rPr>
            </w:pPr>
            <w:r>
              <w:rPr>
                <w:rFonts w:ascii="宋体" w:hAnsi="宋体" w:cs="宋体" w:eastAsia="宋体" w:hint="default"/>
                <w:spacing w:val="11"/>
                <w:sz w:val="21"/>
                <w:szCs w:val="21"/>
              </w:rPr>
              <w:t>其变动计</w:t>
            </w:r>
            <w:r>
              <w:rPr>
                <w:rFonts w:ascii="宋体" w:hAnsi="宋体" w:cs="宋体" w:eastAsia="宋体" w:hint="default"/>
                <w:spacing w:val="-74"/>
                <w:sz w:val="21"/>
                <w:szCs w:val="21"/>
              </w:rPr>
              <w:t> </w:t>
            </w:r>
            <w:r>
              <w:rPr>
                <w:rFonts w:ascii="宋体" w:hAnsi="宋体" w:cs="宋体" w:eastAsia="宋体" w:hint="default"/>
                <w:spacing w:val="7"/>
                <w:sz w:val="21"/>
                <w:szCs w:val="21"/>
              </w:rPr>
              <w:t>入其</w:t>
            </w:r>
            <w:r>
              <w:rPr>
                <w:rFonts w:ascii="宋体" w:hAnsi="宋体" w:cs="宋体" w:eastAsia="宋体" w:hint="default"/>
                <w:spacing w:val="-74"/>
                <w:sz w:val="21"/>
                <w:szCs w:val="21"/>
              </w:rPr>
              <w:t> </w:t>
            </w:r>
            <w:r>
              <w:rPr>
                <w:rFonts w:ascii="宋体" w:hAnsi="宋体" w:cs="宋体" w:eastAsia="宋体" w:hint="default"/>
                <w:spacing w:val="7"/>
                <w:sz w:val="21"/>
                <w:szCs w:val="21"/>
              </w:rPr>
              <w:t>他综</w:t>
            </w:r>
            <w:r>
              <w:rPr>
                <w:rFonts w:ascii="宋体" w:hAnsi="宋体" w:cs="宋体" w:eastAsia="宋体" w:hint="default"/>
                <w:sz w:val="21"/>
                <w:szCs w:val="21"/>
              </w:rPr>
              <w:t> 合收益</w:t>
            </w:r>
          </w:p>
        </w:tc>
        <w:tc>
          <w:tcPr>
            <w:tcW w:w="1704"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775,700,936.92</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775,700,936.92</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82,292,806.84</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82,292,806.84</w:t>
            </w:r>
          </w:p>
        </w:tc>
      </w:tr>
      <w:tr>
        <w:trPr>
          <w:trHeight w:val="34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贷款和应收款项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53,659,554.80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53,659,554.80</w:t>
            </w:r>
          </w:p>
        </w:tc>
      </w:tr>
      <w:tr>
        <w:trPr>
          <w:trHeight w:val="66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3"/>
              <w:jc w:val="left"/>
              <w:rPr>
                <w:rFonts w:ascii="宋体" w:hAnsi="宋体" w:cs="宋体" w:eastAsia="宋体" w:hint="default"/>
                <w:sz w:val="21"/>
                <w:szCs w:val="21"/>
              </w:rPr>
            </w:pPr>
            <w:r>
              <w:rPr>
                <w:rFonts w:ascii="宋体" w:hAnsi="宋体" w:cs="宋体" w:eastAsia="宋体" w:hint="default"/>
                <w:spacing w:val="11"/>
                <w:sz w:val="21"/>
                <w:szCs w:val="21"/>
              </w:rPr>
              <w:t>以成本计</w:t>
            </w:r>
            <w:r>
              <w:rPr>
                <w:rFonts w:ascii="宋体" w:hAnsi="宋体" w:cs="宋体" w:eastAsia="宋体" w:hint="default"/>
                <w:spacing w:val="-74"/>
                <w:sz w:val="21"/>
                <w:szCs w:val="21"/>
              </w:rPr>
              <w:t> </w:t>
            </w:r>
            <w:r>
              <w:rPr>
                <w:rFonts w:ascii="宋体" w:hAnsi="宋体" w:cs="宋体" w:eastAsia="宋体" w:hint="default"/>
                <w:spacing w:val="7"/>
                <w:sz w:val="21"/>
                <w:szCs w:val="21"/>
              </w:rPr>
              <w:t>量的</w:t>
            </w:r>
            <w:r>
              <w:rPr>
                <w:rFonts w:ascii="宋体" w:hAnsi="宋体" w:cs="宋体" w:eastAsia="宋体" w:hint="default"/>
                <w:spacing w:val="-74"/>
                <w:sz w:val="21"/>
                <w:szCs w:val="21"/>
              </w:rPr>
              <w:t> </w:t>
            </w:r>
            <w:r>
              <w:rPr>
                <w:rFonts w:ascii="宋体" w:hAnsi="宋体" w:cs="宋体" w:eastAsia="宋体" w:hint="default"/>
                <w:spacing w:val="7"/>
                <w:sz w:val="21"/>
                <w:szCs w:val="21"/>
              </w:rPr>
              <w:t>可供</w:t>
            </w:r>
            <w:r>
              <w:rPr>
                <w:rFonts w:ascii="宋体" w:hAnsi="宋体" w:cs="宋体" w:eastAsia="宋体" w:hint="default"/>
                <w:sz w:val="21"/>
                <w:szCs w:val="21"/>
              </w:rPr>
              <w:t> 出售金融资产</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144,293,265.00</w:t>
            </w:r>
          </w:p>
        </w:tc>
        <w:tc>
          <w:tcPr>
            <w:tcW w:w="1847"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nil" w:sz="6" w:space="0" w:color="auto"/>
            </w:tcBorders>
          </w:tcPr>
          <w:p>
            <w:pPr/>
          </w:p>
        </w:tc>
      </w:tr>
      <w:tr>
        <w:trPr>
          <w:trHeight w:val="97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84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left="-1" w:right="13"/>
              <w:jc w:val="both"/>
              <w:rPr>
                <w:rFonts w:ascii="宋体" w:hAnsi="宋体" w:cs="宋体" w:eastAsia="宋体" w:hint="default"/>
                <w:sz w:val="21"/>
                <w:szCs w:val="21"/>
              </w:rPr>
            </w:pPr>
            <w:r>
              <w:rPr>
                <w:rFonts w:ascii="宋体" w:hAnsi="宋体" w:cs="宋体" w:eastAsia="宋体" w:hint="default"/>
                <w:spacing w:val="11"/>
                <w:sz w:val="21"/>
                <w:szCs w:val="21"/>
              </w:rPr>
              <w:t>以公允价</w:t>
            </w:r>
            <w:r>
              <w:rPr>
                <w:rFonts w:ascii="宋体" w:hAnsi="宋体" w:cs="宋体" w:eastAsia="宋体" w:hint="default"/>
                <w:spacing w:val="-74"/>
                <w:sz w:val="21"/>
                <w:szCs w:val="21"/>
              </w:rPr>
              <w:t> </w:t>
            </w:r>
            <w:r>
              <w:rPr>
                <w:rFonts w:ascii="宋体" w:hAnsi="宋体" w:cs="宋体" w:eastAsia="宋体" w:hint="default"/>
                <w:spacing w:val="7"/>
                <w:sz w:val="21"/>
                <w:szCs w:val="21"/>
              </w:rPr>
              <w:t>值计</w:t>
            </w:r>
            <w:r>
              <w:rPr>
                <w:rFonts w:ascii="宋体" w:hAnsi="宋体" w:cs="宋体" w:eastAsia="宋体" w:hint="default"/>
                <w:spacing w:val="-74"/>
                <w:sz w:val="21"/>
                <w:szCs w:val="21"/>
              </w:rPr>
              <w:t> </w:t>
            </w:r>
            <w:r>
              <w:rPr>
                <w:rFonts w:ascii="宋体" w:hAnsi="宋体" w:cs="宋体" w:eastAsia="宋体" w:hint="default"/>
                <w:spacing w:val="7"/>
                <w:sz w:val="21"/>
                <w:szCs w:val="21"/>
              </w:rPr>
              <w:t>量且</w:t>
            </w:r>
            <w:r>
              <w:rPr>
                <w:rFonts w:ascii="宋体" w:hAnsi="宋体" w:cs="宋体" w:eastAsia="宋体" w:hint="default"/>
                <w:sz w:val="21"/>
                <w:szCs w:val="21"/>
              </w:rPr>
              <w:t> </w:t>
            </w:r>
            <w:r>
              <w:rPr>
                <w:rFonts w:ascii="宋体" w:hAnsi="宋体" w:cs="宋体" w:eastAsia="宋体" w:hint="default"/>
                <w:spacing w:val="11"/>
                <w:sz w:val="21"/>
                <w:szCs w:val="21"/>
              </w:rPr>
              <w:t>其变动计</w:t>
            </w:r>
            <w:r>
              <w:rPr>
                <w:rFonts w:ascii="宋体" w:hAnsi="宋体" w:cs="宋体" w:eastAsia="宋体" w:hint="default"/>
                <w:spacing w:val="-74"/>
                <w:sz w:val="21"/>
                <w:szCs w:val="21"/>
              </w:rPr>
              <w:t> </w:t>
            </w:r>
            <w:r>
              <w:rPr>
                <w:rFonts w:ascii="宋体" w:hAnsi="宋体" w:cs="宋体" w:eastAsia="宋体" w:hint="default"/>
                <w:spacing w:val="7"/>
                <w:sz w:val="21"/>
                <w:szCs w:val="21"/>
              </w:rPr>
              <w:t>入当</w:t>
            </w:r>
            <w:r>
              <w:rPr>
                <w:rFonts w:ascii="宋体" w:hAnsi="宋体" w:cs="宋体" w:eastAsia="宋体" w:hint="default"/>
                <w:spacing w:val="-74"/>
                <w:sz w:val="21"/>
                <w:szCs w:val="21"/>
              </w:rPr>
              <w:t> </w:t>
            </w:r>
            <w:r>
              <w:rPr>
                <w:rFonts w:ascii="宋体" w:hAnsi="宋体" w:cs="宋体" w:eastAsia="宋体" w:hint="default"/>
                <w:spacing w:val="7"/>
                <w:sz w:val="21"/>
                <w:szCs w:val="21"/>
              </w:rPr>
              <w:t>期损</w:t>
            </w:r>
            <w:r>
              <w:rPr>
                <w:rFonts w:ascii="宋体" w:hAnsi="宋体" w:cs="宋体" w:eastAsia="宋体" w:hint="default"/>
                <w:sz w:val="21"/>
                <w:szCs w:val="21"/>
              </w:rPr>
              <w:t> 益</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144,293,265.00</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567,025,913.80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570,076,414.73</w:t>
            </w:r>
          </w:p>
        </w:tc>
      </w:tr>
      <w:tr>
        <w:trPr>
          <w:trHeight w:val="97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right="-33"/>
              <w:jc w:val="both"/>
              <w:rPr>
                <w:rFonts w:ascii="宋体" w:hAnsi="宋体" w:cs="宋体" w:eastAsia="宋体" w:hint="default"/>
                <w:sz w:val="21"/>
                <w:szCs w:val="21"/>
              </w:rPr>
            </w:pPr>
            <w:r>
              <w:rPr>
                <w:rFonts w:ascii="宋体" w:hAnsi="宋体" w:cs="宋体" w:eastAsia="宋体" w:hint="default"/>
                <w:spacing w:val="15"/>
                <w:sz w:val="21"/>
                <w:szCs w:val="21"/>
              </w:rPr>
              <w:t>以公允价值计量且其变 动计入当期损益的金融 </w:t>
            </w:r>
            <w:r>
              <w:rPr>
                <w:rFonts w:ascii="宋体" w:hAnsi="宋体" w:cs="宋体" w:eastAsia="宋体" w:hint="default"/>
                <w:sz w:val="21"/>
                <w:szCs w:val="21"/>
              </w:rPr>
              <w:t>负债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right="13"/>
              <w:jc w:val="both"/>
              <w:rPr>
                <w:rFonts w:ascii="宋体" w:hAnsi="宋体" w:cs="宋体" w:eastAsia="宋体" w:hint="default"/>
                <w:sz w:val="21"/>
                <w:szCs w:val="21"/>
              </w:rPr>
            </w:pPr>
            <w:r>
              <w:rPr>
                <w:rFonts w:ascii="宋体" w:hAnsi="宋体" w:cs="宋体" w:eastAsia="宋体" w:hint="default"/>
                <w:spacing w:val="11"/>
                <w:sz w:val="21"/>
                <w:szCs w:val="21"/>
              </w:rPr>
              <w:t>以公允价</w:t>
            </w:r>
            <w:r>
              <w:rPr>
                <w:rFonts w:ascii="宋体" w:hAnsi="宋体" w:cs="宋体" w:eastAsia="宋体" w:hint="default"/>
                <w:spacing w:val="-74"/>
                <w:sz w:val="21"/>
                <w:szCs w:val="21"/>
              </w:rPr>
              <w:t> </w:t>
            </w:r>
            <w:r>
              <w:rPr>
                <w:rFonts w:ascii="宋体" w:hAnsi="宋体" w:cs="宋体" w:eastAsia="宋体" w:hint="default"/>
                <w:spacing w:val="7"/>
                <w:sz w:val="21"/>
                <w:szCs w:val="21"/>
              </w:rPr>
              <w:t>值计</w:t>
            </w:r>
            <w:r>
              <w:rPr>
                <w:rFonts w:ascii="宋体" w:hAnsi="宋体" w:cs="宋体" w:eastAsia="宋体" w:hint="default"/>
                <w:spacing w:val="-74"/>
                <w:sz w:val="21"/>
                <w:szCs w:val="21"/>
              </w:rPr>
              <w:t> </w:t>
            </w:r>
            <w:r>
              <w:rPr>
                <w:rFonts w:ascii="宋体" w:hAnsi="宋体" w:cs="宋体" w:eastAsia="宋体" w:hint="default"/>
                <w:spacing w:val="7"/>
                <w:sz w:val="21"/>
                <w:szCs w:val="21"/>
              </w:rPr>
              <w:t>量且</w:t>
            </w:r>
            <w:r>
              <w:rPr>
                <w:rFonts w:ascii="宋体" w:hAnsi="宋体" w:cs="宋体" w:eastAsia="宋体" w:hint="default"/>
                <w:sz w:val="21"/>
                <w:szCs w:val="21"/>
              </w:rPr>
              <w:t> </w:t>
            </w:r>
            <w:r>
              <w:rPr>
                <w:rFonts w:ascii="宋体" w:hAnsi="宋体" w:cs="宋体" w:eastAsia="宋体" w:hint="default"/>
                <w:spacing w:val="11"/>
                <w:sz w:val="21"/>
                <w:szCs w:val="21"/>
              </w:rPr>
              <w:t>其变动计</w:t>
            </w:r>
            <w:r>
              <w:rPr>
                <w:rFonts w:ascii="宋体" w:hAnsi="宋体" w:cs="宋体" w:eastAsia="宋体" w:hint="default"/>
                <w:spacing w:val="-74"/>
                <w:sz w:val="21"/>
                <w:szCs w:val="21"/>
              </w:rPr>
              <w:t> </w:t>
            </w:r>
            <w:r>
              <w:rPr>
                <w:rFonts w:ascii="宋体" w:hAnsi="宋体" w:cs="宋体" w:eastAsia="宋体" w:hint="default"/>
                <w:spacing w:val="7"/>
                <w:sz w:val="21"/>
                <w:szCs w:val="21"/>
              </w:rPr>
              <w:t>入当</w:t>
            </w:r>
            <w:r>
              <w:rPr>
                <w:rFonts w:ascii="宋体" w:hAnsi="宋体" w:cs="宋体" w:eastAsia="宋体" w:hint="default"/>
                <w:spacing w:val="-74"/>
                <w:sz w:val="21"/>
                <w:szCs w:val="21"/>
              </w:rPr>
              <w:t> </w:t>
            </w:r>
            <w:r>
              <w:rPr>
                <w:rFonts w:ascii="宋体" w:hAnsi="宋体" w:cs="宋体" w:eastAsia="宋体" w:hint="default"/>
                <w:spacing w:val="7"/>
                <w:sz w:val="21"/>
                <w:szCs w:val="21"/>
              </w:rPr>
              <w:t>期损</w:t>
            </w:r>
            <w:r>
              <w:rPr>
                <w:rFonts w:ascii="宋体" w:hAnsi="宋体" w:cs="宋体" w:eastAsia="宋体" w:hint="default"/>
                <w:sz w:val="21"/>
                <w:szCs w:val="21"/>
              </w:rPr>
              <w:t> 益</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4,293,047.58</w:t>
            </w:r>
          </w:p>
        </w:tc>
        <w:tc>
          <w:tcPr>
            <w:tcW w:w="1847"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nil" w:sz="6" w:space="0" w:color="auto"/>
            </w:tcBorders>
          </w:tcPr>
          <w:p>
            <w:pPr/>
          </w:p>
        </w:tc>
      </w:tr>
      <w:tr>
        <w:trPr>
          <w:trHeight w:val="97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848"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left="-1" w:right="13"/>
              <w:jc w:val="both"/>
              <w:rPr>
                <w:rFonts w:ascii="宋体" w:hAnsi="宋体" w:cs="宋体" w:eastAsia="宋体" w:hint="default"/>
                <w:sz w:val="21"/>
                <w:szCs w:val="21"/>
              </w:rPr>
            </w:pPr>
            <w:r>
              <w:rPr>
                <w:rFonts w:ascii="宋体" w:hAnsi="宋体" w:cs="宋体" w:eastAsia="宋体" w:hint="default"/>
                <w:spacing w:val="11"/>
                <w:sz w:val="21"/>
                <w:szCs w:val="21"/>
              </w:rPr>
              <w:t>以公允价</w:t>
            </w:r>
            <w:r>
              <w:rPr>
                <w:rFonts w:ascii="宋体" w:hAnsi="宋体" w:cs="宋体" w:eastAsia="宋体" w:hint="default"/>
                <w:spacing w:val="-74"/>
                <w:sz w:val="21"/>
                <w:szCs w:val="21"/>
              </w:rPr>
              <w:t> </w:t>
            </w:r>
            <w:r>
              <w:rPr>
                <w:rFonts w:ascii="宋体" w:hAnsi="宋体" w:cs="宋体" w:eastAsia="宋体" w:hint="default"/>
                <w:spacing w:val="7"/>
                <w:sz w:val="21"/>
                <w:szCs w:val="21"/>
              </w:rPr>
              <w:t>值计</w:t>
            </w:r>
            <w:r>
              <w:rPr>
                <w:rFonts w:ascii="宋体" w:hAnsi="宋体" w:cs="宋体" w:eastAsia="宋体" w:hint="default"/>
                <w:spacing w:val="-74"/>
                <w:sz w:val="21"/>
                <w:szCs w:val="21"/>
              </w:rPr>
              <w:t> </w:t>
            </w:r>
            <w:r>
              <w:rPr>
                <w:rFonts w:ascii="宋体" w:hAnsi="宋体" w:cs="宋体" w:eastAsia="宋体" w:hint="default"/>
                <w:spacing w:val="7"/>
                <w:sz w:val="21"/>
                <w:szCs w:val="21"/>
              </w:rPr>
              <w:t>量且</w:t>
            </w:r>
            <w:r>
              <w:rPr>
                <w:rFonts w:ascii="宋体" w:hAnsi="宋体" w:cs="宋体" w:eastAsia="宋体" w:hint="default"/>
                <w:sz w:val="21"/>
                <w:szCs w:val="21"/>
              </w:rPr>
              <w:t> </w:t>
            </w:r>
            <w:r>
              <w:rPr>
                <w:rFonts w:ascii="宋体" w:hAnsi="宋体" w:cs="宋体" w:eastAsia="宋体" w:hint="default"/>
                <w:spacing w:val="11"/>
                <w:sz w:val="21"/>
                <w:szCs w:val="21"/>
              </w:rPr>
              <w:t>其变动计</w:t>
            </w:r>
            <w:r>
              <w:rPr>
                <w:rFonts w:ascii="宋体" w:hAnsi="宋体" w:cs="宋体" w:eastAsia="宋体" w:hint="default"/>
                <w:spacing w:val="-74"/>
                <w:sz w:val="21"/>
                <w:szCs w:val="21"/>
              </w:rPr>
              <w:t> </w:t>
            </w:r>
            <w:r>
              <w:rPr>
                <w:rFonts w:ascii="宋体" w:hAnsi="宋体" w:cs="宋体" w:eastAsia="宋体" w:hint="default"/>
                <w:spacing w:val="7"/>
                <w:sz w:val="21"/>
                <w:szCs w:val="21"/>
              </w:rPr>
              <w:t>入当</w:t>
            </w:r>
            <w:r>
              <w:rPr>
                <w:rFonts w:ascii="宋体" w:hAnsi="宋体" w:cs="宋体" w:eastAsia="宋体" w:hint="default"/>
                <w:spacing w:val="-74"/>
                <w:sz w:val="21"/>
                <w:szCs w:val="21"/>
              </w:rPr>
              <w:t> </w:t>
            </w:r>
            <w:r>
              <w:rPr>
                <w:rFonts w:ascii="宋体" w:hAnsi="宋体" w:cs="宋体" w:eastAsia="宋体" w:hint="default"/>
                <w:spacing w:val="7"/>
                <w:sz w:val="21"/>
                <w:szCs w:val="21"/>
              </w:rPr>
              <w:t>期损</w:t>
            </w:r>
            <w:r>
              <w:rPr>
                <w:rFonts w:ascii="宋体" w:hAnsi="宋体" w:cs="宋体" w:eastAsia="宋体" w:hint="default"/>
                <w:sz w:val="21"/>
                <w:szCs w:val="21"/>
              </w:rPr>
              <w:t> 益</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4,293,047.58</w:t>
            </w:r>
          </w:p>
        </w:tc>
      </w:tr>
      <w:tr>
        <w:trPr>
          <w:trHeight w:val="34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22,396,727.46</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22,396,727.46</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131,560,783.91</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131,560,783.91</w:t>
            </w:r>
          </w:p>
        </w:tc>
      </w:tr>
      <w:tr>
        <w:trPr>
          <w:trHeight w:val="345"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25,736,158.45</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22,328,366.32</w:t>
            </w:r>
          </w:p>
        </w:tc>
      </w:tr>
      <w:tr>
        <w:trPr>
          <w:trHeight w:val="660"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33"/>
              <w:jc w:val="left"/>
              <w:rPr>
                <w:rFonts w:ascii="宋体" w:hAnsi="宋体" w:cs="宋体" w:eastAsia="宋体" w:hint="default"/>
                <w:sz w:val="21"/>
                <w:szCs w:val="21"/>
              </w:rPr>
            </w:pPr>
            <w:r>
              <w:rPr>
                <w:rFonts w:ascii="宋体" w:hAnsi="宋体" w:cs="宋体" w:eastAsia="宋体" w:hint="default"/>
                <w:spacing w:val="15"/>
                <w:sz w:val="21"/>
                <w:szCs w:val="21"/>
              </w:rPr>
              <w:t>一年内到期的非流动负 </w:t>
            </w:r>
            <w:r>
              <w:rPr>
                <w:rFonts w:ascii="宋体" w:hAnsi="宋体" w:cs="宋体" w:eastAsia="宋体" w:hint="default"/>
                <w:sz w:val="21"/>
                <w:szCs w:val="21"/>
              </w:rPr>
              <w:t>债</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95,935,080.00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96,063,769.80</w:t>
            </w:r>
          </w:p>
        </w:tc>
      </w:tr>
      <w:tr>
        <w:trPr>
          <w:trHeight w:val="346" w:hRule="exact"/>
        </w:trPr>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其他金融负责</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192,948,000.00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left"/>
              <w:rPr>
                <w:rFonts w:ascii="宋体" w:hAnsi="宋体" w:cs="宋体" w:eastAsia="宋体" w:hint="default"/>
                <w:sz w:val="21"/>
                <w:szCs w:val="21"/>
              </w:rPr>
            </w:pPr>
            <w:r>
              <w:rPr>
                <w:rFonts w:ascii="宋体" w:hAnsi="宋体" w:cs="宋体" w:eastAsia="宋体" w:hint="default"/>
                <w:sz w:val="21"/>
                <w:szCs w:val="21"/>
              </w:rPr>
              <w:t>摊余成本计量</w:t>
            </w:r>
          </w:p>
        </w:tc>
        <w:tc>
          <w:tcPr>
            <w:tcW w:w="170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193,176,601.40</w:t>
            </w:r>
          </w:p>
        </w:tc>
      </w:tr>
    </w:tbl>
    <w:p>
      <w:pPr>
        <w:pStyle w:val="Heading6"/>
        <w:spacing w:line="270" w:lineRule="exact"/>
        <w:ind w:left="561" w:right="10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日，公司原金融资产和金融负债账面价值调整为按照新金融工具准则的规定进行分类</w:t>
      </w:r>
    </w:p>
    <w:p>
      <w:pPr>
        <w:pStyle w:val="Heading6"/>
        <w:spacing w:line="240" w:lineRule="auto" w:before="24"/>
        <w:ind w:right="1086"/>
        <w:jc w:val="left"/>
      </w:pPr>
      <w:r>
        <w:rPr/>
        <w:pict>
          <v:group style="position:absolute;margin-left:56.700001pt;margin-top:17.973658pt;width:474.6pt;height:.75pt;mso-position-horizontal-relative:page;mso-position-vertical-relative:paragraph;z-index:-1276504" coordorigin="1134,359" coordsize="9492,15">
            <v:group style="position:absolute;left:1142;top:367;width:1953;height:2" coordorigin="1142,367" coordsize="1953,2">
              <v:shape style="position:absolute;left:1142;top:367;width:1953;height:2" coordorigin="1142,367" coordsize="1953,0" path="m1142,367l3094,367e" filled="false" stroked="true" strokeweight=".75pt" strokecolor="#000000">
                <v:path arrowok="t"/>
              </v:shape>
            </v:group>
            <v:group style="position:absolute;left:3094;top:367;width:15;height:2" coordorigin="3094,367" coordsize="15,2">
              <v:shape style="position:absolute;left:3094;top:367;width:15;height:2" coordorigin="3094,367" coordsize="15,0" path="m3094,367l3109,367e" filled="false" stroked="true" strokeweight=".75pt" strokecolor="#000000">
                <v:path arrowok="t"/>
              </v:shape>
            </v:group>
            <v:group style="position:absolute;left:3109;top:367;width:2538;height:2" coordorigin="3109,367" coordsize="2538,2">
              <v:shape style="position:absolute;left:3109;top:367;width:2538;height:2" coordorigin="3109,367" coordsize="2538,0" path="m3109,367l5647,367e" filled="false" stroked="true" strokeweight=".75pt" strokecolor="#000000">
                <v:path arrowok="t"/>
              </v:shape>
            </v:group>
            <v:group style="position:absolute;left:5647;top:367;width:15;height:2" coordorigin="5647,367" coordsize="15,2">
              <v:shape style="position:absolute;left:5647;top:367;width:15;height:2" coordorigin="5647,367" coordsize="15,0" path="m5647,367l5662,367e" filled="false" stroked="true" strokeweight=".75pt" strokecolor="#000000">
                <v:path arrowok="t"/>
              </v:shape>
            </v:group>
            <v:group style="position:absolute;left:5662;top:367;width:1833;height:2" coordorigin="5662,367" coordsize="1833,2">
              <v:shape style="position:absolute;left:5662;top:367;width:1833;height:2" coordorigin="5662,367" coordsize="1833,0" path="m5662,367l7494,367e" filled="false" stroked="true" strokeweight=".75pt" strokecolor="#000000">
                <v:path arrowok="t"/>
              </v:shape>
            </v:group>
            <v:group style="position:absolute;left:7495;top:367;width:15;height:2" coordorigin="7495,367" coordsize="15,2">
              <v:shape style="position:absolute;left:7495;top:367;width:15;height:2" coordorigin="7495,367" coordsize="15,0" path="m7495,367l7510,367e" filled="false" stroked="true" strokeweight=".75pt" strokecolor="#000000">
                <v:path arrowok="t"/>
              </v:shape>
            </v:group>
            <v:group style="position:absolute;left:7510;top:367;width:1127;height:2" coordorigin="7510,367" coordsize="1127,2">
              <v:shape style="position:absolute;left:7510;top:367;width:1127;height:2" coordorigin="7510,367" coordsize="1127,0" path="m7510,367l8636,367e" filled="false" stroked="true" strokeweight=".75pt" strokecolor="#000000">
                <v:path arrowok="t"/>
              </v:shape>
            </v:group>
            <v:group style="position:absolute;left:8636;top:367;width:15;height:2" coordorigin="8636,367" coordsize="15,2">
              <v:shape style="position:absolute;left:8636;top:367;width:15;height:2" coordorigin="8636,367" coordsize="15,0" path="m8636,367l8651,367e" filled="false" stroked="true" strokeweight=".75pt" strokecolor="#000000">
                <v:path arrowok="t"/>
              </v:shape>
            </v:group>
            <v:group style="position:absolute;left:8651;top:367;width:1968;height:2" coordorigin="8651,367" coordsize="1968,2">
              <v:shape style="position:absolute;left:8651;top:367;width:1968;height:2" coordorigin="8651,367" coordsize="1968,0" path="m8651,367l10619,367e" filled="false" stroked="true" strokeweight=".75pt" strokecolor="#000000">
                <v:path arrowok="t"/>
              </v:shape>
            </v:group>
            <w10:wrap type="none"/>
          </v:group>
        </w:pict>
      </w:r>
      <w:r>
        <w:rPr/>
        <w:t>和计量的新金融资产和金融负债账面价值的调节表如下：</w:t>
      </w:r>
    </w:p>
    <w:p>
      <w:pPr>
        <w:spacing w:after="0" w:line="240" w:lineRule="auto"/>
        <w:jc w:val="left"/>
        <w:sectPr>
          <w:pgSz w:w="11910" w:h="16850"/>
          <w:pgMar w:header="866" w:footer="981" w:top="1120" w:bottom="1180" w:left="1000" w:right="0"/>
        </w:sectPr>
      </w:pPr>
    </w:p>
    <w:p>
      <w:pPr>
        <w:pStyle w:val="Heading6"/>
        <w:tabs>
          <w:tab w:pos="2093" w:val="left" w:leader="none"/>
        </w:tabs>
        <w:spacing w:line="240" w:lineRule="auto" w:before="55"/>
        <w:ind w:left="922" w:right="-13"/>
        <w:jc w:val="left"/>
      </w:pPr>
      <w:r>
        <w:rPr/>
        <w:t>项</w:t>
      </w:r>
      <w:r>
        <w:rPr>
          <w:spacing w:val="75"/>
        </w:rPr>
        <w:t> </w:t>
      </w:r>
      <w:r>
        <w:rPr/>
        <w:t>目</w:t>
        <w:tab/>
        <w:t>按原金融工具准则列示的账</w:t>
      </w:r>
    </w:p>
    <w:p>
      <w:pPr>
        <w:pStyle w:val="Heading6"/>
        <w:spacing w:line="240" w:lineRule="auto" w:before="40"/>
        <w:ind w:left="2093" w:right="-13"/>
        <w:jc w:val="left"/>
      </w:pPr>
      <w:r>
        <w:rPr/>
        <w:t>面价值（</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3"/>
        <w:rPr>
          <w:rFonts w:ascii="宋体" w:hAnsi="宋体" w:cs="宋体" w:eastAsia="宋体" w:hint="default"/>
          <w:sz w:val="28"/>
          <w:szCs w:val="28"/>
        </w:rPr>
      </w:pPr>
    </w:p>
    <w:p>
      <w:pPr>
        <w:pStyle w:val="Heading6"/>
        <w:spacing w:line="240" w:lineRule="auto"/>
        <w:ind w:right="-13"/>
        <w:jc w:val="left"/>
      </w:pPr>
      <w:r>
        <w:rPr/>
        <w:pict>
          <v:group style="position:absolute;margin-left:56.700001pt;margin-top:-.476329pt;width:474.6pt;height:.75pt;mso-position-horizontal-relative:page;mso-position-vertical-relative:paragraph;z-index:-1276480" coordorigin="1134,-10" coordsize="9492,15">
            <v:group style="position:absolute;left:1142;top:-2;width:1953;height:2" coordorigin="1142,-2" coordsize="1953,2">
              <v:shape style="position:absolute;left:1142;top:-2;width:1953;height:2" coordorigin="1142,-2" coordsize="1953,0" path="m1142,-2l3094,-2e" filled="false" stroked="true" strokeweight=".75pt" strokecolor="#000000">
                <v:path arrowok="t"/>
              </v:shape>
            </v:group>
            <v:group style="position:absolute;left:3094;top:-2;width:15;height:2" coordorigin="3094,-2" coordsize="15,2">
              <v:shape style="position:absolute;left:3094;top:-2;width:15;height:2" coordorigin="3094,-2" coordsize="15,0" path="m3094,-2l3109,-2e" filled="false" stroked="true" strokeweight=".75pt" strokecolor="#000000">
                <v:path arrowok="t"/>
              </v:shape>
            </v:group>
            <v:group style="position:absolute;left:3109;top:-2;width:2538;height:2" coordorigin="3109,-2" coordsize="2538,2">
              <v:shape style="position:absolute;left:3109;top:-2;width:2538;height:2" coordorigin="3109,-2" coordsize="2538,0" path="m3109,-2l5647,-2e" filled="false" stroked="true" strokeweight=".75pt" strokecolor="#000000">
                <v:path arrowok="t"/>
              </v:shape>
            </v:group>
            <v:group style="position:absolute;left:5647;top:-2;width:15;height:2" coordorigin="5647,-2" coordsize="15,2">
              <v:shape style="position:absolute;left:5647;top:-2;width:15;height:2" coordorigin="5647,-2" coordsize="15,0" path="m5647,-2l5662,-2e" filled="false" stroked="true" strokeweight=".75pt" strokecolor="#000000">
                <v:path arrowok="t"/>
              </v:shape>
            </v:group>
            <v:group style="position:absolute;left:5662;top:-2;width:1833;height:2" coordorigin="5662,-2" coordsize="1833,2">
              <v:shape style="position:absolute;left:5662;top:-2;width:1833;height:2" coordorigin="5662,-2" coordsize="1833,0" path="m5662,-2l7494,-2e" filled="false" stroked="true" strokeweight=".75pt" strokecolor="#000000">
                <v:path arrowok="t"/>
              </v:shape>
            </v:group>
            <v:group style="position:absolute;left:7495;top:-2;width:15;height:2" coordorigin="7495,-2" coordsize="15,2">
              <v:shape style="position:absolute;left:7495;top:-2;width:15;height:2" coordorigin="7495,-2" coordsize="15,0" path="m7495,-2l7510,-2e" filled="false" stroked="true" strokeweight=".75pt" strokecolor="#000000">
                <v:path arrowok="t"/>
              </v:shape>
            </v:group>
            <v:group style="position:absolute;left:7510;top:-2;width:1127;height:2" coordorigin="7510,-2" coordsize="1127,2">
              <v:shape style="position:absolute;left:7510;top:-2;width:1127;height:2" coordorigin="7510,-2" coordsize="1127,0" path="m7510,-2l8636,-2e" filled="false" stroked="true" strokeweight=".75pt" strokecolor="#000000">
                <v:path arrowok="t"/>
              </v:shape>
            </v:group>
            <v:group style="position:absolute;left:8636;top:-2;width:15;height:2" coordorigin="8636,-2" coordsize="15,2">
              <v:shape style="position:absolute;left:8636;top:-2;width:15;height:2" coordorigin="8636,-2" coordsize="15,0" path="m8636,-2l8651,-2e" filled="false" stroked="true" strokeweight=".75pt" strokecolor="#000000">
                <v:path arrowok="t"/>
              </v:shape>
            </v:group>
            <v:group style="position:absolute;left:8651;top:-2;width:1968;height:2" coordorigin="8651,-2" coordsize="1968,2">
              <v:shape style="position:absolute;left:8651;top:-2;width:1968;height:2" coordorigin="8651,-2" coordsize="1968,0" path="m8651,-2l10619,-2e" filled="false" stroked="true" strokeweight=".75pt" strokecolor="#000000">
                <v:path arrowok="t"/>
              </v:shape>
            </v:group>
            <w10:wrap type="none"/>
          </v:group>
        </w:pict>
      </w:r>
      <w:r>
        <w:rPr>
          <w:rFonts w:ascii="Times New Roman" w:hAnsi="Times New Roman" w:cs="Times New Roman" w:eastAsia="Times New Roman" w:hint="default"/>
          <w:spacing w:val="-9"/>
        </w:rPr>
        <w:t>A. </w:t>
      </w:r>
      <w:r>
        <w:rPr>
          <w:rFonts w:ascii="Times New Roman" w:hAnsi="Times New Roman" w:cs="Times New Roman" w:eastAsia="Times New Roman" w:hint="default"/>
          <w:spacing w:val="2"/>
        </w:rPr>
        <w:t> </w:t>
      </w:r>
      <w:r>
        <w:rPr/>
        <w:t>金融资产</w:t>
      </w:r>
    </w:p>
    <w:p>
      <w:pPr>
        <w:pStyle w:val="Heading6"/>
        <w:spacing w:line="240" w:lineRule="auto" w:before="55"/>
        <w:ind w:right="-13"/>
        <w:jc w:val="left"/>
      </w:pPr>
      <w:r>
        <w:rPr/>
        <w:pict>
          <v:group style="position:absolute;margin-left:57.075001pt;margin-top:3.376192pt;width:473.85pt;height:.1pt;mso-position-horizontal-relative:page;mso-position-vertical-relative:paragraph;z-index:-1276456" coordorigin="1142,68" coordsize="9477,2">
            <v:shape style="position:absolute;left:1142;top:68;width:9477;height:2" coordorigin="1142,68" coordsize="9477,0" path="m1142,68l10619,68e" filled="false" stroked="true" strokeweight=".77496pt" strokecolor="#000000">
              <v:path arrowok="t"/>
            </v:shape>
            <w10:wrap type="none"/>
          </v:group>
        </w:pict>
      </w:r>
      <w:r>
        <w:rPr>
          <w:rFonts w:ascii="Times New Roman" w:hAnsi="Times New Roman" w:cs="Times New Roman" w:eastAsia="Times New Roman" w:hint="default"/>
        </w:rPr>
        <w:t>a.</w:t>
      </w:r>
      <w:r>
        <w:rPr>
          <w:rFonts w:ascii="Times New Roman" w:hAnsi="Times New Roman" w:cs="Times New Roman" w:eastAsia="Times New Roman" w:hint="default"/>
          <w:spacing w:val="40"/>
        </w:rPr>
        <w:t> </w:t>
      </w:r>
      <w:r>
        <w:rPr/>
        <w:t>摊余成本</w:t>
      </w:r>
    </w:p>
    <w:p>
      <w:pPr>
        <w:pStyle w:val="Heading6"/>
        <w:tabs>
          <w:tab w:pos="1298" w:val="left" w:leader="none"/>
          <w:tab w:pos="2469" w:val="left" w:leader="none"/>
        </w:tabs>
        <w:spacing w:line="240" w:lineRule="auto" w:before="55"/>
        <w:ind w:right="0"/>
        <w:jc w:val="left"/>
      </w:pPr>
      <w:r>
        <w:rPr/>
        <w:br w:type="column"/>
      </w:r>
      <w:r>
        <w:rPr/>
        <w:t>重分类</w:t>
        <w:tab/>
        <w:t>重新计量</w:t>
        <w:tab/>
        <w:t>按新金融工具准则列</w:t>
      </w:r>
    </w:p>
    <w:p>
      <w:pPr>
        <w:pStyle w:val="Heading6"/>
        <w:spacing w:line="259" w:lineRule="auto" w:before="40"/>
        <w:ind w:left="2890" w:right="1334" w:hanging="421"/>
        <w:jc w:val="left"/>
      </w:pPr>
      <w:r>
        <w:rPr/>
        <w:t>示的账面价值（</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w:t>
      </w:r>
    </w:p>
    <w:p>
      <w:pPr>
        <w:spacing w:after="0" w:line="259" w:lineRule="auto"/>
        <w:jc w:val="left"/>
        <w:sectPr>
          <w:type w:val="continuous"/>
          <w:pgSz w:w="11910" w:h="16850"/>
          <w:pgMar w:top="1040" w:bottom="1180" w:left="1000" w:right="0"/>
          <w:cols w:num="2" w:equalWidth="0">
            <w:col w:w="4621" w:space="576"/>
            <w:col w:w="5713"/>
          </w:cols>
        </w:sectPr>
      </w:pPr>
    </w:p>
    <w:p>
      <w:pPr>
        <w:spacing w:line="240" w:lineRule="auto" w:before="7"/>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2523"/>
        <w:gridCol w:w="1982"/>
        <w:gridCol w:w="1848"/>
        <w:gridCol w:w="1141"/>
        <w:gridCol w:w="1990"/>
      </w:tblGrid>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4"/>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0"/>
                <w:sz w:val="21"/>
                <w:szCs w:val="21"/>
              </w:rPr>
              <w:t> </w:t>
            </w:r>
            <w:r>
              <w:rPr>
                <w:rFonts w:ascii="宋体" w:hAnsi="宋体" w:cs="宋体" w:eastAsia="宋体" w:hint="default"/>
                <w:spacing w:val="25"/>
                <w:sz w:val="21"/>
                <w:szCs w:val="21"/>
              </w:rPr>
              <w:t>列示的余额和</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482,794,143.90</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482,794,143.90</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1"/>
                <w:szCs w:val="21"/>
              </w:rPr>
            </w:pPr>
            <w:r>
              <w:rPr>
                <w:rFonts w:ascii="宋体" w:hAnsi="宋体" w:cs="宋体" w:eastAsia="宋体" w:hint="default"/>
                <w:sz w:val="21"/>
                <w:szCs w:val="21"/>
              </w:rPr>
              <w:t>按原</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3,209,541.77</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pacing w:val="12"/>
                <w:sz w:val="21"/>
                <w:szCs w:val="21"/>
              </w:rPr>
              <w:t>减：转出至</w:t>
            </w:r>
            <w:r>
              <w:rPr>
                <w:rFonts w:ascii="宋体" w:hAnsi="宋体" w:cs="宋体" w:eastAsia="宋体" w:hint="default"/>
                <w:spacing w:val="-74"/>
                <w:sz w:val="21"/>
                <w:szCs w:val="21"/>
              </w:rPr>
              <w:t> </w:t>
            </w:r>
            <w:r>
              <w:rPr>
                <w:rFonts w:ascii="宋体" w:hAnsi="宋体" w:cs="宋体" w:eastAsia="宋体" w:hint="default"/>
                <w:spacing w:val="11"/>
                <w:sz w:val="21"/>
                <w:szCs w:val="21"/>
              </w:rPr>
              <w:t>应收款项</w:t>
            </w:r>
            <w:r>
              <w:rPr>
                <w:rFonts w:ascii="宋体" w:hAnsi="宋体" w:cs="宋体" w:eastAsia="宋体" w:hint="default"/>
                <w:spacing w:val="-74"/>
                <w:sz w:val="21"/>
                <w:szCs w:val="21"/>
              </w:rPr>
              <w:t> </w:t>
            </w:r>
            <w:r>
              <w:rPr>
                <w:rFonts w:ascii="宋体" w:hAnsi="宋体" w:cs="宋体" w:eastAsia="宋体" w:hint="default"/>
                <w:spacing w:val="7"/>
                <w:sz w:val="21"/>
                <w:szCs w:val="21"/>
              </w:rPr>
              <w:t>融资</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pacing w:val="-3"/>
                <w:sz w:val="21"/>
                <w:szCs w:val="21"/>
              </w:rPr>
              <w:t>（新</w:t>
            </w:r>
            <w:r>
              <w:rPr>
                <w:rFonts w:ascii="Times New Roman" w:hAnsi="Times New Roman" w:cs="Times New Roman" w:eastAsia="Times New Roman" w:hint="default"/>
                <w:spacing w:val="-3"/>
                <w:sz w:val="21"/>
                <w:szCs w:val="21"/>
              </w:rPr>
              <w:t>CAS22</w:t>
            </w:r>
            <w:r>
              <w:rPr>
                <w:rFonts w:ascii="宋体" w:hAnsi="宋体" w:cs="宋体" w:eastAsia="宋体" w:hint="default"/>
                <w:spacing w:val="-3"/>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45" w:right="0"/>
              <w:jc w:val="left"/>
              <w:rPr>
                <w:rFonts w:ascii="Times New Roman" w:hAnsi="Times New Roman" w:cs="Times New Roman" w:eastAsia="Times New Roman" w:hint="default"/>
                <w:sz w:val="21"/>
                <w:szCs w:val="21"/>
              </w:rPr>
            </w:pPr>
            <w:r>
              <w:rPr>
                <w:rFonts w:ascii="Times New Roman"/>
                <w:sz w:val="21"/>
              </w:rPr>
              <w:t>-2,502,954.35</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1"/>
                <w:szCs w:val="21"/>
              </w:rPr>
            </w:pP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706,587.42</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bl>
    <w:p>
      <w:pPr>
        <w:spacing w:after="0"/>
        <w:sectPr>
          <w:type w:val="continuous"/>
          <w:pgSz w:w="11910" w:h="16850"/>
          <w:pgMar w:top="104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523"/>
        <w:gridCol w:w="1982"/>
        <w:gridCol w:w="1848"/>
        <w:gridCol w:w="1141"/>
        <w:gridCol w:w="1990"/>
      </w:tblGrid>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4"/>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1"/>
                <w:sz w:val="21"/>
                <w:szCs w:val="21"/>
              </w:rPr>
              <w:t> </w:t>
            </w:r>
            <w:r>
              <w:rPr>
                <w:rFonts w:ascii="宋体" w:hAnsi="宋体" w:cs="宋体" w:eastAsia="宋体" w:hint="default"/>
                <w:spacing w:val="25"/>
                <w:sz w:val="21"/>
                <w:szCs w:val="21"/>
              </w:rPr>
              <w:t>列示的余额和</w:t>
            </w:r>
            <w:r>
              <w:rPr>
                <w:rFonts w:ascii="宋体" w:hAnsi="宋体" w:cs="宋体" w:eastAsia="宋体" w:hint="default"/>
                <w:spacing w:val="-75"/>
                <w:sz w:val="21"/>
                <w:szCs w:val="21"/>
              </w:rPr>
              <w:t> </w:t>
            </w: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775,700,936.92</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775,700,936.92</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5"/>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列</w:t>
            </w:r>
            <w:r>
              <w:rPr>
                <w:rFonts w:ascii="宋体" w:hAnsi="宋体" w:cs="宋体" w:eastAsia="宋体" w:hint="default"/>
                <w:spacing w:val="-75"/>
                <w:sz w:val="21"/>
                <w:szCs w:val="21"/>
              </w:rPr>
              <w:t> </w:t>
            </w:r>
            <w:r>
              <w:rPr>
                <w:rFonts w:ascii="宋体" w:hAnsi="宋体" w:cs="宋体" w:eastAsia="宋体" w:hint="default"/>
                <w:spacing w:val="24"/>
                <w:sz w:val="21"/>
                <w:szCs w:val="21"/>
              </w:rPr>
              <w:t>示的余额和</w:t>
            </w:r>
            <w:r>
              <w:rPr>
                <w:rFonts w:ascii="宋体" w:hAnsi="宋体" w:cs="宋体" w:eastAsia="宋体" w:hint="default"/>
                <w:spacing w:val="-75"/>
                <w:sz w:val="21"/>
                <w:szCs w:val="21"/>
              </w:rPr>
              <w:t> </w:t>
            </w: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82,292,806.84</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82,292,806.84</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1"/>
                <w:szCs w:val="21"/>
              </w:rPr>
            </w:pPr>
            <w:r>
              <w:rPr>
                <w:rFonts w:ascii="宋体" w:hAnsi="宋体" w:cs="宋体" w:eastAsia="宋体" w:hint="default"/>
                <w:sz w:val="21"/>
                <w:szCs w:val="21"/>
              </w:rPr>
              <w:t>按原</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144,293,265.00</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
              <w:jc w:val="left"/>
              <w:rPr>
                <w:rFonts w:ascii="宋体" w:hAnsi="宋体" w:cs="宋体" w:eastAsia="宋体" w:hint="default"/>
                <w:sz w:val="21"/>
                <w:szCs w:val="21"/>
              </w:rPr>
            </w:pPr>
            <w:r>
              <w:rPr>
                <w:rFonts w:ascii="宋体" w:hAnsi="宋体" w:cs="宋体" w:eastAsia="宋体" w:hint="default"/>
                <w:spacing w:val="-2"/>
                <w:sz w:val="21"/>
                <w:szCs w:val="21"/>
              </w:rPr>
              <w:t>加：转出至其他非流动金融</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pacing w:val="-3"/>
                <w:sz w:val="21"/>
                <w:szCs w:val="21"/>
              </w:rPr>
              <w:t>资产（新</w:t>
            </w:r>
            <w:r>
              <w:rPr>
                <w:rFonts w:ascii="Times New Roman" w:hAnsi="Times New Roman" w:cs="Times New Roman" w:eastAsia="Times New Roman" w:hint="default"/>
                <w:spacing w:val="-3"/>
                <w:sz w:val="21"/>
                <w:szCs w:val="21"/>
              </w:rPr>
              <w:t>CAS22</w:t>
            </w:r>
            <w:r>
              <w:rPr>
                <w:rFonts w:ascii="宋体" w:hAnsi="宋体" w:cs="宋体" w:eastAsia="宋体" w:hint="default"/>
                <w:spacing w:val="-3"/>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-144,293,265.00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1"/>
                <w:szCs w:val="21"/>
              </w:rPr>
            </w:pP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4"/>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1"/>
                <w:sz w:val="21"/>
                <w:szCs w:val="21"/>
              </w:rPr>
              <w:t> </w:t>
            </w:r>
            <w:r>
              <w:rPr>
                <w:rFonts w:ascii="宋体" w:hAnsi="宋体" w:cs="宋体" w:eastAsia="宋体" w:hint="default"/>
                <w:spacing w:val="25"/>
                <w:sz w:val="21"/>
                <w:szCs w:val="21"/>
              </w:rPr>
              <w:t>列示的余额和</w:t>
            </w:r>
            <w:r>
              <w:rPr>
                <w:rFonts w:ascii="宋体" w:hAnsi="宋体" w:cs="宋体" w:eastAsia="宋体" w:hint="default"/>
                <w:spacing w:val="-75"/>
                <w:sz w:val="21"/>
                <w:szCs w:val="21"/>
              </w:rPr>
              <w:t> </w:t>
            </w: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53,659,554.80</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53,659,554.80</w:t>
            </w: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12"/>
              <w:jc w:val="left"/>
              <w:rPr>
                <w:rFonts w:ascii="宋体" w:hAnsi="宋体" w:cs="宋体" w:eastAsia="宋体" w:hint="default"/>
                <w:sz w:val="21"/>
                <w:szCs w:val="21"/>
              </w:rPr>
            </w:pPr>
            <w:r>
              <w:rPr>
                <w:rFonts w:ascii="宋体" w:hAnsi="宋体" w:cs="宋体" w:eastAsia="宋体" w:hint="default"/>
                <w:spacing w:val="12"/>
                <w:sz w:val="21"/>
                <w:szCs w:val="21"/>
              </w:rPr>
              <w:t>以摊余成本</w:t>
            </w:r>
            <w:r>
              <w:rPr>
                <w:rFonts w:ascii="宋体" w:hAnsi="宋体" w:cs="宋体" w:eastAsia="宋体" w:hint="default"/>
                <w:spacing w:val="-75"/>
                <w:sz w:val="21"/>
                <w:szCs w:val="21"/>
              </w:rPr>
              <w:t> </w:t>
            </w:r>
            <w:r>
              <w:rPr>
                <w:rFonts w:ascii="宋体" w:hAnsi="宋体" w:cs="宋体" w:eastAsia="宋体" w:hint="default"/>
                <w:spacing w:val="11"/>
                <w:sz w:val="21"/>
                <w:szCs w:val="21"/>
              </w:rPr>
              <w:t>计量的总</w:t>
            </w:r>
            <w:r>
              <w:rPr>
                <w:rFonts w:ascii="宋体" w:hAnsi="宋体" w:cs="宋体" w:eastAsia="宋体" w:hint="default"/>
                <w:spacing w:val="-75"/>
                <w:sz w:val="21"/>
                <w:szCs w:val="21"/>
              </w:rPr>
              <w:t> </w:t>
            </w:r>
            <w:r>
              <w:rPr>
                <w:rFonts w:ascii="宋体" w:hAnsi="宋体" w:cs="宋体" w:eastAsia="宋体" w:hint="default"/>
                <w:spacing w:val="7"/>
                <w:sz w:val="21"/>
                <w:szCs w:val="21"/>
              </w:rPr>
              <w:t>金融</w:t>
            </w:r>
            <w:r>
              <w:rPr>
                <w:rFonts w:ascii="宋体" w:hAnsi="宋体" w:cs="宋体" w:eastAsia="宋体" w:hint="default"/>
                <w:sz w:val="21"/>
                <w:szCs w:val="21"/>
              </w:rPr>
              <w:t> 资产</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1,541,950,249.23</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-146,796,219.35</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1,395,154,029.88</w:t>
            </w:r>
          </w:p>
        </w:tc>
      </w:tr>
      <w:tr>
        <w:trPr>
          <w:trHeight w:val="345" w:hRule="exact"/>
        </w:trPr>
        <w:tc>
          <w:tcPr>
            <w:tcW w:w="9485" w:type="dxa"/>
            <w:gridSpan w:val="5"/>
            <w:tcBorders>
              <w:top w:val="single" w:sz="6" w:space="0" w:color="000000"/>
              <w:left w:val="single" w:sz="6" w:space="0" w:color="000000"/>
              <w:bottom w:val="single" w:sz="6" w:space="0" w:color="000000"/>
              <w:right w:val="nil" w:sz="6" w:space="0" w:color="auto"/>
            </w:tcBorders>
          </w:tcPr>
          <w:p>
            <w:pPr>
              <w:pStyle w:val="TableParagraph"/>
              <w:spacing w:line="28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以公允价值计量且其变动计入当期损益</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left"/>
              <w:rPr>
                <w:rFonts w:ascii="宋体" w:hAnsi="宋体" w:cs="宋体" w:eastAsia="宋体" w:hint="default"/>
                <w:sz w:val="21"/>
                <w:szCs w:val="21"/>
              </w:rPr>
            </w:pPr>
            <w:r>
              <w:rPr>
                <w:rFonts w:ascii="宋体" w:hAnsi="宋体" w:cs="宋体" w:eastAsia="宋体" w:hint="default"/>
                <w:sz w:val="21"/>
                <w:szCs w:val="21"/>
              </w:rPr>
              <w:t>按原</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
              <w:jc w:val="left"/>
              <w:rPr>
                <w:rFonts w:ascii="宋体" w:hAnsi="宋体" w:cs="宋体" w:eastAsia="宋体" w:hint="default"/>
                <w:sz w:val="21"/>
                <w:szCs w:val="21"/>
              </w:rPr>
            </w:pPr>
            <w:r>
              <w:rPr>
                <w:rFonts w:ascii="宋体" w:hAnsi="宋体" w:cs="宋体" w:eastAsia="宋体" w:hint="default"/>
                <w:spacing w:val="-2"/>
                <w:sz w:val="21"/>
                <w:szCs w:val="21"/>
              </w:rPr>
              <w:t>加：自可供出售金融资产转</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入（新</w:t>
            </w:r>
            <w:r>
              <w:rPr>
                <w:rFonts w:ascii="Times New Roman" w:hAnsi="Times New Roman" w:cs="Times New Roman" w:eastAsia="Times New Roman" w:hint="default"/>
                <w:spacing w:val="-3"/>
                <w:sz w:val="21"/>
                <w:szCs w:val="21"/>
              </w:rPr>
              <w:t>CAS22</w:t>
            </w:r>
            <w:r>
              <w:rPr>
                <w:rFonts w:ascii="宋体" w:hAnsi="宋体" w:cs="宋体" w:eastAsia="宋体" w:hint="default"/>
                <w:spacing w:val="-3"/>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144,293,265.00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0"/>
              <w:jc w:val="right"/>
              <w:rPr>
                <w:rFonts w:ascii="Times New Roman" w:hAnsi="Times New Roman" w:cs="Times New Roman" w:eastAsia="Times New Roman" w:hint="default"/>
                <w:sz w:val="21"/>
                <w:szCs w:val="21"/>
              </w:rPr>
            </w:pPr>
            <w:r>
              <w:rPr>
                <w:rFonts w:ascii="Times New Roman"/>
                <w:sz w:val="21"/>
              </w:rPr>
              <w:t>144,293,265.00</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97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2"/>
              <w:jc w:val="both"/>
              <w:rPr>
                <w:rFonts w:ascii="宋体" w:hAnsi="宋体" w:cs="宋体" w:eastAsia="宋体" w:hint="default"/>
                <w:sz w:val="21"/>
                <w:szCs w:val="21"/>
              </w:rPr>
            </w:pPr>
            <w:r>
              <w:rPr>
                <w:rFonts w:ascii="宋体" w:hAnsi="宋体" w:cs="宋体" w:eastAsia="宋体" w:hint="default"/>
                <w:spacing w:val="12"/>
                <w:sz w:val="21"/>
                <w:szCs w:val="21"/>
              </w:rPr>
              <w:t>以公允价值</w:t>
            </w:r>
            <w:r>
              <w:rPr>
                <w:rFonts w:ascii="宋体" w:hAnsi="宋体" w:cs="宋体" w:eastAsia="宋体" w:hint="default"/>
                <w:spacing w:val="-75"/>
                <w:sz w:val="21"/>
                <w:szCs w:val="21"/>
              </w:rPr>
              <w:t> </w:t>
            </w:r>
            <w:r>
              <w:rPr>
                <w:rFonts w:ascii="宋体" w:hAnsi="宋体" w:cs="宋体" w:eastAsia="宋体" w:hint="default"/>
                <w:spacing w:val="11"/>
                <w:sz w:val="21"/>
                <w:szCs w:val="21"/>
              </w:rPr>
              <w:t>计量且其</w:t>
            </w:r>
            <w:r>
              <w:rPr>
                <w:rFonts w:ascii="宋体" w:hAnsi="宋体" w:cs="宋体" w:eastAsia="宋体" w:hint="default"/>
                <w:spacing w:val="-75"/>
                <w:sz w:val="21"/>
                <w:szCs w:val="21"/>
              </w:rPr>
              <w:t> </w:t>
            </w:r>
            <w:r>
              <w:rPr>
                <w:rFonts w:ascii="宋体" w:hAnsi="宋体" w:cs="宋体" w:eastAsia="宋体" w:hint="default"/>
                <w:spacing w:val="7"/>
                <w:sz w:val="21"/>
                <w:szCs w:val="21"/>
              </w:rPr>
              <w:t>变动</w:t>
            </w:r>
            <w:r>
              <w:rPr>
                <w:rFonts w:ascii="宋体" w:hAnsi="宋体" w:cs="宋体" w:eastAsia="宋体" w:hint="default"/>
                <w:sz w:val="21"/>
                <w:szCs w:val="21"/>
              </w:rPr>
              <w:t> </w:t>
            </w:r>
            <w:r>
              <w:rPr>
                <w:rFonts w:ascii="宋体" w:hAnsi="宋体" w:cs="宋体" w:eastAsia="宋体" w:hint="default"/>
                <w:spacing w:val="12"/>
                <w:sz w:val="21"/>
                <w:szCs w:val="21"/>
              </w:rPr>
              <w:t>计入当期损</w:t>
            </w:r>
            <w:r>
              <w:rPr>
                <w:rFonts w:ascii="宋体" w:hAnsi="宋体" w:cs="宋体" w:eastAsia="宋体" w:hint="default"/>
                <w:spacing w:val="-75"/>
                <w:sz w:val="21"/>
                <w:szCs w:val="21"/>
              </w:rPr>
              <w:t> </w:t>
            </w:r>
            <w:r>
              <w:rPr>
                <w:rFonts w:ascii="宋体" w:hAnsi="宋体" w:cs="宋体" w:eastAsia="宋体" w:hint="default"/>
                <w:spacing w:val="11"/>
                <w:sz w:val="21"/>
                <w:szCs w:val="21"/>
              </w:rPr>
              <w:t>益的总金</w:t>
            </w:r>
            <w:r>
              <w:rPr>
                <w:rFonts w:ascii="宋体" w:hAnsi="宋体" w:cs="宋体" w:eastAsia="宋体" w:hint="default"/>
                <w:spacing w:val="-75"/>
                <w:sz w:val="21"/>
                <w:szCs w:val="21"/>
              </w:rPr>
              <w:t> </w:t>
            </w:r>
            <w:r>
              <w:rPr>
                <w:rFonts w:ascii="宋体" w:hAnsi="宋体" w:cs="宋体" w:eastAsia="宋体" w:hint="default"/>
                <w:spacing w:val="7"/>
                <w:sz w:val="21"/>
                <w:szCs w:val="21"/>
              </w:rPr>
              <w:t>融资</w:t>
            </w:r>
            <w:r>
              <w:rPr>
                <w:rFonts w:ascii="宋体" w:hAnsi="宋体" w:cs="宋体" w:eastAsia="宋体" w:hint="default"/>
                <w:sz w:val="21"/>
                <w:szCs w:val="21"/>
              </w:rPr>
              <w:t> 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144,293,265.00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144,293,265.00</w:t>
            </w:r>
          </w:p>
        </w:tc>
      </w:tr>
      <w:tr>
        <w:trPr>
          <w:trHeight w:val="345" w:hRule="exact"/>
        </w:trPr>
        <w:tc>
          <w:tcPr>
            <w:tcW w:w="9485" w:type="dxa"/>
            <w:gridSpan w:val="5"/>
            <w:tcBorders>
              <w:top w:val="single" w:sz="6" w:space="0" w:color="000000"/>
              <w:left w:val="single" w:sz="6" w:space="0" w:color="000000"/>
              <w:bottom w:val="single" w:sz="6" w:space="0" w:color="000000"/>
              <w:right w:val="nil" w:sz="6" w:space="0" w:color="auto"/>
            </w:tcBorders>
          </w:tcPr>
          <w:p>
            <w:pPr>
              <w:pStyle w:val="TableParagraph"/>
              <w:spacing w:line="285" w:lineRule="exact"/>
              <w:ind w:right="0"/>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c.</w:t>
            </w:r>
            <w:r>
              <w:rPr>
                <w:rFonts w:ascii="Times New Roman" w:hAnsi="Times New Roman" w:cs="Times New Roman" w:eastAsia="Times New Roman" w:hint="default"/>
                <w:spacing w:val="28"/>
                <w:sz w:val="21"/>
                <w:szCs w:val="21"/>
              </w:rPr>
              <w:t> </w:t>
            </w:r>
            <w:r>
              <w:rPr>
                <w:rFonts w:ascii="宋体" w:hAnsi="宋体" w:cs="宋体" w:eastAsia="宋体" w:hint="default"/>
                <w:sz w:val="21"/>
                <w:szCs w:val="21"/>
              </w:rPr>
              <w:t>以公允价值计量且其变动计入其他综合收益</w:t>
            </w: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应收款项融资</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宋体" w:hAnsi="宋体" w:cs="宋体" w:eastAsia="宋体" w:hint="default"/>
                <w:sz w:val="21"/>
                <w:szCs w:val="21"/>
              </w:rPr>
              <w:t>按原</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pacing w:val="12"/>
                <w:sz w:val="21"/>
                <w:szCs w:val="21"/>
              </w:rPr>
              <w:t>加：自应收</w:t>
            </w:r>
            <w:r>
              <w:rPr>
                <w:rFonts w:ascii="宋体" w:hAnsi="宋体" w:cs="宋体" w:eastAsia="宋体" w:hint="default"/>
                <w:spacing w:val="-74"/>
                <w:sz w:val="21"/>
                <w:szCs w:val="21"/>
              </w:rPr>
              <w:t> </w:t>
            </w:r>
            <w:r>
              <w:rPr>
                <w:rFonts w:ascii="宋体" w:hAnsi="宋体" w:cs="宋体" w:eastAsia="宋体" w:hint="default"/>
                <w:spacing w:val="11"/>
                <w:sz w:val="21"/>
                <w:szCs w:val="21"/>
              </w:rPr>
              <w:t>票据转入</w:t>
            </w:r>
            <w:r>
              <w:rPr>
                <w:rFonts w:ascii="宋体" w:hAnsi="宋体" w:cs="宋体" w:eastAsia="宋体" w:hint="default"/>
                <w:spacing w:val="-74"/>
                <w:sz w:val="21"/>
                <w:szCs w:val="21"/>
              </w:rPr>
              <w:t> </w:t>
            </w:r>
            <w:r>
              <w:rPr>
                <w:rFonts w:ascii="宋体" w:hAnsi="宋体" w:cs="宋体" w:eastAsia="宋体" w:hint="default"/>
                <w:spacing w:val="7"/>
                <w:sz w:val="21"/>
                <w:szCs w:val="21"/>
              </w:rPr>
              <w:t>（新</w:t>
            </w:r>
          </w:p>
          <w:p>
            <w:pPr>
              <w:pStyle w:val="TableParagraph"/>
              <w:spacing w:line="240" w:lineRule="auto" w:before="40"/>
              <w:ind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CAS22</w:t>
            </w:r>
            <w:r>
              <w:rPr>
                <w:rFonts w:ascii="宋体" w:hAnsi="宋体" w:cs="宋体" w:eastAsia="宋体" w:hint="default"/>
                <w:spacing w:val="-4"/>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2,502,954.35</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2,502,954.35</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97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pacing w:val="12"/>
                <w:sz w:val="21"/>
                <w:szCs w:val="21"/>
              </w:rPr>
              <w:t>以公允价值</w:t>
            </w:r>
            <w:r>
              <w:rPr>
                <w:rFonts w:ascii="宋体" w:hAnsi="宋体" w:cs="宋体" w:eastAsia="宋体" w:hint="default"/>
                <w:spacing w:val="-74"/>
                <w:sz w:val="21"/>
                <w:szCs w:val="21"/>
              </w:rPr>
              <w:t> </w:t>
            </w:r>
            <w:r>
              <w:rPr>
                <w:rFonts w:ascii="宋体" w:hAnsi="宋体" w:cs="宋体" w:eastAsia="宋体" w:hint="default"/>
                <w:spacing w:val="11"/>
                <w:sz w:val="21"/>
                <w:szCs w:val="21"/>
              </w:rPr>
              <w:t>计量且其</w:t>
            </w:r>
            <w:r>
              <w:rPr>
                <w:rFonts w:ascii="宋体" w:hAnsi="宋体" w:cs="宋体" w:eastAsia="宋体" w:hint="default"/>
                <w:spacing w:val="-74"/>
                <w:sz w:val="21"/>
                <w:szCs w:val="21"/>
              </w:rPr>
              <w:t> </w:t>
            </w:r>
            <w:r>
              <w:rPr>
                <w:rFonts w:ascii="宋体" w:hAnsi="宋体" w:cs="宋体" w:eastAsia="宋体" w:hint="default"/>
                <w:spacing w:val="7"/>
                <w:sz w:val="21"/>
                <w:szCs w:val="21"/>
              </w:rPr>
              <w:t>变动</w:t>
            </w:r>
          </w:p>
          <w:p>
            <w:pPr>
              <w:pStyle w:val="TableParagraph"/>
              <w:spacing w:line="276" w:lineRule="auto" w:before="40"/>
              <w:ind w:right="12"/>
              <w:jc w:val="left"/>
              <w:rPr>
                <w:rFonts w:ascii="宋体" w:hAnsi="宋体" w:cs="宋体" w:eastAsia="宋体" w:hint="default"/>
                <w:sz w:val="21"/>
                <w:szCs w:val="21"/>
              </w:rPr>
            </w:pPr>
            <w:r>
              <w:rPr>
                <w:rFonts w:ascii="宋体" w:hAnsi="宋体" w:cs="宋体" w:eastAsia="宋体" w:hint="default"/>
                <w:spacing w:val="12"/>
                <w:sz w:val="21"/>
                <w:szCs w:val="21"/>
              </w:rPr>
              <w:t>计入其他综</w:t>
            </w:r>
            <w:r>
              <w:rPr>
                <w:rFonts w:ascii="宋体" w:hAnsi="宋体" w:cs="宋体" w:eastAsia="宋体" w:hint="default"/>
                <w:spacing w:val="-75"/>
                <w:sz w:val="21"/>
                <w:szCs w:val="21"/>
              </w:rPr>
              <w:t> </w:t>
            </w:r>
            <w:r>
              <w:rPr>
                <w:rFonts w:ascii="宋体" w:hAnsi="宋体" w:cs="宋体" w:eastAsia="宋体" w:hint="default"/>
                <w:spacing w:val="11"/>
                <w:sz w:val="21"/>
                <w:szCs w:val="21"/>
              </w:rPr>
              <w:t>合收益的</w:t>
            </w:r>
            <w:r>
              <w:rPr>
                <w:rFonts w:ascii="宋体" w:hAnsi="宋体" w:cs="宋体" w:eastAsia="宋体" w:hint="default"/>
                <w:spacing w:val="-75"/>
                <w:sz w:val="21"/>
                <w:szCs w:val="21"/>
              </w:rPr>
              <w:t> </w:t>
            </w:r>
            <w:r>
              <w:rPr>
                <w:rFonts w:ascii="宋体" w:hAnsi="宋体" w:cs="宋体" w:eastAsia="宋体" w:hint="default"/>
                <w:spacing w:val="7"/>
                <w:sz w:val="21"/>
                <w:szCs w:val="21"/>
              </w:rPr>
              <w:t>总金</w:t>
            </w:r>
            <w:r>
              <w:rPr>
                <w:rFonts w:ascii="宋体" w:hAnsi="宋体" w:cs="宋体" w:eastAsia="宋体" w:hint="default"/>
                <w:sz w:val="21"/>
                <w:szCs w:val="21"/>
              </w:rPr>
              <w:t> 融资产</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2,502,954.35</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2,502,954.35</w:t>
            </w:r>
          </w:p>
        </w:tc>
      </w:tr>
      <w:tr>
        <w:trPr>
          <w:trHeight w:val="345" w:hRule="exact"/>
        </w:trPr>
        <w:tc>
          <w:tcPr>
            <w:tcW w:w="9485" w:type="dxa"/>
            <w:gridSpan w:val="5"/>
            <w:tcBorders>
              <w:top w:val="single" w:sz="6" w:space="0" w:color="000000"/>
              <w:left w:val="single" w:sz="6" w:space="0" w:color="000000"/>
              <w:bottom w:val="single" w:sz="6" w:space="0" w:color="000000"/>
              <w:right w:val="nil" w:sz="6" w:space="0" w:color="auto"/>
            </w:tcBorders>
          </w:tcPr>
          <w:p>
            <w:pPr>
              <w:pStyle w:val="TableParagraph"/>
              <w:spacing w:line="270" w:lineRule="exact"/>
              <w:ind w:left="195" w:right="0"/>
              <w:jc w:val="left"/>
              <w:rPr>
                <w:rFonts w:ascii="宋体" w:hAnsi="宋体" w:cs="宋体" w:eastAsia="宋体" w:hint="default"/>
                <w:sz w:val="21"/>
                <w:szCs w:val="21"/>
              </w:rPr>
            </w:pPr>
            <w:r>
              <w:rPr>
                <w:rFonts w:ascii="Times New Roman" w:hAnsi="Times New Roman" w:cs="Times New Roman" w:eastAsia="Times New Roman" w:hint="default"/>
                <w:spacing w:val="-11"/>
                <w:sz w:val="21"/>
                <w:szCs w:val="21"/>
              </w:rPr>
              <w:t>B. </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金融负债</w:t>
            </w:r>
          </w:p>
        </w:tc>
      </w:tr>
      <w:tr>
        <w:trPr>
          <w:trHeight w:val="345" w:hRule="exact"/>
        </w:trPr>
        <w:tc>
          <w:tcPr>
            <w:tcW w:w="9485"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left="1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40"/>
                <w:sz w:val="21"/>
                <w:szCs w:val="21"/>
              </w:rPr>
              <w:t> </w:t>
            </w:r>
            <w:r>
              <w:rPr>
                <w:rFonts w:ascii="宋体" w:hAnsi="宋体" w:cs="宋体" w:eastAsia="宋体" w:hint="default"/>
                <w:sz w:val="21"/>
                <w:szCs w:val="21"/>
              </w:rPr>
              <w:t>摊余成本</w:t>
            </w:r>
          </w:p>
        </w:tc>
      </w:tr>
    </w:tbl>
    <w:p>
      <w:pPr>
        <w:spacing w:after="0" w:line="271" w:lineRule="exact"/>
        <w:jc w:val="left"/>
        <w:rPr>
          <w:rFonts w:ascii="宋体" w:hAnsi="宋体" w:cs="宋体" w:eastAsia="宋体" w:hint="default"/>
          <w:sz w:val="21"/>
          <w:szCs w:val="21"/>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523"/>
        <w:gridCol w:w="1982"/>
        <w:gridCol w:w="1848"/>
        <w:gridCol w:w="1141"/>
        <w:gridCol w:w="1990"/>
      </w:tblGrid>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4"/>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1"/>
                <w:sz w:val="21"/>
                <w:szCs w:val="21"/>
              </w:rPr>
              <w:t> </w:t>
            </w:r>
            <w:r>
              <w:rPr>
                <w:rFonts w:ascii="宋体" w:hAnsi="宋体" w:cs="宋体" w:eastAsia="宋体" w:hint="default"/>
                <w:spacing w:val="25"/>
                <w:sz w:val="21"/>
                <w:szCs w:val="21"/>
              </w:rPr>
              <w:t>列示的余额和</w:t>
            </w:r>
            <w:r>
              <w:rPr>
                <w:rFonts w:ascii="宋体" w:hAnsi="宋体" w:cs="宋体" w:eastAsia="宋体" w:hint="default"/>
                <w:spacing w:val="-75"/>
                <w:sz w:val="21"/>
                <w:szCs w:val="21"/>
              </w:rPr>
              <w:t> </w:t>
            </w: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567,025,913.80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3,050,500.93</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570,076,414.73</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4"/>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1"/>
                <w:sz w:val="21"/>
                <w:szCs w:val="21"/>
              </w:rPr>
              <w:t> </w:t>
            </w:r>
            <w:r>
              <w:rPr>
                <w:rFonts w:ascii="宋体" w:hAnsi="宋体" w:cs="宋体" w:eastAsia="宋体" w:hint="default"/>
                <w:spacing w:val="25"/>
                <w:sz w:val="21"/>
                <w:szCs w:val="21"/>
              </w:rPr>
              <w:t>列示的余额和</w:t>
            </w:r>
            <w:r>
              <w:rPr>
                <w:rFonts w:ascii="宋体" w:hAnsi="宋体" w:cs="宋体" w:eastAsia="宋体" w:hint="default"/>
                <w:spacing w:val="-75"/>
                <w:sz w:val="21"/>
                <w:szCs w:val="21"/>
              </w:rPr>
              <w:t> </w:t>
            </w: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22,396,727.46</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22,396,727.46</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4"/>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0"/>
                <w:sz w:val="21"/>
                <w:szCs w:val="21"/>
              </w:rPr>
              <w:t> </w:t>
            </w:r>
            <w:r>
              <w:rPr>
                <w:rFonts w:ascii="宋体" w:hAnsi="宋体" w:cs="宋体" w:eastAsia="宋体" w:hint="default"/>
                <w:spacing w:val="25"/>
                <w:sz w:val="21"/>
                <w:szCs w:val="21"/>
              </w:rPr>
              <w:t>列示的余额和</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131,560,783.91</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131,560,783.91</w:t>
            </w:r>
          </w:p>
        </w:tc>
      </w:tr>
      <w:tr>
        <w:trPr>
          <w:trHeight w:val="361"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4"/>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0"/>
                <w:sz w:val="21"/>
                <w:szCs w:val="21"/>
              </w:rPr>
              <w:t> </w:t>
            </w:r>
            <w:r>
              <w:rPr>
                <w:rFonts w:ascii="宋体" w:hAnsi="宋体" w:cs="宋体" w:eastAsia="宋体" w:hint="default"/>
                <w:spacing w:val="25"/>
                <w:sz w:val="21"/>
                <w:szCs w:val="21"/>
              </w:rPr>
              <w:t>列示的余额和</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24"/>
              <w:ind w:right="0"/>
              <w:jc w:val="left"/>
              <w:rPr>
                <w:rFonts w:ascii="宋体" w:hAnsi="宋体" w:cs="宋体" w:eastAsia="宋体" w:hint="default"/>
                <w:sz w:val="21"/>
                <w:szCs w:val="21"/>
              </w:rPr>
            </w:pP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3"/>
              <w:jc w:val="right"/>
              <w:rPr>
                <w:rFonts w:ascii="Times New Roman" w:hAnsi="Times New Roman" w:cs="Times New Roman" w:eastAsia="Times New Roman" w:hint="default"/>
                <w:sz w:val="21"/>
                <w:szCs w:val="21"/>
              </w:rPr>
            </w:pPr>
            <w:r>
              <w:rPr>
                <w:rFonts w:ascii="Times New Roman"/>
                <w:sz w:val="21"/>
              </w:rPr>
              <w:t>25,736,158.45</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-3,407,792.13</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22,328,366.32</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7" w:lineRule="auto"/>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4"/>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1"/>
                <w:sz w:val="21"/>
                <w:szCs w:val="21"/>
              </w:rPr>
              <w:t> </w:t>
            </w:r>
            <w:r>
              <w:rPr>
                <w:rFonts w:ascii="宋体" w:hAnsi="宋体" w:cs="宋体" w:eastAsia="宋体" w:hint="default"/>
                <w:spacing w:val="25"/>
                <w:sz w:val="21"/>
                <w:szCs w:val="21"/>
              </w:rPr>
              <w:t>列示的余额和</w:t>
            </w:r>
            <w:r>
              <w:rPr>
                <w:rFonts w:ascii="宋体" w:hAnsi="宋体" w:cs="宋体" w:eastAsia="宋体" w:hint="default"/>
                <w:spacing w:val="-75"/>
                <w:sz w:val="21"/>
                <w:szCs w:val="21"/>
              </w:rPr>
              <w:t> </w:t>
            </w: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95,935,080.00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4"/>
              <w:jc w:val="right"/>
              <w:rPr>
                <w:rFonts w:ascii="Times New Roman" w:hAnsi="Times New Roman" w:cs="Times New Roman" w:eastAsia="Times New Roman" w:hint="default"/>
                <w:sz w:val="21"/>
                <w:szCs w:val="21"/>
              </w:rPr>
            </w:pPr>
            <w:r>
              <w:rPr>
                <w:rFonts w:ascii="Times New Roman"/>
                <w:sz w:val="21"/>
              </w:rPr>
              <w:t>128,689.80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96,063,769.80</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ind w:right="-46"/>
              <w:jc w:val="left"/>
              <w:rPr>
                <w:rFonts w:ascii="宋体" w:hAnsi="宋体" w:cs="宋体" w:eastAsia="宋体" w:hint="default"/>
                <w:sz w:val="21"/>
                <w:szCs w:val="21"/>
              </w:rPr>
            </w:pPr>
            <w:r>
              <w:rPr>
                <w:rFonts w:ascii="宋体" w:hAnsi="宋体" w:cs="宋体" w:eastAsia="宋体" w:hint="default"/>
                <w:spacing w:val="15"/>
                <w:sz w:val="21"/>
                <w:szCs w:val="21"/>
              </w:rPr>
              <w:t>按原</w:t>
            </w:r>
            <w:r>
              <w:rPr>
                <w:rFonts w:ascii="宋体" w:hAnsi="宋体" w:cs="宋体" w:eastAsia="宋体" w:hint="default"/>
                <w:spacing w:val="-74"/>
                <w:sz w:val="21"/>
                <w:szCs w:val="21"/>
              </w:rPr>
              <w:t> </w:t>
            </w:r>
            <w:r>
              <w:rPr>
                <w:rFonts w:ascii="Times New Roman" w:hAnsi="Times New Roman" w:cs="Times New Roman" w:eastAsia="Times New Roman" w:hint="default"/>
                <w:spacing w:val="-5"/>
                <w:sz w:val="21"/>
                <w:szCs w:val="21"/>
              </w:rPr>
              <w:t>CAS22</w:t>
            </w:r>
            <w:r>
              <w:rPr>
                <w:rFonts w:ascii="Times New Roman" w:hAnsi="Times New Roman" w:cs="Times New Roman" w:eastAsia="Times New Roman" w:hint="default"/>
                <w:spacing w:val="-21"/>
                <w:sz w:val="21"/>
                <w:szCs w:val="21"/>
              </w:rPr>
              <w:t> </w:t>
            </w:r>
            <w:r>
              <w:rPr>
                <w:rFonts w:ascii="宋体" w:hAnsi="宋体" w:cs="宋体" w:eastAsia="宋体" w:hint="default"/>
                <w:spacing w:val="25"/>
                <w:sz w:val="21"/>
                <w:szCs w:val="21"/>
              </w:rPr>
              <w:t>列示的余额和</w:t>
            </w:r>
            <w:r>
              <w:rPr>
                <w:rFonts w:ascii="宋体" w:hAnsi="宋体" w:cs="宋体" w:eastAsia="宋体" w:hint="default"/>
                <w:spacing w:val="-75"/>
                <w:sz w:val="21"/>
                <w:szCs w:val="21"/>
              </w:rPr>
              <w:t> </w:t>
            </w: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192,948,000.00</w:t>
            </w: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228,601.40</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193,176,601.40</w:t>
            </w:r>
          </w:p>
        </w:tc>
      </w:tr>
      <w:tr>
        <w:trPr>
          <w:trHeight w:val="346"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2"/>
              <w:jc w:val="left"/>
              <w:rPr>
                <w:rFonts w:ascii="宋体" w:hAnsi="宋体" w:cs="宋体" w:eastAsia="宋体" w:hint="default"/>
                <w:sz w:val="21"/>
                <w:szCs w:val="21"/>
              </w:rPr>
            </w:pPr>
            <w:r>
              <w:rPr>
                <w:rFonts w:ascii="宋体" w:hAnsi="宋体" w:cs="宋体" w:eastAsia="宋体" w:hint="default"/>
                <w:spacing w:val="12"/>
                <w:sz w:val="21"/>
                <w:szCs w:val="21"/>
              </w:rPr>
              <w:t>以摊余成本</w:t>
            </w:r>
            <w:r>
              <w:rPr>
                <w:rFonts w:ascii="宋体" w:hAnsi="宋体" w:cs="宋体" w:eastAsia="宋体" w:hint="default"/>
                <w:spacing w:val="-75"/>
                <w:sz w:val="21"/>
                <w:szCs w:val="21"/>
              </w:rPr>
              <w:t> </w:t>
            </w:r>
            <w:r>
              <w:rPr>
                <w:rFonts w:ascii="宋体" w:hAnsi="宋体" w:cs="宋体" w:eastAsia="宋体" w:hint="default"/>
                <w:spacing w:val="11"/>
                <w:sz w:val="21"/>
                <w:szCs w:val="21"/>
              </w:rPr>
              <w:t>计量的总</w:t>
            </w:r>
            <w:r>
              <w:rPr>
                <w:rFonts w:ascii="宋体" w:hAnsi="宋体" w:cs="宋体" w:eastAsia="宋体" w:hint="default"/>
                <w:spacing w:val="-75"/>
                <w:sz w:val="21"/>
                <w:szCs w:val="21"/>
              </w:rPr>
              <w:t> </w:t>
            </w:r>
            <w:r>
              <w:rPr>
                <w:rFonts w:ascii="宋体" w:hAnsi="宋体" w:cs="宋体" w:eastAsia="宋体" w:hint="default"/>
                <w:spacing w:val="7"/>
                <w:sz w:val="21"/>
                <w:szCs w:val="21"/>
              </w:rPr>
              <w:t>金融</w:t>
            </w:r>
            <w:r>
              <w:rPr>
                <w:rFonts w:ascii="宋体" w:hAnsi="宋体" w:cs="宋体" w:eastAsia="宋体" w:hint="default"/>
                <w:sz w:val="21"/>
                <w:szCs w:val="21"/>
              </w:rPr>
              <w:t> 负债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right"/>
              <w:rPr>
                <w:rFonts w:ascii="Times New Roman" w:hAnsi="Times New Roman" w:cs="Times New Roman" w:eastAsia="Times New Roman" w:hint="default"/>
                <w:sz w:val="21"/>
                <w:szCs w:val="21"/>
              </w:rPr>
            </w:pPr>
            <w:r>
              <w:rPr>
                <w:rFonts w:ascii="Times New Roman"/>
                <w:sz w:val="21"/>
              </w:rPr>
              <w:t>1,035,602,663.62</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15"/>
              <w:jc w:val="right"/>
              <w:rPr>
                <w:rFonts w:ascii="Times New Roman" w:hAnsi="Times New Roman" w:cs="Times New Roman" w:eastAsia="Times New Roman" w:hint="default"/>
                <w:sz w:val="21"/>
                <w:szCs w:val="21"/>
              </w:rPr>
            </w:pPr>
            <w:r>
              <w:rPr>
                <w:rFonts w:ascii="Times New Roman"/>
                <w:sz w:val="21"/>
              </w:rPr>
              <w:t>1,035,602,663.62</w:t>
            </w:r>
          </w:p>
        </w:tc>
      </w:tr>
      <w:tr>
        <w:trPr>
          <w:trHeight w:val="346" w:hRule="exact"/>
        </w:trPr>
        <w:tc>
          <w:tcPr>
            <w:tcW w:w="9485" w:type="dxa"/>
            <w:gridSpan w:val="5"/>
            <w:tcBorders>
              <w:top w:val="single" w:sz="6" w:space="0" w:color="000000"/>
              <w:left w:val="single" w:sz="6" w:space="0" w:color="000000"/>
              <w:bottom w:val="single" w:sz="6" w:space="0" w:color="000000"/>
              <w:right w:val="nil" w:sz="6" w:space="0" w:color="auto"/>
            </w:tcBorders>
          </w:tcPr>
          <w:p>
            <w:pPr>
              <w:pStyle w:val="TableParagraph"/>
              <w:spacing w:line="28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b.</w:t>
            </w:r>
            <w:r>
              <w:rPr>
                <w:rFonts w:ascii="Times New Roman" w:hAnsi="Times New Roman" w:cs="Times New Roman" w:eastAsia="Times New Roman" w:hint="default"/>
                <w:spacing w:val="44"/>
                <w:sz w:val="21"/>
                <w:szCs w:val="21"/>
              </w:rPr>
              <w:t> </w:t>
            </w:r>
            <w:r>
              <w:rPr>
                <w:rFonts w:ascii="宋体" w:hAnsi="宋体" w:cs="宋体" w:eastAsia="宋体" w:hint="default"/>
                <w:sz w:val="21"/>
                <w:szCs w:val="21"/>
              </w:rPr>
              <w:t>以公允价值计量且其变动计入当期损益</w:t>
            </w:r>
          </w:p>
        </w:tc>
      </w:tr>
      <w:tr>
        <w:trPr>
          <w:trHeight w:val="660"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3"/>
              <w:jc w:val="left"/>
              <w:rPr>
                <w:rFonts w:ascii="宋体" w:hAnsi="宋体" w:cs="宋体" w:eastAsia="宋体" w:hint="default"/>
                <w:sz w:val="21"/>
                <w:szCs w:val="21"/>
              </w:rPr>
            </w:pPr>
            <w:r>
              <w:rPr>
                <w:rFonts w:ascii="宋体" w:hAnsi="宋体" w:cs="宋体" w:eastAsia="宋体" w:hint="default"/>
                <w:spacing w:val="11"/>
                <w:sz w:val="21"/>
                <w:szCs w:val="21"/>
              </w:rPr>
              <w:t>以公允价值</w:t>
            </w:r>
            <w:r>
              <w:rPr>
                <w:rFonts w:ascii="宋体" w:hAnsi="宋体" w:cs="宋体" w:eastAsia="宋体" w:hint="default"/>
                <w:spacing w:val="-73"/>
                <w:sz w:val="21"/>
                <w:szCs w:val="21"/>
              </w:rPr>
              <w:t> </w:t>
            </w:r>
            <w:r>
              <w:rPr>
                <w:rFonts w:ascii="宋体" w:hAnsi="宋体" w:cs="宋体" w:eastAsia="宋体" w:hint="default"/>
                <w:spacing w:val="11"/>
                <w:sz w:val="21"/>
                <w:szCs w:val="21"/>
              </w:rPr>
              <w:t>计量且其</w:t>
            </w:r>
            <w:r>
              <w:rPr>
                <w:rFonts w:ascii="宋体" w:hAnsi="宋体" w:cs="宋体" w:eastAsia="宋体" w:hint="default"/>
                <w:spacing w:val="-73"/>
                <w:sz w:val="21"/>
                <w:szCs w:val="21"/>
              </w:rPr>
              <w:t> </w:t>
            </w:r>
            <w:r>
              <w:rPr>
                <w:rFonts w:ascii="宋体" w:hAnsi="宋体" w:cs="宋体" w:eastAsia="宋体" w:hint="default"/>
                <w:spacing w:val="7"/>
                <w:sz w:val="21"/>
                <w:szCs w:val="21"/>
              </w:rPr>
              <w:t>变动</w:t>
            </w:r>
            <w:r>
              <w:rPr>
                <w:rFonts w:ascii="宋体" w:hAnsi="宋体" w:cs="宋体" w:eastAsia="宋体" w:hint="default"/>
                <w:sz w:val="21"/>
                <w:szCs w:val="21"/>
              </w:rPr>
              <w:t> 计入当期损益的金融负债</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宋体" w:hAnsi="宋体" w:cs="宋体" w:eastAsia="宋体" w:hint="default"/>
                <w:sz w:val="21"/>
                <w:szCs w:val="21"/>
              </w:rPr>
              <w:t>按原</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right"/>
              <w:rPr>
                <w:rFonts w:ascii="Times New Roman" w:hAnsi="Times New Roman" w:cs="Times New Roman" w:eastAsia="Times New Roman" w:hint="default"/>
                <w:sz w:val="21"/>
                <w:szCs w:val="21"/>
              </w:rPr>
            </w:pPr>
            <w:r>
              <w:rPr>
                <w:rFonts w:ascii="Times New Roman"/>
                <w:sz w:val="21"/>
              </w:rPr>
              <w:t>4,293,047.58</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left"/>
              <w:rPr>
                <w:rFonts w:ascii="宋体" w:hAnsi="宋体" w:cs="宋体" w:eastAsia="宋体" w:hint="default"/>
                <w:sz w:val="21"/>
                <w:szCs w:val="21"/>
              </w:rPr>
            </w:pPr>
            <w:r>
              <w:rPr>
                <w:rFonts w:ascii="宋体" w:hAnsi="宋体" w:cs="宋体" w:eastAsia="宋体" w:hint="default"/>
                <w:spacing w:val="-2"/>
                <w:sz w:val="21"/>
                <w:szCs w:val="21"/>
              </w:rPr>
              <w:t>加：转出至交易性金融负债</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pacing w:val="-3"/>
                <w:sz w:val="21"/>
                <w:szCs w:val="21"/>
              </w:rPr>
              <w:t>（新</w:t>
            </w:r>
            <w:r>
              <w:rPr>
                <w:rFonts w:ascii="Times New Roman" w:hAnsi="Times New Roman" w:cs="Times New Roman" w:eastAsia="Times New Roman" w:hint="default"/>
                <w:spacing w:val="-3"/>
                <w:sz w:val="21"/>
                <w:szCs w:val="21"/>
              </w:rPr>
              <w:t>CAS22</w:t>
            </w:r>
            <w:r>
              <w:rPr>
                <w:rFonts w:ascii="宋体" w:hAnsi="宋体" w:cs="宋体" w:eastAsia="宋体" w:hint="default"/>
                <w:spacing w:val="-3"/>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right"/>
              <w:rPr>
                <w:rFonts w:ascii="Times New Roman" w:hAnsi="Times New Roman" w:cs="Times New Roman" w:eastAsia="Times New Roman" w:hint="default"/>
                <w:sz w:val="21"/>
                <w:szCs w:val="21"/>
              </w:rPr>
            </w:pPr>
            <w:r>
              <w:rPr>
                <w:rFonts w:ascii="Times New Roman"/>
                <w:sz w:val="21"/>
              </w:rPr>
              <w:t>-4,293,047.58</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61"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left"/>
              <w:rPr>
                <w:rFonts w:ascii="宋体" w:hAnsi="宋体" w:cs="宋体" w:eastAsia="宋体" w:hint="default"/>
                <w:sz w:val="21"/>
                <w:szCs w:val="21"/>
              </w:rPr>
            </w:pPr>
            <w:r>
              <w:rPr>
                <w:rFonts w:ascii="宋体" w:hAnsi="宋体" w:cs="宋体" w:eastAsia="宋体" w:hint="default"/>
                <w:sz w:val="21"/>
                <w:szCs w:val="21"/>
              </w:rPr>
              <w:t>按原</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976"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
              <w:jc w:val="left"/>
              <w:rPr>
                <w:rFonts w:ascii="宋体" w:hAnsi="宋体" w:cs="宋体" w:eastAsia="宋体" w:hint="default"/>
                <w:sz w:val="21"/>
                <w:szCs w:val="21"/>
              </w:rPr>
            </w:pPr>
            <w:r>
              <w:rPr>
                <w:rFonts w:ascii="宋体" w:hAnsi="宋体" w:cs="宋体" w:eastAsia="宋体" w:hint="default"/>
                <w:spacing w:val="-2"/>
                <w:sz w:val="21"/>
                <w:szCs w:val="21"/>
              </w:rPr>
              <w:t>加：自以公允价值计量且其</w:t>
            </w:r>
          </w:p>
          <w:p>
            <w:pPr>
              <w:pStyle w:val="TableParagraph"/>
              <w:spacing w:line="276" w:lineRule="auto" w:before="40"/>
              <w:ind w:right="12"/>
              <w:jc w:val="left"/>
              <w:rPr>
                <w:rFonts w:ascii="宋体" w:hAnsi="宋体" w:cs="宋体" w:eastAsia="宋体" w:hint="default"/>
                <w:sz w:val="21"/>
                <w:szCs w:val="21"/>
              </w:rPr>
            </w:pPr>
            <w:r>
              <w:rPr>
                <w:rFonts w:ascii="宋体" w:hAnsi="宋体" w:cs="宋体" w:eastAsia="宋体" w:hint="default"/>
                <w:spacing w:val="12"/>
                <w:sz w:val="21"/>
                <w:szCs w:val="21"/>
              </w:rPr>
              <w:t>变动计入当</w:t>
            </w:r>
            <w:r>
              <w:rPr>
                <w:rFonts w:ascii="宋体" w:hAnsi="宋体" w:cs="宋体" w:eastAsia="宋体" w:hint="default"/>
                <w:spacing w:val="-75"/>
                <w:sz w:val="21"/>
                <w:szCs w:val="21"/>
              </w:rPr>
              <w:t> </w:t>
            </w:r>
            <w:r>
              <w:rPr>
                <w:rFonts w:ascii="宋体" w:hAnsi="宋体" w:cs="宋体" w:eastAsia="宋体" w:hint="default"/>
                <w:spacing w:val="11"/>
                <w:sz w:val="21"/>
                <w:szCs w:val="21"/>
              </w:rPr>
              <w:t>期损益的</w:t>
            </w:r>
            <w:r>
              <w:rPr>
                <w:rFonts w:ascii="宋体" w:hAnsi="宋体" w:cs="宋体" w:eastAsia="宋体" w:hint="default"/>
                <w:spacing w:val="-75"/>
                <w:sz w:val="21"/>
                <w:szCs w:val="21"/>
              </w:rPr>
              <w:t> </w:t>
            </w:r>
            <w:r>
              <w:rPr>
                <w:rFonts w:ascii="宋体" w:hAnsi="宋体" w:cs="宋体" w:eastAsia="宋体" w:hint="default"/>
                <w:spacing w:val="7"/>
                <w:sz w:val="21"/>
                <w:szCs w:val="21"/>
              </w:rPr>
              <w:t>金融</w:t>
            </w:r>
            <w:r>
              <w:rPr>
                <w:rFonts w:ascii="宋体" w:hAnsi="宋体" w:cs="宋体" w:eastAsia="宋体" w:hint="default"/>
                <w:sz w:val="21"/>
                <w:szCs w:val="21"/>
              </w:rPr>
              <w:t> 负债转入（新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4,293,047.58</w:t>
            </w: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按新</w:t>
            </w:r>
            <w:r>
              <w:rPr>
                <w:rFonts w:ascii="Times New Roman" w:hAnsi="Times New Roman" w:cs="Times New Roman" w:eastAsia="Times New Roman" w:hint="default"/>
                <w:sz w:val="21"/>
                <w:szCs w:val="21"/>
              </w:rPr>
              <w:t>CAS22</w:t>
            </w:r>
            <w:r>
              <w:rPr>
                <w:rFonts w:ascii="宋体" w:hAnsi="宋体" w:cs="宋体" w:eastAsia="宋体" w:hint="default"/>
                <w:sz w:val="21"/>
                <w:szCs w:val="21"/>
              </w:rPr>
              <w:t>列示的余额</w:t>
            </w: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4,293,047.58</w:t>
            </w:r>
          </w:p>
        </w:tc>
      </w:tr>
      <w:tr>
        <w:trPr>
          <w:trHeight w:val="345" w:hRule="exact"/>
        </w:trPr>
        <w:tc>
          <w:tcPr>
            <w:tcW w:w="2523" w:type="dxa"/>
            <w:tcBorders>
              <w:top w:val="single" w:sz="6" w:space="0" w:color="000000"/>
              <w:left w:val="single" w:sz="6" w:space="0" w:color="000000"/>
              <w:bottom w:val="single" w:sz="6" w:space="0" w:color="000000"/>
              <w:right w:val="single" w:sz="6" w:space="0" w:color="000000"/>
            </w:tcBorders>
          </w:tcPr>
          <w:p>
            <w:pPr/>
          </w:p>
        </w:tc>
        <w:tc>
          <w:tcPr>
            <w:tcW w:w="1982" w:type="dxa"/>
            <w:tcBorders>
              <w:top w:val="single" w:sz="6" w:space="0" w:color="000000"/>
              <w:left w:val="single" w:sz="6" w:space="0" w:color="000000"/>
              <w:bottom w:val="single" w:sz="6" w:space="0" w:color="000000"/>
              <w:right w:val="single" w:sz="6" w:space="0" w:color="000000"/>
            </w:tcBorders>
          </w:tcPr>
          <w:p>
            <w:pP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523"/>
        <w:gridCol w:w="1982"/>
        <w:gridCol w:w="1848"/>
        <w:gridCol w:w="1141"/>
        <w:gridCol w:w="1990"/>
      </w:tblGrid>
      <w:tr>
        <w:trPr>
          <w:trHeight w:val="975" w:hRule="exact"/>
        </w:trPr>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right="12"/>
              <w:jc w:val="both"/>
              <w:rPr>
                <w:rFonts w:ascii="宋体" w:hAnsi="宋体" w:cs="宋体" w:eastAsia="宋体" w:hint="default"/>
                <w:sz w:val="21"/>
                <w:szCs w:val="21"/>
              </w:rPr>
            </w:pPr>
            <w:r>
              <w:rPr>
                <w:rFonts w:ascii="宋体" w:hAnsi="宋体" w:cs="宋体" w:eastAsia="宋体" w:hint="default"/>
                <w:spacing w:val="12"/>
                <w:sz w:val="21"/>
                <w:szCs w:val="21"/>
              </w:rPr>
              <w:t>以公允价值</w:t>
            </w:r>
            <w:r>
              <w:rPr>
                <w:rFonts w:ascii="宋体" w:hAnsi="宋体" w:cs="宋体" w:eastAsia="宋体" w:hint="default"/>
                <w:spacing w:val="-75"/>
                <w:sz w:val="21"/>
                <w:szCs w:val="21"/>
              </w:rPr>
              <w:t> </w:t>
            </w:r>
            <w:r>
              <w:rPr>
                <w:rFonts w:ascii="宋体" w:hAnsi="宋体" w:cs="宋体" w:eastAsia="宋体" w:hint="default"/>
                <w:spacing w:val="11"/>
                <w:sz w:val="21"/>
                <w:szCs w:val="21"/>
              </w:rPr>
              <w:t>计量且其</w:t>
            </w:r>
            <w:r>
              <w:rPr>
                <w:rFonts w:ascii="宋体" w:hAnsi="宋体" w:cs="宋体" w:eastAsia="宋体" w:hint="default"/>
                <w:spacing w:val="-75"/>
                <w:sz w:val="21"/>
                <w:szCs w:val="21"/>
              </w:rPr>
              <w:t> </w:t>
            </w:r>
            <w:r>
              <w:rPr>
                <w:rFonts w:ascii="宋体" w:hAnsi="宋体" w:cs="宋体" w:eastAsia="宋体" w:hint="default"/>
                <w:spacing w:val="7"/>
                <w:sz w:val="21"/>
                <w:szCs w:val="21"/>
              </w:rPr>
              <w:t>变动</w:t>
            </w:r>
            <w:r>
              <w:rPr>
                <w:rFonts w:ascii="宋体" w:hAnsi="宋体" w:cs="宋体" w:eastAsia="宋体" w:hint="default"/>
                <w:sz w:val="21"/>
                <w:szCs w:val="21"/>
              </w:rPr>
              <w:t> </w:t>
            </w:r>
            <w:r>
              <w:rPr>
                <w:rFonts w:ascii="宋体" w:hAnsi="宋体" w:cs="宋体" w:eastAsia="宋体" w:hint="default"/>
                <w:spacing w:val="12"/>
                <w:sz w:val="21"/>
                <w:szCs w:val="21"/>
              </w:rPr>
              <w:t>计入当期损</w:t>
            </w:r>
            <w:r>
              <w:rPr>
                <w:rFonts w:ascii="宋体" w:hAnsi="宋体" w:cs="宋体" w:eastAsia="宋体" w:hint="default"/>
                <w:spacing w:val="-75"/>
                <w:sz w:val="21"/>
                <w:szCs w:val="21"/>
              </w:rPr>
              <w:t> </w:t>
            </w:r>
            <w:r>
              <w:rPr>
                <w:rFonts w:ascii="宋体" w:hAnsi="宋体" w:cs="宋体" w:eastAsia="宋体" w:hint="default"/>
                <w:spacing w:val="11"/>
                <w:sz w:val="21"/>
                <w:szCs w:val="21"/>
              </w:rPr>
              <w:t>益的总金</w:t>
            </w:r>
            <w:r>
              <w:rPr>
                <w:rFonts w:ascii="宋体" w:hAnsi="宋体" w:cs="宋体" w:eastAsia="宋体" w:hint="default"/>
                <w:spacing w:val="-75"/>
                <w:sz w:val="21"/>
                <w:szCs w:val="21"/>
              </w:rPr>
              <w:t> </w:t>
            </w:r>
            <w:r>
              <w:rPr>
                <w:rFonts w:ascii="宋体" w:hAnsi="宋体" w:cs="宋体" w:eastAsia="宋体" w:hint="default"/>
                <w:spacing w:val="7"/>
                <w:sz w:val="21"/>
                <w:szCs w:val="21"/>
              </w:rPr>
              <w:t>融负</w:t>
            </w:r>
            <w:r>
              <w:rPr>
                <w:rFonts w:ascii="宋体" w:hAnsi="宋体" w:cs="宋体" w:eastAsia="宋体" w:hint="default"/>
                <w:sz w:val="21"/>
                <w:szCs w:val="21"/>
              </w:rPr>
              <w:t> 债</w:t>
            </w:r>
          </w:p>
        </w:tc>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855" w:right="-13"/>
              <w:jc w:val="left"/>
              <w:rPr>
                <w:rFonts w:ascii="Times New Roman" w:hAnsi="Times New Roman" w:cs="Times New Roman" w:eastAsia="Times New Roman" w:hint="default"/>
                <w:sz w:val="21"/>
                <w:szCs w:val="21"/>
              </w:rPr>
            </w:pPr>
            <w:r>
              <w:rPr>
                <w:rFonts w:ascii="Times New Roman"/>
                <w:sz w:val="21"/>
              </w:rPr>
              <w:t>4,293,047.58</w:t>
            </w:r>
          </w:p>
        </w:tc>
        <w:tc>
          <w:tcPr>
            <w:tcW w:w="1848"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19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left="856" w:right="0"/>
              <w:jc w:val="left"/>
              <w:rPr>
                <w:rFonts w:ascii="Times New Roman" w:hAnsi="Times New Roman" w:cs="Times New Roman" w:eastAsia="Times New Roman" w:hint="default"/>
                <w:sz w:val="21"/>
                <w:szCs w:val="21"/>
              </w:rPr>
            </w:pPr>
            <w:r>
              <w:rPr>
                <w:rFonts w:ascii="Times New Roman"/>
                <w:sz w:val="21"/>
              </w:rPr>
              <w:t>4,293,047.58</w:t>
            </w:r>
          </w:p>
        </w:tc>
      </w:tr>
    </w:tbl>
    <w:p>
      <w:pPr>
        <w:pStyle w:val="Heading6"/>
        <w:spacing w:line="271" w:lineRule="exact"/>
        <w:ind w:right="1086"/>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16"/>
        </w:rPr>
        <w:t> </w:t>
      </w: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日起执行经修订的《企业会计准则第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p>
    <w:p>
      <w:pPr>
        <w:pStyle w:val="Heading6"/>
        <w:spacing w:line="240" w:lineRule="auto" w:before="24"/>
        <w:ind w:right="1086"/>
        <w:jc w:val="left"/>
      </w:pPr>
      <w:r>
        <w:rPr>
          <w:rFonts w:ascii="Times New Roman" w:hAnsi="Times New Roman" w:cs="Times New Roman" w:eastAsia="Times New Roman" w:hint="default"/>
        </w:rPr>
        <w:t>17</w:t>
      </w:r>
      <w:r>
        <w:rPr/>
        <w:t>日起执行经修订的《企业会计准则第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债务重组》。该项会计政策变更采用未来适用法处理。</w:t>
      </w:r>
    </w:p>
    <w:p>
      <w:pPr>
        <w:spacing w:line="240" w:lineRule="auto" w:before="11"/>
        <w:rPr>
          <w:rFonts w:ascii="宋体" w:hAnsi="宋体" w:cs="宋体" w:eastAsia="宋体" w:hint="default"/>
          <w:sz w:val="24"/>
          <w:szCs w:val="24"/>
        </w:rPr>
      </w:pPr>
    </w:p>
    <w:p>
      <w:pPr>
        <w:pStyle w:val="Heading5"/>
        <w:spacing w:line="240" w:lineRule="auto"/>
        <w:ind w:right="1086"/>
        <w:jc w:val="left"/>
        <w:rPr>
          <w:b w:val="0"/>
          <w:bCs w:val="0"/>
        </w:rPr>
      </w:pPr>
      <w:bookmarkStart w:name="（2）重要会计估计变更" w:id="225"/>
      <w:bookmarkEnd w:id="225"/>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3）2019年起执行新金融工具准则、新收入准则或新租赁准则调整执行当年年初财务" w:id="226"/>
      <w:bookmarkEnd w:id="226"/>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before="0"/>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pStyle w:val="BodyText"/>
        <w:spacing w:line="240" w:lineRule="auto" w:before="67"/>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482,794,143.90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482,794,143.90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3,209,541.77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706,587.42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-2,502,954.35</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775,700,936.92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775,700,936.92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2,502,954.35</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2,502,954.35</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74,086,541.01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74,086,541.01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82,292,806.84</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82,292,806.84</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246,776,678.36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246,776,678.36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8,871,365.10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8,871,365.10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1,673,732,013.90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1,673,732,013.90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144,293,265.00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-144,293,265.00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53,659,554.80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53,659,554.80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324,840,817.49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324,840,817.49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144,293,265.00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144,293,265.00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64,326,422.31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64,326,422.31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300,292,739.88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300,292,739.88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20,133,141.32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20,133,141.32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82,307,697.36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13,577,114.53</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696,076,002.48</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24,433,403.27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24,433,403.27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17,867,331.01</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8,556,200.33</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8,556,200.33</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1,750,363,689.78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1,750,363,689.78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3,424,095,703.68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3,424,095,703.68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567,025,913.80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567,025,913.80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3,050,500.93</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4,293,047.58</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4,293,047.58</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10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4,293,047.58</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-4,293,047.58</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22,396,727.46</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22,396,727.46</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131,560,783.91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131,560,783.91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15,305,449.37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15,305,449.37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49,781,747.29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49,781,747.29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70,945,146.01</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70,945,146.01</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25,736,158.45</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22,328,366.32</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-3,407,792.13</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95,935,080.00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96,063,769.80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128,689.80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982,980,053.87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982,980,053.87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192,948,000.00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130,000,000.00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228,601.40</w:t>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319,500.00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319,500.00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1,126,984.12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1,126,984.00</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194,394,484.12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194,394,484.12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1,177,374,537.99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1,177,374,537.99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807,885,334.00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807,885,334.00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800,302,155.78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800,302,155.78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-1,983,142.91</w:t>
            </w:r>
            <w:r>
              <w:rPr>
                <w:rFonts w:ascii="Times New Roman"/>
                <w:sz w:val="18"/>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-1,983,142.91</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72,600,033.72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72,600,033.72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513,136,506.47</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513,136,506.47</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6"/>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2,191,940,887.06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54,780,278.63</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2,246,721,165.69</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2,246,721,165.69</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3,424,095,703.68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6"/>
              <w:jc w:val="right"/>
              <w:rPr>
                <w:rFonts w:ascii="Times New Roman" w:hAnsi="Times New Roman" w:cs="Times New Roman" w:eastAsia="Times New Roman" w:hint="default"/>
                <w:sz w:val="18"/>
                <w:szCs w:val="18"/>
              </w:rPr>
            </w:pPr>
            <w:r>
              <w:rPr>
                <w:rFonts w:ascii="Times New Roman"/>
                <w:sz w:val="18"/>
              </w:rPr>
              <w:t>3,424,095,703.68</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pStyle w:val="BodyText"/>
        <w:spacing w:line="367" w:lineRule="auto" w:before="45"/>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50"/>
          <w:pgMar w:top="1040" w:bottom="1180" w:left="1000" w:right="0"/>
          <w:cols w:num="2" w:equalWidth="0">
            <w:col w:w="1582" w:space="7354"/>
            <w:col w:w="197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219,178,400.63</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5"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1,032,817.27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123,193,745.12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91" w:right="0"/>
              <w:jc w:val="left"/>
              <w:rPr>
                <w:rFonts w:ascii="Times New Roman" w:hAnsi="Times New Roman" w:cs="Times New Roman" w:eastAsia="Times New Roman" w:hint="default"/>
                <w:sz w:val="18"/>
                <w:szCs w:val="18"/>
              </w:rPr>
            </w:pPr>
            <w:r>
              <w:rPr>
                <w:rFonts w:ascii="Times New Roman"/>
                <w:sz w:val="18"/>
              </w:rPr>
              <w:t>123,193,745.12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50"/>
          <w:pgMar w:top="104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14,545,234.46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75,640,386.82</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75,640,386.82</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31,890,464.72</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1,681,556.79</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467,162,605.81</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91,211,900.00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160,888,222.35</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1,862,788,880.88</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1,862,788,880.88</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45,060,161.60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35,847,719.37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344,582.42</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2,779,929.25</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4,888,753.06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2,808,179.53</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2,206,618,328.46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2,673,780,934.27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85"/>
        <w:gridCol w:w="2478"/>
        <w:gridCol w:w="2448"/>
        <w:gridCol w:w="2463"/>
      </w:tblGrid>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290,705,913.80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1"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22,396,727.46</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83,060,985.15</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9,848,279.64</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8,203,222.31</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749,409.64</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119,390,009.47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0"/>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0"/>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95,935,080.00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630,289,627.47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192,948,000.00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61"/>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8"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192,948,000.00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823,237,627.47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807,885,334.00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807,814,903.09</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-96,534.78</w:t>
            </w:r>
            <w:r>
              <w:rPr>
                <w:rFonts w:ascii="Times New Roman"/>
                <w:sz w:val="18"/>
              </w:rPr>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72,600,033.72</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162,339,570.77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1,850,543,306.80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2,673,780,934.27</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1086"/>
        <w:jc w:val="left"/>
      </w:pPr>
      <w:r>
        <w:rPr/>
        <w:t>调整情况说明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2019年起执行新金融工具准则或新租赁准则追溯调整前期比较数据说明" w:id="227"/>
      <w:bookmarkEnd w:id="227"/>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spacing w:line="482" w:lineRule="auto" w:before="126"/>
        <w:ind w:left="141" w:right="8977" w:firstLine="0"/>
        <w:jc w:val="left"/>
        <w:rPr>
          <w:rFonts w:ascii="宋体" w:hAnsi="宋体" w:cs="宋体" w:eastAsia="宋体" w:hint="default"/>
          <w:sz w:val="21"/>
          <w:szCs w:val="21"/>
        </w:rPr>
      </w:pPr>
      <w:bookmarkStart w:name="45、其他" w:id="228"/>
      <w:bookmarkEnd w:id="228"/>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9"/>
      <w:bookmarkEnd w:id="22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0"/>
      <w:bookmarkEnd w:id="230"/>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、主要税种及税率</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3"/>
          <w:szCs w:val="23"/>
        </w:rPr>
      </w:pPr>
    </w:p>
    <w:p>
      <w:pPr>
        <w:pStyle w:val="BodyText"/>
        <w:spacing w:line="240" w:lineRule="auto"/>
        <w:ind w:left="0" w:right="1140"/>
        <w:jc w:val="right"/>
      </w:pPr>
      <w:r>
        <w:rPr/>
        <w:pict>
          <v:shape style="position:absolute;margin-left:56.325001pt;margin-top:-36.838280pt;width:480.25pt;height:203.4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税种</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08" w:hRule="exact"/>
                    </w:trPr>
                    <w:tc>
                      <w:tcPr>
                        <w:tcW w:w="3199"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2" w:space="0" w:color="D2D2D2"/>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9" w:type="dxa"/>
                        <w:vMerge w:val="restart"/>
                        <w:tcBorders>
                          <w:top w:val="single" w:sz="6" w:space="0" w:color="000000"/>
                          <w:left w:val="single" w:sz="6" w:space="0" w:color="000000"/>
                          <w:right w:val="single" w:sz="6" w:space="0" w:color="000000"/>
                        </w:tcBorders>
                      </w:tcPr>
                      <w:p>
                        <w:pPr>
                          <w:pStyle w:val="TableParagraph"/>
                          <w:spacing w:line="304" w:lineRule="auto" w:before="44"/>
                          <w:ind w:left="30" w:right="13"/>
                          <w:jc w:val="left"/>
                          <w:rPr>
                            <w:rFonts w:ascii="Times New Roman" w:hAnsi="Times New Roman" w:cs="Times New Roman" w:eastAsia="Times New Roman" w:hint="default"/>
                            <w:sz w:val="18"/>
                            <w:szCs w:val="18"/>
                          </w:rPr>
                        </w:pPr>
                        <w:r>
                          <w:rPr>
                            <w:rFonts w:ascii="宋体" w:hAnsi="宋体" w:cs="宋体" w:eastAsia="宋体" w:hint="default"/>
                            <w:sz w:val="18"/>
                            <w:szCs w:val="18"/>
                          </w:rPr>
                          <w:t>按</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9%</w:t>
                        </w:r>
                        <w:r>
                          <w:rPr>
                            <w:rFonts w:ascii="宋体" w:hAnsi="宋体" w:cs="宋体" w:eastAsia="宋体" w:hint="default"/>
                            <w:spacing w:val="-3"/>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的税率计 缴。出口货物实行</w:t>
                        </w:r>
                        <w:r>
                          <w:rPr>
                            <w:rFonts w:ascii="Times New Roman" w:hAnsi="Times New Roman" w:cs="Times New Roman" w:eastAsia="Times New Roman" w:hint="default"/>
                            <w:sz w:val="18"/>
                            <w:szCs w:val="18"/>
                          </w:rPr>
                          <w:t>"</w:t>
                        </w:r>
                        <w:r>
                          <w:rPr>
                            <w:rFonts w:ascii="宋体" w:hAnsi="宋体" w:cs="宋体" w:eastAsia="宋体" w:hint="default"/>
                            <w:sz w:val="18"/>
                            <w:szCs w:val="18"/>
                          </w:rPr>
                          <w:t>免、抵、退</w:t>
                        </w:r>
                        <w:r>
                          <w:rPr>
                            <w:rFonts w:ascii="Times New Roman" w:hAnsi="Times New Roman" w:cs="Times New Roman" w:eastAsia="Times New Roman" w:hint="default"/>
                            <w:sz w:val="18"/>
                            <w:szCs w:val="18"/>
                          </w:rPr>
                          <w:t>"</w:t>
                        </w:r>
                        <w:r>
                          <w:rPr>
                            <w:rFonts w:ascii="宋体" w:hAnsi="宋体" w:cs="宋体" w:eastAsia="宋体" w:hint="default"/>
                            <w:sz w:val="18"/>
                            <w:szCs w:val="18"/>
                          </w:rPr>
                          <w:t>税政策</w:t>
                        </w:r>
                        <w:r>
                          <w:rPr>
                            <w:rFonts w:ascii="宋体" w:hAnsi="宋体" w:cs="宋体" w:eastAsia="宋体" w:hint="default"/>
                            <w:spacing w:val="-86"/>
                            <w:sz w:val="18"/>
                            <w:szCs w:val="18"/>
                          </w:rPr>
                          <w:t> </w:t>
                        </w:r>
                        <w:r>
                          <w:rPr>
                            <w:rFonts w:ascii="宋体" w:hAnsi="宋体" w:cs="宋体" w:eastAsia="宋体" w:hint="default"/>
                            <w:sz w:val="18"/>
                            <w:szCs w:val="18"/>
                          </w:rPr>
                          <w:t>退税率为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390" w:hRule="exact"/>
                    </w:trPr>
                    <w:tc>
                      <w:tcPr>
                        <w:tcW w:w="319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4" w:type="dxa"/>
                        <w:vMerge/>
                        <w:tcBorders>
                          <w:left w:val="single" w:sz="12"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323" w:hRule="exact"/>
                    </w:trPr>
                    <w:tc>
                      <w:tcPr>
                        <w:tcW w:w="3199"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2"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w:t>
                        </w:r>
                      </w:p>
                    </w:tc>
                  </w:tr>
                  <w:tr>
                    <w:trPr>
                      <w:trHeight w:val="10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59"/>
                          <w:ind w:left="14" w:right="30"/>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后余值的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计缴；从租计征的，按租 金收入的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BodyText"/>
        <w:spacing w:line="240" w:lineRule="auto" w:before="0"/>
        <w:ind w:right="1086"/>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133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79"/>
              <w:jc w:val="both"/>
              <w:rPr>
                <w:rFonts w:ascii="宋体" w:hAnsi="宋体" w:cs="宋体" w:eastAsia="宋体" w:hint="default"/>
                <w:sz w:val="18"/>
                <w:szCs w:val="18"/>
              </w:rPr>
            </w:pPr>
            <w:r>
              <w:rPr>
                <w:rFonts w:ascii="宋体" w:hAnsi="宋体" w:cs="宋体" w:eastAsia="宋体" w:hint="default"/>
                <w:sz w:val="18"/>
                <w:szCs w:val="18"/>
              </w:rPr>
              <w:t>本公司、杭州思创汇联科技有限公司、上扬无线射频科技扬 州有限公司、广州理德物联网科技有限公司、杭州思创汇联 科技有限公司、杭州医惠物联网科技有限公司、杭州简惠信 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杭州医惠软件有限公司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医惠科技有限公司（以下简称医惠科技公司）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10%</w:t>
            </w:r>
          </w:p>
        </w:tc>
      </w:tr>
      <w:tr>
        <w:trPr>
          <w:trHeight w:val="102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9"/>
              <w:jc w:val="both"/>
              <w:rPr>
                <w:rFonts w:ascii="宋体" w:hAnsi="宋体" w:cs="宋体" w:eastAsia="宋体" w:hint="default"/>
                <w:sz w:val="18"/>
                <w:szCs w:val="18"/>
              </w:rPr>
            </w:pPr>
            <w:r>
              <w:rPr>
                <w:rFonts w:ascii="宋体" w:hAnsi="宋体" w:cs="宋体" w:eastAsia="宋体" w:hint="default"/>
                <w:sz w:val="18"/>
                <w:szCs w:val="18"/>
              </w:rPr>
              <w:t>杭州华洁医疗科技有限公司、浙江医洁医疗科技有限公司、 杭州医惠织物智能科技有限公司、无锡市仁医医疗人工智能 研究院</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20%</w:t>
            </w:r>
          </w:p>
        </w:tc>
      </w:tr>
      <w:tr>
        <w:trPr>
          <w:trHeight w:val="72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60"/>
              <w:ind w:left="15" w:right="352"/>
              <w:jc w:val="left"/>
              <w:rPr>
                <w:rFonts w:ascii="Times New Roman" w:hAnsi="Times New Roman" w:cs="Times New Roman" w:eastAsia="Times New Roman" w:hint="default"/>
                <w:sz w:val="18"/>
                <w:szCs w:val="18"/>
              </w:rPr>
            </w:pPr>
            <w:r>
              <w:rPr>
                <w:rFonts w:ascii="宋体" w:hAnsi="宋体" w:cs="宋体" w:eastAsia="宋体" w:hint="default"/>
                <w:sz w:val="18"/>
                <w:szCs w:val="18"/>
              </w:rPr>
              <w:t>中瑞思创（香港）国际有限公司、</w:t>
            </w:r>
            <w:r>
              <w:rPr>
                <w:rFonts w:ascii="Times New Roman" w:hAnsi="Times New Roman" w:cs="Times New Roman" w:eastAsia="Times New Roman" w:hint="default"/>
                <w:sz w:val="18"/>
                <w:szCs w:val="18"/>
              </w:rPr>
              <w:t>EWELL</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pacing w:val="3"/>
                <w:sz w:val="18"/>
                <w:szCs w:val="18"/>
              </w:rPr>
              <w:t>HONGKONG</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16.5%</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Century Europe</w:t>
            </w:r>
            <w:r>
              <w:rPr>
                <w:rFonts w:ascii="Times New Roman"/>
                <w:spacing w:val="-5"/>
                <w:sz w:val="18"/>
              </w:rPr>
              <w:t> </w:t>
            </w:r>
            <w:r>
              <w:rPr>
                <w:rFonts w:ascii="Times New Roman"/>
                <w:sz w:val="18"/>
              </w:rPr>
              <w:t>AB</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22%</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Comercial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GL</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Group</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S.A.</w:t>
            </w:r>
            <w:r>
              <w:rPr>
                <w:rFonts w:ascii="宋体" w:hAnsi="宋体" w:cs="宋体" w:eastAsia="宋体" w:hint="default"/>
                <w:sz w:val="18"/>
                <w:szCs w:val="18"/>
              </w:rPr>
              <w:t>（以下简称</w:t>
            </w:r>
            <w:r>
              <w:rPr>
                <w:rFonts w:ascii="宋体" w:hAnsi="宋体" w:cs="宋体" w:eastAsia="宋体" w:hint="default"/>
                <w:spacing w:val="-46"/>
                <w:sz w:val="18"/>
                <w:szCs w:val="18"/>
              </w:rPr>
              <w:t> </w:t>
            </w:r>
            <w:r>
              <w:rPr>
                <w:rFonts w:ascii="Times New Roman" w:hAnsi="Times New Roman" w:cs="Times New Roman" w:eastAsia="Times New Roman" w:hint="default"/>
                <w:spacing w:val="2"/>
                <w:sz w:val="18"/>
                <w:szCs w:val="18"/>
              </w:rPr>
              <w:t>GL</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27%</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Century </w:t>
            </w:r>
            <w:r>
              <w:rPr>
                <w:rFonts w:ascii="Times New Roman"/>
                <w:spacing w:val="-4"/>
                <w:sz w:val="18"/>
              </w:rPr>
              <w:t>Retail </w:t>
            </w:r>
            <w:r>
              <w:rPr>
                <w:rFonts w:ascii="Times New Roman"/>
                <w:sz w:val="18"/>
              </w:rPr>
              <w:t>Europe</w:t>
            </w:r>
            <w:r>
              <w:rPr>
                <w:rFonts w:ascii="Times New Roman"/>
                <w:spacing w:val="23"/>
                <w:sz w:val="18"/>
              </w:rPr>
              <w:t> </w:t>
            </w:r>
            <w:r>
              <w:rPr>
                <w:rFonts w:ascii="Times New Roman"/>
                <w:spacing w:val="-10"/>
                <w:sz w:val="18"/>
              </w:rPr>
              <w:t>B.V.</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19%-25%</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Century </w:t>
            </w:r>
            <w:r>
              <w:rPr>
                <w:rFonts w:ascii="Times New Roman"/>
                <w:spacing w:val="-3"/>
                <w:sz w:val="18"/>
              </w:rPr>
              <w:t>Link</w:t>
            </w:r>
            <w:r>
              <w:rPr>
                <w:rFonts w:ascii="Times New Roman"/>
                <w:spacing w:val="9"/>
                <w:sz w:val="18"/>
              </w:rPr>
              <w:t> </w:t>
            </w:r>
            <w:r>
              <w:rPr>
                <w:rFonts w:ascii="Times New Roman"/>
                <w:spacing w:val="-3"/>
                <w:sz w:val="18"/>
              </w:rPr>
              <w:t>America</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30%</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税收优惠" w:id="231"/>
      <w:bookmarkEnd w:id="23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增值税</w:t>
      </w:r>
    </w:p>
    <w:p>
      <w:pPr>
        <w:pStyle w:val="Heading6"/>
        <w:spacing w:line="259" w:lineRule="auto" w:before="24"/>
        <w:ind w:right="1122" w:firstLine="420"/>
        <w:jc w:val="both"/>
      </w:pPr>
      <w:r>
        <w:rPr/>
        <w:t>根据财政部、国家税务总局《关于软件产品增值税的通知》（财税〔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号）规定，医惠科技 公司、杭州医惠物联网科技有限公司、杭州简惠信息技术有限公司、医惠科技</w:t>
      </w:r>
      <w:r>
        <w:rPr>
          <w:rFonts w:ascii="Times New Roman" w:hAnsi="Times New Roman" w:cs="Times New Roman" w:eastAsia="Times New Roman" w:hint="default"/>
        </w:rPr>
        <w:t>(</w:t>
      </w:r>
      <w:r>
        <w:rPr/>
        <w:t>苏州</w:t>
      </w:r>
      <w:r>
        <w:rPr>
          <w:rFonts w:ascii="Times New Roman" w:hAnsi="Times New Roman" w:cs="Times New Roman" w:eastAsia="Times New Roman" w:hint="default"/>
        </w:rPr>
        <w:t>)</w:t>
      </w:r>
      <w:r>
        <w:rPr/>
        <w:t>有限公司、杭州医惠</w:t>
      </w:r>
      <w:r>
        <w:rPr>
          <w:spacing w:val="-72"/>
        </w:rPr>
        <w:t> </w:t>
      </w:r>
      <w:r>
        <w:rPr/>
        <w:t>软件有限公司和广州理德物联网科技有限公司自行开发研制的软件产品销售先按</w:t>
      </w:r>
      <w:r>
        <w:rPr>
          <w:rFonts w:ascii="Times New Roman" w:hAnsi="Times New Roman" w:cs="Times New Roman" w:eastAsia="Times New Roman" w:hint="default"/>
        </w:rPr>
        <w:t>16%</w:t>
      </w:r>
      <w:r>
        <w:rPr/>
        <w:t>或</w:t>
      </w:r>
      <w:r>
        <w:rPr>
          <w:rFonts w:ascii="Times New Roman" w:hAnsi="Times New Roman" w:cs="Times New Roman" w:eastAsia="Times New Roman" w:hint="default"/>
        </w:rPr>
        <w:t>13%</w:t>
      </w:r>
      <w:r>
        <w:rPr/>
        <w:t>的税率计缴增</w:t>
      </w:r>
      <w:r>
        <w:rPr>
          <w:spacing w:val="-73"/>
        </w:rPr>
        <w:t> </w:t>
      </w:r>
      <w:r>
        <w:rPr/>
        <w:t>值税，其实际税负超过</w:t>
      </w:r>
      <w:r>
        <w:rPr>
          <w:rFonts w:ascii="Times New Roman" w:hAnsi="Times New Roman" w:cs="Times New Roman" w:eastAsia="Times New Roman" w:hint="default"/>
        </w:rPr>
        <w:t>3%</w:t>
      </w:r>
      <w:r>
        <w:rPr/>
        <w:t>部分经主管国家税务局审核后予以退税。</w:t>
      </w:r>
    </w:p>
    <w:p>
      <w:pPr>
        <w:pStyle w:val="Heading6"/>
        <w:spacing w:line="282" w:lineRule="exact"/>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企业所得税</w:t>
      </w:r>
    </w:p>
    <w:p>
      <w:pPr>
        <w:pStyle w:val="Heading6"/>
        <w:spacing w:line="259" w:lineRule="auto" w:before="24"/>
        <w:ind w:right="1122"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月浙江省科学技术厅、浙江省财政厅、浙江省国家税务局以及浙江省地方税务局颁</w:t>
      </w:r>
      <w:r>
        <w:rPr>
          <w:w w:val="99"/>
        </w:rPr>
        <w:t> </w:t>
      </w:r>
      <w:r>
        <w:rPr/>
        <w:t>布的《高新技术企业证书》，本公司被认定为高新技术企业，资格有效期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2017-2019</w:t>
      </w:r>
      <w:r>
        <w:rPr/>
        <w:t>年企业所得税的</w:t>
      </w:r>
      <w:r>
        <w:rPr>
          <w:w w:val="99"/>
        </w:rPr>
        <w:t> </w:t>
      </w:r>
      <w:r>
        <w:rPr/>
        <w:t>适用税率为</w:t>
      </w:r>
      <w:r>
        <w:rPr>
          <w:rFonts w:ascii="Times New Roman" w:hAnsi="Times New Roman" w:cs="Times New Roman" w:eastAsia="Times New Roman" w:hint="default"/>
        </w:rPr>
        <w:t>15%</w:t>
      </w:r>
      <w:r>
        <w:rPr/>
        <w:t>。</w:t>
      </w:r>
    </w:p>
    <w:p>
      <w:pPr>
        <w:pStyle w:val="Heading6"/>
        <w:spacing w:line="254" w:lineRule="auto" w:before="6"/>
        <w:ind w:right="111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根据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月江苏省科学技术厅、江苏省财政厅、国家税务总局江苏省税务局颁布的《高新技</w:t>
      </w:r>
      <w:r>
        <w:rPr>
          <w:w w:val="99"/>
        </w:rPr>
        <w:t> </w:t>
      </w:r>
      <w:r>
        <w:rPr/>
        <w:t>术企业证书》，上扬无线射频科技扬州有限公司被认定为高新技术企业，资格有效期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2018-2020</w:t>
      </w:r>
      <w:r>
        <w:rPr/>
        <w:t>年企</w:t>
      </w:r>
      <w:r>
        <w:rPr>
          <w:w w:val="99"/>
        </w:rPr>
        <w:t> </w:t>
      </w:r>
      <w:r>
        <w:rPr/>
        <w:t>业所得税的适用税率为</w:t>
      </w:r>
      <w:r>
        <w:rPr>
          <w:rFonts w:ascii="Times New Roman" w:hAnsi="Times New Roman" w:cs="Times New Roman" w:eastAsia="Times New Roman" w:hint="default"/>
        </w:rPr>
        <w:t>15%</w:t>
      </w:r>
      <w:r>
        <w:rPr/>
        <w:t>。</w:t>
      </w:r>
    </w:p>
    <w:p>
      <w:pPr>
        <w:pStyle w:val="Heading6"/>
        <w:spacing w:line="259" w:lineRule="auto" w:before="10"/>
        <w:ind w:right="1116"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根据</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月广东省科学技术厅、广东省财政厅、广东省国家税务局以及广东省地方税务局颁</w:t>
      </w:r>
      <w:r>
        <w:rPr>
          <w:w w:val="99"/>
        </w:rPr>
        <w:t> </w:t>
      </w:r>
      <w:r>
        <w:rPr>
          <w:spacing w:val="6"/>
        </w:rPr>
        <w:t>布的《高新技术企业证书》，广州理德物联网科技有限公司被认定为高新技术企业，资格有效期</w:t>
      </w:r>
      <w:r>
        <w:rPr>
          <w:rFonts w:ascii="Times New Roman" w:hAnsi="Times New Roman" w:cs="Times New Roman" w:eastAsia="Times New Roman" w:hint="default"/>
          <w:spacing w:val="6"/>
        </w:rPr>
        <w:t>3</w:t>
      </w:r>
      <w:r>
        <w:rPr>
          <w:spacing w:val="6"/>
        </w:rPr>
        <w:t>年，</w:t>
      </w:r>
      <w:r>
        <w:rPr>
          <w:spacing w:val="-96"/>
        </w:rPr>
        <w:t> </w:t>
      </w:r>
      <w:r>
        <w:rPr>
          <w:rFonts w:ascii="Times New Roman" w:hAnsi="Times New Roman" w:cs="Times New Roman" w:eastAsia="Times New Roman" w:hint="default"/>
        </w:rPr>
        <w:t>2017-2019</w:t>
      </w:r>
      <w:r>
        <w:rPr/>
        <w:t>年企业所得税的适用税率为</w:t>
      </w:r>
      <w:r>
        <w:rPr>
          <w:rFonts w:ascii="Times New Roman" w:hAnsi="Times New Roman" w:cs="Times New Roman" w:eastAsia="Times New Roman" w:hint="default"/>
        </w:rPr>
        <w:t>15%</w:t>
      </w:r>
      <w:r>
        <w:rPr/>
        <w:t>。</w:t>
      </w:r>
    </w:p>
    <w:p>
      <w:pPr>
        <w:pStyle w:val="Heading6"/>
        <w:spacing w:line="259" w:lineRule="auto"/>
        <w:ind w:right="1116"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月浙江省科学技术厅、浙江省财政厅、国家税务总局浙江省税务局颁布的《高新技</w:t>
      </w:r>
      <w:r>
        <w:rPr>
          <w:w w:val="99"/>
        </w:rPr>
        <w:t> </w:t>
      </w:r>
      <w:r>
        <w:rPr/>
        <w:t>术企业证书》，杭州思创汇联科技有限公司被认定为高新技术企业，资格有效期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2019-2021</w:t>
      </w:r>
      <w:r>
        <w:rPr/>
        <w:t>年企业所</w:t>
      </w:r>
      <w:r>
        <w:rPr>
          <w:w w:val="99"/>
        </w:rPr>
        <w:t> </w:t>
      </w:r>
      <w:r>
        <w:rPr/>
        <w:t>得税的适用税率为</w:t>
      </w:r>
      <w:r>
        <w:rPr>
          <w:rFonts w:ascii="Times New Roman" w:hAnsi="Times New Roman" w:cs="Times New Roman" w:eastAsia="Times New Roman" w:hint="default"/>
        </w:rPr>
        <w:t>15%</w:t>
      </w:r>
      <w:r>
        <w:rPr/>
        <w:t>。</w:t>
      </w:r>
    </w:p>
    <w:p>
      <w:pPr>
        <w:pStyle w:val="Heading6"/>
        <w:spacing w:line="261" w:lineRule="auto" w:before="6"/>
        <w:ind w:right="1083" w:firstLine="420"/>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20"/>
        </w:rPr>
        <w:t> </w:t>
      </w: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月浙江省科学技术厅、浙江省财政厅以及国家税务总局浙江省税务局颁布的《高新</w:t>
      </w:r>
      <w:r>
        <w:rPr>
          <w:w w:val="99"/>
        </w:rPr>
        <w:t> </w:t>
      </w:r>
      <w:r>
        <w:rPr/>
        <w:t>技术企业证书》，杭州医惠物联网科技有限公司和杭州简惠信息技术有限公司被认定为高新技术企业，资</w:t>
      </w:r>
      <w:r>
        <w:rPr>
          <w:w w:val="99"/>
        </w:rPr>
        <w:t> </w:t>
      </w:r>
      <w:r>
        <w:rPr/>
        <w:t>格有效期</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2019-2021</w:t>
      </w:r>
      <w:r>
        <w:rPr/>
        <w:t>年企业所得税的适用税率为</w:t>
      </w:r>
      <w:r>
        <w:rPr>
          <w:rFonts w:ascii="Times New Roman" w:hAnsi="Times New Roman" w:cs="Times New Roman" w:eastAsia="Times New Roman" w:hint="default"/>
        </w:rPr>
        <w:t>15%</w:t>
      </w:r>
      <w:r>
        <w:rPr/>
        <w:t>。</w:t>
      </w:r>
    </w:p>
    <w:p>
      <w:pPr>
        <w:pStyle w:val="Heading6"/>
        <w:spacing w:line="240" w:lineRule="auto" w:before="3"/>
        <w:ind w:left="561" w:right="1086"/>
        <w:jc w:val="left"/>
      </w:pPr>
      <w:r>
        <w:rPr>
          <w:rFonts w:ascii="Times New Roman" w:hAnsi="Times New Roman" w:cs="Times New Roman" w:eastAsia="Times New Roman" w:hint="default"/>
        </w:rPr>
        <w:t>(6) </w:t>
      </w:r>
      <w:r>
        <w:rPr>
          <w:rFonts w:ascii="Times New Roman" w:hAnsi="Times New Roman" w:cs="Times New Roman" w:eastAsia="Times New Roman" w:hint="default"/>
          <w:spacing w:val="38"/>
        </w:rPr>
        <w:t> </w:t>
      </w:r>
      <w:r>
        <w:rPr/>
        <w:t>根据财政部、国家税务总局《关于进一步鼓励软件产业和集成电路产业发展企业所得税政策的通</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56" w:lineRule="auto" w:before="35"/>
        <w:ind w:right="1087"/>
        <w:jc w:val="both"/>
      </w:pPr>
      <w:r>
        <w:rPr/>
        <w:t>知》（财税〔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号）、财政部、国家税务总局、发展改革委、工业和信息化部《关于软件和集成电 </w:t>
      </w:r>
      <w:r>
        <w:rPr>
          <w:spacing w:val="-5"/>
        </w:rPr>
        <w:t>路产业企业所得税优惠政策有关问题的通知》（财税〔</w:t>
      </w:r>
      <w:r>
        <w:rPr>
          <w:rFonts w:ascii="Times New Roman" w:hAnsi="Times New Roman" w:cs="Times New Roman" w:eastAsia="Times New Roman" w:hint="default"/>
          <w:spacing w:val="-5"/>
        </w:rPr>
        <w:t>2016</w:t>
      </w:r>
      <w:r>
        <w:rPr>
          <w:spacing w:val="-5"/>
        </w:rPr>
        <w:t>〕</w:t>
      </w:r>
      <w:r>
        <w:rPr>
          <w:rFonts w:ascii="Times New Roman" w:hAnsi="Times New Roman" w:cs="Times New Roman" w:eastAsia="Times New Roman" w:hint="default"/>
          <w:spacing w:val="-5"/>
        </w:rPr>
        <w:t>49</w:t>
      </w:r>
      <w:r>
        <w:rPr>
          <w:spacing w:val="-5"/>
        </w:rPr>
        <w:t>号）和国家税务总局关于发布修订后的《企</w:t>
      </w:r>
      <w:r>
        <w:rPr>
          <w:spacing w:val="-102"/>
        </w:rPr>
        <w:t> </w:t>
      </w:r>
      <w:r>
        <w:rPr>
          <w:spacing w:val="-102"/>
        </w:rPr>
      </w:r>
      <w:r>
        <w:rPr/>
        <w:t>业所得税优惠政策事项办理办法》的公告</w:t>
      </w:r>
      <w:r>
        <w:rPr>
          <w:rFonts w:ascii="Times New Roman" w:hAnsi="Times New Roman" w:cs="Times New Roman" w:eastAsia="Times New Roman" w:hint="default"/>
        </w:rPr>
        <w:t>(</w:t>
      </w:r>
      <w:r>
        <w:rPr/>
        <w:t>国家税务总局公告</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，医惠科技公司</w:t>
      </w:r>
      <w:r>
        <w:rPr>
          <w:rFonts w:ascii="Times New Roman" w:hAnsi="Times New Roman" w:cs="Times New Roman" w:eastAsia="Times New Roman" w:hint="default"/>
        </w:rPr>
        <w:t>2019</w:t>
      </w:r>
      <w:r>
        <w:rPr/>
        <w:t>年度按重</w:t>
      </w:r>
      <w:r>
        <w:rPr>
          <w:spacing w:val="-71"/>
        </w:rPr>
        <w:t> </w:t>
      </w:r>
      <w:r>
        <w:rPr/>
        <w:t>点软件企业</w:t>
      </w:r>
      <w:r>
        <w:rPr>
          <w:rFonts w:ascii="Times New Roman" w:hAnsi="Times New Roman" w:cs="Times New Roman" w:eastAsia="Times New Roman" w:hint="default"/>
        </w:rPr>
        <w:t>10%</w:t>
      </w:r>
      <w:r>
        <w:rPr/>
        <w:t>的税率缴纳企业所得税。</w:t>
      </w:r>
    </w:p>
    <w:p>
      <w:pPr>
        <w:pStyle w:val="Heading6"/>
        <w:spacing w:line="259" w:lineRule="auto" w:before="8"/>
        <w:ind w:right="993" w:firstLine="420"/>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根据《进一步鼓励软件产业和集成电路产业发展的若干政策》和《软件企业认定标准及管理办法》</w:t>
      </w:r>
      <w:r>
        <w:rPr>
          <w:w w:val="99"/>
        </w:rPr>
        <w:t> </w:t>
      </w:r>
      <w:r>
        <w:rPr/>
        <w:t>的相关规定，杭州医惠软件有限公司于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月被浙江省经济和信息化委员会认定为软件企业，享受两</w:t>
      </w:r>
      <w:r>
        <w:rPr>
          <w:w w:val="99"/>
        </w:rPr>
        <w:t> </w:t>
      </w:r>
      <w:r>
        <w:rPr/>
        <w:t>免三减半的企业所得税优惠政策，</w:t>
      </w:r>
      <w:r>
        <w:rPr>
          <w:rFonts w:ascii="Times New Roman" w:hAnsi="Times New Roman" w:cs="Times New Roman" w:eastAsia="Times New Roman" w:hint="default"/>
        </w:rPr>
        <w:t>2019</w:t>
      </w:r>
      <w:r>
        <w:rPr/>
        <w:t>年为减半期第三年。</w:t>
      </w:r>
    </w:p>
    <w:p>
      <w:pPr>
        <w:pStyle w:val="Heading6"/>
        <w:spacing w:line="256" w:lineRule="auto" w:before="6"/>
        <w:ind w:right="1110" w:firstLine="420"/>
        <w:jc w:val="both"/>
      </w:pPr>
      <w:r>
        <w:rPr>
          <w:rFonts w:ascii="Times New Roman" w:hAnsi="Times New Roman" w:cs="Times New Roman" w:eastAsia="Times New Roman" w:hint="default"/>
          <w:spacing w:val="1"/>
        </w:rPr>
        <w:t>(8)</w:t>
      </w:r>
      <w:r>
        <w:rPr>
          <w:rFonts w:ascii="Times New Roman" w:hAnsi="Times New Roman" w:cs="Times New Roman" w:eastAsia="Times New Roman" w:hint="default"/>
          <w:spacing w:val="49"/>
        </w:rPr>
        <w:t> </w:t>
      </w:r>
      <w:r>
        <w:rPr>
          <w:spacing w:val="-2"/>
        </w:rPr>
        <w:t>根据《财政部税务总局关于实施小微企业普惠性税收减免政策的通知》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、《国</w:t>
      </w:r>
      <w:r>
        <w:rPr>
          <w:w w:val="99"/>
        </w:rPr>
        <w:t> </w:t>
      </w:r>
      <w:r>
        <w:rPr/>
        <w:t>家税务总局关于实施小型微利企业普惠性所得税减免政策有关问题的公告》</w:t>
      </w:r>
      <w:r>
        <w:rPr>
          <w:rFonts w:ascii="Times New Roman" w:hAnsi="Times New Roman" w:cs="Times New Roman" w:eastAsia="Times New Roman" w:hint="default"/>
        </w:rPr>
        <w:t>(</w:t>
      </w:r>
      <w:r>
        <w:rPr/>
        <w:t>国家税务总局公告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2</w:t>
      </w:r>
      <w:r>
        <w:rPr>
          <w:rFonts w:ascii="Times New Roman" w:hAnsi="Times New Roman" w:cs="Times New Roman" w:eastAsia="Times New Roman" w:hint="default"/>
          <w:w w:val="99"/>
        </w:rPr>
        <w:t> </w:t>
      </w:r>
      <w:r>
        <w:rPr>
          <w:spacing w:val="-3"/>
        </w:rPr>
        <w:t>号</w:t>
      </w:r>
      <w:r>
        <w:rPr>
          <w:rFonts w:ascii="Times New Roman" w:hAnsi="Times New Roman" w:cs="Times New Roman" w:eastAsia="Times New Roman" w:hint="default"/>
          <w:spacing w:val="-3"/>
        </w:rPr>
        <w:t>)</w:t>
      </w:r>
      <w:r>
        <w:rPr>
          <w:spacing w:val="-3"/>
        </w:rPr>
        <w:t>，杭州华洁医疗科技有限公司、浙江医洁医疗科技有限公司、杭州医惠织物智能科技有限公司、浙江省</w:t>
      </w:r>
      <w:r>
        <w:rPr>
          <w:spacing w:val="-74"/>
        </w:rPr>
        <w:t> </w:t>
      </w:r>
      <w:r>
        <w:rPr>
          <w:spacing w:val="-74"/>
        </w:rPr>
      </w:r>
      <w:r>
        <w:rPr>
          <w:spacing w:val="-1"/>
        </w:rPr>
        <w:t>华卫智慧医疗研究院符合小型微利企业纳税标准，自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日，其年应纳税所得额</w:t>
      </w:r>
      <w:r>
        <w:rPr>
          <w:spacing w:val="-89"/>
        </w:rPr>
        <w:t> </w:t>
      </w:r>
      <w:r>
        <w:rPr>
          <w:spacing w:val="-89"/>
        </w:rPr>
      </w:r>
      <w:r>
        <w:rPr/>
        <w:t>不超过</w:t>
      </w:r>
      <w:r>
        <w:rPr>
          <w:rFonts w:ascii="Times New Roman" w:hAnsi="Times New Roman" w:cs="Times New Roman" w:eastAsia="Times New Roman" w:hint="default"/>
        </w:rPr>
        <w:t>100.00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的税率计缴企业所得税；对年应纳税所得</w:t>
      </w:r>
      <w:r>
        <w:rPr>
          <w:spacing w:val="-16"/>
        </w:rPr>
        <w:t> </w:t>
      </w:r>
      <w:r>
        <w:rPr>
          <w:spacing w:val="-16"/>
        </w:rPr>
      </w:r>
      <w:r>
        <w:rPr/>
        <w:t>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pStyle w:val="Heading6"/>
        <w:spacing w:line="259" w:lineRule="auto"/>
        <w:ind w:right="1093" w:firstLine="420"/>
        <w:jc w:val="both"/>
      </w:pPr>
      <w:r>
        <w:rPr>
          <w:rFonts w:ascii="Times New Roman" w:hAnsi="Times New Roman" w:cs="Times New Roman" w:eastAsia="Times New Roman" w:hint="default"/>
        </w:rPr>
        <w:t>(9)</w:t>
      </w:r>
      <w:r>
        <w:rPr>
          <w:rFonts w:ascii="Times New Roman" w:hAnsi="Times New Roman" w:cs="Times New Roman" w:eastAsia="Times New Roman" w:hint="default"/>
          <w:spacing w:val="-11"/>
        </w:rPr>
        <w:t> </w:t>
      </w:r>
      <w:r>
        <w:rPr/>
        <w:t>根据香港特别行政区政府税务局于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29</w:t>
      </w:r>
      <w:r>
        <w:rPr/>
        <w:t>日颁布的《</w:t>
      </w:r>
      <w:r>
        <w:rPr>
          <w:rFonts w:ascii="Times New Roman" w:hAnsi="Times New Roman" w:cs="Times New Roman" w:eastAsia="Times New Roman" w:hint="default"/>
        </w:rPr>
        <w:t>2018</w:t>
      </w:r>
      <w:r>
        <w:rPr/>
        <w:t>年税务（修订）</w:t>
      </w:r>
      <w:r>
        <w:rPr>
          <w:rFonts w:ascii="Times New Roman" w:hAnsi="Times New Roman" w:cs="Times New Roman" w:eastAsia="Times New Roman" w:hint="default"/>
        </w:rPr>
        <w:t>(</w:t>
      </w:r>
      <w:r>
        <w:rPr/>
        <w:t>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条例》，自</w:t>
      </w:r>
      <w:r>
        <w:rPr>
          <w:w w:val="99"/>
        </w:rPr>
        <w:t> </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w:t>
      </w:r>
      <w:r>
        <w:rPr>
          <w:spacing w:val="-1"/>
        </w:rPr>
        <w:t>日起开始实行利得税两级制，公司首个</w:t>
      </w:r>
      <w:r>
        <w:rPr>
          <w:rFonts w:ascii="Times New Roman" w:hAnsi="Times New Roman" w:cs="Times New Roman" w:eastAsia="Times New Roman" w:hint="default"/>
          <w:spacing w:val="-1"/>
        </w:rPr>
        <w:t>200</w:t>
      </w:r>
      <w:r>
        <w:rPr>
          <w:spacing w:val="-1"/>
        </w:rPr>
        <w:t>万元利润的所得税税率降至</w:t>
      </w:r>
      <w:r>
        <w:rPr>
          <w:rFonts w:ascii="Times New Roman" w:hAnsi="Times New Roman" w:cs="Times New Roman" w:eastAsia="Times New Roman" w:hint="default"/>
          <w:spacing w:val="-1"/>
        </w:rPr>
        <w:t>8.25%</w:t>
      </w:r>
      <w:r>
        <w:rPr>
          <w:spacing w:val="-1"/>
        </w:rPr>
        <w:t>，其后利润继续按</w:t>
      </w:r>
      <w:r>
        <w:rPr>
          <w:spacing w:val="-79"/>
        </w:rPr>
        <w:t> </w:t>
      </w:r>
      <w:r>
        <w:rPr>
          <w:spacing w:val="-79"/>
        </w:rPr>
      </w:r>
      <w:r>
        <w:rPr/>
        <w:t>照</w:t>
      </w:r>
      <w:r>
        <w:rPr>
          <w:rFonts w:ascii="Times New Roman" w:hAnsi="Times New Roman" w:cs="Times New Roman" w:eastAsia="Times New Roman" w:hint="default"/>
        </w:rPr>
        <w:t>16.5%</w:t>
      </w:r>
      <w:r>
        <w:rPr/>
        <w:t>征税。</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6"/>
          <w:szCs w:val="26"/>
        </w:rPr>
      </w:pPr>
    </w:p>
    <w:p>
      <w:pPr>
        <w:spacing w:line="482" w:lineRule="auto" w:before="0"/>
        <w:ind w:left="141" w:right="7857" w:firstLine="0"/>
        <w:jc w:val="left"/>
        <w:rPr>
          <w:rFonts w:ascii="宋体" w:hAnsi="宋体" w:cs="宋体" w:eastAsia="宋体" w:hint="default"/>
          <w:sz w:val="21"/>
          <w:szCs w:val="21"/>
        </w:rPr>
      </w:pPr>
      <w:bookmarkStart w:name="3、其他" w:id="232"/>
      <w:bookmarkEnd w:id="23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七、合并财务报表项目注释" w:id="233"/>
      <w:bookmarkEnd w:id="233"/>
      <w:r>
        <w:rPr>
          <w:rFonts w:ascii="宋体" w:hAnsi="宋体" w:cs="宋体" w:eastAsia="宋体" w:hint="default"/>
          <w:b/>
          <w:bCs/>
          <w:w w:val="99"/>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货币资金" w:id="234"/>
      <w:bookmarkEnd w:id="234"/>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318,425.37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180,763.84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504,670,371.73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467,864,678.74</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27,085,305.50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14,748,701.32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532,074,102.60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482,794,143.90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21,479,350.73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31,473,841.60</w:t>
            </w:r>
          </w:p>
        </w:tc>
      </w:tr>
      <w:tr>
        <w:trPr>
          <w:trHeight w:val="7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89" w:firstLine="721"/>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ind w:right="0"/>
        <w:jc w:val="both"/>
      </w:pPr>
      <w:r>
        <w:rPr/>
        <w:t>其他说明</w:t>
      </w:r>
    </w:p>
    <w:p>
      <w:pPr>
        <w:pStyle w:val="Heading6"/>
        <w:spacing w:line="259" w:lineRule="auto" w:before="90"/>
        <w:ind w:right="1096"/>
        <w:jc w:val="both"/>
      </w:pPr>
      <w:r>
        <w:rPr/>
        <w:t>其他货币资金期末数中含保函保证金</w:t>
      </w:r>
      <w:r>
        <w:rPr>
          <w:rFonts w:ascii="Times New Roman" w:hAnsi="Times New Roman" w:cs="Times New Roman" w:eastAsia="Times New Roman" w:hint="default"/>
        </w:rPr>
        <w:t>1,420,417.44</w:t>
      </w:r>
      <w:r>
        <w:rPr/>
        <w:t>元，贷款保证金</w:t>
      </w:r>
      <w:r>
        <w:rPr>
          <w:rFonts w:ascii="Times New Roman" w:hAnsi="Times New Roman" w:cs="Times New Roman" w:eastAsia="Times New Roman" w:hint="default"/>
        </w:rPr>
        <w:t>1,744,050.00</w:t>
      </w:r>
      <w:r>
        <w:rPr/>
        <w:t>元，锁汇保证金</w:t>
      </w:r>
      <w:r>
        <w:rPr>
          <w:rFonts w:ascii="Times New Roman" w:hAnsi="Times New Roman" w:cs="Times New Roman" w:eastAsia="Times New Roman" w:hint="default"/>
        </w:rPr>
        <w:t>2,332,869.99</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3"/>
        </w:rPr>
        <w:t>元，承兑汇票保证金</w:t>
      </w:r>
      <w:r>
        <w:rPr>
          <w:rFonts w:ascii="Times New Roman" w:hAnsi="Times New Roman" w:cs="Times New Roman" w:eastAsia="Times New Roman" w:hint="default"/>
          <w:spacing w:val="-3"/>
        </w:rPr>
        <w:t>21,572,980.75</w:t>
      </w:r>
      <w:r>
        <w:rPr>
          <w:spacing w:val="-3"/>
        </w:rPr>
        <w:t>元，期初数中含保函保证金</w:t>
      </w:r>
      <w:r>
        <w:rPr>
          <w:rFonts w:ascii="Times New Roman" w:hAnsi="Times New Roman" w:cs="Times New Roman" w:eastAsia="Times New Roman" w:hint="default"/>
          <w:spacing w:val="-3"/>
        </w:rPr>
        <w:t>1,979,000.30</w:t>
      </w:r>
      <w:r>
        <w:rPr>
          <w:spacing w:val="-3"/>
        </w:rPr>
        <w:t>元，承兑汇票保证金</w:t>
      </w:r>
      <w:r>
        <w:rPr>
          <w:rFonts w:ascii="Times New Roman" w:hAnsi="Times New Roman" w:cs="Times New Roman" w:eastAsia="Times New Roman" w:hint="default"/>
          <w:spacing w:val="-3"/>
        </w:rPr>
        <w:t>12,656,550.00</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元。</w:t>
      </w:r>
    </w:p>
    <w:p>
      <w:pPr>
        <w:spacing w:line="240" w:lineRule="auto" w:before="10"/>
        <w:rPr>
          <w:rFonts w:ascii="宋体" w:hAnsi="宋体" w:cs="宋体" w:eastAsia="宋体" w:hint="default"/>
          <w:sz w:val="24"/>
          <w:szCs w:val="24"/>
        </w:rPr>
      </w:pPr>
    </w:p>
    <w:p>
      <w:pPr>
        <w:pStyle w:val="Heading5"/>
        <w:spacing w:line="240" w:lineRule="auto"/>
        <w:ind w:right="0"/>
        <w:jc w:val="both"/>
        <w:rPr>
          <w:b w:val="0"/>
          <w:bCs w:val="0"/>
        </w:rPr>
      </w:pPr>
      <w:bookmarkStart w:name="2、交易性金融资产" w:id="235"/>
      <w:bookmarkEnd w:id="235"/>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72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7"/>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18,740,100.68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9,740,100.68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18,740,100.68</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衍生金融资产" w:id="236"/>
      <w:bookmarkEnd w:id="23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1086"/>
        <w:jc w:val="left"/>
        <w:rPr>
          <w:b w:val="0"/>
          <w:bCs w:val="0"/>
        </w:rPr>
      </w:pPr>
      <w:bookmarkStart w:name="4、应收票据" w:id="237"/>
      <w:bookmarkEnd w:id="237"/>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应收票据分类列示" w:id="238"/>
      <w:bookmarkEnd w:id="238"/>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1,112,503.48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706,587.42</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1,112,503.48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706,587.42</w:t>
            </w:r>
          </w:p>
        </w:tc>
      </w:tr>
    </w:tbl>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932"/>
        <w:gridCol w:w="796"/>
        <w:gridCol w:w="796"/>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7"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2"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7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6"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2"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73"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2"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备的应收票据</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1,112,50</w:t>
            </w:r>
          </w:p>
          <w:p>
            <w:pPr>
              <w:pStyle w:val="TableParagraph"/>
              <w:spacing w:line="240" w:lineRule="auto" w:before="108"/>
              <w:ind w:left="397" w:right="0"/>
              <w:jc w:val="left"/>
              <w:rPr>
                <w:rFonts w:ascii="Times New Roman" w:hAnsi="Times New Roman" w:cs="Times New Roman" w:eastAsia="Times New Roman" w:hint="default"/>
                <w:sz w:val="18"/>
                <w:szCs w:val="18"/>
              </w:rPr>
            </w:pPr>
            <w:r>
              <w:rPr>
                <w:rFonts w:ascii="Times New Roman"/>
                <w:sz w:val="18"/>
              </w:rPr>
              <w:t>3.48</w:t>
            </w: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1,112,503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706,587.4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706,587.4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1,112,50</w:t>
            </w:r>
          </w:p>
          <w:p>
            <w:pPr>
              <w:pStyle w:val="TableParagraph"/>
              <w:spacing w:line="240" w:lineRule="auto" w:before="93"/>
              <w:ind w:left="405" w:right="0"/>
              <w:jc w:val="left"/>
              <w:rPr>
                <w:rFonts w:ascii="Times New Roman" w:hAnsi="Times New Roman" w:cs="Times New Roman" w:eastAsia="Times New Roman" w:hint="default"/>
                <w:sz w:val="18"/>
                <w:szCs w:val="18"/>
              </w:rPr>
            </w:pPr>
            <w:r>
              <w:rPr>
                <w:rFonts w:ascii="Times New Roman"/>
                <w:sz w:val="18"/>
              </w:rPr>
              <w:t>3.48</w:t>
            </w: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1,112,503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706,587.4</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706,587.4</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2</w:t>
            </w: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1,112,50</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3.48</w:t>
            </w: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1,112,503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.48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706,587.4</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w:t>
            </w:r>
          </w:p>
        </w:tc>
        <w:tc>
          <w:tcPr>
            <w:tcW w:w="796" w:type="dxa"/>
            <w:tcBorders>
              <w:top w:val="single" w:sz="6" w:space="0" w:color="000000"/>
              <w:left w:val="single" w:sz="6" w:space="0" w:color="000000"/>
              <w:bottom w:val="single" w:sz="6" w:space="0" w:color="000000"/>
              <w:right w:val="single" w:sz="6" w:space="0" w:color="000000"/>
            </w:tcBorders>
          </w:tcPr>
          <w:p>
            <w:pPr/>
          </w:p>
        </w:tc>
        <w:tc>
          <w:tcPr>
            <w:tcW w:w="932"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706,587.4</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ind w:right="1086"/>
        <w:jc w:val="left"/>
      </w:pPr>
      <w:r>
        <w:rPr/>
        <w:t>按单项计提坏账准备：</w:t>
      </w:r>
    </w:p>
    <w:p>
      <w:pPr>
        <w:pStyle w:val="BodyText"/>
        <w:spacing w:line="240" w:lineRule="auto" w:before="110"/>
        <w:ind w:left="0" w:right="1109"/>
        <w:jc w:val="right"/>
      </w:pPr>
      <w:r>
        <w:rPr/>
        <w:t>单位： 元</w:t>
      </w:r>
    </w:p>
    <w:p>
      <w:pPr>
        <w:spacing w:after="0" w:line="240" w:lineRule="auto"/>
        <w:jc w:val="righ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9"/>
        <w:ind w:right="1086"/>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1,112,503.48</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26" w:right="0"/>
              <w:jc w:val="left"/>
              <w:rPr>
                <w:rFonts w:ascii="Times New Roman" w:hAnsi="Times New Roman" w:cs="Times New Roman" w:eastAsia="Times New Roman" w:hint="default"/>
                <w:sz w:val="18"/>
                <w:szCs w:val="18"/>
              </w:rPr>
            </w:pPr>
            <w:r>
              <w:rPr>
                <w:rFonts w:ascii="Times New Roman"/>
                <w:sz w:val="18"/>
              </w:rPr>
              <w:t>1,112,503.48</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8769"/>
        <w:jc w:val="left"/>
      </w:pPr>
      <w:r>
        <w:rPr/>
        <w:t>确定该组合依据的说明： 按组合计提坏账准备：</w:t>
      </w:r>
    </w:p>
    <w:p>
      <w:pPr>
        <w:pStyle w:val="BodyText"/>
        <w:spacing w:line="240" w:lineRule="auto" w:before="42"/>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ind w:right="1749"/>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55"/>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7"/>
        <w:rPr>
          <w:rFonts w:ascii="宋体" w:hAnsi="宋体" w:cs="宋体" w:eastAsia="宋体" w:hint="default"/>
          <w:sz w:val="26"/>
          <w:szCs w:val="26"/>
        </w:rPr>
      </w:pPr>
    </w:p>
    <w:p>
      <w:pPr>
        <w:pStyle w:val="Heading5"/>
        <w:spacing w:line="240" w:lineRule="auto"/>
        <w:ind w:right="1086"/>
        <w:jc w:val="left"/>
        <w:rPr>
          <w:b w:val="0"/>
          <w:bCs w:val="0"/>
        </w:rPr>
      </w:pPr>
      <w:bookmarkStart w:name="（2）本期计提、收回或转回的坏账准备情况" w:id="239"/>
      <w:bookmarkEnd w:id="23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1086"/>
        <w:jc w:val="left"/>
      </w:pPr>
      <w:r>
        <w:rPr/>
        <w:t>本期计提坏账准备情况：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ind w:right="1086"/>
        <w:jc w:val="left"/>
      </w:pPr>
      <w:r>
        <w:rPr/>
        <w:t>其中本期坏账准备收回或转回金额重要的：</w:t>
      </w:r>
    </w:p>
    <w:p>
      <w:pPr>
        <w:pStyle w:val="BodyText"/>
        <w:spacing w:line="240" w:lineRule="auto" w:before="125"/>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3）期末公司已质押的应收票据" w:id="240"/>
      <w:bookmarkEnd w:id="240"/>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4）期末公司已背书或贴现且在资产负债表日尚未到期的应收票据" w:id="241"/>
      <w:bookmarkEnd w:id="241"/>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5）期末公司因出票人未履约而将其转应收账款的票据" w:id="242"/>
      <w:bookmarkEnd w:id="242"/>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62"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6）本期实际核销的应收票据情况" w:id="243"/>
      <w:bookmarkEnd w:id="243"/>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ind w:right="1086"/>
        <w:jc w:val="left"/>
      </w:pPr>
      <w:r>
        <w:rPr/>
        <w:t>其中重要的应收票据核销情况：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ind w:right="1086"/>
        <w:jc w:val="left"/>
      </w:pPr>
      <w:r>
        <w:rPr/>
        <w:t>应收票据核销说明：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5、应收账款" w:id="244"/>
      <w:bookmarkEnd w:id="244"/>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应收账款分类披露" w:id="245"/>
      <w:bookmarkEnd w:id="24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7"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26,589,8</w:t>
            </w:r>
          </w:p>
          <w:p>
            <w:pPr>
              <w:pStyle w:val="TableParagraph"/>
              <w:spacing w:line="240" w:lineRule="auto" w:before="108"/>
              <w:ind w:left="307" w:right="0"/>
              <w:jc w:val="left"/>
              <w:rPr>
                <w:rFonts w:ascii="Times New Roman" w:hAnsi="Times New Roman" w:cs="Times New Roman" w:eastAsia="Times New Roman" w:hint="default"/>
                <w:sz w:val="18"/>
                <w:szCs w:val="18"/>
              </w:rPr>
            </w:pPr>
            <w:r>
              <w:rPr>
                <w:rFonts w:ascii="Times New Roman"/>
                <w:sz w:val="18"/>
              </w:rPr>
              <w:t>57.02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20,987,2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57.13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78.93%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5,602,599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26,076,18</w:t>
            </w:r>
          </w:p>
          <w:p>
            <w:pPr>
              <w:pStyle w:val="TableParagraph"/>
              <w:spacing w:line="240" w:lineRule="auto" w:before="108"/>
              <w:ind w:left="420" w:right="0"/>
              <w:jc w:val="left"/>
              <w:rPr>
                <w:rFonts w:ascii="Times New Roman" w:hAnsi="Times New Roman" w:cs="Times New Roman" w:eastAsia="Times New Roman" w:hint="default"/>
                <w:sz w:val="18"/>
                <w:szCs w:val="18"/>
              </w:rPr>
            </w:pPr>
            <w:r>
              <w:rPr>
                <w:rFonts w:ascii="Times New Roman"/>
                <w:sz w:val="18"/>
              </w:rPr>
              <w:t>4.45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2.88%</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13,950,11</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5.83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53.50%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12,126,068.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62</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2" w:right="0"/>
              <w:jc w:val="left"/>
              <w:rPr>
                <w:rFonts w:ascii="Times New Roman" w:hAnsi="Times New Roman" w:cs="Times New Roman" w:eastAsia="Times New Roman" w:hint="default"/>
                <w:sz w:val="18"/>
                <w:szCs w:val="18"/>
              </w:rPr>
            </w:pPr>
            <w:r>
              <w:rPr>
                <w:rFonts w:ascii="Times New Roman"/>
                <w:sz w:val="18"/>
              </w:rPr>
              <w:t>1,218,00</w:t>
            </w:r>
          </w:p>
          <w:p>
            <w:pPr>
              <w:pStyle w:val="TableParagraph"/>
              <w:spacing w:line="240" w:lineRule="auto" w:before="108"/>
              <w:ind w:left="82" w:right="0"/>
              <w:jc w:val="left"/>
              <w:rPr>
                <w:rFonts w:ascii="Times New Roman" w:hAnsi="Times New Roman" w:cs="Times New Roman" w:eastAsia="Times New Roman" w:hint="default"/>
                <w:sz w:val="18"/>
                <w:szCs w:val="18"/>
              </w:rPr>
            </w:pPr>
            <w:r>
              <w:rPr>
                <w:rFonts w:ascii="Times New Roman"/>
                <w:sz w:val="18"/>
              </w:rPr>
              <w:t>1,484.30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97.86%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center"/>
              <w:rPr>
                <w:rFonts w:ascii="Times New Roman" w:hAnsi="Times New Roman" w:cs="Times New Roman" w:eastAsia="Times New Roman" w:hint="default"/>
                <w:sz w:val="18"/>
                <w:szCs w:val="18"/>
              </w:rPr>
            </w:pPr>
            <w:r>
              <w:rPr>
                <w:rFonts w:ascii="Times New Roman"/>
                <w:sz w:val="18"/>
              </w:rPr>
              <w:t>166,395,</w:t>
            </w:r>
          </w:p>
          <w:p>
            <w:pPr>
              <w:pStyle w:val="TableParagraph"/>
              <w:spacing w:line="240" w:lineRule="auto" w:before="108"/>
              <w:ind w:left="208" w:right="0"/>
              <w:jc w:val="center"/>
              <w:rPr>
                <w:rFonts w:ascii="Times New Roman" w:hAnsi="Times New Roman" w:cs="Times New Roman" w:eastAsia="Times New Roman" w:hint="default"/>
                <w:sz w:val="18"/>
                <w:szCs w:val="18"/>
              </w:rPr>
            </w:pPr>
            <w:r>
              <w:rPr>
                <w:rFonts w:ascii="Times New Roman"/>
                <w:sz w:val="18"/>
              </w:rPr>
              <w:t>720.93</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13.66%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1,051,605</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,763.37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879,922,0</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71.64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97.12%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116,347,2</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03.34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13.22%</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763,574,86</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8.30</w:t>
            </w:r>
          </w:p>
        </w:tc>
      </w:tr>
      <w:tr>
        <w:trPr>
          <w:trHeight w:val="4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1,244,59</w:t>
            </w:r>
          </w:p>
          <w:p>
            <w:pPr>
              <w:pStyle w:val="TableParagraph"/>
              <w:spacing w:line="240" w:lineRule="auto" w:before="93"/>
              <w:ind w:left="82" w:right="0"/>
              <w:jc w:val="left"/>
              <w:rPr>
                <w:rFonts w:ascii="Times New Roman" w:hAnsi="Times New Roman" w:cs="Times New Roman" w:eastAsia="Times New Roman" w:hint="default"/>
                <w:sz w:val="18"/>
                <w:szCs w:val="18"/>
              </w:rPr>
            </w:pPr>
            <w:r>
              <w:rPr>
                <w:rFonts w:ascii="Times New Roman"/>
                <w:sz w:val="18"/>
              </w:rPr>
              <w:t>1,341.32</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187,382,</w:t>
            </w:r>
          </w:p>
          <w:p>
            <w:pPr>
              <w:pStyle w:val="TableParagraph"/>
              <w:spacing w:line="240" w:lineRule="auto" w:before="93"/>
              <w:ind w:left="208" w:right="0"/>
              <w:jc w:val="center"/>
              <w:rPr>
                <w:rFonts w:ascii="Times New Roman" w:hAnsi="Times New Roman" w:cs="Times New Roman" w:eastAsia="Times New Roman" w:hint="default"/>
                <w:sz w:val="18"/>
                <w:szCs w:val="18"/>
              </w:rPr>
            </w:pPr>
            <w:r>
              <w:rPr>
                <w:rFonts w:ascii="Times New Roman"/>
                <w:sz w:val="18"/>
              </w:rPr>
              <w:t>978.06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1,057,208</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,363.26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905,998,2</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56.09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130,297,3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19.17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14.38%</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775,700,93</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6.92</w:t>
            </w:r>
          </w:p>
        </w:tc>
      </w:tr>
    </w:tbl>
    <w:p>
      <w:pPr>
        <w:pStyle w:val="BodyText"/>
        <w:spacing w:line="240" w:lineRule="auto" w:before="60"/>
        <w:ind w:right="1086"/>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20,987,257.13</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907"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357" w:lineRule="auto"/>
              <w:ind w:left="15" w:right="551"/>
              <w:jc w:val="left"/>
              <w:rPr>
                <w:rFonts w:ascii="Times New Roman" w:hAnsi="Times New Roman" w:cs="Times New Roman" w:eastAsia="Times New Roman" w:hint="default"/>
                <w:sz w:val="18"/>
                <w:szCs w:val="18"/>
              </w:rPr>
            </w:pPr>
            <w:r>
              <w:rPr>
                <w:rFonts w:ascii="Times New Roman"/>
                <w:sz w:val="18"/>
              </w:rPr>
              <w:t>UNIVERSAL </w:t>
            </w:r>
            <w:r>
              <w:rPr>
                <w:rFonts w:ascii="Times New Roman"/>
                <w:spacing w:val="-3"/>
                <w:sz w:val="18"/>
              </w:rPr>
              <w:t>SURVEILLANCE</w:t>
            </w:r>
            <w:r>
              <w:rPr>
                <w:rFonts w:ascii="Times New Roman"/>
                <w:spacing w:val="-36"/>
                <w:sz w:val="18"/>
              </w:rPr>
              <w:t> </w:t>
            </w:r>
            <w:r>
              <w:rPr>
                <w:rFonts w:ascii="Times New Roman"/>
                <w:spacing w:val="-36"/>
                <w:sz w:val="18"/>
              </w:rPr>
            </w:r>
            <w:r>
              <w:rPr>
                <w:rFonts w:ascii="Times New Roman"/>
                <w:sz w:val="18"/>
              </w:rPr>
              <w:t>SYSTEMS</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841" w:right="0"/>
              <w:jc w:val="left"/>
              <w:rPr>
                <w:rFonts w:ascii="Times New Roman" w:hAnsi="Times New Roman" w:cs="Times New Roman" w:eastAsia="Times New Roman" w:hint="default"/>
                <w:sz w:val="18"/>
                <w:szCs w:val="18"/>
              </w:rPr>
            </w:pPr>
            <w:r>
              <w:rPr>
                <w:rFonts w:ascii="Times New Roman"/>
                <w:sz w:val="18"/>
              </w:rPr>
              <w:t>26,589,857.02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856" w:right="0"/>
              <w:jc w:val="left"/>
              <w:rPr>
                <w:rFonts w:ascii="Times New Roman" w:hAnsi="Times New Roman" w:cs="Times New Roman" w:eastAsia="Times New Roman" w:hint="default"/>
                <w:sz w:val="18"/>
                <w:szCs w:val="18"/>
              </w:rPr>
            </w:pPr>
            <w:r>
              <w:rPr>
                <w:rFonts w:ascii="Times New Roman"/>
                <w:sz w:val="18"/>
              </w:rPr>
              <w:t>20,987,257.13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13"/>
              <w:jc w:val="right"/>
              <w:rPr>
                <w:rFonts w:ascii="Times New Roman" w:hAnsi="Times New Roman" w:cs="Times New Roman" w:eastAsia="Times New Roman" w:hint="default"/>
                <w:sz w:val="18"/>
                <w:szCs w:val="18"/>
              </w:rPr>
            </w:pPr>
            <w:r>
              <w:rPr>
                <w:rFonts w:ascii="Times New Roman"/>
                <w:w w:val="95"/>
                <w:sz w:val="18"/>
              </w:rPr>
              <w:t>78.93%</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30"/>
              <w:ind w:left="30" w:right="73"/>
              <w:jc w:val="left"/>
              <w:rPr>
                <w:rFonts w:ascii="宋体" w:hAnsi="宋体" w:cs="宋体" w:eastAsia="宋体" w:hint="default"/>
                <w:sz w:val="18"/>
                <w:szCs w:val="18"/>
              </w:rPr>
            </w:pPr>
            <w:r>
              <w:rPr>
                <w:rFonts w:ascii="宋体" w:hAnsi="宋体" w:cs="宋体" w:eastAsia="宋体" w:hint="default"/>
                <w:sz w:val="18"/>
                <w:szCs w:val="18"/>
              </w:rPr>
              <w:t>根据相关合作协议，对 应收该客户款项 </w:t>
            </w:r>
            <w:r>
              <w:rPr>
                <w:rFonts w:ascii="Times New Roman" w:hAnsi="Times New Roman" w:cs="Times New Roman" w:eastAsia="Times New Roman" w:hint="default"/>
                <w:sz w:val="18"/>
                <w:szCs w:val="18"/>
              </w:rPr>
              <w:t>26,589,857.02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元按预计</w:t>
            </w:r>
          </w:p>
          <w:p>
            <w:pPr>
              <w:pStyle w:val="TableParagraph"/>
              <w:spacing w:line="198" w:lineRule="exact"/>
              <w:ind w:left="30" w:right="0"/>
              <w:jc w:val="left"/>
              <w:rPr>
                <w:rFonts w:ascii="宋体" w:hAnsi="宋体" w:cs="宋体" w:eastAsia="宋体" w:hint="default"/>
                <w:sz w:val="18"/>
                <w:szCs w:val="18"/>
              </w:rPr>
            </w:pPr>
            <w:r>
              <w:rPr>
                <w:rFonts w:ascii="宋体" w:hAnsi="宋体" w:cs="宋体" w:eastAsia="宋体" w:hint="default"/>
                <w:sz w:val="18"/>
                <w:szCs w:val="18"/>
              </w:rPr>
              <w:t>未来现金流量现值低于</w:t>
            </w:r>
          </w:p>
          <w:p>
            <w:pPr>
              <w:pStyle w:val="TableParagraph"/>
              <w:spacing w:line="336" w:lineRule="auto" w:before="80"/>
              <w:ind w:left="30" w:right="75"/>
              <w:jc w:val="left"/>
              <w:rPr>
                <w:rFonts w:ascii="Times New Roman" w:hAnsi="Times New Roman" w:cs="Times New Roman" w:eastAsia="Times New Roman" w:hint="default"/>
                <w:sz w:val="18"/>
                <w:szCs w:val="18"/>
              </w:rPr>
            </w:pPr>
            <w:r>
              <w:rPr>
                <w:rFonts w:ascii="宋体" w:hAnsi="宋体" w:cs="宋体" w:eastAsia="宋体" w:hint="default"/>
                <w:sz w:val="18"/>
                <w:szCs w:val="18"/>
              </w:rPr>
              <w:t>账面价值的差额计提坏 账准备</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20,987,257.13</w:t>
            </w:r>
          </w:p>
        </w:tc>
      </w:tr>
    </w:tbl>
    <w:p>
      <w:pPr>
        <w:spacing w:after="0" w:line="336" w:lineRule="auto"/>
        <w:jc w:val="lef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60" w:hRule="exact"/>
        </w:trPr>
        <w:tc>
          <w:tcPr>
            <w:tcW w:w="1922"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元。</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1" w:right="0"/>
              <w:jc w:val="left"/>
              <w:rPr>
                <w:rFonts w:ascii="Times New Roman" w:hAnsi="Times New Roman" w:cs="Times New Roman" w:eastAsia="Times New Roman" w:hint="default"/>
                <w:sz w:val="18"/>
                <w:szCs w:val="18"/>
              </w:rPr>
            </w:pPr>
            <w:r>
              <w:rPr>
                <w:rFonts w:ascii="Times New Roman"/>
                <w:sz w:val="18"/>
              </w:rPr>
              <w:t>26,589,857.02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56" w:right="0"/>
              <w:jc w:val="left"/>
              <w:rPr>
                <w:rFonts w:ascii="Times New Roman" w:hAnsi="Times New Roman" w:cs="Times New Roman" w:eastAsia="Times New Roman" w:hint="default"/>
                <w:sz w:val="18"/>
                <w:szCs w:val="18"/>
              </w:rPr>
            </w:pPr>
            <w:r>
              <w:rPr>
                <w:rFonts w:ascii="Times New Roman"/>
                <w:sz w:val="18"/>
              </w:rPr>
              <w:t>20,987,257.13</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1086"/>
        <w:jc w:val="left"/>
      </w:pPr>
      <w:r>
        <w:rPr/>
        <w:t>按单项计提坏账准备：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9"/>
        <w:ind w:right="1086"/>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166,395,720.94</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商业智能业务账龄组合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224,106,513.50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12,112,648.61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5.40%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智慧医疗业务账龄组合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993,894,970.80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154,283,072.33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15.52%</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1,218,001,484.30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166,395,720.94</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866" w:footer="981" w:top="1120" w:bottom="1180" w:left="1000" w:right="0"/>
        </w:sectPr>
      </w:pPr>
    </w:p>
    <w:p>
      <w:pPr>
        <w:pStyle w:val="BodyText"/>
        <w:spacing w:line="352" w:lineRule="auto"/>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2122" w:space="672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ind w:right="1749"/>
        <w:jc w:val="left"/>
      </w:pPr>
      <w:r>
        <w:rPr/>
        <w:t>确定该组合依据的说明： 如是按照预期信用损失一般模型计提应收账款坏账准备，请参照其他应收款的披露方式披露坏账准备的相关信息：</w:t>
      </w:r>
    </w:p>
    <w:p>
      <w:pPr>
        <w:pStyle w:val="BodyText"/>
        <w:spacing w:line="316" w:lineRule="auto" w:before="55"/>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67"/>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794,851,744.21</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230,210,675.79</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111,703,374.83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107,825,546.49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51,491,149.96</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21,122,793.77</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35,211,602.76</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1,244,591,341.32</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本期计提、收回或转回的坏账准备情况" w:id="246"/>
      <w:bookmarkEnd w:id="246"/>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本期计提坏账准备情况：</w:t>
      </w:r>
    </w:p>
    <w:p>
      <w:pPr>
        <w:spacing w:after="0" w:line="240" w:lineRule="auto"/>
        <w:jc w:val="left"/>
        <w:sectPr>
          <w:type w:val="continuous"/>
          <w:pgSz w:w="11910" w:h="16850"/>
          <w:pgMar w:top="1040" w:bottom="1180" w:left="1000" w:right="0"/>
        </w:sectPr>
      </w:pPr>
    </w:p>
    <w:p>
      <w:pPr>
        <w:spacing w:line="240" w:lineRule="auto" w:before="9"/>
        <w:rPr>
          <w:rFonts w:ascii="宋体" w:hAnsi="宋体" w:cs="宋体" w:eastAsia="宋体" w:hint="default"/>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单项计提坏账准 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13,950,115.83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7,037,141.30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20,987,257.13</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116,347,203.34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51,349,918.30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377,182.72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924,217.99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166,395,720.93</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130,297,319.17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58,387,059.60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377,182.72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924,217.99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187,382,978.06</w:t>
            </w:r>
          </w:p>
        </w:tc>
      </w:tr>
    </w:tbl>
    <w:p>
      <w:pPr>
        <w:pStyle w:val="BodyText"/>
        <w:spacing w:line="240" w:lineRule="auto"/>
        <w:ind w:right="1086"/>
        <w:jc w:val="left"/>
      </w:pPr>
      <w:r>
        <w:rPr/>
        <w:t>其中本期坏账准备收回或转回金额重要的：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6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本期实际核销的应收账款情况" w:id="247"/>
      <w:bookmarkEnd w:id="24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应收货款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377,182.72</w:t>
            </w:r>
          </w:p>
        </w:tc>
      </w:tr>
    </w:tbl>
    <w:p>
      <w:pPr>
        <w:pStyle w:val="BodyText"/>
        <w:spacing w:line="240" w:lineRule="auto" w:before="45"/>
        <w:ind w:right="1086"/>
        <w:jc w:val="left"/>
      </w:pPr>
      <w:r>
        <w:rPr/>
        <w:t>其中重要的应收账款核销情况：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1086"/>
        <w:jc w:val="left"/>
      </w:pPr>
      <w:r>
        <w:rPr/>
        <w:t>应收账款核销说明：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按欠款方归集的期末余额前五名的应收账款情况" w:id="248"/>
      <w:bookmarkEnd w:id="24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2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32,726,072.51</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1,983,718.95</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28,273,310.00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2.27%</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2,240,401.00</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26,877,152.09</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2.16%</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1,343,857.60</w:t>
            </w:r>
          </w:p>
        </w:tc>
      </w:tr>
      <w:tr>
        <w:trPr>
          <w:trHeight w:val="406"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26,589,857.02</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20,987,257.13</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23,458,320.00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1.88%</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1,172,916.00</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137,924,711.62</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11.08%</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5）因金融资产转移而终止确认的应收账款" w:id="249"/>
      <w:bookmarkEnd w:id="24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6）转移应收账款且继续涉入形成的资产、负债金额" w:id="250"/>
      <w:bookmarkEnd w:id="25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6、应收款项融资" w:id="251"/>
      <w:bookmarkEnd w:id="251"/>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25"/>
              <w:jc w:val="right"/>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1,031,468.48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2,502,954.35</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25"/>
              <w:jc w:val="righ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1,031,468.48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2,502,954.35</w:t>
            </w:r>
          </w:p>
        </w:tc>
      </w:tr>
    </w:tbl>
    <w:p>
      <w:pPr>
        <w:pStyle w:val="BodyText"/>
        <w:spacing w:line="240" w:lineRule="auto"/>
        <w:ind w:right="1086"/>
        <w:jc w:val="left"/>
      </w:pPr>
      <w:r>
        <w:rPr/>
        <w:t>应收款项融资本期增减变动及公允价值变动情况</w:t>
      </w:r>
    </w:p>
    <w:p>
      <w:pPr>
        <w:pStyle w:val="BodyText"/>
        <w:spacing w:line="331" w:lineRule="auto" w:before="125"/>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如是按照预期信用损失一般模型计提应收款项融资减值准备，请参照其他应收款的披露方式披露减值准备的相关信息：</w:t>
      </w:r>
    </w:p>
    <w:p>
      <w:pPr>
        <w:pStyle w:val="BodyText"/>
        <w:spacing w:line="333" w:lineRule="auto" w:before="56"/>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4"/>
        <w:rPr>
          <w:rFonts w:ascii="宋体" w:hAnsi="宋体" w:cs="宋体" w:eastAsia="宋体" w:hint="default"/>
          <w:sz w:val="23"/>
          <w:szCs w:val="23"/>
        </w:rPr>
      </w:pPr>
    </w:p>
    <w:p>
      <w:pPr>
        <w:pStyle w:val="Heading5"/>
        <w:spacing w:line="240" w:lineRule="auto"/>
        <w:ind w:right="1086"/>
        <w:jc w:val="left"/>
        <w:rPr>
          <w:b w:val="0"/>
          <w:bCs w:val="0"/>
        </w:rPr>
      </w:pPr>
      <w:bookmarkStart w:name="7、预付款项" w:id="252"/>
      <w:bookmarkEnd w:id="252"/>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预付款项按账龄列示" w:id="253"/>
      <w:bookmarkEnd w:id="25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203" w:hRule="exact"/>
        </w:trPr>
        <w:tc>
          <w:tcPr>
            <w:tcW w:w="18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8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89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52"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892" w:type="dxa"/>
            <w:vMerge/>
            <w:tcBorders>
              <w:left w:val="single" w:sz="6" w:space="0" w:color="000000"/>
              <w:bottom w:val="nil" w:sz="6" w:space="0" w:color="auto"/>
              <w:right w:val="single" w:sz="6" w:space="0" w:color="000000"/>
            </w:tcBorders>
            <w:shd w:val="clear" w:color="auto" w:fill="D2D2D2"/>
          </w:tcPr>
          <w:p>
            <w:pPr/>
          </w:p>
        </w:tc>
        <w:tc>
          <w:tcPr>
            <w:tcW w:w="193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3" w:hRule="exact"/>
        </w:trPr>
        <w:tc>
          <w:tcPr>
            <w:tcW w:w="18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30"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89,508,965.73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91.79%</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71,348,207.78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96.30%</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6,328,972.23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6.49%</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1,586,447.77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2.14%</w:t>
            </w:r>
            <w:r>
              <w:rPr>
                <w:rFonts w:ascii="Times New Roman"/>
                <w:sz w:val="18"/>
              </w:rPr>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569,454.14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134,543.56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0.18%</w:t>
            </w:r>
            <w:r>
              <w:rPr>
                <w:rFonts w:ascii="Times New Roman"/>
                <w:sz w:val="18"/>
              </w:rPr>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1,107,083.88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1.14%</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1,017,341.90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1.37%</w:t>
            </w:r>
            <w:r>
              <w:rPr>
                <w:rFonts w:ascii="Times New Roman"/>
                <w:sz w:val="18"/>
              </w:rPr>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97,514,475.98</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74,086,541.01</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1086"/>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7"/>
        <w:rPr>
          <w:rFonts w:ascii="宋体" w:hAnsi="宋体" w:cs="宋体" w:eastAsia="宋体" w:hint="default"/>
          <w:sz w:val="26"/>
          <w:szCs w:val="26"/>
        </w:rPr>
      </w:pPr>
    </w:p>
    <w:p>
      <w:pPr>
        <w:pStyle w:val="Heading5"/>
        <w:spacing w:line="240" w:lineRule="auto"/>
        <w:ind w:right="1086"/>
        <w:jc w:val="left"/>
        <w:rPr>
          <w:b w:val="0"/>
          <w:bCs w:val="0"/>
        </w:rPr>
      </w:pPr>
      <w:bookmarkStart w:name="（2）按预付对象归集的期末余额前五名的预付款情况" w:id="254"/>
      <w:bookmarkEnd w:id="254"/>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070"/>
        <w:gridCol w:w="2523"/>
        <w:gridCol w:w="1945"/>
      </w:tblGrid>
      <w:tr>
        <w:trPr>
          <w:trHeight w:val="660"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76" w:lineRule="auto"/>
              <w:ind w:right="463"/>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 </w:t>
            </w:r>
            <w:r>
              <w:rPr>
                <w:rFonts w:ascii="宋体" w:hAnsi="宋体" w:cs="宋体" w:eastAsia="宋体" w:hint="default"/>
                <w:spacing w:val="2"/>
                <w:sz w:val="21"/>
                <w:szCs w:val="21"/>
              </w:rPr>
              <w:t>的比例</w:t>
            </w:r>
            <w:r>
              <w:rPr>
                <w:rFonts w:ascii="Times New Roman" w:hAnsi="Times New Roman" w:cs="Times New Roman" w:eastAsia="Times New Roman" w:hint="default"/>
                <w:spacing w:val="2"/>
                <w:sz w:val="21"/>
                <w:szCs w:val="21"/>
              </w:rPr>
              <w:t>(%)</w:t>
            </w:r>
            <w:r>
              <w:rPr>
                <w:rFonts w:ascii="Times New Roman" w:hAnsi="Times New Roman" w:cs="Times New Roman" w:eastAsia="Times New Roman" w:hint="default"/>
                <w:sz w:val="21"/>
                <w:szCs w:val="21"/>
              </w:rPr>
            </w:r>
          </w:p>
        </w:tc>
      </w:tr>
      <w:tr>
        <w:trPr>
          <w:trHeight w:val="345"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杭州美文广告有限公司</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21"/>
                <w:szCs w:val="21"/>
              </w:rPr>
            </w:pPr>
            <w:r>
              <w:rPr>
                <w:rFonts w:ascii="Times New Roman"/>
                <w:sz w:val="21"/>
              </w:rPr>
              <w:t>9,436,000.00</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z w:val="21"/>
              </w:rPr>
              <w:t>9.68</w:t>
            </w:r>
          </w:p>
        </w:tc>
      </w:tr>
      <w:tr>
        <w:trPr>
          <w:trHeight w:val="346"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杭州伯仲信息科技有限公司</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21"/>
                <w:szCs w:val="21"/>
              </w:rPr>
            </w:pPr>
            <w:r>
              <w:rPr>
                <w:rFonts w:ascii="Times New Roman"/>
                <w:sz w:val="21"/>
              </w:rPr>
              <w:t>9,189,837.86</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z w:val="21"/>
              </w:rPr>
              <w:t>9.42</w:t>
            </w:r>
          </w:p>
        </w:tc>
      </w:tr>
      <w:tr>
        <w:trPr>
          <w:trHeight w:val="360"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浙江道一循信息技术有限公司</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21"/>
                <w:szCs w:val="21"/>
              </w:rPr>
            </w:pPr>
            <w:r>
              <w:rPr>
                <w:rFonts w:ascii="Times New Roman"/>
                <w:sz w:val="21"/>
              </w:rPr>
              <w:t>8,095,468.84</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z w:val="21"/>
              </w:rPr>
              <w:t>8.30</w:t>
            </w:r>
          </w:p>
        </w:tc>
      </w:tr>
      <w:tr>
        <w:trPr>
          <w:trHeight w:val="345"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杭州菲诗奥医疗科技有限公司</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21"/>
                <w:szCs w:val="21"/>
              </w:rPr>
            </w:pPr>
            <w:r>
              <w:rPr>
                <w:rFonts w:ascii="Times New Roman"/>
                <w:sz w:val="21"/>
              </w:rPr>
              <w:t>6,900,000.00</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left"/>
              <w:rPr>
                <w:rFonts w:ascii="Times New Roman" w:hAnsi="Times New Roman" w:cs="Times New Roman" w:eastAsia="Times New Roman" w:hint="default"/>
                <w:sz w:val="21"/>
                <w:szCs w:val="21"/>
              </w:rPr>
            </w:pPr>
            <w:r>
              <w:rPr>
                <w:rFonts w:ascii="Times New Roman"/>
                <w:sz w:val="21"/>
              </w:rPr>
              <w:t>7.08</w:t>
            </w:r>
          </w:p>
        </w:tc>
      </w:tr>
    </w:tbl>
    <w:p>
      <w:pPr>
        <w:spacing w:after="0" w:line="240" w:lineRule="auto"/>
        <w:jc w:val="left"/>
        <w:rPr>
          <w:rFonts w:ascii="Times New Roman" w:hAnsi="Times New Roman" w:cs="Times New Roman" w:eastAsia="Times New Roman" w:hint="default"/>
          <w:sz w:val="21"/>
          <w:szCs w:val="21"/>
        </w:rPr>
        <w:sectPr>
          <w:pgSz w:w="11910" w:h="16850"/>
          <w:pgMar w:header="866" w:footer="981" w:top="1120" w:bottom="1180" w:left="1000" w:right="0"/>
        </w:sectPr>
      </w:pPr>
    </w:p>
    <w:p>
      <w:pPr>
        <w:spacing w:line="240" w:lineRule="auto" w:before="2"/>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070"/>
        <w:gridCol w:w="2523"/>
        <w:gridCol w:w="1945"/>
      </w:tblGrid>
      <w:tr>
        <w:trPr>
          <w:trHeight w:val="345"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杭州智汇健康管理有限公司</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21"/>
                <w:szCs w:val="21"/>
              </w:rPr>
            </w:pPr>
            <w:r>
              <w:rPr>
                <w:rFonts w:ascii="Times New Roman"/>
                <w:sz w:val="21"/>
              </w:rPr>
              <w:t>6,850,000.00</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z w:val="21"/>
              </w:rPr>
              <w:t>7.02</w:t>
            </w:r>
          </w:p>
        </w:tc>
      </w:tr>
      <w:tr>
        <w:trPr>
          <w:trHeight w:val="345" w:hRule="exact"/>
        </w:trPr>
        <w:tc>
          <w:tcPr>
            <w:tcW w:w="407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75"/>
                <w:sz w:val="21"/>
                <w:szCs w:val="21"/>
              </w:rPr>
              <w:t> </w:t>
            </w:r>
            <w:r>
              <w:rPr>
                <w:rFonts w:ascii="宋体" w:hAnsi="宋体" w:cs="宋体" w:eastAsia="宋体" w:hint="default"/>
                <w:sz w:val="21"/>
                <w:szCs w:val="21"/>
              </w:rPr>
              <w:t>计</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21"/>
                <w:szCs w:val="21"/>
              </w:rPr>
            </w:pPr>
            <w:r>
              <w:rPr>
                <w:rFonts w:ascii="Times New Roman"/>
                <w:sz w:val="21"/>
              </w:rPr>
              <w:t>40,471,306.70</w:t>
            </w:r>
          </w:p>
        </w:tc>
        <w:tc>
          <w:tcPr>
            <w:tcW w:w="194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z w:val="21"/>
              </w:rPr>
              <w:t>41.50</w:t>
            </w:r>
          </w:p>
        </w:tc>
      </w:tr>
    </w:tbl>
    <w:p>
      <w:pPr>
        <w:spacing w:line="240" w:lineRule="auto" w:before="2"/>
        <w:rPr>
          <w:rFonts w:ascii="宋体" w:hAnsi="宋体" w:cs="宋体" w:eastAsia="宋体" w:hint="default"/>
          <w:b/>
          <w:bCs/>
          <w:sz w:val="24"/>
          <w:szCs w:val="24"/>
        </w:rPr>
      </w:pPr>
    </w:p>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8、其他应收款" w:id="255"/>
      <w:bookmarkEnd w:id="255"/>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72,300,824.80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82,292,806.84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72,300,824.80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82,292,806.84</w:t>
            </w:r>
          </w:p>
        </w:tc>
      </w:tr>
    </w:tbl>
    <w:p>
      <w:pPr>
        <w:spacing w:line="240" w:lineRule="auto" w:before="11"/>
        <w:rPr>
          <w:rFonts w:ascii="宋体" w:hAnsi="宋体" w:cs="宋体" w:eastAsia="宋体" w:hint="default"/>
          <w:sz w:val="19"/>
          <w:szCs w:val="19"/>
        </w:rPr>
      </w:pPr>
    </w:p>
    <w:p>
      <w:pPr>
        <w:pStyle w:val="Heading5"/>
        <w:spacing w:line="508" w:lineRule="auto" w:before="35"/>
        <w:ind w:right="8769"/>
        <w:jc w:val="left"/>
        <w:rPr>
          <w:b w:val="0"/>
          <w:bCs w:val="0"/>
        </w:rPr>
      </w:pPr>
      <w:bookmarkStart w:name="（1）应收利息" w:id="256"/>
      <w:bookmarkEnd w:id="256"/>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257"/>
      <w:bookmarkEnd w:id="257"/>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6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重要逾期利息" w:id="258"/>
      <w:bookmarkEnd w:id="258"/>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坏账准备计提情况" w:id="259"/>
      <w:bookmarkEnd w:id="25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7"/>
        <w:rPr>
          <w:rFonts w:ascii="宋体" w:hAnsi="宋体" w:cs="宋体" w:eastAsia="宋体" w:hint="default"/>
          <w:sz w:val="26"/>
          <w:szCs w:val="26"/>
        </w:rPr>
      </w:pPr>
    </w:p>
    <w:p>
      <w:pPr>
        <w:pStyle w:val="Heading5"/>
        <w:spacing w:line="496" w:lineRule="auto"/>
        <w:ind w:right="8769"/>
        <w:jc w:val="left"/>
        <w:rPr>
          <w:b w:val="0"/>
          <w:bCs w:val="0"/>
        </w:rPr>
      </w:pPr>
      <w:bookmarkStart w:name="（2）应收股利" w:id="260"/>
      <w:bookmarkEnd w:id="260"/>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261"/>
      <w:bookmarkEnd w:id="261"/>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重要的账龄超过1年的应收股利" w:id="262"/>
      <w:bookmarkEnd w:id="262"/>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60" w:right="0"/>
              <w:jc w:val="left"/>
              <w:rPr>
                <w:rFonts w:ascii="宋体" w:hAnsi="宋体" w:cs="宋体" w:eastAsia="宋体" w:hint="default"/>
                <w:sz w:val="18"/>
                <w:szCs w:val="18"/>
              </w:rPr>
            </w:pPr>
            <w:r>
              <w:rPr>
                <w:rFonts w:ascii="宋体" w:hAnsi="宋体" w:cs="宋体" w:eastAsia="宋体" w:hint="default"/>
                <w:sz w:val="18"/>
                <w:szCs w:val="18"/>
              </w:rPr>
              <w:t>是否发生减值及其判断</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6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坏账准备计提情况" w:id="263"/>
      <w:bookmarkEnd w:id="26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before="0"/>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3"/>
        <w:rPr>
          <w:rFonts w:ascii="宋体" w:hAnsi="宋体" w:cs="宋体" w:eastAsia="宋体" w:hint="default"/>
          <w:sz w:val="25"/>
          <w:szCs w:val="25"/>
        </w:rPr>
      </w:pPr>
    </w:p>
    <w:p>
      <w:pPr>
        <w:pStyle w:val="Heading5"/>
        <w:spacing w:line="496" w:lineRule="auto"/>
        <w:ind w:right="7481"/>
        <w:jc w:val="left"/>
        <w:rPr>
          <w:b w:val="0"/>
          <w:bCs w:val="0"/>
        </w:rPr>
      </w:pPr>
      <w:bookmarkStart w:name="（3）其他应收款" w:id="264"/>
      <w:bookmarkEnd w:id="264"/>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265"/>
      <w:bookmarkEnd w:id="265"/>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押金保证金及往来款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50,034,322.99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61,722,878.93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10,031,454.15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9,878,640.88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6,822,718.18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4,091,876.59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资产处置款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1,412,880.00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1,412,880.00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13,945,008.07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14,523,232.17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83,346,383.39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91,629,508.57</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坏账准备计提情况" w:id="266"/>
      <w:bookmarkEnd w:id="266"/>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390"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75"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59"/>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3,328,072.12</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1,968,504.04</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4,040,125.57</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9,336,701.73</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4"/>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-1,142,758.59</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1,142,758.59</w:t>
            </w: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-564,738.10</w:t>
            </w:r>
            <w:r>
              <w:rPr>
                <w:rFonts w:ascii="Times New Roman"/>
                <w:sz w:val="18"/>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564,738.10</w:t>
            </w: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2,672,465.85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1,142,758.59</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4,572,019.32</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8,387,243.76</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2,185,313.50</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1,403,765.94</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2,564,749.97</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6,153,829.41</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150.00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150.00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-69,696.80</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-93,092.52</w:t>
            </w:r>
            <w:r>
              <w:rPr>
                <w:rFonts w:ascii="Times New Roman"/>
                <w:sz w:val="18"/>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-361,618.17</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-524,407.49</w:t>
            </w:r>
            <w:r>
              <w:rPr>
                <w:rFonts w:ascii="Times New Roman"/>
                <w:sz w:val="18"/>
              </w:rPr>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2,602,769.08</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2,192,424.66</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6,250,364.85</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11,045,558.59</w:t>
            </w:r>
          </w:p>
        </w:tc>
      </w:tr>
    </w:tbl>
    <w:p>
      <w:pPr>
        <w:pStyle w:val="BodyText"/>
        <w:spacing w:line="240" w:lineRule="auto" w:before="45"/>
        <w:ind w:right="1086"/>
        <w:jc w:val="left"/>
      </w:pPr>
      <w:r>
        <w:rPr/>
        <w:t>损失准备本期变动金额重大的账面余额变动情况</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50"/>
          <w:pgMar w:header="866" w:footer="981" w:top="1120" w:bottom="1180" w:left="1000" w:right="0"/>
        </w:sect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538" w:space="7308"/>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52,055,381.01</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21,924,246.55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4,451,987.14</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4,914,768.69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4,914,768.69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83,346,383.39</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本期计提、收回或转回的坏账准备情况" w:id="267"/>
      <w:bookmarkEnd w:id="267"/>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1086"/>
        <w:jc w:val="left"/>
      </w:pPr>
      <w:r>
        <w:rPr/>
        <w:t>本期计提坏账准备情况：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2"/>
        <w:gridCol w:w="1112"/>
        <w:gridCol w:w="1336"/>
        <w:gridCol w:w="1337"/>
        <w:gridCol w:w="1322"/>
        <w:gridCol w:w="1336"/>
        <w:gridCol w:w="1727"/>
      </w:tblGrid>
      <w:tr>
        <w:trPr>
          <w:trHeight w:val="406"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1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12" w:type="dxa"/>
            <w:vMerge/>
            <w:tcBorders>
              <w:left w:val="single" w:sz="6" w:space="0" w:color="000000"/>
              <w:bottom w:val="single" w:sz="6" w:space="0" w:color="000000"/>
              <w:right w:val="single" w:sz="6" w:space="0" w:color="000000"/>
            </w:tcBorders>
            <w:shd w:val="clear" w:color="auto" w:fill="D2D2D2"/>
          </w:tcPr>
          <w:p>
            <w:pP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核销</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14"/>
        <w:ind w:right="1086"/>
        <w:jc w:val="left"/>
      </w:pPr>
      <w:r>
        <w:rPr/>
        <w:t>本期计提坏账准备</w:t>
      </w:r>
      <w:r>
        <w:rPr>
          <w:rFonts w:ascii="Times New Roman" w:hAnsi="Times New Roman" w:cs="Times New Roman" w:eastAsia="Times New Roman" w:hint="default"/>
        </w:rPr>
        <w:t>8,387,243.76</w:t>
      </w:r>
      <w:r>
        <w:rPr/>
        <w:t>元。</w:t>
      </w:r>
    </w:p>
    <w:p>
      <w:pPr>
        <w:pStyle w:val="Heading3"/>
        <w:spacing w:line="240" w:lineRule="auto" w:before="155"/>
        <w:ind w:right="1086"/>
        <w:jc w:val="left"/>
        <w:rPr>
          <w:rFonts w:ascii="等线" w:hAnsi="等线" w:cs="等线" w:eastAsia="等线" w:hint="default"/>
        </w:rPr>
      </w:pPr>
      <w:r>
        <w:rPr>
          <w:rFonts w:ascii="等线" w:hAnsi="等线" w:cs="等线" w:eastAsia="等线" w:hint="default"/>
        </w:rPr>
        <w:t>其中本期坏账准备转回或收回金额重要的：</w:t>
      </w:r>
    </w:p>
    <w:p>
      <w:pPr>
        <w:spacing w:line="240" w:lineRule="auto" w:before="8"/>
        <w:rPr>
          <w:rFonts w:ascii="等线" w:hAnsi="等线" w:cs="等线" w:eastAsia="等线" w:hint="default"/>
          <w:sz w:val="13"/>
          <w:szCs w:val="13"/>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4"/>
        <w:ind w:right="1086"/>
        <w:jc w:val="left"/>
      </w:pPr>
      <w:r>
        <w:rPr/>
        <w:t>本期收回或转回的坏账准备</w:t>
      </w:r>
      <w:r>
        <w:rPr>
          <w:rFonts w:ascii="Times New Roman" w:hAnsi="Times New Roman" w:cs="Times New Roman" w:eastAsia="Times New Roman" w:hint="default"/>
        </w:rPr>
        <w:t>6,153,829.41</w:t>
      </w:r>
      <w:r>
        <w:rPr/>
        <w:t>元。</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4）本期实际核销的其他应收款情况" w:id="268"/>
      <w:bookmarkEnd w:id="268"/>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1086"/>
        <w:jc w:val="left"/>
      </w:pPr>
      <w:r>
        <w:rPr/>
        <w:t>其中重要的其他应收款核销情况：</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7" w:lineRule="auto"/>
        <w:ind w:right="7959"/>
        <w:jc w:val="left"/>
      </w:pPr>
      <w:r>
        <w:rPr/>
        <w:t>其他应收款核销说明： 本期实际核销的其他应收款</w:t>
      </w:r>
      <w:r>
        <w:rPr>
          <w:rFonts w:ascii="Times New Roman" w:hAnsi="Times New Roman" w:cs="Times New Roman" w:eastAsia="Times New Roman" w:hint="default"/>
        </w:rPr>
        <w:t>150</w:t>
      </w:r>
      <w:r>
        <w:rPr/>
        <w:t>元。</w:t>
      </w:r>
    </w:p>
    <w:p>
      <w:pPr>
        <w:spacing w:line="240" w:lineRule="auto" w:before="5"/>
        <w:rPr>
          <w:rFonts w:ascii="宋体" w:hAnsi="宋体" w:cs="宋体" w:eastAsia="宋体" w:hint="default"/>
          <w:sz w:val="18"/>
          <w:szCs w:val="18"/>
        </w:rPr>
      </w:pPr>
    </w:p>
    <w:p>
      <w:pPr>
        <w:pStyle w:val="Heading5"/>
        <w:spacing w:line="240" w:lineRule="auto"/>
        <w:ind w:right="1086"/>
        <w:jc w:val="left"/>
        <w:rPr>
          <w:b w:val="0"/>
          <w:bCs w:val="0"/>
        </w:rPr>
      </w:pPr>
      <w:bookmarkStart w:name="5）按欠款方归集的期末余额前五名的其他应收款情况" w:id="269"/>
      <w:bookmarkEnd w:id="269"/>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pict>
          <v:group style="position:absolute;margin-left:57.075001pt;margin-top:19.461718pt;width:478.35pt;height:21.05pt;mso-position-horizontal-relative:page;mso-position-vertical-relative:paragraph;z-index:-1276408" coordorigin="1142,389" coordsize="9567,421">
            <v:group style="position:absolute;left:1149;top:404;width:2;height:391" coordorigin="1149,404" coordsize="2,391">
              <v:shape style="position:absolute;left:1149;top:404;width:2;height:391" coordorigin="1149,404" coordsize="0,391" path="m1149,404l1149,795e" filled="false" stroked="true" strokeweight=".75pt" strokecolor="#d2d2d2">
                <v:path arrowok="t"/>
              </v:shape>
            </v:group>
            <v:group style="position:absolute;left:2704;top:404;width:30;height:391" coordorigin="2704,404" coordsize="30,391">
              <v:shape style="position:absolute;left:2704;top:404;width:30;height:391" coordorigin="2704,404" coordsize="30,391" path="m2704,795l2734,795,2734,404,2704,404,2704,795xe" filled="true" fillcolor="#d2d2d2" stroked="false">
                <v:path arrowok="t"/>
                <v:fill type="solid"/>
              </v:shape>
            </v:group>
            <v:group style="position:absolute;left:1157;top:404;width:1547;height:391" coordorigin="1157,404" coordsize="1547,391">
              <v:shape style="position:absolute;left:1157;top:404;width:1547;height:391" coordorigin="1157,404" coordsize="1547,391" path="m1157,795l2704,795,2704,404,1157,404,1157,795xe" filled="true" fillcolor="#d2d2d2" stroked="false">
                <v:path arrowok="t"/>
                <v:fill type="solid"/>
              </v:shape>
            </v:group>
            <v:group style="position:absolute;left:2734;top:404;width:30;height:391" coordorigin="2734,404" coordsize="30,391">
              <v:shape style="position:absolute;left:2734;top:404;width:30;height:391" coordorigin="2734,404" coordsize="30,391" path="m2734,795l2764,795,2764,404,2734,404,2734,795xe" filled="true" fillcolor="#d2d2d2" stroked="false">
                <v:path arrowok="t"/>
                <v:fill type="solid"/>
              </v:shape>
            </v:group>
            <v:group style="position:absolute;left:4296;top:404;width:30;height:391" coordorigin="4296,404" coordsize="30,391">
              <v:shape style="position:absolute;left:4296;top:404;width:30;height:391" coordorigin="4296,404" coordsize="30,391" path="m4296,795l4326,795,4326,404,4296,404,4296,795xe" filled="true" fillcolor="#d2d2d2" stroked="false">
                <v:path arrowok="t"/>
                <v:fill type="solid"/>
              </v:shape>
            </v:group>
            <v:group style="position:absolute;left:2764;top:404;width:1532;height:391" coordorigin="2764,404" coordsize="1532,391">
              <v:shape style="position:absolute;left:2764;top:404;width:1532;height:391" coordorigin="2764,404" coordsize="1532,391" path="m2764,795l4296,795,4296,404,2764,404,2764,795xe" filled="true" fillcolor="#d2d2d2" stroked="false">
                <v:path arrowok="t"/>
                <v:fill type="solid"/>
              </v:shape>
            </v:group>
            <v:group style="position:absolute;left:4326;top:404;width:30;height:391" coordorigin="4326,404" coordsize="30,391">
              <v:shape style="position:absolute;left:4326;top:404;width:30;height:391" coordorigin="4326,404" coordsize="30,391" path="m4326,795l4356,795,4356,404,4326,404,4326,795xe" filled="true" fillcolor="#d2d2d2" stroked="false">
                <v:path arrowok="t"/>
                <v:fill type="solid"/>
              </v:shape>
            </v:group>
            <v:group style="position:absolute;left:5910;top:404;width:2;height:391" coordorigin="5910,404" coordsize="2,391">
              <v:shape style="position:absolute;left:5910;top:404;width:2;height:391" coordorigin="5910,404" coordsize="0,391" path="m5910,404l5910,795e" filled="false" stroked="true" strokeweight=".75pt" strokecolor="#d2d2d2">
                <v:path arrowok="t"/>
              </v:shape>
            </v:group>
            <v:group style="position:absolute;left:4356;top:404;width:1547;height:391" coordorigin="4356,404" coordsize="1547,391">
              <v:shape style="position:absolute;left:4356;top:404;width:1547;height:391" coordorigin="4356,404" coordsize="1547,391" path="m4356,795l5903,795,5903,404,4356,404,4356,795xe" filled="true" fillcolor="#d2d2d2" stroked="false">
                <v:path arrowok="t"/>
                <v:fill type="solid"/>
              </v:shape>
            </v:group>
            <v:group style="position:absolute;left:5940;top:404;width:2;height:391" coordorigin="5940,404" coordsize="2,391">
              <v:shape style="position:absolute;left:5940;top:404;width:2;height:391" coordorigin="5940,404" coordsize="0,391" path="m5940,404l5940,795e" filled="false" stroked="true" strokeweight=".75pt" strokecolor="#d2d2d2">
                <v:path arrowok="t"/>
              </v:shape>
            </v:group>
            <v:group style="position:absolute;left:7502;top:404;width:2;height:391" coordorigin="7502,404" coordsize="2,391">
              <v:shape style="position:absolute;left:7502;top:404;width:2;height:391" coordorigin="7502,404" coordsize="0,391" path="m7502,404l7502,795e" filled="false" stroked="true" strokeweight=".75pt" strokecolor="#d2d2d2">
                <v:path arrowok="t"/>
              </v:shape>
            </v:group>
            <v:group style="position:absolute;left:5948;top:404;width:1547;height:391" coordorigin="5948,404" coordsize="1547,391">
              <v:shape style="position:absolute;left:5948;top:404;width:1547;height:391" coordorigin="5948,404" coordsize="1547,391" path="m5948,795l7495,795,7495,404,5948,404,5948,795xe" filled="true" fillcolor="#d2d2d2" stroked="false">
                <v:path arrowok="t"/>
                <v:fill type="solid"/>
              </v:shape>
            </v:group>
            <v:group style="position:absolute;left:7525;top:419;width:1592;height:2" coordorigin="7525,419" coordsize="1592,2">
              <v:shape style="position:absolute;left:7525;top:419;width:1592;height:2" coordorigin="7525,419" coordsize="1592,0" path="m7525,419l9117,419e" filled="false" stroked="true" strokeweight="1.5pt" strokecolor="#d2d2d2">
                <v:path arrowok="t"/>
              </v:shape>
            </v:group>
            <v:group style="position:absolute;left:7540;top:434;width:2;height:346" coordorigin="7540,434" coordsize="2,346">
              <v:shape style="position:absolute;left:7540;top:434;width:2;height:346" coordorigin="7540,434" coordsize="0,346" path="m7540,434l7540,780e" filled="false" stroked="true" strokeweight="1.5pt" strokecolor="#d2d2d2">
                <v:path arrowok="t"/>
              </v:shape>
            </v:group>
            <v:group style="position:absolute;left:9102;top:434;width:2;height:346" coordorigin="9102,434" coordsize="2,346">
              <v:shape style="position:absolute;left:9102;top:434;width:2;height:346" coordorigin="9102,434" coordsize="0,346" path="m9102,434l9102,780e" filled="false" stroked="true" strokeweight="1.5pt" strokecolor="#d2d2d2">
                <v:path arrowok="t"/>
              </v:shape>
            </v:group>
            <v:group style="position:absolute;left:7555;top:434;width:1532;height:346" coordorigin="7555,434" coordsize="1532,346">
              <v:shape style="position:absolute;left:7555;top:434;width:1532;height:346" coordorigin="7555,434" coordsize="1532,346" path="m7555,780l9087,780,9087,434,7555,434,7555,780xe" filled="true" fillcolor="#d2d2d2" stroked="false">
                <v:path arrowok="t"/>
                <v:fill type="solid"/>
              </v:shape>
            </v:group>
            <v:group style="position:absolute;left:9132;top:404;width:2;height:391" coordorigin="9132,404" coordsize="2,391">
              <v:shape style="position:absolute;left:9132;top:404;width:2;height:391" coordorigin="9132,404" coordsize="0,391" path="m9132,404l9132,795e" filled="false" stroked="true" strokeweight="1.5pt" strokecolor="#d2d2d2">
                <v:path arrowok="t"/>
              </v:shape>
            </v:group>
            <v:group style="position:absolute;left:10693;top:404;width:2;height:391" coordorigin="10693,404" coordsize="2,391">
              <v:shape style="position:absolute;left:10693;top:404;width:2;height:391" coordorigin="10693,404" coordsize="0,391" path="m10693,404l10693,795e" filled="false" stroked="true" strokeweight="1.5pt" strokecolor="#d2d2d2">
                <v:path arrowok="t"/>
              </v:shape>
            </v:group>
            <v:group style="position:absolute;left:9147;top:404;width:1532;height:391" coordorigin="9147,404" coordsize="1532,391">
              <v:shape style="position:absolute;left:9147;top:404;width:1532;height:391" coordorigin="9147,404" coordsize="1532,391" path="m9147,795l10679,795,10679,404,9147,404,9147,795xe" filled="true" fillcolor="#d2d2d2" stroked="false">
                <v:path arrowok="t"/>
                <v:fill type="solid"/>
              </v:shape>
            </v:group>
            <w10:wrap type="none"/>
          </v:group>
        </w:pict>
      </w: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5"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type w:val="continuous"/>
          <w:pgSz w:w="11910" w:h="16850"/>
          <w:pgMar w:top="104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6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5" w:right="0"/>
              <w:jc w:val="lef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pacing w:val="-10"/>
                <w:sz w:val="18"/>
                <w:szCs w:val="18"/>
              </w:rPr>
              <w:t>医惠科技（广东）有</w:t>
            </w:r>
            <w:r>
              <w:rPr>
                <w:rFonts w:ascii="宋体" w:hAnsi="宋体" w:cs="宋体" w:eastAsia="宋体" w:hint="default"/>
                <w:sz w:val="18"/>
                <w:szCs w:val="18"/>
              </w:rPr>
              <w:t> 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8,338,831.51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10.01%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773,634.67</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20"/>
              <w:jc w:val="left"/>
              <w:rPr>
                <w:rFonts w:ascii="宋体" w:hAnsi="宋体" w:cs="宋体" w:eastAsia="宋体" w:hint="default"/>
                <w:sz w:val="18"/>
                <w:szCs w:val="18"/>
              </w:rPr>
            </w:pPr>
            <w:r>
              <w:rPr>
                <w:rFonts w:ascii="宋体" w:hAnsi="宋体" w:cs="宋体" w:eastAsia="宋体" w:hint="default"/>
                <w:sz w:val="18"/>
                <w:szCs w:val="18"/>
              </w:rPr>
              <w:t>广东百慧信息技术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3,580,000.00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4.30%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179,000.00</w:t>
            </w: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杭州嘉创塑胶电子 有限公司</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2,917,715.78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3.50%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786,766.29</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宁波市北仑区人民 医院</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1,770,350.00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w w:val="95"/>
                <w:sz w:val="18"/>
              </w:rPr>
              <w:t>2.12%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1,768,117.50</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德昌县人民医院</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1,756,500.00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2.11%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175,650.00</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18,363,397.29</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22.04%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3,683,168.46</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6）涉及政府补助的应收款项" w:id="270"/>
      <w:bookmarkEnd w:id="270"/>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691" w:right="45"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7）因金融资产转移而终止确认的其他应收款" w:id="271"/>
      <w:bookmarkEnd w:id="271"/>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8）转移其他应收款且继续涉入形成的资产、负债金额" w:id="272"/>
      <w:bookmarkEnd w:id="272"/>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9、存货" w:id="273"/>
      <w:bookmarkEnd w:id="273"/>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是否已执行新收入准则</w:t>
      </w:r>
    </w:p>
    <w:p>
      <w:pPr>
        <w:pStyle w:val="BodyText"/>
        <w:spacing w:line="240" w:lineRule="auto" w:before="125"/>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26"/>
        <w:ind w:right="1086"/>
        <w:jc w:val="left"/>
        <w:rPr>
          <w:b w:val="0"/>
          <w:bCs w:val="0"/>
        </w:rPr>
      </w:pPr>
      <w:bookmarkStart w:name="（1）存货分类" w:id="274"/>
      <w:bookmarkEnd w:id="274"/>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9"/>
        <w:gridCol w:w="1367"/>
        <w:gridCol w:w="1382"/>
        <w:gridCol w:w="1367"/>
        <w:gridCol w:w="1366"/>
        <w:gridCol w:w="1367"/>
        <w:gridCol w:w="1367"/>
      </w:tblGrid>
      <w:tr>
        <w:trPr>
          <w:trHeight w:val="405" w:hRule="exact"/>
        </w:trPr>
        <w:tc>
          <w:tcPr>
            <w:tcW w:w="135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23" w:hRule="exact"/>
        </w:trPr>
        <w:tc>
          <w:tcPr>
            <w:tcW w:w="1359" w:type="dxa"/>
            <w:vMerge/>
            <w:tcBorders>
              <w:left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45" w:right="59"/>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30" w:right="59"/>
              <w:jc w:val="center"/>
              <w:rPr>
                <w:rFonts w:ascii="宋体" w:hAnsi="宋体" w:cs="宋体" w:eastAsia="宋体" w:hint="default"/>
                <w:sz w:val="18"/>
                <w:szCs w:val="18"/>
              </w:rPr>
            </w:pPr>
            <w:r>
              <w:rPr>
                <w:rFonts w:ascii="宋体" w:hAnsi="宋体" w:cs="宋体" w:eastAsia="宋体" w:hint="default"/>
                <w:sz w:val="18"/>
                <w:szCs w:val="18"/>
              </w:rPr>
              <w:t>存货跌价准备或 合同履约成本减 值准备</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0" w:hRule="exact"/>
        </w:trPr>
        <w:tc>
          <w:tcPr>
            <w:tcW w:w="1359" w:type="dxa"/>
            <w:vMerge/>
            <w:tcBorders>
              <w:left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vMerge/>
            <w:tcBorders>
              <w:left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tcBorders>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9"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53,794,570.65</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53,794,570.65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69,610,286.13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69,610,286.13</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20,921,304.64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20,921,304.64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13,029,856.36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13,029,856.36</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167,552,717.57</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0" w:right="0"/>
              <w:jc w:val="left"/>
              <w:rPr>
                <w:rFonts w:ascii="Times New Roman" w:hAnsi="Times New Roman" w:cs="Times New Roman" w:eastAsia="Times New Roman" w:hint="default"/>
                <w:sz w:val="18"/>
                <w:szCs w:val="18"/>
              </w:rPr>
            </w:pPr>
            <w:r>
              <w:rPr>
                <w:rFonts w:ascii="Times New Roman"/>
                <w:sz w:val="18"/>
              </w:rPr>
              <w:t>4,099,208.32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163,453,509.25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154,187,109.14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4,013,080.81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150,174,028.33</w:t>
            </w:r>
          </w:p>
        </w:tc>
      </w:tr>
      <w:tr>
        <w:trPr>
          <w:trHeight w:val="405" w:hRule="exact"/>
        </w:trPr>
        <w:tc>
          <w:tcPr>
            <w:tcW w:w="13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7,125,057.48</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7,125,057.48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13,962,507.54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13,962,507.54</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10" w:right="0"/>
              <w:jc w:val="left"/>
              <w:rPr>
                <w:rFonts w:ascii="Times New Roman" w:hAnsi="Times New Roman" w:cs="Times New Roman" w:eastAsia="Times New Roman" w:hint="default"/>
                <w:sz w:val="18"/>
                <w:szCs w:val="18"/>
              </w:rPr>
            </w:pPr>
            <w:r>
              <w:rPr>
                <w:rFonts w:ascii="Times New Roman"/>
                <w:sz w:val="18"/>
              </w:rPr>
              <w:t>249,393,650.34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90" w:right="0"/>
              <w:jc w:val="left"/>
              <w:rPr>
                <w:rFonts w:ascii="Times New Roman" w:hAnsi="Times New Roman" w:cs="Times New Roman" w:eastAsia="Times New Roman" w:hint="default"/>
                <w:sz w:val="18"/>
                <w:szCs w:val="18"/>
              </w:rPr>
            </w:pPr>
            <w:r>
              <w:rPr>
                <w:rFonts w:ascii="Times New Roman"/>
                <w:sz w:val="18"/>
              </w:rPr>
              <w:t>4,099,208.32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5" w:right="0"/>
              <w:jc w:val="left"/>
              <w:rPr>
                <w:rFonts w:ascii="Times New Roman" w:hAnsi="Times New Roman" w:cs="Times New Roman" w:eastAsia="Times New Roman" w:hint="default"/>
                <w:sz w:val="18"/>
                <w:szCs w:val="18"/>
              </w:rPr>
            </w:pPr>
            <w:r>
              <w:rPr>
                <w:rFonts w:ascii="Times New Roman"/>
                <w:sz w:val="18"/>
              </w:rPr>
              <w:t>245,294,442.02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4" w:right="0"/>
              <w:jc w:val="left"/>
              <w:rPr>
                <w:rFonts w:ascii="Times New Roman" w:hAnsi="Times New Roman" w:cs="Times New Roman" w:eastAsia="Times New Roman" w:hint="default"/>
                <w:sz w:val="18"/>
                <w:szCs w:val="18"/>
              </w:rPr>
            </w:pPr>
            <w:r>
              <w:rPr>
                <w:rFonts w:ascii="Times New Roman"/>
                <w:sz w:val="18"/>
              </w:rPr>
              <w:t>250,789,759.17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5" w:right="0"/>
              <w:jc w:val="left"/>
              <w:rPr>
                <w:rFonts w:ascii="Times New Roman" w:hAnsi="Times New Roman" w:cs="Times New Roman" w:eastAsia="Times New Roman" w:hint="default"/>
                <w:sz w:val="18"/>
                <w:szCs w:val="18"/>
              </w:rPr>
            </w:pPr>
            <w:r>
              <w:rPr>
                <w:rFonts w:ascii="Times New Roman"/>
                <w:sz w:val="18"/>
              </w:rPr>
              <w:t>4,013,080.81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5" w:right="0"/>
              <w:jc w:val="left"/>
              <w:rPr>
                <w:rFonts w:ascii="Times New Roman" w:hAnsi="Times New Roman" w:cs="Times New Roman" w:eastAsia="Times New Roman" w:hint="default"/>
                <w:sz w:val="18"/>
                <w:szCs w:val="18"/>
              </w:rPr>
            </w:pPr>
            <w:r>
              <w:rPr>
                <w:rFonts w:ascii="Times New Roman"/>
                <w:sz w:val="18"/>
              </w:rPr>
              <w:t>246,776,678.36</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存货跌价准备和合同履约成本减值准备" w:id="275"/>
      <w:bookmarkEnd w:id="275"/>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203" w:hRule="exact"/>
        </w:trPr>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3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188" w:hRule="exact"/>
        </w:trPr>
        <w:tc>
          <w:tcPr>
            <w:tcW w:w="1367" w:type="dxa"/>
            <w:vMerge/>
            <w:tcBorders>
              <w:left w:val="single" w:sz="6" w:space="0" w:color="000000"/>
              <w:right w:val="single" w:sz="6" w:space="0" w:color="000000"/>
            </w:tcBorders>
            <w:shd w:val="clear" w:color="auto" w:fill="D2D2D2"/>
          </w:tcPr>
          <w:p>
            <w:pPr/>
          </w:p>
        </w:tc>
        <w:tc>
          <w:tcPr>
            <w:tcW w:w="1367" w:type="dxa"/>
            <w:vMerge/>
            <w:tcBorders>
              <w:left w:val="single" w:sz="6" w:space="0" w:color="000000"/>
              <w:bottom w:val="nil" w:sz="6" w:space="0" w:color="auto"/>
              <w:right w:val="single" w:sz="6" w:space="0" w:color="000000"/>
            </w:tcBorders>
            <w:shd w:val="clear" w:color="auto" w:fill="D2D2D2"/>
          </w:tcPr>
          <w:p>
            <w:pP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right w:val="single" w:sz="6" w:space="0" w:color="000000"/>
            </w:tcBorders>
            <w:shd w:val="clear" w:color="auto" w:fill="D2D2D2"/>
          </w:tcPr>
          <w:p>
            <w:pPr/>
          </w:p>
        </w:tc>
      </w:tr>
      <w:tr>
        <w:trPr>
          <w:trHeight w:val="202"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4,013,080.81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1,111,965.06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1,025,837.55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4,099,208.32</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4,013,080.81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1,111,965.06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1,025,837.55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4,099,208.32</w:t>
            </w:r>
          </w:p>
        </w:tc>
      </w:tr>
    </w:tbl>
    <w:p>
      <w:pPr>
        <w:pStyle w:val="Heading6"/>
        <w:spacing w:line="255" w:lineRule="exact"/>
        <w:ind w:left="561" w:right="1086"/>
        <w:jc w:val="left"/>
      </w:pPr>
      <w:r>
        <w:rPr/>
        <w:t>确定可变现净值的具体依据、本期转回或转销存货跌价准备的原因：</w:t>
      </w:r>
    </w:p>
    <w:p>
      <w:pPr>
        <w:pStyle w:val="Heading6"/>
        <w:spacing w:line="276" w:lineRule="auto" w:before="25"/>
        <w:ind w:right="1089" w:firstLine="420"/>
        <w:jc w:val="left"/>
      </w:pPr>
      <w:r>
        <w:rPr/>
        <w:t>由于部分产品滞销导致其可变现净值低于相应成本，故按照成本高于可变现净值的差额计提存货跌价 准备。</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spacing w:line="240" w:lineRule="auto"/>
        <w:ind w:right="1086"/>
        <w:jc w:val="left"/>
        <w:rPr>
          <w:b w:val="0"/>
          <w:bCs w:val="0"/>
        </w:rPr>
      </w:pPr>
      <w:bookmarkStart w:name="（3）存货期末余额含有借款费用资本化金额的说明" w:id="276"/>
      <w:bookmarkEnd w:id="276"/>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4"/>
          <w:szCs w:val="24"/>
        </w:rPr>
      </w:pPr>
    </w:p>
    <w:p>
      <w:pPr>
        <w:pStyle w:val="Heading5"/>
        <w:spacing w:line="508" w:lineRule="auto"/>
        <w:ind w:right="7060"/>
        <w:jc w:val="left"/>
        <w:rPr>
          <w:b w:val="0"/>
          <w:bCs w:val="0"/>
        </w:rPr>
      </w:pPr>
      <w:bookmarkStart w:name="（4）合同履约成本本期摊销金额的说明" w:id="277"/>
      <w:bookmarkEnd w:id="277"/>
      <w:r>
        <w:rPr>
          <w:b w:val="0"/>
          <w:bCs w:val="0"/>
        </w:rPr>
      </w:r>
      <w:r>
        <w:rPr/>
        <w:t>（</w:t>
      </w:r>
      <w:r>
        <w:rPr>
          <w:rFonts w:ascii="Times New Roman" w:hAnsi="Times New Roman" w:cs="Times New Roman" w:eastAsia="Times New Roman" w:hint="default"/>
        </w:rPr>
        <w:t>4</w:t>
      </w:r>
      <w:r>
        <w:rPr/>
        <w:t>）合同履约成本本期摊销金额的说明</w:t>
      </w:r>
      <w:r>
        <w:rPr>
          <w:w w:val="99"/>
        </w:rPr>
        <w:t> </w:t>
      </w:r>
      <w:bookmarkStart w:name="10、合同资产" w:id="278"/>
      <w:bookmarkEnd w:id="278"/>
      <w:r>
        <w:rPr>
          <w:w w:val="99"/>
        </w:rPr>
      </w:r>
      <w:r>
        <w:rPr>
          <w:rFonts w:ascii="Times New Roman" w:hAnsi="Times New Roman" w:cs="Times New Roman" w:eastAsia="Times New Roman" w:hint="default"/>
        </w:rPr>
        <w:t>10</w:t>
      </w:r>
      <w:r>
        <w:rPr/>
        <w:t>、合同资产</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132"/>
        <w:gridCol w:w="1202"/>
        <w:gridCol w:w="1321"/>
        <w:gridCol w:w="1202"/>
        <w:gridCol w:w="1201"/>
        <w:gridCol w:w="1202"/>
        <w:gridCol w:w="1326"/>
      </w:tblGrid>
      <w:tr>
        <w:trPr>
          <w:trHeight w:val="406"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25"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5"/>
        <w:ind w:right="1086"/>
        <w:jc w:val="left"/>
      </w:pPr>
      <w:r>
        <w:rPr/>
        <w:t>合同资产的账面价值在本期内发生的重大变动金额和原因：</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390"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5"/>
        <w:ind w:right="1086"/>
        <w:jc w:val="left"/>
      </w:pPr>
      <w:r>
        <w:rPr/>
        <w:t>如是按照预期信用损失一般模型计提合同资产坏账准备，请参照其他应收款的披露方式披露坏账准备的相关信息：</w:t>
      </w:r>
    </w:p>
    <w:p>
      <w:pPr>
        <w:pStyle w:val="BodyText"/>
        <w:spacing w:line="333" w:lineRule="auto" w:before="124"/>
        <w:ind w:right="82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本期合同资产计提减值准备情况</w:t>
      </w:r>
    </w:p>
    <w:p>
      <w:pPr>
        <w:pStyle w:val="BodyText"/>
        <w:spacing w:line="240" w:lineRule="auto" w:before="4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11、持有待售资产" w:id="279"/>
      <w:bookmarkEnd w:id="279"/>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5"/>
        <w:ind w:right="1086"/>
        <w:jc w:val="left"/>
      </w:pPr>
      <w:r>
        <w:rPr/>
        <w:t>其他说明：</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12、一年内到期的非流动资产" w:id="280"/>
      <w:bookmarkEnd w:id="28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9"/>
        <w:ind w:right="1086"/>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13、其他流动资产" w:id="281"/>
      <w:bookmarkEnd w:id="28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是否已执行新收入准则</w:t>
      </w:r>
    </w:p>
    <w:p>
      <w:pPr>
        <w:pStyle w:val="BodyText"/>
        <w:spacing w:line="240" w:lineRule="auto" w:before="140"/>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预缴的各项税费及待抵扣增值税进项税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8,453,515.37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8,871,365.10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220,000,000.00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待分摊的服务费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1,731,487.47</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230,185,002.84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8,871,365.10</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14、债权投资" w:id="282"/>
      <w:bookmarkEnd w:id="282"/>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ind w:right="1086"/>
        <w:jc w:val="left"/>
      </w:pPr>
      <w:r>
        <w:rPr/>
        <w:t>重要的债权投资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5"/>
        <w:ind w:right="1086"/>
        <w:jc w:val="left"/>
      </w:pPr>
      <w:r>
        <w:rPr/>
        <w:t>减值准备计提情况</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390"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4"/>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240" w:lineRule="auto"/>
        <w:ind w:right="1086"/>
        <w:jc w:val="left"/>
      </w:pPr>
      <w:r>
        <w:rPr/>
        <w:t>损失准备本期变动金额重大的账面余额变动情况</w:t>
      </w:r>
    </w:p>
    <w:p>
      <w:pPr>
        <w:pStyle w:val="BodyText"/>
        <w:spacing w:line="331" w:lineRule="auto" w:before="125"/>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5"/>
        <w:rPr>
          <w:rFonts w:ascii="宋体" w:hAnsi="宋体" w:cs="宋体" w:eastAsia="宋体" w:hint="default"/>
          <w:sz w:val="23"/>
          <w:szCs w:val="23"/>
        </w:rPr>
      </w:pPr>
    </w:p>
    <w:p>
      <w:pPr>
        <w:pStyle w:val="Heading5"/>
        <w:spacing w:line="240" w:lineRule="auto"/>
        <w:ind w:right="1086"/>
        <w:jc w:val="left"/>
        <w:rPr>
          <w:b w:val="0"/>
          <w:bCs w:val="0"/>
        </w:rPr>
      </w:pPr>
      <w:bookmarkStart w:name="15、其他债权投资" w:id="283"/>
      <w:bookmarkEnd w:id="283"/>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92"/>
        <w:gridCol w:w="1037"/>
        <w:gridCol w:w="1036"/>
        <w:gridCol w:w="1036"/>
        <w:gridCol w:w="1036"/>
        <w:gridCol w:w="1037"/>
        <w:gridCol w:w="1036"/>
        <w:gridCol w:w="1036"/>
        <w:gridCol w:w="1036"/>
      </w:tblGrid>
      <w:tr>
        <w:trPr>
          <w:trHeight w:val="13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40" w:right="59" w:hanging="181"/>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5"/>
              <w:ind w:left="240" w:right="59" w:hanging="181"/>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60" w:right="60"/>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ind w:right="1086"/>
        <w:jc w:val="left"/>
      </w:pPr>
      <w:r>
        <w:rPr/>
        <w:t>重要的其他债权投资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391"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ind w:right="1086"/>
        <w:jc w:val="left"/>
      </w:pPr>
      <w:r>
        <w:rPr/>
        <w:t>减值准备计提情况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2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5"/>
        <w:ind w:right="1086"/>
        <w:jc w:val="left"/>
      </w:pPr>
      <w:r>
        <w:rPr/>
        <w:t>损失准备本期变动金额重大的账面余额变动情况</w:t>
      </w:r>
    </w:p>
    <w:p>
      <w:pPr>
        <w:pStyle w:val="BodyText"/>
        <w:spacing w:line="333" w:lineRule="auto" w:before="124"/>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4"/>
        <w:rPr>
          <w:rFonts w:ascii="宋体" w:hAnsi="宋体" w:cs="宋体" w:eastAsia="宋体" w:hint="default"/>
          <w:sz w:val="23"/>
          <w:szCs w:val="23"/>
        </w:rPr>
      </w:pPr>
    </w:p>
    <w:p>
      <w:pPr>
        <w:pStyle w:val="Heading5"/>
        <w:spacing w:line="240" w:lineRule="auto"/>
        <w:ind w:right="1086"/>
        <w:jc w:val="left"/>
        <w:rPr>
          <w:b w:val="0"/>
          <w:bCs w:val="0"/>
        </w:rPr>
      </w:pPr>
      <w:bookmarkStart w:name="16、长期应收款" w:id="284"/>
      <w:bookmarkEnd w:id="284"/>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长期应收款情况" w:id="285"/>
      <w:bookmarkEnd w:id="285"/>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404"/>
        <w:gridCol w:w="1164"/>
        <w:gridCol w:w="1171"/>
        <w:gridCol w:w="1172"/>
        <w:gridCol w:w="1171"/>
        <w:gridCol w:w="1171"/>
        <w:gridCol w:w="1157"/>
        <w:gridCol w:w="1171"/>
      </w:tblGrid>
      <w:tr>
        <w:trPr>
          <w:trHeight w:val="203" w:hRule="exact"/>
        </w:trPr>
        <w:tc>
          <w:tcPr>
            <w:tcW w:w="1404" w:type="dxa"/>
            <w:tcBorders>
              <w:top w:val="single" w:sz="6" w:space="0" w:color="000000"/>
              <w:left w:val="single" w:sz="6" w:space="0" w:color="000000"/>
              <w:bottom w:val="nil" w:sz="6" w:space="0" w:color="auto"/>
              <w:right w:val="single" w:sz="6" w:space="0" w:color="000000"/>
            </w:tcBorders>
            <w:shd w:val="clear" w:color="auto" w:fill="D2D2D2"/>
          </w:tcPr>
          <w:p>
            <w:pPr/>
          </w:p>
        </w:tc>
        <w:tc>
          <w:tcPr>
            <w:tcW w:w="350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40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507" w:type="dxa"/>
            <w:gridSpan w:val="3"/>
            <w:vMerge/>
            <w:tcBorders>
              <w:left w:val="single" w:sz="6" w:space="0" w:color="000000"/>
              <w:bottom w:val="single" w:sz="6" w:space="0" w:color="000000"/>
              <w:right w:val="single" w:sz="6" w:space="0" w:color="000000"/>
            </w:tcBorders>
            <w:shd w:val="clear" w:color="auto" w:fill="D2D2D2"/>
          </w:tcPr>
          <w:p>
            <w:pPr/>
          </w:p>
        </w:tc>
        <w:tc>
          <w:tcPr>
            <w:tcW w:w="3499" w:type="dxa"/>
            <w:gridSpan w:val="3"/>
            <w:vMerge/>
            <w:tcBorders>
              <w:left w:val="single" w:sz="6" w:space="0" w:color="000000"/>
              <w:bottom w:val="single" w:sz="6" w:space="0" w:color="000000"/>
              <w:right w:val="single" w:sz="6" w:space="0" w:color="000000"/>
            </w:tcBorders>
            <w:shd w:val="clear" w:color="auto" w:fill="D2D2D2"/>
          </w:tcPr>
          <w:p>
            <w:pPr/>
          </w:p>
        </w:tc>
        <w:tc>
          <w:tcPr>
            <w:tcW w:w="11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88" w:hRule="exact"/>
        </w:trPr>
        <w:tc>
          <w:tcPr>
            <w:tcW w:w="1404" w:type="dxa"/>
            <w:vMerge/>
            <w:tcBorders>
              <w:left w:val="single" w:sz="6" w:space="0" w:color="000000"/>
              <w:bottom w:val="nil" w:sz="6" w:space="0" w:color="auto"/>
              <w:right w:val="single" w:sz="6" w:space="0" w:color="000000"/>
            </w:tcBorders>
            <w:shd w:val="clear" w:color="auto" w:fill="D2D2D2"/>
          </w:tcPr>
          <w:p>
            <w:pPr/>
          </w:p>
        </w:tc>
        <w:tc>
          <w:tcPr>
            <w:tcW w:w="116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40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64" w:type="dxa"/>
            <w:vMerge/>
            <w:tcBorders>
              <w:left w:val="single" w:sz="6" w:space="0" w:color="000000"/>
              <w:bottom w:val="single" w:sz="6" w:space="0" w:color="000000"/>
              <w:right w:val="single" w:sz="6" w:space="0" w:color="000000"/>
            </w:tcBorders>
            <w:shd w:val="clear" w:color="auto" w:fill="D2D2D2"/>
          </w:tcPr>
          <w:p>
            <w:pPr/>
          </w:p>
        </w:tc>
        <w:tc>
          <w:tcPr>
            <w:tcW w:w="1171"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vMerge/>
            <w:tcBorders>
              <w:left w:val="single" w:sz="6" w:space="0" w:color="000000"/>
              <w:bottom w:val="single" w:sz="6" w:space="0" w:color="000000"/>
              <w:right w:val="single" w:sz="6" w:space="0" w:color="000000"/>
            </w:tcBorders>
            <w:shd w:val="clear" w:color="auto" w:fill="D2D2D2"/>
          </w:tcPr>
          <w:p>
            <w:pPr/>
          </w:p>
        </w:tc>
        <w:tc>
          <w:tcPr>
            <w:tcW w:w="1171" w:type="dxa"/>
            <w:vMerge/>
            <w:tcBorders>
              <w:left w:val="single" w:sz="6" w:space="0" w:color="000000"/>
              <w:bottom w:val="single" w:sz="6" w:space="0" w:color="000000"/>
              <w:right w:val="single" w:sz="6" w:space="0" w:color="000000"/>
            </w:tcBorders>
            <w:shd w:val="clear" w:color="auto" w:fill="D2D2D2"/>
          </w:tcPr>
          <w:p>
            <w:pPr/>
          </w:p>
        </w:tc>
        <w:tc>
          <w:tcPr>
            <w:tcW w:w="1157"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720" w:hRule="exact"/>
        </w:trPr>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13"/>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51,441,434.67</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447,700.00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50,993,734.67</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53,934,554.80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275,000.00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53,659,554.80</w:t>
            </w:r>
          </w:p>
        </w:tc>
        <w:tc>
          <w:tcPr>
            <w:tcW w:w="11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4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51,441,434.67</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447,700.00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50,993,734.67</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53,934,554.80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275,000.00</w:t>
            </w:r>
          </w:p>
        </w:tc>
        <w:tc>
          <w:tcPr>
            <w:tcW w:w="1157"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53,659,554.80</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1086"/>
        <w:jc w:val="left"/>
      </w:pPr>
      <w:r>
        <w:rPr/>
        <w:t>坏账准备减值情况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37"/>
        <w:gridCol w:w="2118"/>
        <w:gridCol w:w="2102"/>
        <w:gridCol w:w="180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5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72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80"/>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45"/>
        <w:ind w:right="1086"/>
        <w:jc w:val="left"/>
      </w:pPr>
      <w:r>
        <w:rPr/>
        <w:t>损失准备本期变动金额重大的账面余额变动情况</w:t>
      </w:r>
    </w:p>
    <w:p>
      <w:pPr>
        <w:pStyle w:val="BodyText"/>
        <w:spacing w:line="240" w:lineRule="auto" w:before="124"/>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2）因金融资产转移而终止确认的长期应收款" w:id="286"/>
      <w:bookmarkEnd w:id="286"/>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3）转移长期应收款且继续涉入形成的资产、负债金额" w:id="287"/>
      <w:bookmarkEnd w:id="287"/>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1086"/>
        <w:jc w:val="left"/>
        <w:rPr>
          <w:b w:val="0"/>
          <w:bCs w:val="0"/>
        </w:rPr>
      </w:pPr>
      <w:bookmarkStart w:name="17、长期股权投资" w:id="288"/>
      <w:bookmarkEnd w:id="288"/>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5"/>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5"/>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上海瑞章 投资有限 公司（以 下简称瑞 章公司）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63,299,90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7.43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-3,204,53</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7.81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-782,877.</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59,312,49</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1.82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226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江苏钜芯 集成电路 技术股份 有限公司</w:t>
            </w:r>
          </w:p>
          <w:p>
            <w:pPr>
              <w:pStyle w:val="TableParagraph"/>
              <w:spacing w:line="321" w:lineRule="auto" w:before="22"/>
              <w:ind w:left="15" w:right="45"/>
              <w:jc w:val="both"/>
              <w:rPr>
                <w:rFonts w:ascii="宋体" w:hAnsi="宋体" w:cs="宋体" w:eastAsia="宋体" w:hint="default"/>
                <w:sz w:val="18"/>
                <w:szCs w:val="18"/>
              </w:rPr>
            </w:pPr>
            <w:r>
              <w:rPr>
                <w:rFonts w:ascii="宋体" w:hAnsi="宋体" w:cs="宋体" w:eastAsia="宋体" w:hint="default"/>
                <w:sz w:val="18"/>
                <w:szCs w:val="18"/>
              </w:rPr>
              <w:t>（以下简 称江苏钜 芯）</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45" w:right="0"/>
              <w:jc w:val="left"/>
              <w:rPr>
                <w:rFonts w:ascii="Times New Roman" w:hAnsi="Times New Roman" w:cs="Times New Roman" w:eastAsia="Times New Roman" w:hint="default"/>
                <w:sz w:val="18"/>
                <w:szCs w:val="18"/>
              </w:rPr>
            </w:pPr>
            <w:r>
              <w:rPr>
                <w:rFonts w:ascii="Times New Roman"/>
                <w:sz w:val="18"/>
              </w:rPr>
              <w:t>70,459,91</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7.21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29"/>
              <w:jc w:val="right"/>
              <w:rPr>
                <w:rFonts w:ascii="Times New Roman" w:hAnsi="Times New Roman" w:cs="Times New Roman" w:eastAsia="Times New Roman" w:hint="default"/>
                <w:sz w:val="18"/>
                <w:szCs w:val="18"/>
              </w:rPr>
            </w:pPr>
            <w:r>
              <w:rPr>
                <w:rFonts w:ascii="Times New Roman"/>
                <w:w w:val="95"/>
                <w:sz w:val="18"/>
              </w:rPr>
              <w:t>-387,986.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30" w:right="0"/>
              <w:jc w:val="left"/>
              <w:rPr>
                <w:rFonts w:ascii="Times New Roman" w:hAnsi="Times New Roman" w:cs="Times New Roman" w:eastAsia="Times New Roman" w:hint="default"/>
                <w:sz w:val="18"/>
                <w:szCs w:val="18"/>
              </w:rPr>
            </w:pPr>
            <w:r>
              <w:rPr>
                <w:rFonts w:ascii="Times New Roman"/>
                <w:sz w:val="18"/>
              </w:rPr>
              <w:t>70,071,93</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0.97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上海泽信 软件有限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24,113,58</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3.84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281,680.1</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24,395,26</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天津医康 互联科技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1,512,030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.37</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6,784.49</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1,518,814</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杭州创辉</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9,172,808</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29"/>
              <w:jc w:val="right"/>
              <w:rPr>
                <w:rFonts w:ascii="Times New Roman" w:hAnsi="Times New Roman" w:cs="Times New Roman" w:eastAsia="Times New Roman" w:hint="default"/>
                <w:sz w:val="18"/>
                <w:szCs w:val="18"/>
              </w:rPr>
            </w:pPr>
            <w:r>
              <w:rPr>
                <w:rFonts w:ascii="Times New Roman"/>
                <w:w w:val="95"/>
                <w:sz w:val="18"/>
              </w:rPr>
              <w:t>-165,612.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9,007,195</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99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ind w:left="15" w:right="45"/>
              <w:jc w:val="both"/>
              <w:rPr>
                <w:rFonts w:ascii="宋体" w:hAnsi="宋体" w:cs="宋体" w:eastAsia="宋体" w:hint="default"/>
                <w:sz w:val="18"/>
                <w:szCs w:val="18"/>
              </w:rPr>
            </w:pPr>
            <w:r>
              <w:rPr>
                <w:rFonts w:ascii="宋体" w:hAnsi="宋体" w:cs="宋体" w:eastAsia="宋体" w:hint="default"/>
                <w:sz w:val="18"/>
                <w:szCs w:val="18"/>
              </w:rPr>
              <w:t>医疗电子 设备有限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.30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72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.58</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医惠科技</w:t>
            </w:r>
          </w:p>
          <w:p>
            <w:pPr>
              <w:pStyle w:val="TableParagraph"/>
              <w:spacing w:line="321" w:lineRule="auto" w:before="79"/>
              <w:ind w:left="15" w:right="45"/>
              <w:jc w:val="left"/>
              <w:rPr>
                <w:rFonts w:ascii="宋体" w:hAnsi="宋体" w:cs="宋体" w:eastAsia="宋体" w:hint="default"/>
                <w:sz w:val="18"/>
                <w:szCs w:val="18"/>
              </w:rPr>
            </w:pPr>
            <w:r>
              <w:rPr>
                <w:rFonts w:ascii="宋体" w:hAnsi="宋体" w:cs="宋体" w:eastAsia="宋体" w:hint="default"/>
                <w:sz w:val="18"/>
                <w:szCs w:val="18"/>
              </w:rPr>
              <w:t>（沈阳）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726,644.0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10,174.71</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736,818.7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医惠科技</w:t>
            </w:r>
          </w:p>
          <w:p>
            <w:pPr>
              <w:pStyle w:val="TableParagraph"/>
              <w:spacing w:line="321" w:lineRule="auto" w:before="64"/>
              <w:ind w:left="15" w:right="45"/>
              <w:jc w:val="left"/>
              <w:rPr>
                <w:rFonts w:ascii="宋体" w:hAnsi="宋体" w:cs="宋体" w:eastAsia="宋体" w:hint="default"/>
                <w:sz w:val="18"/>
                <w:szCs w:val="18"/>
              </w:rPr>
            </w:pPr>
            <w:r>
              <w:rPr>
                <w:rFonts w:ascii="宋体" w:hAnsi="宋体" w:cs="宋体" w:eastAsia="宋体" w:hint="default"/>
                <w:sz w:val="18"/>
                <w:szCs w:val="18"/>
              </w:rPr>
              <w:t>（广东）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637,028.7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551,258.5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1,188,287</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.21</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杭州医惠 科贝社科 技咨询有 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350,304.6</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191,439.6</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541,744.2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45"/>
              <w:jc w:val="both"/>
              <w:rPr>
                <w:rFonts w:ascii="宋体" w:hAnsi="宋体" w:cs="宋体" w:eastAsia="宋体" w:hint="default"/>
                <w:sz w:val="18"/>
                <w:szCs w:val="18"/>
              </w:rPr>
            </w:pPr>
            <w:r>
              <w:rPr>
                <w:rFonts w:ascii="宋体" w:hAnsi="宋体" w:cs="宋体" w:eastAsia="宋体" w:hint="default"/>
                <w:sz w:val="18"/>
                <w:szCs w:val="18"/>
              </w:rPr>
              <w:t>广州市天 威电子科 技有限公 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2,957,243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.81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-74,038.1</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2,883,205</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.65</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44"/>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杭州健海 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1,920,918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385,769.0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-1,031,03</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8.84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504,110.2</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杭州云在 信息科技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920,780.2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82,268.66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1,003,048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.89</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武汉医惠 健康科技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2,003,646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-217,064.</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1,786,582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.37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杭州丰廪 医健股权 投资合伙 企业（有 限合伙）</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45" w:right="0"/>
              <w:jc w:val="left"/>
              <w:rPr>
                <w:rFonts w:ascii="Times New Roman" w:hAnsi="Times New Roman" w:cs="Times New Roman" w:eastAsia="Times New Roman" w:hint="default"/>
                <w:sz w:val="18"/>
                <w:szCs w:val="18"/>
              </w:rPr>
            </w:pPr>
            <w:r>
              <w:rPr>
                <w:rFonts w:ascii="Times New Roman"/>
                <w:sz w:val="18"/>
              </w:rPr>
              <w:t>79,977,35</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0.56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474.82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Times New Roman" w:hAnsi="Times New Roman" w:cs="Times New Roman" w:eastAsia="Times New Roman" w:hint="default"/>
                <w:sz w:val="18"/>
                <w:szCs w:val="18"/>
              </w:rPr>
            </w:pPr>
            <w:r>
              <w:rPr>
                <w:rFonts w:ascii="Times New Roman"/>
                <w:sz w:val="18"/>
              </w:rPr>
              <w:t>79,977,82</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5.38</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宁波三创 瑞海投资 管理有限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44,996,02</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4.04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29"/>
              <w:jc w:val="right"/>
              <w:rPr>
                <w:rFonts w:ascii="Times New Roman" w:hAnsi="Times New Roman" w:cs="Times New Roman" w:eastAsia="Times New Roman" w:hint="default"/>
                <w:sz w:val="18"/>
                <w:szCs w:val="18"/>
              </w:rPr>
            </w:pPr>
            <w:r>
              <w:rPr>
                <w:rFonts w:ascii="Times New Roman"/>
                <w:w w:val="95"/>
                <w:sz w:val="18"/>
              </w:rPr>
              <w:t>-2,962.81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44,993,06</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1.23</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深圳智慧 医学科技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14,197,82</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6.80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-119,663.</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14,078,16</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3.24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59"/>
              <w:ind w:left="15" w:right="45"/>
              <w:jc w:val="left"/>
              <w:rPr>
                <w:rFonts w:ascii="宋体" w:hAnsi="宋体" w:cs="宋体" w:eastAsia="宋体" w:hint="default"/>
                <w:sz w:val="18"/>
                <w:szCs w:val="18"/>
              </w:rPr>
            </w:pPr>
            <w:r>
              <w:rPr>
                <w:rFonts w:ascii="宋体" w:hAnsi="宋体" w:cs="宋体" w:eastAsia="宋体" w:hint="default"/>
                <w:sz w:val="18"/>
                <w:szCs w:val="18"/>
              </w:rPr>
              <w:t>上海共阅 信息技术</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3,951,891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3,918.74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5,955,809</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.89</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675"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有限公司</w:t>
            </w:r>
          </w:p>
          <w:p>
            <w:pPr>
              <w:pStyle w:val="TableParagraph"/>
              <w:spacing w:line="240" w:lineRule="auto" w:before="79"/>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102"/>
              <w:ind w:left="15" w:right="19"/>
              <w:jc w:val="left"/>
              <w:rPr>
                <w:rFonts w:ascii="Times New Roman" w:hAnsi="Times New Roman" w:cs="Times New Roman" w:eastAsia="Times New Roman" w:hint="default"/>
                <w:sz w:val="18"/>
                <w:szCs w:val="18"/>
              </w:rPr>
            </w:pPr>
            <w:r>
              <w:rPr>
                <w:rFonts w:ascii="Times New Roman"/>
                <w:sz w:val="18"/>
              </w:rPr>
              <w:t>CLINIC</w:t>
            </w:r>
            <w:r>
              <w:rPr>
                <w:rFonts w:ascii="Times New Roman"/>
                <w:w w:val="99"/>
                <w:sz w:val="18"/>
              </w:rPr>
              <w:t> </w:t>
            </w:r>
            <w:r>
              <w:rPr>
                <w:rFonts w:ascii="Times New Roman"/>
                <w:sz w:val="18"/>
              </w:rPr>
              <w:t>FIRST</w:t>
            </w:r>
            <w:r>
              <w:rPr>
                <w:rFonts w:ascii="Times New Roman"/>
                <w:sz w:val="18"/>
              </w:rPr>
              <w:t> LIMITED</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1,235,881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-196,175.</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1,039,705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上海互软 医康信息 技术有限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1,950,776</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-42,457.6</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1,908,318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浙江华惠 医疗科技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456,253.9</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-23,552.6</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682,701.2</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44"/>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杭州琅玕 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3]</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21,277,10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6.93</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21,277,10</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6.93</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45"/>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杭州思慧 软件有限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52"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45"/>
              <w:ind w:left="15" w:right="45"/>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北京医势 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5]</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45"/>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上海慈欣 健康科技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693,300.0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9" w:right="0"/>
              <w:jc w:val="left"/>
              <w:rPr>
                <w:rFonts w:ascii="Times New Roman" w:hAnsi="Times New Roman" w:cs="Times New Roman" w:eastAsia="Times New Roman" w:hint="default"/>
                <w:sz w:val="18"/>
                <w:szCs w:val="18"/>
              </w:rPr>
            </w:pPr>
            <w:r>
              <w:rPr>
                <w:rFonts w:ascii="Times New Roman"/>
                <w:sz w:val="18"/>
              </w:rPr>
              <w:t>68,439.76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761,739.7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45"/>
              <w:jc w:val="both"/>
              <w:rPr>
                <w:rFonts w:ascii="Times New Roman" w:hAnsi="Times New Roman" w:cs="Times New Roman" w:eastAsia="Times New Roman" w:hint="default"/>
                <w:sz w:val="18"/>
                <w:szCs w:val="18"/>
              </w:rPr>
            </w:pPr>
            <w:r>
              <w:rPr>
                <w:rFonts w:ascii="宋体" w:hAnsi="宋体" w:cs="宋体" w:eastAsia="宋体" w:hint="default"/>
                <w:sz w:val="18"/>
                <w:szCs w:val="18"/>
              </w:rPr>
              <w:t>杭州睿杰 信息技术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4,407,351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.92</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376,416.8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4,783,768</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.76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6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Times New Roman" w:hAnsi="Times New Roman" w:cs="Times New Roman" w:eastAsia="Times New Roman" w:hint="default"/>
                <w:sz w:val="18"/>
                <w:szCs w:val="18"/>
              </w:rPr>
            </w:pPr>
            <w:r>
              <w:rPr>
                <w:rFonts w:ascii="宋体" w:hAnsi="宋体" w:cs="宋体" w:eastAsia="宋体" w:hint="default"/>
                <w:sz w:val="18"/>
                <w:szCs w:val="18"/>
              </w:rPr>
              <w:t>江苏瑞康 医惠医疗 投资管理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5"/>
              <w:jc w:val="right"/>
              <w:rPr>
                <w:rFonts w:ascii="Times New Roman" w:hAnsi="Times New Roman" w:cs="Times New Roman" w:eastAsia="Times New Roman" w:hint="default"/>
                <w:sz w:val="18"/>
                <w:szCs w:val="18"/>
              </w:rPr>
            </w:pPr>
            <w:r>
              <w:rPr>
                <w:rFonts w:ascii="Times New Roman"/>
                <w:sz w:val="18"/>
              </w:rPr>
              <w:t>480,013.8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30"/>
              <w:jc w:val="right"/>
              <w:rPr>
                <w:rFonts w:ascii="Times New Roman" w:hAnsi="Times New Roman" w:cs="Times New Roman" w:eastAsia="Times New Roman" w:hint="default"/>
                <w:sz w:val="18"/>
                <w:szCs w:val="18"/>
              </w:rPr>
            </w:pPr>
            <w:r>
              <w:rPr>
                <w:rFonts w:ascii="Times New Roman"/>
                <w:sz w:val="18"/>
              </w:rPr>
              <w:t>480,013.8</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1</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324,840,8</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17.49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54,107,77</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2.66</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385,769.0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-3,892,23</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-782,877.</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373,887,7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09.34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324,840,8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17.49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54,107,77</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2.66</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385,769.0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left"/>
              <w:rPr>
                <w:rFonts w:ascii="Times New Roman" w:hAnsi="Times New Roman" w:cs="Times New Roman" w:eastAsia="Times New Roman" w:hint="default"/>
                <w:sz w:val="18"/>
                <w:szCs w:val="18"/>
              </w:rPr>
            </w:pPr>
            <w:r>
              <w:rPr>
                <w:rFonts w:ascii="Times New Roman"/>
                <w:sz w:val="18"/>
              </w:rPr>
              <w:t>-3,892,23</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4.01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w w:val="95"/>
                <w:sz w:val="18"/>
              </w:rPr>
              <w:t>-782,877.</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80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373,887,7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09.34</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ind w:right="1086"/>
        <w:jc w:val="left"/>
      </w:pPr>
      <w:r>
        <w:rPr/>
        <w:t>其他说明</w:t>
      </w:r>
    </w:p>
    <w:p>
      <w:pPr>
        <w:pStyle w:val="Heading6"/>
        <w:spacing w:line="256" w:lineRule="auto" w:before="90"/>
        <w:ind w:right="1094"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月，子公司医惠科技公司分别与杭州岩桐投资合伙企业</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、珠海夏明企业管理</w:t>
      </w:r>
      <w:r>
        <w:rPr>
          <w:w w:val="99"/>
        </w:rPr>
        <w:t> </w:t>
      </w:r>
      <w:r>
        <w:rPr/>
        <w:t>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签订了《股权转让协议》，医惠科技公司将持有的杭州健海科技有限公司</w:t>
      </w:r>
      <w:r>
        <w:rPr>
          <w:rFonts w:ascii="Times New Roman" w:hAnsi="Times New Roman" w:cs="Times New Roman" w:eastAsia="Times New Roman" w:hint="default"/>
        </w:rPr>
        <w:t>78,068.00</w:t>
      </w:r>
      <w:r>
        <w:rPr>
          <w:rFonts w:ascii="Times New Roman" w:hAnsi="Times New Roman" w:cs="Times New Roman" w:eastAsia="Times New Roman" w:hint="default"/>
          <w:spacing w:val="15"/>
        </w:rPr>
        <w:t> </w:t>
      </w:r>
      <w:r>
        <w:rPr/>
        <w:t>元</w:t>
      </w:r>
      <w:r>
        <w:rPr>
          <w:w w:val="99"/>
        </w:rPr>
        <w:t> </w:t>
      </w:r>
      <w:r>
        <w:rPr/>
        <w:t>股权以</w:t>
      </w:r>
      <w:r>
        <w:rPr>
          <w:rFonts w:ascii="Times New Roman" w:hAnsi="Times New Roman" w:cs="Times New Roman" w:eastAsia="Times New Roman" w:hint="default"/>
        </w:rPr>
        <w:t>1,793,140.00</w:t>
      </w:r>
      <w:r>
        <w:rPr>
          <w:rFonts w:ascii="Times New Roman" w:hAnsi="Times New Roman" w:cs="Times New Roman" w:eastAsia="Times New Roman" w:hint="default"/>
          <w:spacing w:val="9"/>
        </w:rPr>
        <w:t> </w:t>
      </w:r>
      <w:r>
        <w:rPr/>
        <w:t>元的价格转让给杭州岩桐投资合伙企业</w:t>
      </w:r>
      <w:r>
        <w:rPr>
          <w:rFonts w:ascii="Times New Roman" w:hAnsi="Times New Roman" w:cs="Times New Roman" w:eastAsia="Times New Roman" w:hint="default"/>
        </w:rPr>
        <w:t>(</w:t>
      </w:r>
      <w:r>
        <w:rPr>
          <w:rFonts w:ascii="Times New Roman" w:hAnsi="Times New Roman" w:cs="Times New Roman" w:eastAsia="Times New Roman" w:hint="default"/>
          <w:spacing w:val="-29"/>
        </w:rPr>
        <w:t> </w:t>
      </w:r>
      <w:r>
        <w:rPr>
          <w:spacing w:val="2"/>
        </w:rPr>
        <w:t>有限合伙</w:t>
      </w:r>
      <w:r>
        <w:rPr>
          <w:rFonts w:ascii="Times New Roman" w:hAnsi="Times New Roman" w:cs="Times New Roman" w:eastAsia="Times New Roman" w:hint="default"/>
          <w:spacing w:val="2"/>
        </w:rPr>
        <w:t>)</w:t>
      </w:r>
      <w:r>
        <w:rPr>
          <w:spacing w:val="2"/>
        </w:rPr>
        <w:t>、将持有的杭州健海科技有限公司</w:t>
      </w:r>
      <w:r>
        <w:rPr>
          <w:spacing w:val="-93"/>
        </w:rPr>
        <w:t> </w:t>
      </w:r>
      <w:r>
        <w:rPr>
          <w:spacing w:val="-93"/>
        </w:rPr>
      </w:r>
      <w:r>
        <w:rPr>
          <w:rFonts w:ascii="Times New Roman" w:hAnsi="Times New Roman" w:cs="Times New Roman" w:eastAsia="Times New Roman" w:hint="default"/>
        </w:rPr>
        <w:t>307,701.00</w:t>
      </w:r>
      <w:r>
        <w:rPr/>
        <w:t>元股权以</w:t>
      </w:r>
      <w:r>
        <w:rPr>
          <w:rFonts w:ascii="Times New Roman" w:hAnsi="Times New Roman" w:cs="Times New Roman" w:eastAsia="Times New Roman" w:hint="default"/>
        </w:rPr>
        <w:t>7,067,558.00</w:t>
      </w:r>
      <w:r>
        <w:rPr/>
        <w:t>元转让给珠海夏明企业管理合伙企业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，转让完成后，医惠科技</w:t>
      </w:r>
      <w:r>
        <w:rPr>
          <w:spacing w:val="-19"/>
        </w:rPr>
        <w:t> </w:t>
      </w:r>
      <w:r>
        <w:rPr>
          <w:spacing w:val="-19"/>
        </w:rPr>
      </w:r>
      <w:r>
        <w:rPr>
          <w:spacing w:val="-1"/>
        </w:rPr>
        <w:t>公司持有杭州健海科技有限公司</w:t>
      </w:r>
      <w:r>
        <w:rPr>
          <w:rFonts w:ascii="Times New Roman" w:hAnsi="Times New Roman" w:cs="Times New Roman" w:eastAsia="Times New Roman" w:hint="default"/>
          <w:spacing w:val="-1"/>
        </w:rPr>
        <w:t>11.28%</w:t>
      </w:r>
      <w:r>
        <w:rPr>
          <w:spacing w:val="-1"/>
        </w:rPr>
        <w:t>股权，医惠科技公司派有一名董事，对其有重大影响，因而按权益</w:t>
      </w:r>
      <w:r>
        <w:rPr>
          <w:spacing w:val="-92"/>
        </w:rPr>
        <w:t> </w:t>
      </w:r>
      <w:r>
        <w:rPr>
          <w:spacing w:val="-92"/>
        </w:rPr>
      </w:r>
      <w:r>
        <w:rPr/>
        <w:t>法进行核算。</w:t>
      </w:r>
    </w:p>
    <w:p>
      <w:pPr>
        <w:pStyle w:val="Heading6"/>
        <w:spacing w:line="259" w:lineRule="auto" w:before="26"/>
        <w:ind w:right="1116"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月，子公司医惠科技公司、上海共阅信息技术有限公司和马凌云共同签订了《关于上</w:t>
      </w:r>
      <w:r>
        <w:rPr>
          <w:w w:val="99"/>
        </w:rPr>
        <w:t> </w:t>
      </w:r>
      <w:r>
        <w:rPr/>
        <w:t>海共阅信息技术有限公司之增资扩股协议》，医惠科技公司以</w:t>
      </w:r>
      <w:r>
        <w:rPr>
          <w:rFonts w:ascii="Times New Roman" w:hAnsi="Times New Roman" w:cs="Times New Roman" w:eastAsia="Times New Roman" w:hint="default"/>
        </w:rPr>
        <w:t>200</w:t>
      </w:r>
      <w:r>
        <w:rPr/>
        <w:t>万元对上海共阅信息技术有限公司进行</w:t>
      </w:r>
      <w:r>
        <w:rPr>
          <w:spacing w:val="-37"/>
        </w:rPr>
        <w:t> </w:t>
      </w:r>
      <w:r>
        <w:rPr>
          <w:spacing w:val="-37"/>
        </w:rPr>
      </w:r>
      <w:r>
        <w:rPr/>
        <w:t>增资，其中，</w:t>
      </w:r>
      <w:r>
        <w:rPr>
          <w:rFonts w:ascii="Times New Roman" w:hAnsi="Times New Roman" w:cs="Times New Roman" w:eastAsia="Times New Roman" w:hint="default"/>
        </w:rPr>
        <w:t>35</w:t>
      </w:r>
      <w:r>
        <w:rPr/>
        <w:t>万元计入注册资本，</w:t>
      </w:r>
      <w:r>
        <w:rPr>
          <w:rFonts w:ascii="Times New Roman" w:hAnsi="Times New Roman" w:cs="Times New Roman" w:eastAsia="Times New Roman" w:hint="default"/>
        </w:rPr>
        <w:t>165</w:t>
      </w:r>
      <w:r>
        <w:rPr/>
        <w:t>万元计入资本公积。截至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日，医惠科技公司已实际</w:t>
      </w:r>
      <w:r>
        <w:rPr>
          <w:spacing w:val="-36"/>
        </w:rPr>
        <w:t> </w:t>
      </w:r>
      <w:r>
        <w:rPr>
          <w:spacing w:val="-36"/>
        </w:rPr>
      </w:r>
      <w:r>
        <w:rPr/>
        <w:t>出资</w:t>
      </w:r>
      <w:r>
        <w:rPr>
          <w:rFonts w:ascii="Times New Roman" w:hAnsi="Times New Roman" w:cs="Times New Roman" w:eastAsia="Times New Roman" w:hint="default"/>
        </w:rPr>
        <w:t>700</w:t>
      </w:r>
      <w:r>
        <w:rPr/>
        <w:t>万元，占该公司增资后注册资本的</w:t>
      </w:r>
      <w:r>
        <w:rPr>
          <w:rFonts w:ascii="Times New Roman" w:hAnsi="Times New Roman" w:cs="Times New Roman" w:eastAsia="Times New Roman" w:hint="default"/>
        </w:rPr>
        <w:t>40.00%</w:t>
      </w:r>
      <w:r>
        <w:rPr/>
        <w:t>。</w:t>
      </w:r>
    </w:p>
    <w:p>
      <w:pPr>
        <w:pStyle w:val="Heading6"/>
        <w:spacing w:line="259" w:lineRule="auto"/>
        <w:ind w:right="1092"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月，本公司、周日军和杭州琅玕科技有限公司签订了《杭州琅玕科技有限公司股权转</w:t>
      </w:r>
      <w:r>
        <w:rPr>
          <w:w w:val="99"/>
        </w:rPr>
        <w:t> </w:t>
      </w:r>
      <w:r>
        <w:rPr>
          <w:spacing w:val="-2"/>
        </w:rPr>
        <w:t>让协议》，本公司将持有的杭州琅玕科技有限公司</w:t>
      </w:r>
      <w:r>
        <w:rPr>
          <w:rFonts w:ascii="Times New Roman" w:hAnsi="Times New Roman" w:cs="Times New Roman" w:eastAsia="Times New Roman" w:hint="default"/>
          <w:spacing w:val="-2"/>
        </w:rPr>
        <w:t>5%</w:t>
      </w:r>
      <w:r>
        <w:rPr>
          <w:spacing w:val="-2"/>
        </w:rPr>
        <w:t>的股权</w:t>
      </w:r>
      <w:r>
        <w:rPr>
          <w:rFonts w:ascii="Times New Roman" w:hAnsi="Times New Roman" w:cs="Times New Roman" w:eastAsia="Times New Roman" w:hint="default"/>
          <w:spacing w:val="-2"/>
        </w:rPr>
        <w:t>(</w:t>
      </w:r>
      <w:r>
        <w:rPr>
          <w:spacing w:val="-2"/>
        </w:rPr>
        <w:t>对应注册资本</w:t>
      </w:r>
      <w:r>
        <w:rPr>
          <w:rFonts w:ascii="Times New Roman" w:hAnsi="Times New Roman" w:cs="Times New Roman" w:eastAsia="Times New Roman" w:hint="default"/>
          <w:spacing w:val="-2"/>
        </w:rPr>
        <w:t>59.2222</w:t>
      </w:r>
      <w:r>
        <w:rPr>
          <w:spacing w:val="-2"/>
        </w:rPr>
        <w:t>万元</w:t>
      </w:r>
      <w:r>
        <w:rPr>
          <w:rFonts w:ascii="Times New Roman" w:hAnsi="Times New Roman" w:cs="Times New Roman" w:eastAsia="Times New Roman" w:hint="default"/>
          <w:spacing w:val="-2"/>
        </w:rPr>
        <w:t>)</w:t>
      </w:r>
      <w:r>
        <w:rPr>
          <w:spacing w:val="-2"/>
        </w:rPr>
        <w:t>以股权激励方式以</w:t>
      </w:r>
      <w:r>
        <w:rPr>
          <w:spacing w:val="-60"/>
        </w:rPr>
        <w:t> </w:t>
      </w:r>
      <w:r>
        <w:rPr>
          <w:rFonts w:ascii="Times New Roman" w:hAnsi="Times New Roman" w:cs="Times New Roman" w:eastAsia="Times New Roman" w:hint="default"/>
          <w:spacing w:val="-3"/>
        </w:rPr>
        <w:t>160</w:t>
      </w:r>
      <w:r>
        <w:rPr>
          <w:spacing w:val="-3"/>
        </w:rPr>
        <w:t>万元的价格转让给周日军，股权转让后，本公司持股比例变更为</w:t>
      </w:r>
      <w:r>
        <w:rPr>
          <w:rFonts w:ascii="Times New Roman" w:hAnsi="Times New Roman" w:cs="Times New Roman" w:eastAsia="Times New Roman" w:hint="default"/>
          <w:spacing w:val="-3"/>
        </w:rPr>
        <w:t>47%</w:t>
      </w:r>
      <w:r>
        <w:rPr>
          <w:spacing w:val="-3"/>
        </w:rPr>
        <w:t>。同时，杭州琅玕科技有限公司董</w:t>
      </w:r>
      <w:r>
        <w:rPr>
          <w:spacing w:val="-67"/>
        </w:rPr>
        <w:t> </w:t>
      </w:r>
      <w:r>
        <w:rPr>
          <w:spacing w:val="-67"/>
        </w:rPr>
      </w:r>
      <w:r>
        <w:rPr/>
        <w:t>事会由本公司委派</w:t>
      </w:r>
      <w:r>
        <w:rPr>
          <w:rFonts w:ascii="Times New Roman" w:hAnsi="Times New Roman" w:cs="Times New Roman" w:eastAsia="Times New Roman" w:hint="default"/>
        </w:rPr>
        <w:t>2</w:t>
      </w:r>
      <w:r>
        <w:rPr/>
        <w:t>名，由周日军委派</w:t>
      </w:r>
      <w:r>
        <w:rPr>
          <w:rFonts w:ascii="Times New Roman" w:hAnsi="Times New Roman" w:cs="Times New Roman" w:eastAsia="Times New Roman" w:hint="default"/>
        </w:rPr>
        <w:t>3</w:t>
      </w:r>
      <w:r>
        <w:rPr/>
        <w:t>名，本公司无法控制杭州琅玕科技有限公司，故自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月起，</w:t>
      </w:r>
      <w:r>
        <w:rPr>
          <w:w w:val="99"/>
        </w:rPr>
        <w:t> </w:t>
      </w:r>
      <w:r>
        <w:rPr/>
        <w:t>杭州琅玕科技有限公司不再纳入合并范围内，改为权益法核算。</w:t>
      </w:r>
    </w:p>
    <w:p>
      <w:pPr>
        <w:pStyle w:val="Heading6"/>
        <w:spacing w:line="264" w:lineRule="auto" w:before="8"/>
        <w:ind w:right="1083" w:firstLine="51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月，子公司医惠科技公司、杭州思慧软件有限公司和杭州思慧软件有限公司全体股</w:t>
      </w:r>
      <w:r>
        <w:rPr>
          <w:w w:val="99"/>
        </w:rPr>
        <w:t> </w:t>
      </w:r>
      <w:r>
        <w:rPr>
          <w:spacing w:val="-2"/>
        </w:rPr>
        <w:t>东签订了《关于杭州思慧软件有限公司之增资扩股协议》，医惠科技公司以</w:t>
      </w:r>
      <w:r>
        <w:rPr>
          <w:rFonts w:ascii="Times New Roman" w:hAnsi="Times New Roman" w:cs="Times New Roman" w:eastAsia="Times New Roman" w:hint="default"/>
          <w:spacing w:val="-2"/>
        </w:rPr>
        <w:t>1,000</w:t>
      </w:r>
      <w:r>
        <w:rPr>
          <w:spacing w:val="-2"/>
        </w:rPr>
        <w:t>万元对杭州思慧软件有限</w:t>
      </w:r>
      <w:r>
        <w:rPr>
          <w:spacing w:val="-97"/>
        </w:rPr>
        <w:t> </w:t>
      </w:r>
      <w:r>
        <w:rPr/>
        <w:t>公司进行增资，其中，</w:t>
      </w:r>
      <w:r>
        <w:rPr>
          <w:rFonts w:ascii="Times New Roman" w:hAnsi="Times New Roman" w:cs="Times New Roman" w:eastAsia="Times New Roman" w:hint="default"/>
        </w:rPr>
        <w:t>22.50</w:t>
      </w:r>
      <w:r>
        <w:rPr/>
        <w:t>万元计入注册资本，</w:t>
      </w:r>
      <w:r>
        <w:rPr>
          <w:rFonts w:ascii="Times New Roman" w:hAnsi="Times New Roman" w:cs="Times New Roman" w:eastAsia="Times New Roman" w:hint="default"/>
        </w:rPr>
        <w:t>977.50</w:t>
      </w:r>
      <w:r>
        <w:rPr/>
        <w:t>万元计入资本公积。截至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日，医惠科</w:t>
      </w:r>
      <w:r>
        <w:rPr>
          <w:w w:val="99"/>
        </w:rPr>
        <w:t> </w:t>
      </w:r>
      <w:r>
        <w:rPr/>
        <w:t>技公司已实际出资</w:t>
      </w:r>
      <w:r>
        <w:rPr>
          <w:rFonts w:ascii="Times New Roman" w:hAnsi="Times New Roman" w:cs="Times New Roman" w:eastAsia="Times New Roman" w:hint="default"/>
        </w:rPr>
        <w:t>1,000</w:t>
      </w:r>
      <w:r>
        <w:rPr/>
        <w:t>万元，占该公司增资后注册资本的</w:t>
      </w:r>
      <w:r>
        <w:rPr>
          <w:rFonts w:ascii="Times New Roman" w:hAnsi="Times New Roman" w:cs="Times New Roman" w:eastAsia="Times New Roman" w:hint="default"/>
        </w:rPr>
        <w:t>18.367%</w:t>
      </w:r>
      <w:r>
        <w:rPr/>
        <w:t>。杭州思慧软件有限公司设有股东会，</w:t>
      </w:r>
      <w:r>
        <w:rPr>
          <w:spacing w:val="-91"/>
        </w:rPr>
        <w:t> </w:t>
      </w:r>
      <w:r>
        <w:rPr/>
        <w:t>股东会所做决议，须经出席股东会议的股东或股东代表所持表决权三分之二（含）以上投票赞成且经医惠</w:t>
      </w:r>
      <w:r>
        <w:rPr>
          <w:w w:val="99"/>
        </w:rPr>
        <w:t> </w:t>
      </w:r>
      <w:r>
        <w:rPr/>
        <w:t>科技公司所持股权对应的表决权全部投票赞成方可形成决议，因而医惠科技公司对其有重大影响，采用权</w:t>
      </w:r>
      <w:r>
        <w:rPr>
          <w:w w:val="99"/>
        </w:rPr>
        <w:t> </w:t>
      </w:r>
      <w:r>
        <w:rPr/>
        <w:t>益法核算。</w:t>
      </w:r>
    </w:p>
    <w:p>
      <w:pPr>
        <w:pStyle w:val="Heading6"/>
        <w:spacing w:line="264" w:lineRule="auto" w:before="19"/>
        <w:ind w:right="1085"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月，子公司医惠科技公司、北京医势科技有限公司、北京医势科技有限公司全体股东</w:t>
      </w:r>
      <w:r>
        <w:rPr>
          <w:w w:val="99"/>
        </w:rPr>
        <w:t> </w:t>
      </w:r>
      <w:r>
        <w:rPr>
          <w:spacing w:val="-2"/>
        </w:rPr>
        <w:t>签订了《关于北京医势科技有限公司之增资扩股协议》，医惠科技公司以</w:t>
      </w:r>
      <w:r>
        <w:rPr>
          <w:rFonts w:ascii="Times New Roman" w:hAnsi="Times New Roman" w:cs="Times New Roman" w:eastAsia="Times New Roman" w:hint="default"/>
          <w:spacing w:val="-2"/>
        </w:rPr>
        <w:t>1,500</w:t>
      </w:r>
      <w:r>
        <w:rPr>
          <w:spacing w:val="-2"/>
        </w:rPr>
        <w:t>万对北京医势科技有限公司</w:t>
      </w:r>
      <w:r>
        <w:rPr>
          <w:spacing w:val="-98"/>
        </w:rPr>
        <w:t> </w:t>
      </w:r>
      <w:r>
        <w:rPr/>
        <w:t>进行增资，其中，</w:t>
      </w:r>
      <w:r>
        <w:rPr>
          <w:rFonts w:ascii="Times New Roman" w:hAnsi="Times New Roman" w:cs="Times New Roman" w:eastAsia="Times New Roman" w:hint="default"/>
        </w:rPr>
        <w:t>108</w:t>
      </w:r>
      <w:r>
        <w:rPr/>
        <w:t>万元计入注册资本，</w:t>
      </w:r>
      <w:r>
        <w:rPr>
          <w:rFonts w:ascii="Times New Roman" w:hAnsi="Times New Roman" w:cs="Times New Roman" w:eastAsia="Times New Roman" w:hint="default"/>
        </w:rPr>
        <w:t>1,392</w:t>
      </w:r>
      <w:r>
        <w:rPr/>
        <w:t>万元计入资本公积。截至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日，医惠科技公司</w:t>
      </w:r>
      <w:r>
        <w:rPr>
          <w:spacing w:val="-90"/>
        </w:rPr>
        <w:t> </w:t>
      </w:r>
      <w:r>
        <w:rPr/>
        <w:t>已实际出资</w:t>
      </w:r>
      <w:r>
        <w:rPr>
          <w:rFonts w:ascii="Times New Roman" w:hAnsi="Times New Roman" w:cs="Times New Roman" w:eastAsia="Times New Roman" w:hint="default"/>
        </w:rPr>
        <w:t>1,500</w:t>
      </w:r>
      <w:r>
        <w:rPr/>
        <w:t>万元，占该公司增资后注册资本的</w:t>
      </w:r>
      <w:r>
        <w:rPr>
          <w:rFonts w:ascii="Times New Roman" w:hAnsi="Times New Roman" w:cs="Times New Roman" w:eastAsia="Times New Roman" w:hint="default"/>
        </w:rPr>
        <w:t>17.763%</w:t>
      </w:r>
      <w:r>
        <w:rPr/>
        <w:t>。北京医势科技有限公司设有股东会，股东会</w:t>
      </w:r>
      <w:r>
        <w:rPr>
          <w:spacing w:val="-91"/>
        </w:rPr>
        <w:t> </w:t>
      </w:r>
      <w:r>
        <w:rPr/>
        <w:t>所做决议，须经出席股东会议的股东或股东代表所持表决权三分之二（含）以上投票赞成且经医惠科技公</w:t>
      </w:r>
      <w:r>
        <w:rPr>
          <w:w w:val="99"/>
        </w:rPr>
        <w:t> </w:t>
      </w:r>
      <w:r>
        <w:rPr/>
        <w:t>司所持股权对应的表决权全部投票赞成方可形成决议，因而医惠科技公司对其有重大影响，采用权益法核</w:t>
      </w:r>
      <w:r>
        <w:rPr>
          <w:w w:val="99"/>
        </w:rPr>
        <w:t> </w:t>
      </w:r>
      <w:r>
        <w:rPr/>
        <w:t>算。</w:t>
      </w:r>
    </w:p>
    <w:p>
      <w:pPr>
        <w:pStyle w:val="Heading6"/>
        <w:spacing w:line="256" w:lineRule="auto" w:before="19"/>
        <w:ind w:right="1111"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月，本公司、上海市计算技术研究所和上海果仁企业管理企业合伙企业</w:t>
      </w:r>
      <w:r>
        <w:rPr>
          <w:rFonts w:ascii="Times New Roman" w:hAnsi="Times New Roman" w:cs="Times New Roman" w:eastAsia="Times New Roman" w:hint="default"/>
        </w:rPr>
        <w:t>(</w:t>
      </w:r>
      <w:r>
        <w:rPr/>
        <w:t>有限合伙</w:t>
      </w:r>
      <w:r>
        <w:rPr>
          <w:rFonts w:ascii="Times New Roman" w:hAnsi="Times New Roman" w:cs="Times New Roman" w:eastAsia="Times New Roman" w:hint="default"/>
        </w:rPr>
        <w:t>)</w:t>
      </w:r>
      <w:r>
        <w:rPr/>
        <w:t>签</w:t>
      </w:r>
      <w:r>
        <w:rPr>
          <w:w w:val="99"/>
        </w:rPr>
        <w:t> </w:t>
      </w:r>
      <w:r>
        <w:rPr>
          <w:spacing w:val="-2"/>
        </w:rPr>
        <w:t>订《关于共同投资成立合资公司的协议书》，成立上海慈欣健康科技有限公司，注册资本</w:t>
      </w:r>
      <w:r>
        <w:rPr>
          <w:rFonts w:ascii="Times New Roman" w:hAnsi="Times New Roman" w:cs="Times New Roman" w:eastAsia="Times New Roman" w:hint="default"/>
          <w:spacing w:val="-2"/>
        </w:rPr>
        <w:t>4,500</w:t>
      </w:r>
      <w:r>
        <w:rPr>
          <w:spacing w:val="-2"/>
        </w:rPr>
        <w:t>万元，本公</w:t>
      </w:r>
      <w:r>
        <w:rPr>
          <w:spacing w:val="-81"/>
        </w:rPr>
        <w:t> </w:t>
      </w:r>
      <w:r>
        <w:rPr>
          <w:spacing w:val="-81"/>
        </w:rPr>
      </w:r>
      <w:r>
        <w:rPr/>
        <w:t>司出资</w:t>
      </w:r>
      <w:r>
        <w:rPr>
          <w:rFonts w:ascii="Times New Roman" w:hAnsi="Times New Roman" w:cs="Times New Roman" w:eastAsia="Times New Roman" w:hint="default"/>
        </w:rPr>
        <w:t>1,800</w:t>
      </w:r>
      <w:r>
        <w:rPr/>
        <w:t>万元，占注册资本的</w:t>
      </w:r>
      <w:r>
        <w:rPr>
          <w:rFonts w:ascii="Times New Roman" w:hAnsi="Times New Roman" w:cs="Times New Roman" w:eastAsia="Times New Roman" w:hint="default"/>
        </w:rPr>
        <w:t>40%</w:t>
      </w:r>
      <w:r>
        <w:rPr/>
        <w:t>，上海慈欣健康科技有限公司共有</w:t>
      </w:r>
      <w:r>
        <w:rPr>
          <w:rFonts w:ascii="Times New Roman" w:hAnsi="Times New Roman" w:cs="Times New Roman" w:eastAsia="Times New Roman" w:hint="default"/>
        </w:rPr>
        <w:t>3</w:t>
      </w:r>
      <w:r>
        <w:rPr/>
        <w:t>名董事，本公司派有一名董事，</w:t>
      </w:r>
      <w:r>
        <w:rPr>
          <w:spacing w:val="-53"/>
        </w:rPr>
        <w:t> </w:t>
      </w:r>
      <w:r>
        <w:rPr>
          <w:spacing w:val="-53"/>
        </w:rPr>
      </w:r>
      <w:r>
        <w:rPr>
          <w:spacing w:val="-3"/>
        </w:rPr>
        <w:t>因而本公司对其有重大影响，采用权益法核算。截至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日，医惠科技公司已实际出资</w:t>
      </w:r>
      <w:r>
        <w:rPr>
          <w:rFonts w:ascii="Times New Roman" w:hAnsi="Times New Roman" w:cs="Times New Roman" w:eastAsia="Times New Roman" w:hint="default"/>
          <w:spacing w:val="-3"/>
        </w:rPr>
        <w:t>693,300.00</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元。</w:t>
      </w:r>
    </w:p>
    <w:p>
      <w:pPr>
        <w:pStyle w:val="Heading6"/>
        <w:spacing w:line="261" w:lineRule="auto" w:before="25"/>
        <w:ind w:right="983"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月，子公司医惠科技公司与杨生鹏签订《出资协议》，协议约定，杭州睿杰信息技术</w:t>
      </w:r>
      <w:r>
        <w:rPr>
          <w:w w:val="99"/>
        </w:rPr>
        <w:t> </w:t>
      </w:r>
      <w:r>
        <w:rPr/>
        <w:t>有限公司于经营期限内实现第二阶段工作目标且经医惠科技公司验收确实合格的前提下，将新增注册资本</w:t>
      </w:r>
      <w:r>
        <w:rPr>
          <w:w w:val="99"/>
        </w:rPr>
        <w:t> </w:t>
      </w:r>
      <w:r>
        <w:rPr>
          <w:rFonts w:ascii="Times New Roman" w:hAnsi="Times New Roman" w:cs="Times New Roman" w:eastAsia="Times New Roman" w:hint="default"/>
          <w:spacing w:val="-3"/>
        </w:rPr>
        <w:t>750</w:t>
      </w:r>
      <w:r>
        <w:rPr>
          <w:spacing w:val="-3"/>
        </w:rPr>
        <w:t>万元，其中医惠科技公司以</w:t>
      </w:r>
      <w:r>
        <w:rPr>
          <w:rFonts w:ascii="Times New Roman" w:hAnsi="Times New Roman" w:cs="Times New Roman" w:eastAsia="Times New Roman" w:hint="default"/>
          <w:spacing w:val="-3"/>
        </w:rPr>
        <w:t>200</w:t>
      </w:r>
      <w:r>
        <w:rPr>
          <w:spacing w:val="-3"/>
        </w:rPr>
        <w:t>万元认缴新增注册资本</w:t>
      </w:r>
      <w:r>
        <w:rPr>
          <w:rFonts w:ascii="Times New Roman" w:hAnsi="Times New Roman" w:cs="Times New Roman" w:eastAsia="Times New Roman" w:hint="default"/>
          <w:spacing w:val="-3"/>
        </w:rPr>
        <w:t>200</w:t>
      </w:r>
      <w:r>
        <w:rPr>
          <w:spacing w:val="-3"/>
        </w:rPr>
        <w:t>万元，杨生鹏以</w:t>
      </w:r>
      <w:r>
        <w:rPr>
          <w:rFonts w:ascii="Times New Roman" w:hAnsi="Times New Roman" w:cs="Times New Roman" w:eastAsia="Times New Roman" w:hint="default"/>
          <w:spacing w:val="-3"/>
        </w:rPr>
        <w:t>550</w:t>
      </w:r>
      <w:r>
        <w:rPr>
          <w:spacing w:val="-3"/>
        </w:rPr>
        <w:t>万元认缴新增注册资本</w:t>
      </w:r>
      <w:r>
        <w:rPr>
          <w:rFonts w:ascii="Times New Roman" w:hAnsi="Times New Roman" w:cs="Times New Roman" w:eastAsia="Times New Roman" w:hint="default"/>
          <w:spacing w:val="-3"/>
        </w:rPr>
        <w:t>550</w:t>
      </w:r>
      <w:r>
        <w:rPr>
          <w:rFonts w:ascii="Times New Roman" w:hAnsi="Times New Roman" w:cs="Times New Roman" w:eastAsia="Times New Roman" w:hint="default"/>
          <w:spacing w:val="-20"/>
        </w:rPr>
        <w:t> </w:t>
      </w:r>
      <w:r>
        <w:rPr/>
        <w:t>万元。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月，杭州睿杰信息技术有限公司已实现第二阶段工作目标，双方增资后，医惠科技公司持</w:t>
      </w:r>
      <w:r>
        <w:rPr>
          <w:spacing w:val="-32"/>
        </w:rPr>
        <w:t> </w:t>
      </w:r>
      <w:r>
        <w:rPr>
          <w:spacing w:val="-32"/>
        </w:rPr>
      </w:r>
      <w:r>
        <w:rPr>
          <w:spacing w:val="-4"/>
        </w:rPr>
        <w:t>股比例变更为</w:t>
      </w:r>
      <w:r>
        <w:rPr>
          <w:rFonts w:ascii="Times New Roman" w:hAnsi="Times New Roman" w:cs="Times New Roman" w:eastAsia="Times New Roman" w:hint="default"/>
          <w:spacing w:val="-4"/>
        </w:rPr>
        <w:t>40%</w:t>
      </w:r>
      <w:r>
        <w:rPr>
          <w:spacing w:val="-4"/>
        </w:rPr>
        <w:t>，故自</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月起，杭州睿杰信息技术有限公司不再纳入合并范围内，改为权益法核算。</w:t>
      </w:r>
    </w:p>
    <w:p>
      <w:pPr>
        <w:pStyle w:val="Heading6"/>
        <w:spacing w:line="266" w:lineRule="auto" w:before="3"/>
        <w:ind w:right="1083"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8]</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月，江苏瑞康医惠医疗投资管理有限公司召开了股东会决议，经股东会决议通过，江</w:t>
      </w:r>
      <w:r>
        <w:rPr>
          <w:w w:val="99"/>
        </w:rPr>
        <w:t> </w:t>
      </w:r>
      <w:r>
        <w:rPr/>
        <w:t>苏瑞康医惠医疗投资管理有限公司董事会由子公司医惠科技公司推荐三人、西藏瑞华资本管理有限公司推</w:t>
      </w:r>
      <w:r>
        <w:rPr>
          <w:w w:val="99"/>
        </w:rPr>
        <w:t> </w:t>
      </w:r>
      <w:r>
        <w:rPr/>
        <w:t>荐两人变更为由子公司医惠科技公司推荐两人、西藏瑞华资本管理有限公司推荐两人、刘名章推荐一人，</w:t>
      </w:r>
      <w:r>
        <w:rPr>
          <w:w w:val="99"/>
        </w:rPr>
        <w:t> </w:t>
      </w:r>
      <w:r>
        <w:rPr/>
        <w:t>医惠科技公司无法控制江苏瑞康医惠医疗投资管理有限公司，故自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月起，江苏瑞康医惠医疗投资</w:t>
      </w:r>
    </w:p>
    <w:p>
      <w:pPr>
        <w:spacing w:after="0" w:line="266"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40" w:lineRule="auto" w:before="35"/>
        <w:ind w:right="1086"/>
        <w:jc w:val="left"/>
      </w:pPr>
      <w:r>
        <w:rPr/>
        <w:t>管理有限公司不再纳入合并范围内，改为权益法核算。</w:t>
      </w:r>
    </w:p>
    <w:p>
      <w:pPr>
        <w:spacing w:line="240" w:lineRule="auto" w:before="2"/>
        <w:rPr>
          <w:rFonts w:ascii="宋体" w:hAnsi="宋体" w:cs="宋体" w:eastAsia="宋体" w:hint="default"/>
          <w:sz w:val="27"/>
          <w:szCs w:val="27"/>
        </w:rPr>
      </w:pPr>
    </w:p>
    <w:p>
      <w:pPr>
        <w:pStyle w:val="Heading5"/>
        <w:spacing w:line="240" w:lineRule="auto"/>
        <w:ind w:right="1086"/>
        <w:jc w:val="left"/>
        <w:rPr>
          <w:b w:val="0"/>
          <w:bCs w:val="0"/>
        </w:rPr>
      </w:pPr>
      <w:bookmarkStart w:name="18、其他权益工具投资" w:id="289"/>
      <w:bookmarkEnd w:id="289"/>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1086"/>
        <w:jc w:val="left"/>
      </w:pPr>
      <w:r>
        <w:rPr/>
        <w:t>分项披露本期非交易性权益工具投资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337"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59"/>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29" w:right="59"/>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19、其他非流动金融资产" w:id="290"/>
      <w:bookmarkEnd w:id="290"/>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92"/>
              <w:jc w:val="left"/>
              <w:rPr>
                <w:rFonts w:ascii="宋体" w:hAnsi="宋体" w:cs="宋体" w:eastAsia="宋体" w:hint="default"/>
                <w:sz w:val="18"/>
                <w:szCs w:val="18"/>
              </w:rPr>
            </w:pPr>
            <w:r>
              <w:rPr>
                <w:rFonts w:ascii="宋体" w:hAnsi="宋体" w:cs="宋体" w:eastAsia="宋体" w:hint="default"/>
                <w:sz w:val="18"/>
                <w:szCs w:val="18"/>
              </w:rPr>
              <w:t>分类为以公允价值计量且其变动计入当 期损益的金融资产</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134,293,265.00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144,293,265.00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134,293,265.00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144,293,265.00</w:t>
            </w:r>
          </w:p>
        </w:tc>
      </w:tr>
    </w:tbl>
    <w:p>
      <w:pPr>
        <w:pStyle w:val="BodyText"/>
        <w:spacing w:line="240" w:lineRule="auto" w:before="45"/>
        <w:ind w:right="1086"/>
        <w:jc w:val="left"/>
      </w:pPr>
      <w:r>
        <w:rPr/>
        <w:t>其他说明：</w:t>
      </w:r>
    </w:p>
    <w:p>
      <w:pPr>
        <w:pStyle w:val="Heading6"/>
        <w:spacing w:line="240" w:lineRule="auto" w:before="89"/>
        <w:ind w:left="561" w:right="108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日）差异详见本财务报表附注三</w:t>
      </w: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)2</w:t>
      </w:r>
      <w:r>
        <w:rPr/>
        <w:t>之说明。</w:t>
      </w:r>
    </w:p>
    <w:p>
      <w:pPr>
        <w:spacing w:line="240" w:lineRule="auto" w:before="6"/>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177"/>
        <w:gridCol w:w="1758"/>
        <w:gridCol w:w="1712"/>
        <w:gridCol w:w="826"/>
        <w:gridCol w:w="1096"/>
        <w:gridCol w:w="1344"/>
      </w:tblGrid>
      <w:tr>
        <w:trPr>
          <w:trHeight w:val="660" w:hRule="exact"/>
        </w:trPr>
        <w:tc>
          <w:tcPr>
            <w:tcW w:w="2177" w:type="dxa"/>
            <w:vMerge w:val="restart"/>
            <w:tcBorders>
              <w:top w:val="single" w:sz="6" w:space="0" w:color="000000"/>
              <w:left w:val="single" w:sz="6" w:space="0" w:color="000000"/>
              <w:right w:val="single" w:sz="6" w:space="0" w:color="000000"/>
            </w:tcBorders>
          </w:tcPr>
          <w:p>
            <w:pPr>
              <w:pStyle w:val="TableParagraph"/>
              <w:spacing w:line="235" w:lineRule="exact"/>
              <w:ind w:left="195"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目</w:t>
            </w:r>
          </w:p>
        </w:tc>
        <w:tc>
          <w:tcPr>
            <w:tcW w:w="1758" w:type="dxa"/>
            <w:vMerge w:val="restart"/>
            <w:tcBorders>
              <w:top w:val="single" w:sz="6" w:space="0" w:color="000000"/>
              <w:left w:val="single" w:sz="6" w:space="0" w:color="000000"/>
              <w:right w:val="single" w:sz="6" w:space="0" w:color="000000"/>
            </w:tcBorders>
          </w:tcPr>
          <w:p>
            <w:pPr>
              <w:pStyle w:val="TableParagraph"/>
              <w:spacing w:line="235" w:lineRule="exact"/>
              <w:ind w:left="29"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12" w:type="dxa"/>
            <w:vMerge w:val="restart"/>
            <w:tcBorders>
              <w:top w:val="single" w:sz="6" w:space="0" w:color="000000"/>
              <w:left w:val="single" w:sz="6" w:space="0" w:color="000000"/>
              <w:right w:val="single" w:sz="6" w:space="0" w:color="000000"/>
            </w:tcBorders>
          </w:tcPr>
          <w:p>
            <w:pPr>
              <w:pStyle w:val="TableParagraph"/>
              <w:spacing w:line="240" w:lineRule="auto" w:before="14"/>
              <w:ind w:left="39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826" w:type="dxa"/>
            <w:vMerge w:val="restart"/>
            <w:tcBorders>
              <w:top w:val="single" w:sz="6" w:space="0" w:color="000000"/>
              <w:left w:val="single" w:sz="6" w:space="0" w:color="000000"/>
              <w:right w:val="single" w:sz="6" w:space="0" w:color="000000"/>
            </w:tcBorders>
          </w:tcPr>
          <w:p>
            <w:pPr>
              <w:pStyle w:val="TableParagraph"/>
              <w:spacing w:line="321" w:lineRule="auto"/>
              <w:ind w:left="44" w:right="44"/>
              <w:jc w:val="left"/>
              <w:rPr>
                <w:rFonts w:ascii="宋体" w:hAnsi="宋体" w:cs="宋体" w:eastAsia="宋体" w:hint="default"/>
                <w:sz w:val="18"/>
                <w:szCs w:val="18"/>
              </w:rPr>
            </w:pPr>
            <w:r>
              <w:rPr>
                <w:rFonts w:ascii="宋体" w:hAnsi="宋体" w:cs="宋体" w:eastAsia="宋体" w:hint="default"/>
                <w:sz w:val="18"/>
                <w:szCs w:val="18"/>
              </w:rPr>
              <w:t>本期公允 价值变动</w:t>
            </w:r>
          </w:p>
        </w:tc>
        <w:tc>
          <w:tcPr>
            <w:tcW w:w="2440" w:type="dxa"/>
            <w:gridSpan w:val="2"/>
            <w:tcBorders>
              <w:top w:val="single" w:sz="6" w:space="0" w:color="000000"/>
              <w:left w:val="single" w:sz="6" w:space="0" w:color="000000"/>
              <w:bottom w:val="single" w:sz="6" w:space="0" w:color="000000"/>
              <w:right w:val="nil" w:sz="6" w:space="0" w:color="auto"/>
            </w:tcBorders>
          </w:tcPr>
          <w:p>
            <w:pPr>
              <w:pStyle w:val="TableParagraph"/>
              <w:spacing w:line="321" w:lineRule="auto"/>
              <w:ind w:left="300" w:right="62" w:hanging="271"/>
              <w:jc w:val="left"/>
              <w:rPr>
                <w:rFonts w:ascii="宋体" w:hAnsi="宋体" w:cs="宋体" w:eastAsia="宋体" w:hint="default"/>
                <w:sz w:val="18"/>
                <w:szCs w:val="18"/>
              </w:rPr>
            </w:pPr>
            <w:r>
              <w:rPr>
                <w:rFonts w:ascii="宋体" w:hAnsi="宋体" w:cs="宋体" w:eastAsia="宋体" w:hint="default"/>
                <w:sz w:val="18"/>
                <w:szCs w:val="18"/>
              </w:rPr>
              <w:t>本期从其他综合收益转入留存 收益的累计利得和损失</w:t>
            </w:r>
          </w:p>
        </w:tc>
      </w:tr>
      <w:tr>
        <w:trPr>
          <w:trHeight w:val="345" w:hRule="exact"/>
        </w:trPr>
        <w:tc>
          <w:tcPr>
            <w:tcW w:w="2177" w:type="dxa"/>
            <w:vMerge/>
            <w:tcBorders>
              <w:left w:val="single" w:sz="6" w:space="0" w:color="000000"/>
              <w:bottom w:val="single" w:sz="6" w:space="0" w:color="000000"/>
              <w:right w:val="single" w:sz="6" w:space="0" w:color="000000"/>
            </w:tcBorders>
          </w:tcPr>
          <w:p>
            <w:pPr/>
          </w:p>
        </w:tc>
        <w:tc>
          <w:tcPr>
            <w:tcW w:w="1758" w:type="dxa"/>
            <w:vMerge/>
            <w:tcBorders>
              <w:left w:val="single" w:sz="6" w:space="0" w:color="000000"/>
              <w:bottom w:val="single" w:sz="6" w:space="0" w:color="000000"/>
              <w:right w:val="single" w:sz="6" w:space="0" w:color="000000"/>
            </w:tcBorders>
          </w:tcPr>
          <w:p>
            <w:pPr/>
          </w:p>
        </w:tc>
        <w:tc>
          <w:tcPr>
            <w:tcW w:w="1712"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6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44" w:type="dxa"/>
            <w:tcBorders>
              <w:top w:val="single" w:sz="6" w:space="0" w:color="000000"/>
              <w:left w:val="single" w:sz="6" w:space="0" w:color="000000"/>
              <w:bottom w:val="single" w:sz="6" w:space="0" w:color="000000"/>
              <w:right w:val="nil" w:sz="6" w:space="0" w:color="auto"/>
            </w:tcBorders>
          </w:tcPr>
          <w:p>
            <w:pPr>
              <w:pStyle w:val="TableParagraph"/>
              <w:spacing w:line="235" w:lineRule="exact"/>
              <w:ind w:left="1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346"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46,832,100.00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46,832,100.00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新疆佳音医院（有限公司）</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4"/>
              <w:jc w:val="right"/>
              <w:rPr>
                <w:rFonts w:ascii="Times New Roman" w:hAnsi="Times New Roman" w:cs="Times New Roman" w:eastAsia="Times New Roman" w:hint="default"/>
                <w:sz w:val="18"/>
                <w:szCs w:val="18"/>
              </w:rPr>
            </w:pPr>
            <w:r>
              <w:rPr>
                <w:rFonts w:ascii="Times New Roman"/>
                <w:sz w:val="18"/>
              </w:rPr>
              <w:t>19,980,000.00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1"/>
              <w:jc w:val="right"/>
              <w:rPr>
                <w:rFonts w:ascii="Times New Roman" w:hAnsi="Times New Roman" w:cs="Times New Roman" w:eastAsia="Times New Roman" w:hint="default"/>
                <w:sz w:val="18"/>
                <w:szCs w:val="18"/>
              </w:rPr>
            </w:pPr>
            <w:r>
              <w:rPr>
                <w:rFonts w:ascii="Times New Roman"/>
                <w:sz w:val="18"/>
              </w:rPr>
              <w:t>19,980,000.00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 公司</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19,881,165.00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19,881,165.00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18,900,000.00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18,900,000.00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r>
        <w:trPr>
          <w:trHeight w:val="660"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0"/>
              <w:jc w:val="left"/>
              <w:rPr>
                <w:rFonts w:ascii="宋体" w:hAnsi="宋体" w:cs="宋体" w:eastAsia="宋体" w:hint="default"/>
                <w:sz w:val="18"/>
                <w:szCs w:val="18"/>
              </w:rPr>
            </w:pPr>
            <w:r>
              <w:rPr>
                <w:rFonts w:ascii="宋体" w:hAnsi="宋体" w:cs="宋体" w:eastAsia="宋体" w:hint="default"/>
                <w:sz w:val="18"/>
                <w:szCs w:val="18"/>
              </w:rPr>
              <w:t>汕头保税区领域跨境电子商 务有限公司</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16,500,000.00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16,500,000.00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343" w:lineRule="auto" w:before="30"/>
              <w:ind w:right="-16"/>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杭州求是医院有限公司</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注</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p>
        </w:tc>
        <w:tc>
          <w:tcPr>
            <w:tcW w:w="1758"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10,000,000.00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5,000,000.00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5,000,000.00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3,000,000.00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3,000,000.00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r>
        <w:trPr>
          <w:trHeight w:val="661"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 公司</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2,200,000.00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2,200,000.00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大连乾函科技有限公司</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2,000,000.00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2,000,000.00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177"/>
        <w:gridCol w:w="1758"/>
        <w:gridCol w:w="1712"/>
        <w:gridCol w:w="826"/>
        <w:gridCol w:w="1096"/>
        <w:gridCol w:w="1344"/>
      </w:tblGrid>
      <w:tr>
        <w:trPr>
          <w:trHeight w:val="345" w:hRule="exact"/>
        </w:trPr>
        <w:tc>
          <w:tcPr>
            <w:tcW w:w="2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95"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60"/>
                <w:sz w:val="18"/>
                <w:szCs w:val="18"/>
              </w:rPr>
              <w:t> </w:t>
            </w:r>
            <w:r>
              <w:rPr>
                <w:rFonts w:ascii="宋体" w:hAnsi="宋体" w:cs="宋体" w:eastAsia="宋体" w:hint="default"/>
                <w:sz w:val="18"/>
                <w:szCs w:val="18"/>
              </w:rPr>
              <w:t>计</w:t>
            </w:r>
          </w:p>
        </w:tc>
        <w:tc>
          <w:tcPr>
            <w:tcW w:w="17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631" w:right="-14"/>
              <w:jc w:val="left"/>
              <w:rPr>
                <w:rFonts w:ascii="Times New Roman" w:hAnsi="Times New Roman" w:cs="Times New Roman" w:eastAsia="Times New Roman" w:hint="default"/>
                <w:sz w:val="18"/>
                <w:szCs w:val="18"/>
              </w:rPr>
            </w:pPr>
            <w:r>
              <w:rPr>
                <w:rFonts w:ascii="Times New Roman"/>
                <w:sz w:val="18"/>
              </w:rPr>
              <w:t>134,293,265.00</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570" w:right="0"/>
              <w:jc w:val="left"/>
              <w:rPr>
                <w:rFonts w:ascii="Times New Roman" w:hAnsi="Times New Roman" w:cs="Times New Roman" w:eastAsia="Times New Roman" w:hint="default"/>
                <w:sz w:val="18"/>
                <w:szCs w:val="18"/>
              </w:rPr>
            </w:pPr>
            <w:r>
              <w:rPr>
                <w:rFonts w:ascii="Times New Roman"/>
                <w:sz w:val="18"/>
              </w:rPr>
              <w:t>144,293,265.00</w:t>
            </w:r>
          </w:p>
        </w:tc>
        <w:tc>
          <w:tcPr>
            <w:tcW w:w="826"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nil" w:sz="6" w:space="0" w:color="auto"/>
            </w:tcBorders>
          </w:tcPr>
          <w:p>
            <w:pPr/>
          </w:p>
        </w:tc>
      </w:tr>
    </w:tbl>
    <w:p>
      <w:pPr>
        <w:pStyle w:val="Heading6"/>
        <w:spacing w:line="271" w:lineRule="exact"/>
        <w:ind w:left="561" w:right="1086"/>
        <w:jc w:val="left"/>
        <w:rPr>
          <w:rFonts w:ascii="Times New Roman" w:hAnsi="Times New Roman" w:cs="Times New Roman" w:eastAsia="Times New Roman" w:hint="default"/>
        </w:rPr>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1]</w:t>
      </w:r>
      <w:r>
        <w:rPr>
          <w:spacing w:val="2"/>
        </w:rPr>
        <w:t>：期初数与上年年末数上期期末余额（</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日）差异详见本财务报表附注三</w:t>
      </w:r>
      <w:r>
        <w:rPr>
          <w:rFonts w:ascii="Times New Roman" w:hAnsi="Times New Roman" w:cs="Times New Roman" w:eastAsia="Times New Roman" w:hint="default"/>
          <w:spacing w:val="2"/>
        </w:rPr>
        <w:t>(</w:t>
      </w:r>
      <w:r>
        <w:rPr>
          <w:spacing w:val="2"/>
        </w:rPr>
        <w:t>二十六</w:t>
      </w:r>
      <w:r>
        <w:rPr>
          <w:rFonts w:ascii="Times New Roman" w:hAnsi="Times New Roman" w:cs="Times New Roman" w:eastAsia="Times New Roman" w:hint="default"/>
          <w:spacing w:val="2"/>
        </w:rPr>
        <w:t>)2</w:t>
      </w:r>
      <w:r>
        <w:rPr>
          <w:rFonts w:ascii="Times New Roman" w:hAnsi="Times New Roman" w:cs="Times New Roman" w:eastAsia="Times New Roman" w:hint="default"/>
        </w:rPr>
      </w:r>
    </w:p>
    <w:p>
      <w:pPr>
        <w:pStyle w:val="Heading6"/>
        <w:spacing w:line="240" w:lineRule="auto" w:before="24"/>
        <w:ind w:right="1086"/>
        <w:jc w:val="left"/>
      </w:pPr>
      <w:r>
        <w:rPr/>
        <w:t>之说明。</w:t>
      </w:r>
    </w:p>
    <w:p>
      <w:pPr>
        <w:pStyle w:val="Heading6"/>
        <w:spacing w:line="254" w:lineRule="auto" w:before="40"/>
        <w:ind w:right="1105"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月，子公司医惠科技公司与浙江蓝天清水湾旅业有限公司签订《股权转让协议》，医</w:t>
      </w:r>
      <w:r>
        <w:rPr>
          <w:w w:val="99"/>
        </w:rPr>
        <w:t> </w:t>
      </w:r>
      <w:r>
        <w:rPr/>
        <w:t>惠科技有限公司将其持有的杭州求是医院有限公司</w:t>
      </w:r>
      <w:r>
        <w:rPr>
          <w:rFonts w:ascii="Times New Roman" w:hAnsi="Times New Roman" w:cs="Times New Roman" w:eastAsia="Times New Roman" w:hint="default"/>
        </w:rPr>
        <w:t>1.4286%</w:t>
      </w:r>
      <w:r>
        <w:rPr/>
        <w:t>股权以</w:t>
      </w:r>
      <w:r>
        <w:rPr>
          <w:rFonts w:ascii="Times New Roman" w:hAnsi="Times New Roman" w:cs="Times New Roman" w:eastAsia="Times New Roman" w:hint="default"/>
        </w:rPr>
        <w:t>1,240</w:t>
      </w:r>
      <w:r>
        <w:rPr/>
        <w:t>万元转让给浙江蓝天清水湾旅业有</w:t>
      </w:r>
      <w:r>
        <w:rPr>
          <w:spacing w:val="-91"/>
        </w:rPr>
        <w:t> </w:t>
      </w:r>
      <w:r>
        <w:rPr/>
        <w:t>限公司，医惠科技公司已于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月收到股权转让款。</w:t>
      </w:r>
    </w:p>
    <w:p>
      <w:pPr>
        <w:spacing w:line="240" w:lineRule="auto" w:before="12"/>
        <w:rPr>
          <w:rFonts w:ascii="宋体" w:hAnsi="宋体" w:cs="宋体" w:eastAsia="宋体" w:hint="default"/>
          <w:sz w:val="24"/>
          <w:szCs w:val="24"/>
        </w:rPr>
      </w:pPr>
    </w:p>
    <w:p>
      <w:pPr>
        <w:pStyle w:val="Heading5"/>
        <w:spacing w:line="240" w:lineRule="auto"/>
        <w:ind w:right="1086"/>
        <w:jc w:val="left"/>
        <w:rPr>
          <w:b w:val="0"/>
          <w:bCs w:val="0"/>
        </w:rPr>
      </w:pPr>
      <w:bookmarkStart w:name="20、投资性房地产" w:id="291"/>
      <w:bookmarkEnd w:id="291"/>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采用成本计量模式的投资性房地产" w:id="292"/>
      <w:bookmarkEnd w:id="29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75,631,972.00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17,554,792.87</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93,186,764.87</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3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22"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75,631,972.00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17,554,792.87</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93,186,764.87</w:t>
            </w: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24,783,674.66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4,076,667.90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28,860,342.56</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3,433,509.91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368,616.80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3,802,126.71</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28,217,184.57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4,445,284.70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32,662,469.27</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47,414,787.43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13,109,508.17</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60,524,295.60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50,848,297.34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13,478,124.97</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64,326,422.31</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采用公允价值计量模式的投资性房地产" w:id="293"/>
      <w:bookmarkEnd w:id="29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7"/>
        <w:rPr>
          <w:rFonts w:ascii="宋体" w:hAnsi="宋体" w:cs="宋体" w:eastAsia="宋体" w:hint="default"/>
          <w:sz w:val="26"/>
          <w:szCs w:val="26"/>
        </w:rPr>
      </w:pPr>
    </w:p>
    <w:p>
      <w:pPr>
        <w:pStyle w:val="Heading5"/>
        <w:spacing w:line="240" w:lineRule="auto"/>
        <w:ind w:right="1086"/>
        <w:jc w:val="left"/>
        <w:rPr>
          <w:b w:val="0"/>
          <w:bCs w:val="0"/>
        </w:rPr>
      </w:pPr>
      <w:bookmarkStart w:name="（3）未办妥产权证书的投资性房地产情况" w:id="294"/>
      <w:bookmarkEnd w:id="29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21、固定资产" w:id="295"/>
      <w:bookmarkEnd w:id="295"/>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349,602,866.28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300,292,739.88</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349,602,866.28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300,292,739.88</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1）固定资产情况" w:id="296"/>
      <w:bookmarkEnd w:id="29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577"/>
        <w:gridCol w:w="1614"/>
        <w:gridCol w:w="1592"/>
        <w:gridCol w:w="1592"/>
        <w:gridCol w:w="1592"/>
        <w:gridCol w:w="1607"/>
      </w:tblGrid>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6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14"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1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185,693,165.27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35" w:right="0"/>
              <w:jc w:val="left"/>
              <w:rPr>
                <w:rFonts w:ascii="Times New Roman" w:hAnsi="Times New Roman" w:cs="Times New Roman" w:eastAsia="Times New Roman" w:hint="default"/>
                <w:sz w:val="18"/>
                <w:szCs w:val="18"/>
              </w:rPr>
            </w:pPr>
            <w:r>
              <w:rPr>
                <w:rFonts w:ascii="Times New Roman"/>
                <w:sz w:val="18"/>
              </w:rPr>
              <w:t>212,771,786.81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10,572,178.98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31,338,847.11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440,375,978.17</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570"/>
        <w:gridCol w:w="1630"/>
        <w:gridCol w:w="1592"/>
        <w:gridCol w:w="1592"/>
        <w:gridCol w:w="1592"/>
        <w:gridCol w:w="1607"/>
      </w:tblGrid>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33,341.02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63,336,037.77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883,736.91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29,971,330.82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94,224,446.52</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33,341.02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61,870,651.60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883,736.91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29,971,330.82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92,759,060.35</w:t>
            </w:r>
          </w:p>
        </w:tc>
      </w:tr>
      <w:tr>
        <w:trPr>
          <w:trHeight w:val="7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1,465,386.17</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1,465,386.17</w:t>
            </w:r>
          </w:p>
        </w:tc>
      </w:tr>
      <w:tr>
        <w:trPr>
          <w:trHeight w:val="72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1,107,357.01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2,075,879.80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271,094.34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1,071,292.91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4,525,624.06</w:t>
            </w:r>
          </w:p>
        </w:tc>
      </w:tr>
      <w:tr>
        <w:trPr>
          <w:trHeight w:val="72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1,107,357.01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1,848,279.80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271,094.34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276,369.67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3,503,100.82</w:t>
            </w:r>
          </w:p>
        </w:tc>
      </w:tr>
      <w:tr>
        <w:trPr>
          <w:trHeight w:val="72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82" w:firstLine="63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 </w:t>
            </w:r>
            <w:r>
              <w:rPr>
                <w:rFonts w:ascii="宋体" w:hAnsi="宋体" w:cs="宋体" w:eastAsia="宋体" w:hint="default"/>
                <w:sz w:val="18"/>
                <w:szCs w:val="18"/>
              </w:rPr>
              <w:t>其他 转出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227,600.00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794,923.24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1,022,523.24</w:t>
            </w:r>
          </w:p>
        </w:tc>
      </w:tr>
      <w:tr>
        <w:trPr>
          <w:trHeight w:val="39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184,619,149.28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274,031,944.78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11,184,821.55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60,238,885.02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530,074,800.63</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27,436,309.19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87,338,386.48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7,974,626.40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17,333,916.22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140,083,238.29</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8,823,431.87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27,237,399.07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818,580.22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5,596,753.90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42,476,165.06</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8,823,431.87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27,237,399.07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818,580.22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5,596,753.90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42,476,165.06</w:t>
            </w: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336,827.95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818,551.21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257,539.62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674,550.22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2,087,469.00</w:t>
            </w:r>
          </w:p>
        </w:tc>
      </w:tr>
      <w:tr>
        <w:trPr>
          <w:trHeight w:val="721"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336,827.95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779,056.53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257,539.62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181,324.55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1,554,748.65</w:t>
            </w:r>
          </w:p>
        </w:tc>
      </w:tr>
      <w:tr>
        <w:trPr>
          <w:trHeight w:val="7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82" w:firstLine="63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2 ) </w:t>
            </w:r>
            <w:r>
              <w:rPr>
                <w:rFonts w:ascii="宋体" w:hAnsi="宋体" w:cs="宋体" w:eastAsia="宋体" w:hint="default"/>
                <w:sz w:val="18"/>
                <w:szCs w:val="18"/>
              </w:rPr>
              <w:t>其他 转出</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39,494.68</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493,225.67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532,720.35</w:t>
            </w: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35,922,913.11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113,757,234.34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8,535,667.00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22,256,119.90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180,471,934.35</w:t>
            </w: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30" w:type="dxa"/>
            <w:tcBorders>
              <w:top w:val="single" w:sz="6" w:space="0" w:color="000000"/>
              <w:left w:val="single" w:sz="12" w:space="0" w:color="D2D2D2"/>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43"/>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6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148,696,236.17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160,274,710.44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2,649,154.55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37,982,765.12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349,602,866.28</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585"/>
        <w:gridCol w:w="1615"/>
        <w:gridCol w:w="1592"/>
        <w:gridCol w:w="1592"/>
        <w:gridCol w:w="1592"/>
        <w:gridCol w:w="1607"/>
      </w:tblGrid>
      <w:tr>
        <w:trPr>
          <w:trHeight w:val="390" w:hRule="exact"/>
        </w:trPr>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158,256,856.08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35" w:right="0"/>
              <w:jc w:val="left"/>
              <w:rPr>
                <w:rFonts w:ascii="Times New Roman" w:hAnsi="Times New Roman" w:cs="Times New Roman" w:eastAsia="Times New Roman" w:hint="default"/>
                <w:sz w:val="18"/>
                <w:szCs w:val="18"/>
              </w:rPr>
            </w:pPr>
            <w:r>
              <w:rPr>
                <w:rFonts w:ascii="Times New Roman"/>
                <w:sz w:val="18"/>
              </w:rPr>
              <w:t>125,433,400.33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2,597,552.58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14,004,930.89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0" w:right="0"/>
              <w:jc w:val="left"/>
              <w:rPr>
                <w:rFonts w:ascii="Times New Roman" w:hAnsi="Times New Roman" w:cs="Times New Roman" w:eastAsia="Times New Roman" w:hint="default"/>
                <w:sz w:val="18"/>
                <w:szCs w:val="18"/>
              </w:rPr>
            </w:pPr>
            <w:r>
              <w:rPr>
                <w:rFonts w:ascii="Times New Roman"/>
                <w:sz w:val="18"/>
              </w:rPr>
              <w:t>300,292,739.88</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86"/>
        <w:jc w:val="left"/>
        <w:rPr>
          <w:b w:val="0"/>
          <w:bCs w:val="0"/>
        </w:rPr>
      </w:pPr>
      <w:bookmarkStart w:name="（2）暂时闲置的固定资产情况" w:id="297"/>
      <w:bookmarkEnd w:id="29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通过融资租赁租入的固定资产情况" w:id="298"/>
      <w:bookmarkEnd w:id="29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4）通过经营租赁租出的固定资产" w:id="299"/>
      <w:bookmarkEnd w:id="29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5）未办妥产权证书的固定资产情况" w:id="300"/>
      <w:bookmarkEnd w:id="30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6）固定资产清理" w:id="301"/>
      <w:bookmarkEnd w:id="301"/>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22、在建工程" w:id="302"/>
      <w:bookmarkEnd w:id="302"/>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106,826,286.64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20,133,141.32</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106,826,286.64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20,133,141.32</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1）在建工程情况" w:id="303"/>
      <w:bookmarkEnd w:id="30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4116"/>
        <w:gridCol w:w="4100"/>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545,713.10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545,713.10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873,030.60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873,030.60</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医惠中心项目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103,892,718.51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103,892,718.51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19,064,800.23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19,064,800.23</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零星工程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2,387,855.03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2,387,855.03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195,310.49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195,310.49</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106,826,286.64</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106,826,286.64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20,133,141.32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20,133,141.32</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重要在建工程项目本期变动情况" w:id="304"/>
      <w:bookmarkEnd w:id="30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337"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105"/>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8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90" w:right="105"/>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20"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待安装 设备</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873,030.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1,138,06</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8.67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1,465,38</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6.17</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545,713.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5"/>
              <w:jc w:val="left"/>
              <w:rPr>
                <w:rFonts w:ascii="宋体" w:hAnsi="宋体" w:cs="宋体" w:eastAsia="宋体" w:hint="default"/>
                <w:sz w:val="18"/>
                <w:szCs w:val="18"/>
              </w:rPr>
            </w:pPr>
            <w:r>
              <w:rPr>
                <w:rFonts w:ascii="宋体" w:hAnsi="宋体" w:cs="宋体" w:eastAsia="宋体" w:hint="default"/>
                <w:sz w:val="18"/>
                <w:szCs w:val="18"/>
              </w:rPr>
              <w:t>医惠中 心项目</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19,064,8</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00.23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center"/>
              <w:rPr>
                <w:rFonts w:ascii="Times New Roman" w:hAnsi="Times New Roman" w:cs="Times New Roman" w:eastAsia="Times New Roman" w:hint="default"/>
                <w:sz w:val="18"/>
                <w:szCs w:val="18"/>
              </w:rPr>
            </w:pPr>
            <w:r>
              <w:rPr>
                <w:rFonts w:ascii="Times New Roman"/>
                <w:sz w:val="18"/>
              </w:rPr>
              <w:t>102,569,</w:t>
            </w:r>
          </w:p>
          <w:p>
            <w:pPr>
              <w:pStyle w:val="TableParagraph"/>
              <w:spacing w:line="240" w:lineRule="auto" w:before="108"/>
              <w:ind w:left="165" w:right="0"/>
              <w:jc w:val="center"/>
              <w:rPr>
                <w:rFonts w:ascii="Times New Roman" w:hAnsi="Times New Roman" w:cs="Times New Roman" w:eastAsia="Times New Roman" w:hint="default"/>
                <w:sz w:val="18"/>
                <w:szCs w:val="18"/>
              </w:rPr>
            </w:pPr>
            <w:r>
              <w:rPr>
                <w:rFonts w:ascii="Times New Roman"/>
                <w:sz w:val="18"/>
              </w:rPr>
              <w:t>133.48</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17,741,2</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15.20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9" w:right="0"/>
              <w:jc w:val="center"/>
              <w:rPr>
                <w:rFonts w:ascii="Times New Roman" w:hAnsi="Times New Roman" w:cs="Times New Roman" w:eastAsia="Times New Roman" w:hint="default"/>
                <w:sz w:val="18"/>
                <w:szCs w:val="18"/>
              </w:rPr>
            </w:pPr>
            <w:r>
              <w:rPr>
                <w:rFonts w:ascii="Times New Roman"/>
                <w:sz w:val="18"/>
              </w:rPr>
              <w:t>103,892,</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718.51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17.32%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3"/>
              <w:jc w:val="center"/>
              <w:rPr>
                <w:rFonts w:ascii="Times New Roman" w:hAnsi="Times New Roman" w:cs="Times New Roman" w:eastAsia="Times New Roman" w:hint="default"/>
                <w:sz w:val="18"/>
                <w:szCs w:val="18"/>
              </w:rPr>
            </w:pPr>
            <w:r>
              <w:rPr>
                <w:rFonts w:ascii="Times New Roman"/>
                <w:sz w:val="18"/>
              </w:rPr>
              <w:t>18.00%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2,224,38</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2.66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2,224,38</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2.66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2.03%</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20"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零星工 程</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195,310.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2,450,60</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1.14</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258,056.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2,387,85</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5.03</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0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20,133,1</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41.32</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center"/>
              <w:rPr>
                <w:rFonts w:ascii="Times New Roman" w:hAnsi="Times New Roman" w:cs="Times New Roman" w:eastAsia="Times New Roman" w:hint="default"/>
                <w:sz w:val="18"/>
                <w:szCs w:val="18"/>
              </w:rPr>
            </w:pPr>
            <w:r>
              <w:rPr>
                <w:rFonts w:ascii="Times New Roman"/>
                <w:sz w:val="18"/>
              </w:rPr>
              <w:t>106,157,</w:t>
            </w:r>
          </w:p>
          <w:p>
            <w:pPr>
              <w:pStyle w:val="TableParagraph"/>
              <w:spacing w:line="240" w:lineRule="auto" w:before="93"/>
              <w:ind w:left="165" w:right="0"/>
              <w:jc w:val="center"/>
              <w:rPr>
                <w:rFonts w:ascii="Times New Roman" w:hAnsi="Times New Roman" w:cs="Times New Roman" w:eastAsia="Times New Roman" w:hint="default"/>
                <w:sz w:val="18"/>
                <w:szCs w:val="18"/>
              </w:rPr>
            </w:pPr>
            <w:r>
              <w:rPr>
                <w:rFonts w:ascii="Times New Roman"/>
                <w:sz w:val="18"/>
              </w:rPr>
              <w:t>803.29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1,465,38</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6.17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17,999,2</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71.80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106,826,</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286.64</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2,224,38</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2.66</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2,224,38</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2.66</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2.03%</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本期计提在建工程减值准备情况" w:id="305"/>
      <w:bookmarkEnd w:id="30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工程物资" w:id="306"/>
      <w:bookmarkEnd w:id="306"/>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132"/>
        <w:gridCol w:w="1337"/>
        <w:gridCol w:w="1322"/>
        <w:gridCol w:w="1201"/>
        <w:gridCol w:w="1201"/>
        <w:gridCol w:w="1187"/>
        <w:gridCol w:w="1205"/>
      </w:tblGrid>
      <w:tr>
        <w:trPr>
          <w:trHeight w:val="405"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9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23、生产性生物资产" w:id="307"/>
      <w:bookmarkEnd w:id="307"/>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采用成本计量模式的生产性生物资产" w:id="308"/>
      <w:bookmarkEnd w:id="308"/>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2）采用公允价值计量模式的生产性生物资产" w:id="309"/>
      <w:bookmarkEnd w:id="309"/>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24、油气资产" w:id="310"/>
      <w:bookmarkEnd w:id="310"/>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25、使用权资产" w:id="311"/>
      <w:bookmarkEnd w:id="311"/>
      <w:r>
        <w:rPr>
          <w:b w:val="0"/>
          <w:bCs w:val="0"/>
        </w:rPr>
      </w:r>
      <w:r>
        <w:rPr>
          <w:rFonts w:ascii="Times New Roman" w:hAnsi="Times New Roman" w:cs="Times New Roman" w:eastAsia="Times New Roman" w:hint="default"/>
        </w:rPr>
        <w:t>25</w:t>
      </w:r>
      <w:r>
        <w:rPr/>
        <w:t>、使用权资产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26、无形资产" w:id="312"/>
      <w:bookmarkEnd w:id="312"/>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无形资产情况" w:id="313"/>
      <w:bookmarkEnd w:id="31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179"/>
        <w:gridCol w:w="1202"/>
        <w:gridCol w:w="1201"/>
        <w:gridCol w:w="1202"/>
        <w:gridCol w:w="1201"/>
        <w:gridCol w:w="1186"/>
        <w:gridCol w:w="1202"/>
        <w:gridCol w:w="1201"/>
      </w:tblGrid>
      <w:tr>
        <w:trPr>
          <w:trHeight w:val="158" w:hRule="exact"/>
        </w:trPr>
        <w:tc>
          <w:tcPr>
            <w:tcW w:w="117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25" w:right="44" w:hanging="180"/>
              <w:jc w:val="left"/>
              <w:rPr>
                <w:rFonts w:ascii="宋体" w:hAnsi="宋体" w:cs="宋体" w:eastAsia="宋体" w:hint="default"/>
                <w:sz w:val="18"/>
                <w:szCs w:val="18"/>
              </w:rPr>
            </w:pPr>
            <w:r>
              <w:rPr>
                <w:rFonts w:ascii="宋体" w:hAnsi="宋体" w:cs="宋体" w:eastAsia="宋体" w:hint="default"/>
                <w:sz w:val="18"/>
                <w:szCs w:val="18"/>
              </w:rPr>
              <w:t>专有技术、专 利及商标</w:t>
            </w: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17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软件</w:t>
            </w:r>
          </w:p>
        </w:tc>
        <w:tc>
          <w:tcPr>
            <w:tcW w:w="1186" w:type="dxa"/>
            <w:vMerge/>
            <w:tcBorders>
              <w:left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客户渠道</w:t>
            </w:r>
          </w:p>
        </w:tc>
        <w:tc>
          <w:tcPr>
            <w:tcW w:w="12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17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8"/>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17,625,768.13</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98,791,502.57</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3,835,371.11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5,000,000.00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125,252,641.81</w:t>
            </w: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1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17,741,215.20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21,391,033.55</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1,573,374.99</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40,705,623.74</w:t>
            </w: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6,441,153.09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1,573,374.99</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8,014,528.08</w:t>
            </w:r>
          </w:p>
        </w:tc>
      </w:tr>
      <w:tr>
        <w:trPr>
          <w:trHeight w:val="720"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8"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14,691,823.86</w:t>
            </w: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14,691,823.86</w:t>
            </w: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28"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90" w:lineRule="auto" w:before="124"/>
              <w:ind w:left="7" w:right="14"/>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）在建工程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转入</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17,741,215.20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258,056.60</w:t>
            </w: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17,999,271.80</w:t>
            </w: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10,000,000.00</w:t>
            </w: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6"/>
              <w:jc w:val="center"/>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）其他转出</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10,000,000.00</w:t>
            </w: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36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35,366,983.33</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110,182,536.12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5,408,746.10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155,958,265.55</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2,235,886.20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35,804,569.34</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3,404,488.91</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42,944,944.45</w:t>
            </w: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828,006.51</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15,222,792.59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1,715,365.96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18,766,165.06</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828,006.51</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15,222,792.59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1,715,365.96</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18,766,165.06</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4,000,000.00</w:t>
            </w: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4,000,000.00</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）其他转出</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4,000,000.00</w:t>
            </w: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4,000,000.00</w:t>
            </w: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3,063,892.71</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47,027,361.93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5,119,854.87</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57,711,109.51</w:t>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4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32,303,090.62</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63,155,174.19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288,891.23</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98,247,156.04</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15,389,881.93</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62,986,933.23</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430,882.20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3,500,000.00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82,307,697.36</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36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面价值</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60"/>
        <w:ind w:right="1086"/>
        <w:jc w:val="left"/>
      </w:pPr>
      <w:r>
        <w:rPr/>
        <w:t>本期末通过公司内部研发形成的无形资产占无形资产余额的比例</w:t>
      </w:r>
      <w:r>
        <w:rPr>
          <w:spacing w:val="-39"/>
        </w:rPr>
        <w:t> </w:t>
      </w:r>
      <w:r>
        <w:rPr>
          <w:rFonts w:ascii="Times New Roman" w:hAnsi="Times New Roman" w:cs="Times New Roman" w:eastAsia="Times New Roman" w:hint="default"/>
        </w:rPr>
        <w:t>85.00%</w:t>
      </w:r>
      <w:r>
        <w:rPr/>
        <w:t>。</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2）未办妥产权证书的土地使用权情况" w:id="314"/>
      <w:bookmarkEnd w:id="31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ind w:right="1086"/>
        <w:jc w:val="left"/>
      </w:pPr>
      <w:r>
        <w:rPr/>
        <w:t>其他说明：</w:t>
      </w:r>
    </w:p>
    <w:p>
      <w:pPr>
        <w:pStyle w:val="Heading6"/>
        <w:spacing w:line="259" w:lineRule="auto" w:before="90"/>
        <w:ind w:right="1119" w:firstLine="42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21</w:t>
      </w:r>
      <w:r>
        <w:rPr/>
        <w:t>日，子公司医惠科技公司与中国农业银行股份有限公司杭州滨江支行签订《最高额抵押 </w:t>
      </w:r>
      <w:r>
        <w:rPr>
          <w:spacing w:val="-2"/>
        </w:rPr>
        <w:t>合同》，医惠科技公司将土地使用权</w:t>
      </w:r>
      <w:r>
        <w:rPr>
          <w:rFonts w:ascii="Times New Roman" w:hAnsi="Times New Roman" w:cs="Times New Roman" w:eastAsia="Times New Roman" w:hint="default"/>
          <w:spacing w:val="-2"/>
        </w:rPr>
        <w:t>(</w:t>
      </w:r>
      <w:r>
        <w:rPr>
          <w:spacing w:val="-2"/>
        </w:rPr>
        <w:t>浙〔</w:t>
      </w:r>
      <w:r>
        <w:rPr>
          <w:rFonts w:ascii="Times New Roman" w:hAnsi="Times New Roman" w:cs="Times New Roman" w:eastAsia="Times New Roman" w:hint="default"/>
          <w:spacing w:val="-2"/>
        </w:rPr>
        <w:t>2018</w:t>
      </w:r>
      <w:r>
        <w:rPr>
          <w:spacing w:val="-2"/>
        </w:rPr>
        <w:t>〕杭州市不动产权第</w:t>
      </w:r>
      <w:r>
        <w:rPr>
          <w:rFonts w:ascii="Times New Roman" w:hAnsi="Times New Roman" w:cs="Times New Roman" w:eastAsia="Times New Roman" w:hint="default"/>
          <w:spacing w:val="-2"/>
        </w:rPr>
        <w:t>0318835</w:t>
      </w:r>
      <w:r>
        <w:rPr>
          <w:spacing w:val="-2"/>
        </w:rPr>
        <w:t>号</w:t>
      </w:r>
      <w:r>
        <w:rPr>
          <w:rFonts w:ascii="Times New Roman" w:hAnsi="Times New Roman" w:cs="Times New Roman" w:eastAsia="Times New Roman" w:hint="default"/>
          <w:spacing w:val="-2"/>
        </w:rPr>
        <w:t>)</w:t>
      </w:r>
      <w:r>
        <w:rPr>
          <w:spacing w:val="-2"/>
        </w:rPr>
        <w:t>进行抵押，向中国农业银行</w:t>
      </w:r>
      <w:r>
        <w:rPr>
          <w:spacing w:val="-66"/>
        </w:rPr>
        <w:t> </w:t>
      </w:r>
      <w:r>
        <w:rPr>
          <w:spacing w:val="-66"/>
        </w:rPr>
      </w:r>
      <w:r>
        <w:rPr/>
        <w:t>股份有限公司杭州滨江支行取得</w:t>
      </w:r>
      <w:r>
        <w:rPr>
          <w:rFonts w:ascii="Times New Roman" w:hAnsi="Times New Roman" w:cs="Times New Roman" w:eastAsia="Times New Roman" w:hint="default"/>
        </w:rPr>
        <w:t>10,946.80</w:t>
      </w:r>
      <w:r>
        <w:rPr/>
        <w:t>万元的借款。截至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w:t>
      </w:r>
      <w:r>
        <w:rPr>
          <w:rFonts w:ascii="Times New Roman" w:hAnsi="Times New Roman" w:cs="Times New Roman" w:eastAsia="Times New Roman" w:hint="default"/>
        </w:rPr>
        <w:t>9,932.50</w:t>
      </w:r>
      <w:r>
        <w:rPr/>
        <w:t>万元。</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pStyle w:val="Heading5"/>
        <w:spacing w:line="240" w:lineRule="auto"/>
        <w:ind w:right="1086"/>
        <w:jc w:val="left"/>
        <w:rPr>
          <w:b w:val="0"/>
          <w:bCs w:val="0"/>
        </w:rPr>
      </w:pPr>
      <w:bookmarkStart w:name="27、开发支出" w:id="315"/>
      <w:bookmarkEnd w:id="315"/>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051"/>
        <w:gridCol w:w="1074"/>
        <w:gridCol w:w="1067"/>
        <w:gridCol w:w="1051"/>
        <w:gridCol w:w="1066"/>
        <w:gridCol w:w="1067"/>
        <w:gridCol w:w="1066"/>
        <w:gridCol w:w="1067"/>
        <w:gridCol w:w="1066"/>
      </w:tblGrid>
      <w:tr>
        <w:trPr>
          <w:trHeight w:val="406" w:hRule="exact"/>
        </w:trPr>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3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7" w:hRule="exact"/>
        </w:trPr>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15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20" w:right="89"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45" w:right="74"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35" w:right="73"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7"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80" w:hRule="exact"/>
        </w:trPr>
        <w:tc>
          <w:tcPr>
            <w:tcW w:w="1051"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6"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210" w:hRule="exact"/>
        </w:trPr>
        <w:tc>
          <w:tcPr>
            <w:tcW w:w="1051" w:type="dxa"/>
            <w:vMerge/>
            <w:tcBorders>
              <w:left w:val="single" w:sz="6" w:space="0" w:color="000000"/>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6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1067"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58" w:hRule="exact"/>
        </w:trPr>
        <w:tc>
          <w:tcPr>
            <w:tcW w:w="1051" w:type="dxa"/>
            <w:vMerge/>
            <w:tcBorders>
              <w:left w:val="single" w:sz="6" w:space="0" w:color="000000"/>
              <w:bottom w:val="single" w:sz="6" w:space="0" w:color="000000"/>
              <w:right w:val="single" w:sz="6" w:space="0" w:color="000000"/>
            </w:tcBorders>
            <w:shd w:val="clear" w:color="auto" w:fill="D2D2D2"/>
          </w:tcPr>
          <w:p>
            <w:pPr/>
          </w:p>
        </w:tc>
        <w:tc>
          <w:tcPr>
            <w:tcW w:w="1074" w:type="dxa"/>
            <w:vMerge/>
            <w:tcBorders>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067"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26"/>
              <w:jc w:val="both"/>
              <w:rPr>
                <w:rFonts w:ascii="宋体" w:hAnsi="宋体" w:cs="宋体" w:eastAsia="宋体" w:hint="default"/>
                <w:sz w:val="18"/>
                <w:szCs w:val="18"/>
              </w:rPr>
            </w:pPr>
            <w:r>
              <w:rPr>
                <w:rFonts w:ascii="宋体" w:hAnsi="宋体" w:cs="宋体" w:eastAsia="宋体" w:hint="default"/>
                <w:sz w:val="18"/>
                <w:szCs w:val="18"/>
              </w:rPr>
              <w:t>医学人工智 能技术及系 统开发</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10,797,185.2</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8</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690,120.36</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11,487,305.6</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652"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26"/>
              <w:jc w:val="both"/>
              <w:rPr>
                <w:rFonts w:ascii="宋体" w:hAnsi="宋体" w:cs="宋体" w:eastAsia="宋体" w:hint="default"/>
                <w:sz w:val="18"/>
                <w:szCs w:val="18"/>
              </w:rPr>
            </w:pPr>
            <w:r>
              <w:rPr>
                <w:rFonts w:ascii="宋体" w:hAnsi="宋体" w:cs="宋体" w:eastAsia="宋体" w:hint="default"/>
                <w:sz w:val="18"/>
                <w:szCs w:val="18"/>
              </w:rPr>
              <w:t>基于多核低 功耗高速计 算技术的</w:t>
            </w:r>
          </w:p>
          <w:p>
            <w:pPr>
              <w:pStyle w:val="TableParagraph"/>
              <w:spacing w:line="288" w:lineRule="auto" w:before="19"/>
              <w:ind w:left="7" w:right="140"/>
              <w:jc w:val="both"/>
              <w:rPr>
                <w:rFonts w:ascii="宋体" w:hAnsi="宋体" w:cs="宋体" w:eastAsia="宋体" w:hint="default"/>
                <w:sz w:val="18"/>
                <w:szCs w:val="18"/>
              </w:rPr>
            </w:pPr>
            <w:r>
              <w:rPr>
                <w:rFonts w:ascii="Times New Roman" w:hAnsi="Times New Roman" w:cs="Times New Roman" w:eastAsia="Times New Roman" w:hint="default"/>
                <w:spacing w:val="-6"/>
                <w:sz w:val="18"/>
                <w:szCs w:val="18"/>
              </w:rPr>
              <w:t>ESL</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智能数 据系统</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2,779,929.25</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424,588.97</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3,204,518.22</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0"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26"/>
              <w:jc w:val="both"/>
              <w:rPr>
                <w:rFonts w:ascii="宋体" w:hAnsi="宋体" w:cs="宋体" w:eastAsia="宋体" w:hint="default"/>
                <w:sz w:val="18"/>
                <w:szCs w:val="18"/>
              </w:rPr>
            </w:pPr>
            <w:r>
              <w:rPr>
                <w:rFonts w:ascii="宋体" w:hAnsi="宋体" w:cs="宋体" w:eastAsia="宋体" w:hint="default"/>
                <w:sz w:val="18"/>
                <w:szCs w:val="18"/>
              </w:rPr>
              <w:t>医惠主数据 管理平台软 件</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15,718,350.3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15,718,350.3</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w:t>
            </w:r>
          </w:p>
        </w:tc>
      </w:tr>
      <w:tr>
        <w:trPr>
          <w:trHeight w:val="721"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26"/>
              <w:jc w:val="left"/>
              <w:rPr>
                <w:rFonts w:ascii="宋体" w:hAnsi="宋体" w:cs="宋体" w:eastAsia="宋体" w:hint="default"/>
                <w:sz w:val="18"/>
                <w:szCs w:val="18"/>
              </w:rPr>
            </w:pPr>
            <w:r>
              <w:rPr>
                <w:rFonts w:ascii="宋体" w:hAnsi="宋体" w:cs="宋体" w:eastAsia="宋体" w:hint="default"/>
                <w:sz w:val="18"/>
                <w:szCs w:val="18"/>
              </w:rPr>
              <w:t>医用织物清 点管理系统</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2,087,200.02</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2,087,200.02</w:t>
            </w:r>
          </w:p>
        </w:tc>
      </w:tr>
      <w:tr>
        <w:trPr>
          <w:trHeight w:val="706"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26"/>
              <w:jc w:val="left"/>
              <w:rPr>
                <w:rFonts w:ascii="宋体" w:hAnsi="宋体" w:cs="宋体" w:eastAsia="宋体" w:hint="default"/>
                <w:sz w:val="18"/>
                <w:szCs w:val="18"/>
              </w:rPr>
            </w:pPr>
            <w:r>
              <w:rPr>
                <w:rFonts w:ascii="宋体" w:hAnsi="宋体" w:cs="宋体" w:eastAsia="宋体" w:hint="default"/>
                <w:sz w:val="18"/>
                <w:szCs w:val="18"/>
              </w:rPr>
              <w:t>护理质控数 据平台软件</w:t>
            </w:r>
          </w:p>
        </w:tc>
        <w:tc>
          <w:tcPr>
            <w:tcW w:w="1074" w:type="dxa"/>
            <w:tcBorders>
              <w:top w:val="single" w:sz="6" w:space="0" w:color="000000"/>
              <w:left w:val="single" w:sz="12"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4,194,488.34</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4,194,488.34</w:t>
            </w:r>
          </w:p>
        </w:tc>
      </w:tr>
      <w:tr>
        <w:trPr>
          <w:trHeight w:val="705"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13,577,114.5</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3</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23,114,748.0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7</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14,691,823.8</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22,000,038.7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Heading6"/>
        <w:spacing w:line="259" w:lineRule="auto"/>
        <w:ind w:right="1086" w:firstLine="420"/>
        <w:jc w:val="left"/>
      </w:pPr>
      <w:r>
        <w:rPr>
          <w:spacing w:val="-1"/>
        </w:rPr>
        <w:t>子公司医惠科技公司自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月起开始医学人工智能技术及系统开发，于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月取得计算机软件</w:t>
      </w:r>
      <w:r>
        <w:rPr/>
        <w:t> 著作权登记证书，并于当月计入无形资产。</w:t>
      </w:r>
    </w:p>
    <w:p>
      <w:pPr>
        <w:pStyle w:val="Heading6"/>
        <w:spacing w:line="240" w:lineRule="auto" w:before="24"/>
        <w:ind w:left="561" w:right="1086"/>
        <w:jc w:val="left"/>
      </w:pPr>
      <w:r>
        <w:rPr/>
        <w:t>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月起开始基于多核低功耗高速计算技术的</w:t>
      </w:r>
      <w:r>
        <w:rPr>
          <w:rFonts w:ascii="Times New Roman" w:hAnsi="Times New Roman" w:cs="Times New Roman" w:eastAsia="Times New Roman" w:hint="default"/>
        </w:rPr>
        <w:t>ESL</w:t>
      </w:r>
      <w:r>
        <w:rPr/>
        <w:t>智能数据系统开发，于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月取得计</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40" w:lineRule="auto" w:before="35"/>
        <w:ind w:right="1086"/>
        <w:jc w:val="left"/>
      </w:pPr>
      <w:r>
        <w:rPr/>
        <w:t>算机软件著作权登记证书，并于当月计入无形资产。</w:t>
      </w:r>
    </w:p>
    <w:p>
      <w:pPr>
        <w:pStyle w:val="Heading6"/>
        <w:spacing w:line="259" w:lineRule="auto" w:before="40"/>
        <w:ind w:right="1086" w:firstLine="420"/>
        <w:jc w:val="left"/>
      </w:pPr>
      <w:r>
        <w:rPr/>
        <w:t>子公司医惠科技公司自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月起开始医惠主数据管理平台软件系统开发，截至期末，公司就该软 件的升级开发进度已达</w:t>
      </w:r>
      <w:r>
        <w:rPr>
          <w:rFonts w:ascii="Times New Roman" w:hAnsi="Times New Roman" w:cs="Times New Roman" w:eastAsia="Times New Roman" w:hint="default"/>
        </w:rPr>
        <w:t>70%</w:t>
      </w:r>
      <w:r>
        <w:rPr/>
        <w:t>左右。</w:t>
      </w:r>
    </w:p>
    <w:p>
      <w:pPr>
        <w:pStyle w:val="Heading6"/>
        <w:spacing w:line="259" w:lineRule="auto"/>
        <w:ind w:right="1086" w:firstLine="420"/>
        <w:jc w:val="left"/>
      </w:pPr>
      <w:r>
        <w:rPr>
          <w:spacing w:val="-1"/>
        </w:rPr>
        <w:t>子公司杭州医惠物联网科技有限公司自</w:t>
      </w:r>
      <w:r>
        <w:rPr>
          <w:rFonts w:ascii="Times New Roman" w:hAnsi="Times New Roman" w:cs="Times New Roman" w:eastAsia="Times New Roman" w:hint="default"/>
          <w:spacing w:val="-1"/>
        </w:rPr>
        <w:t>2019</w:t>
      </w:r>
      <w:r>
        <w:rPr>
          <w:spacing w:val="-1"/>
        </w:rPr>
        <w:t>年初开始医用织物清点管理系统开发，截至期末，公司就</w:t>
      </w:r>
      <w:r>
        <w:rPr/>
        <w:t> 该软件的升级开发进度已达</w:t>
      </w:r>
      <w:r>
        <w:rPr>
          <w:rFonts w:ascii="Times New Roman" w:hAnsi="Times New Roman" w:cs="Times New Roman" w:eastAsia="Times New Roman" w:hint="default"/>
        </w:rPr>
        <w:t>70%</w:t>
      </w:r>
      <w:r>
        <w:rPr/>
        <w:t>左右。</w:t>
      </w:r>
    </w:p>
    <w:p>
      <w:pPr>
        <w:pStyle w:val="Heading6"/>
        <w:spacing w:line="259" w:lineRule="auto" w:before="6"/>
        <w:ind w:right="1086" w:firstLine="420"/>
        <w:jc w:val="left"/>
      </w:pPr>
      <w:r>
        <w:rPr/>
        <w:t>子公司杭州医惠软件有限公司自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月起开始护理质控数据平台软件系统开发，截至期末，公司 就该软件的升级开发进度已达</w:t>
      </w:r>
      <w:r>
        <w:rPr>
          <w:rFonts w:ascii="Times New Roman" w:hAnsi="Times New Roman" w:cs="Times New Roman" w:eastAsia="Times New Roman" w:hint="default"/>
        </w:rPr>
        <w:t>90%</w:t>
      </w:r>
      <w:r>
        <w:rPr/>
        <w:t>左右。</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5"/>
          <w:szCs w:val="25"/>
        </w:rPr>
      </w:pPr>
    </w:p>
    <w:p>
      <w:pPr>
        <w:pStyle w:val="Heading5"/>
        <w:spacing w:line="240" w:lineRule="auto"/>
        <w:ind w:right="1086"/>
        <w:jc w:val="left"/>
        <w:rPr>
          <w:b w:val="0"/>
          <w:bCs w:val="0"/>
        </w:rPr>
      </w:pPr>
      <w:bookmarkStart w:name="28、商誉" w:id="316"/>
      <w:bookmarkEnd w:id="316"/>
      <w:r>
        <w:rPr>
          <w:b w:val="0"/>
          <w:bCs w:val="0"/>
        </w:rPr>
      </w:r>
      <w:r>
        <w:rPr>
          <w:rFonts w:ascii="Times New Roman" w:hAnsi="Times New Roman" w:cs="Times New Roman" w:eastAsia="Times New Roman" w:hint="default"/>
        </w:rPr>
        <w:t>28</w:t>
      </w:r>
      <w:r>
        <w:rPr/>
        <w:t>、商誉</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商誉账面原值" w:id="317"/>
      <w:bookmarkEnd w:id="31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08"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2" w:right="53"/>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43"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47"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5"/>
              <w:ind w:left="45"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05"/>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GL</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74,720,020.90</w:t>
            </w:r>
          </w:p>
        </w:tc>
        <w:tc>
          <w:tcPr>
            <w:tcW w:w="1367" w:type="dxa"/>
            <w:tcBorders>
              <w:top w:val="single" w:sz="48" w:space="0" w:color="D2D2D2"/>
              <w:left w:val="single" w:sz="6" w:space="0" w:color="000000"/>
              <w:bottom w:val="single" w:sz="6" w:space="0" w:color="000000"/>
              <w:right w:val="single" w:sz="6" w:space="0" w:color="000000"/>
            </w:tcBorders>
          </w:tcPr>
          <w:p>
            <w:pPr/>
          </w:p>
        </w:tc>
        <w:tc>
          <w:tcPr>
            <w:tcW w:w="1382" w:type="dxa"/>
            <w:tcBorders>
              <w:top w:val="single" w:sz="48" w:space="0" w:color="D2D2D2"/>
              <w:left w:val="single" w:sz="6" w:space="0" w:color="000000"/>
              <w:bottom w:val="single" w:sz="6" w:space="0" w:color="000000"/>
              <w:right w:val="single" w:sz="6" w:space="0" w:color="000000"/>
            </w:tcBorders>
          </w:tcPr>
          <w:p>
            <w:pPr/>
          </w:p>
        </w:tc>
        <w:tc>
          <w:tcPr>
            <w:tcW w:w="1366" w:type="dxa"/>
            <w:tcBorders>
              <w:top w:val="single" w:sz="48"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74,720,020.90</w:t>
            </w:r>
          </w:p>
        </w:tc>
      </w:tr>
      <w:tr>
        <w:trPr>
          <w:trHeight w:val="133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杭州思创超讯科 技发展有限公司</w:t>
            </w:r>
          </w:p>
          <w:p>
            <w:pPr>
              <w:pStyle w:val="TableParagraph"/>
              <w:spacing w:line="336" w:lineRule="auto" w:before="29"/>
              <w:ind w:left="7" w:right="68"/>
              <w:jc w:val="left"/>
              <w:rPr>
                <w:rFonts w:ascii="Times New Roman" w:hAnsi="Times New Roman" w:cs="Times New Roman" w:eastAsia="Times New Roman" w:hint="default"/>
                <w:sz w:val="18"/>
                <w:szCs w:val="18"/>
              </w:rPr>
            </w:pPr>
            <w:r>
              <w:rPr>
                <w:rFonts w:ascii="宋体" w:hAnsi="宋体" w:cs="宋体" w:eastAsia="宋体" w:hint="default"/>
                <w:sz w:val="18"/>
                <w:szCs w:val="18"/>
              </w:rPr>
              <w:t>（以下简称思创 超讯公司）</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4,328,289.74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4,328,289.74</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649,900,730.44</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649,900,730.44</w:t>
            </w: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杭州华洁医疗科 技有限公司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7,827,809.66</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7,827,809.66</w:t>
            </w:r>
          </w:p>
        </w:tc>
      </w:tr>
      <w:tr>
        <w:trPr>
          <w:trHeight w:val="72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7" w:right="68"/>
              <w:jc w:val="left"/>
              <w:rPr>
                <w:rFonts w:ascii="宋体" w:hAnsi="宋体" w:cs="宋体" w:eastAsia="宋体" w:hint="default"/>
                <w:sz w:val="18"/>
                <w:szCs w:val="18"/>
              </w:rPr>
            </w:pPr>
            <w:r>
              <w:rPr>
                <w:rFonts w:ascii="宋体" w:hAnsi="宋体" w:cs="宋体" w:eastAsia="宋体" w:hint="default"/>
                <w:sz w:val="18"/>
                <w:szCs w:val="18"/>
              </w:rPr>
              <w:t>杭州琅玕科技有 限公司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16,644,250.75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16,644,250.75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57" w:lineRule="auto" w:before="102"/>
              <w:ind w:left="7" w:right="282"/>
              <w:jc w:val="left"/>
              <w:rPr>
                <w:rFonts w:ascii="Times New Roman" w:hAnsi="Times New Roman" w:cs="Times New Roman" w:eastAsia="Times New Roman" w:hint="default"/>
                <w:sz w:val="18"/>
                <w:szCs w:val="18"/>
              </w:rPr>
            </w:pPr>
            <w:r>
              <w:rPr>
                <w:rFonts w:ascii="Times New Roman"/>
                <w:spacing w:val="-5"/>
                <w:sz w:val="18"/>
              </w:rPr>
              <w:t>EWELL </w:t>
            </w:r>
            <w:r>
              <w:rPr>
                <w:rFonts w:ascii="Times New Roman"/>
                <w:sz w:val="18"/>
              </w:rPr>
              <w:t>HONGKONG</w:t>
            </w:r>
            <w:r>
              <w:rPr>
                <w:rFonts w:ascii="Times New Roman"/>
                <w:w w:val="99"/>
                <w:sz w:val="18"/>
              </w:rPr>
              <w:t> </w:t>
            </w:r>
            <w:r>
              <w:rPr>
                <w:rFonts w:ascii="Times New Roman"/>
                <w:sz w:val="18"/>
              </w:rPr>
              <w:t>LIMITED</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7,911,319.62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7,911,319.62</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761,332,421.11</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16,644,250.75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744,688,170.36</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商誉减值准备" w:id="318"/>
      <w:bookmarkEnd w:id="31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323"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2" w:right="51" w:hanging="1"/>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5" w:type="dxa"/>
            <w:tcBorders>
              <w:top w:val="single" w:sz="6" w:space="0" w:color="000000"/>
              <w:left w:val="single" w:sz="6" w:space="0" w:color="000000"/>
              <w:bottom w:val="nil" w:sz="6" w:space="0" w:color="auto"/>
              <w:right w:val="single" w:sz="6" w:space="0" w:color="000000"/>
            </w:tcBorders>
            <w:shd w:val="clear" w:color="auto" w:fill="D2D2D2"/>
          </w:tcPr>
          <w:p>
            <w:pPr/>
          </w:p>
        </w:tc>
        <w:tc>
          <w:tcPr>
            <w:tcW w:w="274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35" w:hRule="exact"/>
        </w:trPr>
        <w:tc>
          <w:tcPr>
            <w:tcW w:w="1352" w:type="dxa"/>
            <w:vMerge/>
            <w:tcBorders>
              <w:left w:val="single" w:sz="6" w:space="0" w:color="000000"/>
              <w:right w:val="single" w:sz="6" w:space="0" w:color="000000"/>
            </w:tcBorders>
            <w:shd w:val="clear" w:color="auto" w:fill="D2D2D2"/>
          </w:tcPr>
          <w:p>
            <w:pPr/>
          </w:p>
        </w:tc>
        <w:tc>
          <w:tcPr>
            <w:tcW w:w="137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vMerge/>
            <w:tcBorders>
              <w:left w:val="single" w:sz="6" w:space="0" w:color="000000"/>
              <w:bottom w:val="single" w:sz="6" w:space="0" w:color="000000"/>
              <w:right w:val="single" w:sz="6" w:space="0" w:color="000000"/>
            </w:tcBorders>
            <w:shd w:val="clear" w:color="auto" w:fill="D2D2D2"/>
          </w:tcPr>
          <w:p>
            <w:pPr/>
          </w:p>
        </w:tc>
        <w:tc>
          <w:tcPr>
            <w:tcW w:w="2733" w:type="dxa"/>
            <w:gridSpan w:val="2"/>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255" w:hRule="exact"/>
        </w:trPr>
        <w:tc>
          <w:tcPr>
            <w:tcW w:w="1352" w:type="dxa"/>
            <w:vMerge/>
            <w:tcBorders>
              <w:left w:val="single" w:sz="6" w:space="0" w:color="000000"/>
              <w:right w:val="single" w:sz="6" w:space="0" w:color="000000"/>
            </w:tcBorders>
            <w:shd w:val="clear" w:color="auto" w:fill="D2D2D2"/>
          </w:tcPr>
          <w:p>
            <w:pPr/>
          </w:p>
        </w:tc>
        <w:tc>
          <w:tcPr>
            <w:tcW w:w="1375" w:type="dxa"/>
            <w:vMerge/>
            <w:tcBorders>
              <w:left w:val="single" w:sz="6" w:space="0" w:color="000000"/>
              <w:bottom w:val="nil" w:sz="6" w:space="0" w:color="auto"/>
              <w:right w:val="single" w:sz="6" w:space="0" w:color="000000"/>
            </w:tcBorders>
            <w:shd w:val="clear" w:color="auto" w:fill="D2D2D2"/>
          </w:tcPr>
          <w:p>
            <w:pP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2" w:type="dxa"/>
            <w:vMerge w:val="restart"/>
            <w:tcBorders>
              <w:top w:val="single" w:sz="6" w:space="0" w:color="000000"/>
              <w:left w:val="single" w:sz="6" w:space="0" w:color="000000"/>
              <w:right w:val="single" w:sz="6" w:space="0" w:color="000000"/>
            </w:tcBorders>
            <w:shd w:val="clear" w:color="auto" w:fill="D2D2D2"/>
          </w:tcPr>
          <w:p>
            <w:pPr/>
          </w:p>
        </w:tc>
        <w:tc>
          <w:tcPr>
            <w:tcW w:w="13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28"/>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6" w:space="0" w:color="000000"/>
              <w:left w:val="single" w:sz="6" w:space="0" w:color="000000"/>
              <w:right w:val="single" w:sz="6" w:space="0" w:color="000000"/>
            </w:tcBorders>
            <w:shd w:val="clear" w:color="auto" w:fill="D2D2D2"/>
          </w:tcPr>
          <w:p>
            <w:pPr/>
          </w:p>
        </w:tc>
        <w:tc>
          <w:tcPr>
            <w:tcW w:w="1367" w:type="dxa"/>
            <w:vMerge/>
            <w:tcBorders>
              <w:left w:val="single" w:sz="6" w:space="0" w:color="000000"/>
              <w:right w:val="single" w:sz="6" w:space="0" w:color="000000"/>
            </w:tcBorders>
            <w:shd w:val="clear" w:color="auto" w:fill="D2D2D2"/>
          </w:tcPr>
          <w:p>
            <w:pPr/>
          </w:p>
        </w:tc>
      </w:tr>
      <w:tr>
        <w:trPr>
          <w:trHeight w:val="323"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nil" w:sz="6" w:space="0" w:color="auto"/>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6"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GL</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65,256,418.63</w:t>
            </w:r>
          </w:p>
        </w:tc>
        <w:tc>
          <w:tcPr>
            <w:tcW w:w="1367" w:type="dxa"/>
            <w:tcBorders>
              <w:top w:val="single" w:sz="54" w:space="0" w:color="D2D2D2"/>
              <w:left w:val="single" w:sz="6" w:space="0" w:color="000000"/>
              <w:bottom w:val="single" w:sz="6" w:space="0" w:color="000000"/>
              <w:right w:val="single" w:sz="6" w:space="0" w:color="000000"/>
            </w:tcBorders>
          </w:tcPr>
          <w:p>
            <w:pPr/>
          </w:p>
        </w:tc>
        <w:tc>
          <w:tcPr>
            <w:tcW w:w="1382" w:type="dxa"/>
            <w:tcBorders>
              <w:top w:val="single" w:sz="54" w:space="0" w:color="D2D2D2"/>
              <w:left w:val="single" w:sz="6" w:space="0" w:color="000000"/>
              <w:bottom w:val="single" w:sz="6" w:space="0" w:color="000000"/>
              <w:right w:val="single" w:sz="6" w:space="0" w:color="000000"/>
            </w:tcBorders>
          </w:tcPr>
          <w:p>
            <w:pPr/>
          </w:p>
        </w:tc>
        <w:tc>
          <w:tcPr>
            <w:tcW w:w="1366" w:type="dxa"/>
            <w:tcBorders>
              <w:top w:val="single" w:sz="54" w:space="0" w:color="D2D2D2"/>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65,256,418.63</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65,256,418.63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65,256,418.63</w:t>
            </w:r>
          </w:p>
        </w:tc>
      </w:tr>
    </w:tbl>
    <w:p>
      <w:pPr>
        <w:pStyle w:val="BodyText"/>
        <w:spacing w:line="240" w:lineRule="auto" w:before="45"/>
        <w:ind w:right="1086"/>
        <w:jc w:val="left"/>
      </w:pPr>
      <w:r>
        <w:rPr/>
        <w:t>商誉所在资产组或资产组组合的相关信息</w:t>
      </w:r>
    </w:p>
    <w:p>
      <w:pPr>
        <w:spacing w:after="0" w:line="24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40" w:lineRule="auto" w:before="35"/>
        <w:ind w:left="561" w:right="108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月，北京思创超讯科技发展有限公司更名为杭州思创超讯科技发展有限公司。</w:t>
      </w:r>
    </w:p>
    <w:p>
      <w:pPr>
        <w:pStyle w:val="Heading6"/>
        <w:spacing w:line="256" w:lineRule="auto" w:before="24"/>
        <w:ind w:left="246" w:right="1094" w:firstLine="315"/>
        <w:jc w:val="both"/>
      </w:pPr>
      <w:r>
        <w:rPr>
          <w:rFonts w:ascii="Times New Roman" w:hAnsi="Times New Roman" w:cs="Times New Roman" w:eastAsia="Times New Roman" w:hint="default"/>
        </w:rPr>
        <w:t>1) GL</w:t>
      </w:r>
      <w:r>
        <w:rPr/>
        <w:t>公司商誉系</w:t>
      </w:r>
      <w:r>
        <w:rPr>
          <w:rFonts w:ascii="Times New Roman" w:hAnsi="Times New Roman" w:cs="Times New Roman" w:eastAsia="Times New Roman" w:hint="default"/>
        </w:rPr>
        <w:t>2014</w:t>
      </w:r>
      <w:r>
        <w:rPr/>
        <w:t>年本公司受让</w:t>
      </w:r>
      <w:r>
        <w:rPr>
          <w:rFonts w:ascii="Times New Roman" w:hAnsi="Times New Roman" w:cs="Times New Roman" w:eastAsia="Times New Roman" w:hint="default"/>
        </w:rPr>
        <w:t>LTM Fondo de Inversion </w:t>
      </w:r>
      <w:r>
        <w:rPr>
          <w:rFonts w:ascii="Times New Roman" w:hAnsi="Times New Roman" w:cs="Times New Roman" w:eastAsia="Times New Roman" w:hint="default"/>
          <w:spacing w:val="-4"/>
        </w:rPr>
        <w:t>Privado </w:t>
      </w:r>
      <w:r>
        <w:rPr>
          <w:rFonts w:ascii="Times New Roman" w:hAnsi="Times New Roman" w:cs="Times New Roman" w:eastAsia="Times New Roman" w:hint="default"/>
        </w:rPr>
        <w:t>S.A.</w:t>
      </w:r>
      <w:r>
        <w:rPr/>
        <w:t>、</w:t>
      </w:r>
      <w:r>
        <w:rPr>
          <w:rFonts w:ascii="Times New Roman" w:hAnsi="Times New Roman" w:cs="Times New Roman" w:eastAsia="Times New Roman" w:hint="default"/>
        </w:rPr>
        <w:t>Comercial Invue</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3"/>
        </w:rPr>
        <w:t>Limitada</w:t>
      </w:r>
      <w:r>
        <w:rPr>
          <w:spacing w:val="-3"/>
        </w:rPr>
        <w:t>和</w:t>
      </w:r>
      <w:r>
        <w:rPr/>
        <w:t> </w:t>
      </w:r>
      <w:r>
        <w:rPr>
          <w:rFonts w:ascii="Times New Roman" w:hAnsi="Times New Roman" w:cs="Times New Roman" w:eastAsia="Times New Roman" w:hint="default"/>
        </w:rPr>
        <w:t>Sociedad</w:t>
      </w:r>
      <w:r>
        <w:rPr>
          <w:rFonts w:ascii="Times New Roman" w:hAnsi="Times New Roman" w:cs="Times New Roman" w:eastAsia="Times New Roman" w:hint="default"/>
          <w:spacing w:val="46"/>
        </w:rPr>
        <w:t> </w:t>
      </w:r>
      <w:r>
        <w:rPr>
          <w:rFonts w:ascii="Times New Roman" w:hAnsi="Times New Roman" w:cs="Times New Roman" w:eastAsia="Times New Roman" w:hint="default"/>
        </w:rPr>
        <w:t>de</w:t>
      </w:r>
      <w:r>
        <w:rPr>
          <w:rFonts w:ascii="Times New Roman" w:hAnsi="Times New Roman" w:cs="Times New Roman" w:eastAsia="Times New Roman" w:hint="default"/>
          <w:spacing w:val="43"/>
        </w:rPr>
        <w:t> </w:t>
      </w:r>
      <w:r>
        <w:rPr>
          <w:rFonts w:ascii="Times New Roman" w:hAnsi="Times New Roman" w:cs="Times New Roman" w:eastAsia="Times New Roman" w:hint="default"/>
        </w:rPr>
        <w:t>Inversiones</w:t>
      </w:r>
      <w:r>
        <w:rPr>
          <w:rFonts w:ascii="Times New Roman" w:hAnsi="Times New Roman" w:cs="Times New Roman" w:eastAsia="Times New Roman" w:hint="default"/>
          <w:spacing w:val="2"/>
        </w:rPr>
        <w:t> </w:t>
      </w:r>
      <w:r>
        <w:rPr>
          <w:rFonts w:ascii="Times New Roman" w:hAnsi="Times New Roman" w:cs="Times New Roman" w:eastAsia="Times New Roman" w:hint="default"/>
        </w:rPr>
        <w:t>Mara</w:t>
      </w:r>
      <w:r>
        <w:rPr>
          <w:rFonts w:ascii="Times New Roman" w:hAnsi="Times New Roman" w:cs="Times New Roman" w:eastAsia="Times New Roman" w:hint="default"/>
          <w:spacing w:val="43"/>
        </w:rPr>
        <w:t> </w:t>
      </w:r>
      <w:r>
        <w:rPr>
          <w:rFonts w:ascii="Times New Roman" w:hAnsi="Times New Roman" w:cs="Times New Roman" w:eastAsia="Times New Roman" w:hint="default"/>
          <w:spacing w:val="2"/>
        </w:rPr>
        <w:t>Limitada</w:t>
      </w:r>
      <w:r>
        <w:rPr>
          <w:spacing w:val="2"/>
        </w:rPr>
        <w:t>持有的</w:t>
      </w:r>
      <w:r>
        <w:rPr>
          <w:rFonts w:ascii="Times New Roman" w:hAnsi="Times New Roman" w:cs="Times New Roman" w:eastAsia="Times New Roman" w:hint="default"/>
          <w:spacing w:val="2"/>
        </w:rPr>
        <w:t>GL</w:t>
      </w:r>
      <w:r>
        <w:rPr>
          <w:spacing w:val="2"/>
        </w:rPr>
        <w:t>公司</w:t>
      </w:r>
      <w:r>
        <w:rPr>
          <w:rFonts w:ascii="Times New Roman" w:hAnsi="Times New Roman" w:cs="Times New Roman" w:eastAsia="Times New Roman" w:hint="default"/>
          <w:spacing w:val="2"/>
        </w:rPr>
        <w:t>51%</w:t>
      </w:r>
      <w:r>
        <w:rPr>
          <w:rFonts w:ascii="Times New Roman" w:hAnsi="Times New Roman" w:cs="Times New Roman" w:eastAsia="Times New Roman" w:hint="default"/>
          <w:spacing w:val="-34"/>
        </w:rPr>
        <w:t> </w:t>
      </w:r>
      <w:r>
        <w:rPr>
          <w:spacing w:val="6"/>
        </w:rPr>
        <w:t>股权，合并成本</w:t>
      </w:r>
      <w:r>
        <w:rPr>
          <w:rFonts w:ascii="Times New Roman" w:hAnsi="Times New Roman" w:cs="Times New Roman" w:eastAsia="Times New Roman" w:hint="default"/>
          <w:spacing w:val="6"/>
        </w:rPr>
        <w:t>1,321.23</w:t>
      </w:r>
      <w:r>
        <w:rPr>
          <w:spacing w:val="6"/>
        </w:rPr>
        <w:t>万美元（折合人民币</w:t>
      </w:r>
      <w:r>
        <w:rPr/>
        <w:t> </w:t>
      </w:r>
      <w:r>
        <w:rPr>
          <w:rFonts w:ascii="Times New Roman" w:hAnsi="Times New Roman" w:cs="Times New Roman" w:eastAsia="Times New Roman" w:hint="default"/>
        </w:rPr>
        <w:t>80,553,881.73</w:t>
      </w:r>
      <w:r>
        <w:rPr/>
        <w:t>元，合并成本中的或有对价按未来预计支出折现后的金额计算）与合并取得的</w:t>
      </w:r>
      <w:r>
        <w:rPr>
          <w:rFonts w:ascii="Times New Roman" w:hAnsi="Times New Roman" w:cs="Times New Roman" w:eastAsia="Times New Roman" w:hint="default"/>
        </w:rPr>
        <w:t>GL</w:t>
      </w:r>
      <w:r>
        <w:rPr/>
        <w:t>公司可辨</w:t>
      </w:r>
      <w:r>
        <w:rPr>
          <w:spacing w:val="-56"/>
        </w:rPr>
        <w:t> </w:t>
      </w:r>
      <w:r>
        <w:rPr>
          <w:spacing w:val="-56"/>
        </w:rPr>
      </w:r>
      <w:r>
        <w:rPr/>
        <w:t>认净资产公允价值份额</w:t>
      </w:r>
      <w:r>
        <w:rPr>
          <w:rFonts w:ascii="Times New Roman" w:hAnsi="Times New Roman" w:cs="Times New Roman" w:eastAsia="Times New Roman" w:hint="default"/>
        </w:rPr>
        <w:t>5,833,860.83</w:t>
      </w:r>
      <w:r>
        <w:rPr/>
        <w:t>元的差额。</w:t>
      </w:r>
    </w:p>
    <w:p>
      <w:pPr>
        <w:pStyle w:val="Heading6"/>
        <w:spacing w:line="240" w:lineRule="auto" w:before="8"/>
        <w:ind w:left="561" w:right="1086"/>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19"/>
        </w:rPr>
        <w:t> </w:t>
      </w:r>
      <w:r>
        <w:rPr>
          <w:spacing w:val="2"/>
        </w:rPr>
        <w:t>思创超讯公司商誉系</w:t>
      </w:r>
      <w:r>
        <w:rPr>
          <w:rFonts w:ascii="Times New Roman" w:hAnsi="Times New Roman" w:cs="Times New Roman" w:eastAsia="Times New Roman" w:hint="default"/>
          <w:spacing w:val="2"/>
        </w:rPr>
        <w:t>2014</w:t>
      </w:r>
      <w:r>
        <w:rPr>
          <w:spacing w:val="2"/>
        </w:rPr>
        <w:t>年本公司受让成都盛长泰投资公司和刘云等自然人持有的思创超讯公司</w:t>
      </w:r>
    </w:p>
    <w:p>
      <w:pPr>
        <w:pStyle w:val="Heading6"/>
        <w:spacing w:line="259" w:lineRule="auto" w:before="24"/>
        <w:ind w:right="1095"/>
        <w:jc w:val="both"/>
      </w:pPr>
      <w:r>
        <w:rPr>
          <w:rFonts w:ascii="Times New Roman" w:hAnsi="Times New Roman" w:cs="Times New Roman" w:eastAsia="Times New Roman" w:hint="default"/>
          <w:spacing w:val="-2"/>
          <w:w w:val="99"/>
        </w:rPr>
        <w:t>51%</w:t>
      </w:r>
      <w:r>
        <w:rPr>
          <w:spacing w:val="-2"/>
          <w:w w:val="99"/>
        </w:rPr>
        <w:t>股权，合并成本</w:t>
      </w:r>
      <w:r>
        <w:rPr>
          <w:rFonts w:ascii="Times New Roman" w:hAnsi="Times New Roman" w:cs="Times New Roman" w:eastAsia="Times New Roman" w:hint="default"/>
          <w:spacing w:val="-2"/>
          <w:w w:val="99"/>
        </w:rPr>
        <w:t>7,701,000.00</w:t>
      </w:r>
      <w:r>
        <w:rPr>
          <w:spacing w:val="-2"/>
          <w:w w:val="99"/>
        </w:rPr>
        <w:t>元与合并取得的思创超讯公司可辨认净资产公允价值份额</w:t>
      </w:r>
      <w:r>
        <w:rPr>
          <w:rFonts w:ascii="Times New Roman" w:hAnsi="Times New Roman" w:cs="Times New Roman" w:eastAsia="Times New Roman" w:hint="default"/>
          <w:spacing w:val="-2"/>
          <w:w w:val="99"/>
        </w:rPr>
        <w:t>3,372,710.26</w:t>
      </w:r>
      <w:r>
        <w:rPr>
          <w:spacing w:val="-2"/>
          <w:w w:val="99"/>
        </w:rPr>
        <w:t>元的</w:t>
      </w:r>
      <w:r>
        <w:rPr>
          <w:spacing w:val="-62"/>
          <w:w w:val="99"/>
        </w:rPr>
        <w:t> </w:t>
      </w:r>
      <w:r>
        <w:rPr/>
        <w:t>差额。</w:t>
      </w:r>
    </w:p>
    <w:p>
      <w:pPr>
        <w:pStyle w:val="Heading6"/>
        <w:spacing w:line="259" w:lineRule="auto" w:before="8"/>
        <w:ind w:right="1090" w:firstLine="420"/>
        <w:jc w:val="both"/>
      </w:pPr>
      <w:r>
        <w:rPr>
          <w:rFonts w:ascii="Times New Roman" w:hAnsi="Times New Roman" w:cs="Times New Roman" w:eastAsia="Times New Roman" w:hint="default"/>
        </w:rPr>
        <w:t>3</w:t>
      </w:r>
      <w:r>
        <w:rPr/>
        <w:t>）医惠科技公司商誉系</w:t>
      </w:r>
      <w:r>
        <w:rPr>
          <w:rFonts w:ascii="Times New Roman" w:hAnsi="Times New Roman" w:cs="Times New Roman" w:eastAsia="Times New Roman" w:hint="default"/>
        </w:rPr>
        <w:t>2015</w:t>
      </w:r>
      <w:r>
        <w:rPr/>
        <w:t>年本公司受让上海医惠实业有限公司等公司及章笠中等自然人持有的医 </w:t>
      </w:r>
      <w:r>
        <w:rPr>
          <w:spacing w:val="-2"/>
        </w:rPr>
        <w:t>惠科技公司</w:t>
      </w:r>
      <w:r>
        <w:rPr>
          <w:rFonts w:ascii="Times New Roman" w:hAnsi="Times New Roman" w:cs="Times New Roman" w:eastAsia="Times New Roman" w:hint="default"/>
          <w:spacing w:val="-2"/>
        </w:rPr>
        <w:t>100%</w:t>
      </w:r>
      <w:r>
        <w:rPr>
          <w:spacing w:val="-2"/>
        </w:rPr>
        <w:t>的股权，合并成本</w:t>
      </w:r>
      <w:r>
        <w:rPr>
          <w:rFonts w:ascii="Times New Roman" w:hAnsi="Times New Roman" w:cs="Times New Roman" w:eastAsia="Times New Roman" w:hint="default"/>
          <w:spacing w:val="-2"/>
        </w:rPr>
        <w:t>1,087,240,000.00</w:t>
      </w:r>
      <w:r>
        <w:rPr>
          <w:spacing w:val="-2"/>
        </w:rPr>
        <w:t>元与合并取得的医惠科技公司可辨认净资产公允价值份</w:t>
      </w:r>
      <w:r>
        <w:rPr>
          <w:spacing w:val="-64"/>
        </w:rPr>
        <w:t> </w:t>
      </w:r>
      <w:r>
        <w:rPr/>
        <w:t>额</w:t>
      </w:r>
      <w:r>
        <w:rPr>
          <w:rFonts w:ascii="Times New Roman" w:hAnsi="Times New Roman" w:cs="Times New Roman" w:eastAsia="Times New Roman" w:hint="default"/>
        </w:rPr>
        <w:t>437,339,269.56</w:t>
      </w:r>
      <w:r>
        <w:rPr/>
        <w:t>元的差额。</w:t>
      </w:r>
    </w:p>
    <w:p>
      <w:pPr>
        <w:pStyle w:val="Heading6"/>
        <w:spacing w:line="254" w:lineRule="auto" w:before="6"/>
        <w:ind w:right="1092" w:firstLine="420"/>
        <w:jc w:val="both"/>
      </w:pPr>
      <w:r>
        <w:rPr>
          <w:rFonts w:ascii="Times New Roman" w:hAnsi="Times New Roman" w:cs="Times New Roman" w:eastAsia="Times New Roman" w:hint="default"/>
          <w:spacing w:val="2"/>
        </w:rPr>
        <w:t>4</w:t>
      </w:r>
      <w:r>
        <w:rPr>
          <w:spacing w:val="2"/>
        </w:rPr>
        <w:t>）杭州华洁医疗科技有限公司商誉系</w:t>
      </w:r>
      <w:r>
        <w:rPr>
          <w:rFonts w:ascii="Times New Roman" w:hAnsi="Times New Roman" w:cs="Times New Roman" w:eastAsia="Times New Roman" w:hint="default"/>
          <w:spacing w:val="2"/>
        </w:rPr>
        <w:t>2017</w:t>
      </w:r>
      <w:r>
        <w:rPr>
          <w:spacing w:val="2"/>
        </w:rPr>
        <w:t>年本公司对杭州华洁医疗科技有限公司增资持有对方</w:t>
      </w:r>
      <w:r>
        <w:rPr>
          <w:rFonts w:ascii="Times New Roman" w:hAnsi="Times New Roman" w:cs="Times New Roman" w:eastAsia="Times New Roman" w:hint="default"/>
          <w:spacing w:val="2"/>
        </w:rPr>
        <w:t>75%</w:t>
      </w:r>
      <w:r>
        <w:rPr>
          <w:rFonts w:ascii="Times New Roman" w:hAnsi="Times New Roman" w:cs="Times New Roman" w:eastAsia="Times New Roman" w:hint="default"/>
        </w:rPr>
        <w:t> </w:t>
      </w:r>
      <w:r>
        <w:rPr>
          <w:spacing w:val="9"/>
        </w:rPr>
        <w:t>股权，合并成本</w:t>
      </w:r>
      <w:r>
        <w:rPr>
          <w:rFonts w:ascii="Times New Roman" w:hAnsi="Times New Roman" w:cs="Times New Roman" w:eastAsia="Times New Roman" w:hint="default"/>
          <w:spacing w:val="9"/>
        </w:rPr>
        <w:t>25,000,000.00</w:t>
      </w:r>
      <w:r>
        <w:rPr>
          <w:spacing w:val="9"/>
        </w:rPr>
        <w:t>元与合并取得的杭州华洁医疗科技有限公司可辨认净资产公允价值份额</w:t>
      </w:r>
      <w:r>
        <w:rPr>
          <w:spacing w:val="-94"/>
        </w:rPr>
        <w:t> </w:t>
      </w:r>
      <w:r>
        <w:rPr>
          <w:spacing w:val="-94"/>
        </w:rPr>
      </w:r>
      <w:r>
        <w:rPr>
          <w:rFonts w:ascii="Times New Roman" w:hAnsi="Times New Roman" w:cs="Times New Roman" w:eastAsia="Times New Roman" w:hint="default"/>
        </w:rPr>
        <w:t>17,172,190.34</w:t>
      </w:r>
      <w:r>
        <w:rPr/>
        <w:t>元的差额。</w:t>
      </w:r>
    </w:p>
    <w:p>
      <w:pPr>
        <w:pStyle w:val="Heading6"/>
        <w:spacing w:line="259" w:lineRule="auto" w:before="11"/>
        <w:ind w:right="1122" w:firstLine="420"/>
        <w:jc w:val="both"/>
      </w:pPr>
      <w:r>
        <w:rPr>
          <w:rFonts w:ascii="Times New Roman" w:hAnsi="Times New Roman" w:cs="Times New Roman" w:eastAsia="Times New Roman" w:hint="default"/>
        </w:rPr>
        <w:t>5</w:t>
      </w:r>
      <w:r>
        <w:rPr/>
        <w:t>）杭州琅玕科技有限公司商誉减少系该公司自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月不再纳入合并范围内，因而相应转出商誉 金额。</w:t>
      </w:r>
    </w:p>
    <w:p>
      <w:pPr>
        <w:pStyle w:val="Heading6"/>
        <w:spacing w:line="256" w:lineRule="auto" w:before="23"/>
        <w:ind w:right="1109"/>
        <w:jc w:val="both"/>
      </w:pPr>
      <w:r>
        <w:rPr>
          <w:rFonts w:ascii="Times New Roman" w:hAnsi="Times New Roman" w:cs="Times New Roman" w:eastAsia="Times New Roman" w:hint="default"/>
          <w:spacing w:val="-5"/>
        </w:rPr>
        <w:t>6</w:t>
      </w:r>
      <w:r>
        <w:rPr>
          <w:spacing w:val="-5"/>
        </w:rPr>
        <w:t>）</w:t>
      </w:r>
      <w:r>
        <w:rPr>
          <w:rFonts w:ascii="Times New Roman" w:hAnsi="Times New Roman" w:cs="Times New Roman" w:eastAsia="Times New Roman" w:hint="default"/>
          <w:spacing w:val="-5"/>
        </w:rPr>
        <w:t>EWELL </w:t>
      </w:r>
      <w:r>
        <w:rPr>
          <w:rFonts w:ascii="Times New Roman" w:hAnsi="Times New Roman" w:cs="Times New Roman" w:eastAsia="Times New Roman" w:hint="default"/>
        </w:rPr>
        <w:t>HONGKONG</w:t>
      </w:r>
      <w:r>
        <w:rPr>
          <w:rFonts w:ascii="Times New Roman" w:hAnsi="Times New Roman" w:cs="Times New Roman" w:eastAsia="Times New Roman" w:hint="default"/>
          <w:spacing w:val="-43"/>
        </w:rPr>
        <w:t> </w:t>
      </w:r>
      <w:r>
        <w:rPr>
          <w:rFonts w:ascii="Times New Roman" w:hAnsi="Times New Roman" w:cs="Times New Roman" w:eastAsia="Times New Roman" w:hint="default"/>
        </w:rPr>
        <w:t>LIMITED</w:t>
      </w:r>
      <w:r>
        <w:rPr/>
        <w:t>商誉系</w:t>
      </w:r>
      <w:r>
        <w:rPr>
          <w:rFonts w:ascii="Times New Roman" w:hAnsi="Times New Roman" w:cs="Times New Roman" w:eastAsia="Times New Roman" w:hint="default"/>
        </w:rPr>
        <w:t>2017</w:t>
      </w:r>
      <w:r>
        <w:rPr/>
        <w:t>年子公司中瑞思创（香港）国际有限公司受让廖东华持有的 </w:t>
      </w:r>
      <w:r>
        <w:rPr>
          <w:rFonts w:ascii="Times New Roman" w:hAnsi="Times New Roman" w:cs="Times New Roman" w:eastAsia="Times New Roman" w:hint="default"/>
          <w:spacing w:val="-4"/>
        </w:rPr>
        <w:t>EWELL</w:t>
      </w:r>
      <w:r>
        <w:rPr>
          <w:rFonts w:ascii="Times New Roman" w:hAnsi="Times New Roman" w:cs="Times New Roman" w:eastAsia="Times New Roman" w:hint="default"/>
          <w:spacing w:val="24"/>
        </w:rPr>
        <w:t> </w:t>
      </w:r>
      <w:r>
        <w:rPr>
          <w:rFonts w:ascii="Times New Roman" w:hAnsi="Times New Roman" w:cs="Times New Roman" w:eastAsia="Times New Roman" w:hint="default"/>
        </w:rPr>
        <w:t>HONGKONG</w:t>
      </w:r>
      <w:r>
        <w:rPr>
          <w:rFonts w:ascii="Times New Roman" w:hAnsi="Times New Roman" w:cs="Times New Roman" w:eastAsia="Times New Roman" w:hint="default"/>
          <w:spacing w:val="12"/>
        </w:rPr>
        <w:t> </w:t>
      </w:r>
      <w:r>
        <w:rPr>
          <w:rFonts w:ascii="Times New Roman" w:hAnsi="Times New Roman" w:cs="Times New Roman" w:eastAsia="Times New Roman" w:hint="default"/>
        </w:rPr>
        <w:t>LIMITED30%</w:t>
      </w:r>
      <w:r>
        <w:rPr>
          <w:rFonts w:ascii="Times New Roman" w:hAnsi="Times New Roman" w:cs="Times New Roman" w:eastAsia="Times New Roman" w:hint="default"/>
          <w:spacing w:val="-13"/>
        </w:rPr>
        <w:t> </w:t>
      </w:r>
      <w:r>
        <w:rPr>
          <w:spacing w:val="27"/>
        </w:rPr>
        <w:t>股权，及股权转让后，以港币</w:t>
      </w:r>
      <w:r>
        <w:rPr>
          <w:spacing w:val="-77"/>
        </w:rPr>
        <w:t> </w:t>
      </w:r>
      <w:r>
        <w:rPr>
          <w:rFonts w:ascii="Times New Roman" w:hAnsi="Times New Roman" w:cs="Times New Roman" w:eastAsia="Times New Roman" w:hint="default"/>
        </w:rPr>
        <w:t>14</w:t>
      </w:r>
      <w:r>
        <w:rPr>
          <w:rFonts w:ascii="Times New Roman" w:hAnsi="Times New Roman" w:cs="Times New Roman" w:eastAsia="Times New Roman" w:hint="default"/>
          <w:spacing w:val="-24"/>
        </w:rPr>
        <w:t> </w:t>
      </w:r>
      <w:r>
        <w:rPr/>
        <w:t>，</w:t>
      </w:r>
      <w:r>
        <w:rPr>
          <w:spacing w:val="-7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4"/>
        </w:rPr>
        <w:t> </w:t>
      </w:r>
      <w:r>
        <w:rPr/>
        <w:t>，</w:t>
      </w:r>
      <w:r>
        <w:rPr>
          <w:spacing w:val="-76"/>
        </w:rPr>
        <w:t> </w:t>
      </w:r>
      <w:r>
        <w:rPr>
          <w:rFonts w:ascii="Times New Roman" w:hAnsi="Times New Roman" w:cs="Times New Roman" w:eastAsia="Times New Roman" w:hint="default"/>
        </w:rPr>
        <w:t>000.00</w:t>
      </w:r>
      <w:r>
        <w:rPr>
          <w:rFonts w:ascii="Times New Roman" w:hAnsi="Times New Roman" w:cs="Times New Roman" w:eastAsia="Times New Roman" w:hint="default"/>
          <w:spacing w:val="-23"/>
        </w:rPr>
        <w:t> </w:t>
      </w:r>
      <w:r>
        <w:rPr>
          <w:spacing w:val="20"/>
        </w:rPr>
        <w:t>元认购</w:t>
      </w:r>
      <w:r>
        <w:rPr>
          <w:spacing w:val="-76"/>
        </w:rPr>
        <w:t> </w:t>
      </w:r>
      <w:r>
        <w:rPr>
          <w:rFonts w:ascii="Times New Roman" w:hAnsi="Times New Roman" w:cs="Times New Roman" w:eastAsia="Times New Roman" w:hint="default"/>
          <w:spacing w:val="-4"/>
        </w:rPr>
        <w:t>EWELL</w:t>
      </w:r>
      <w:r>
        <w:rPr>
          <w:rFonts w:ascii="Times New Roman" w:hAnsi="Times New Roman" w:cs="Times New Roman" w:eastAsia="Times New Roman" w:hint="default"/>
          <w:w w:val="99"/>
        </w:rPr>
        <w:t> </w:t>
      </w:r>
      <w:r>
        <w:rPr>
          <w:rFonts w:ascii="Times New Roman" w:hAnsi="Times New Roman" w:cs="Times New Roman" w:eastAsia="Times New Roman" w:hint="default"/>
        </w:rPr>
        <w:t>HONGKONG</w:t>
      </w:r>
      <w:r>
        <w:rPr>
          <w:rFonts w:ascii="Times New Roman" w:hAnsi="Times New Roman" w:cs="Times New Roman" w:eastAsia="Times New Roman" w:hint="default"/>
          <w:spacing w:val="-28"/>
        </w:rPr>
        <w:t> </w:t>
      </w:r>
      <w:r>
        <w:rPr>
          <w:rFonts w:ascii="Times New Roman" w:hAnsi="Times New Roman" w:cs="Times New Roman" w:eastAsia="Times New Roman" w:hint="default"/>
        </w:rPr>
        <w:t>LIMITED300</w:t>
      </w:r>
      <w:r>
        <w:rPr/>
        <w:t>万股新发行股份后，合计持有</w:t>
      </w:r>
      <w:r>
        <w:rPr>
          <w:rFonts w:ascii="Times New Roman" w:hAnsi="Times New Roman" w:cs="Times New Roman" w:eastAsia="Times New Roman" w:hint="default"/>
        </w:rPr>
        <w:t>EWELL</w:t>
      </w:r>
      <w:r>
        <w:rPr>
          <w:rFonts w:ascii="Times New Roman" w:hAnsi="Times New Roman" w:cs="Times New Roman" w:eastAsia="Times New Roman" w:hint="default"/>
          <w:spacing w:val="-23"/>
        </w:rPr>
        <w:t> </w:t>
      </w:r>
      <w:r>
        <w:rPr>
          <w:rFonts w:ascii="Times New Roman" w:hAnsi="Times New Roman" w:cs="Times New Roman" w:eastAsia="Times New Roman" w:hint="default"/>
        </w:rPr>
        <w:t>HONGKONG</w:t>
      </w:r>
      <w:r>
        <w:rPr>
          <w:rFonts w:ascii="Times New Roman" w:hAnsi="Times New Roman" w:cs="Times New Roman" w:eastAsia="Times New Roman" w:hint="default"/>
          <w:spacing w:val="-19"/>
        </w:rPr>
        <w:t> </w:t>
      </w:r>
      <w:r>
        <w:rPr>
          <w:rFonts w:ascii="Times New Roman" w:hAnsi="Times New Roman" w:cs="Times New Roman" w:eastAsia="Times New Roman" w:hint="default"/>
        </w:rPr>
        <w:t>LIMITED60%</w:t>
      </w:r>
      <w:r>
        <w:rPr/>
        <w:t>的股权，合并</w:t>
      </w:r>
      <w:r>
        <w:rPr>
          <w:w w:val="99"/>
        </w:rPr>
        <w:t> </w:t>
      </w:r>
      <w:r>
        <w:rPr/>
        <w:t>成本港币</w:t>
      </w:r>
      <w:r>
        <w:rPr>
          <w:rFonts w:ascii="Times New Roman" w:hAnsi="Times New Roman" w:cs="Times New Roman" w:eastAsia="Times New Roman" w:hint="default"/>
        </w:rPr>
        <w:t>20,000,000.00</w:t>
      </w:r>
      <w:r>
        <w:rPr/>
        <w:t>元（折合人民币</w:t>
      </w:r>
      <w:r>
        <w:rPr>
          <w:rFonts w:ascii="Times New Roman" w:hAnsi="Times New Roman" w:cs="Times New Roman" w:eastAsia="Times New Roman" w:hint="default"/>
        </w:rPr>
        <w:t>17,358,400.00</w:t>
      </w:r>
      <w:r>
        <w:rPr/>
        <w:t>元）与合并取得的</w:t>
      </w:r>
      <w:r>
        <w:rPr>
          <w:rFonts w:ascii="Times New Roman" w:hAnsi="Times New Roman" w:cs="Times New Roman" w:eastAsia="Times New Roman" w:hint="default"/>
        </w:rPr>
        <w:t>EWELL</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4"/>
        </w:rPr>
        <w:t>HONGKONG</w:t>
      </w:r>
      <w:r>
        <w:rPr>
          <w:rFonts w:ascii="Times New Roman" w:hAnsi="Times New Roman" w:cs="Times New Roman" w:eastAsia="Times New Roman" w:hint="default"/>
          <w:spacing w:val="-22"/>
        </w:rPr>
        <w:t> </w:t>
      </w:r>
      <w:r>
        <w:rPr>
          <w:rFonts w:ascii="Times New Roman" w:hAnsi="Times New Roman" w:cs="Times New Roman" w:eastAsia="Times New Roman" w:hint="default"/>
        </w:rPr>
        <w:t>LIMITED</w:t>
      </w:r>
      <w:r>
        <w:rPr/>
        <w:t>可辨 认净资产公允价值份额</w:t>
      </w:r>
      <w:r>
        <w:rPr>
          <w:rFonts w:ascii="Times New Roman" w:hAnsi="Times New Roman" w:cs="Times New Roman" w:eastAsia="Times New Roman" w:hint="default"/>
        </w:rPr>
        <w:t>9,447,080.38</w:t>
      </w:r>
      <w:r>
        <w:rPr/>
        <w:t>元的差额。</w:t>
      </w:r>
    </w:p>
    <w:p>
      <w:pPr>
        <w:spacing w:line="240" w:lineRule="auto" w:before="9"/>
        <w:rPr>
          <w:rFonts w:ascii="宋体" w:hAnsi="宋体" w:cs="宋体" w:eastAsia="宋体" w:hint="default"/>
          <w:sz w:val="29"/>
          <w:szCs w:val="29"/>
        </w:rPr>
      </w:pPr>
    </w:p>
    <w:p>
      <w:pPr>
        <w:pStyle w:val="BodyText"/>
        <w:spacing w:line="307" w:lineRule="auto" w:before="0"/>
        <w:ind w:right="1136"/>
        <w:jc w:val="both"/>
      </w:pPr>
      <w:r>
        <w:rPr>
          <w:spacing w:val="-2"/>
        </w:rPr>
        <w:t>说明商誉减值测试过程、关键参数（如预计未来现金流量现值时的预测期增长率、稳定期增长率、利润率、折现率、预测期</w:t>
      </w:r>
      <w:r>
        <w:rPr>
          <w:spacing w:val="-72"/>
        </w:rPr>
        <w:t> </w:t>
      </w:r>
      <w:r>
        <w:rPr>
          <w:spacing w:val="-72"/>
        </w:rPr>
      </w:r>
      <w:r>
        <w:rPr/>
        <w:t>等）及商誉减值损失的确认方法：</w:t>
      </w:r>
    </w:p>
    <w:p>
      <w:pPr>
        <w:pStyle w:val="Heading6"/>
        <w:spacing w:line="240" w:lineRule="auto" w:before="54"/>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商誉所在资产组或资产组组合相关信息</w:t>
      </w:r>
    </w:p>
    <w:p>
      <w:pPr>
        <w:pStyle w:val="Heading6"/>
        <w:spacing w:line="240" w:lineRule="auto" w:before="9"/>
        <w:ind w:left="561" w:right="1086"/>
        <w:jc w:val="left"/>
      </w:pPr>
      <w:r>
        <w:rPr/>
        <w:t>①</w:t>
      </w:r>
      <w:r>
        <w:rPr>
          <w:spacing w:val="-14"/>
        </w:rPr>
        <w:t> </w:t>
      </w:r>
      <w:r>
        <w:rPr>
          <w:rFonts w:ascii="Times New Roman" w:hAnsi="Times New Roman" w:cs="Times New Roman" w:eastAsia="Times New Roman" w:hint="default"/>
          <w:spacing w:val="-3"/>
        </w:rPr>
        <w:t>GL</w:t>
      </w:r>
      <w:r>
        <w:rPr>
          <w:spacing w:val="-3"/>
        </w:rPr>
        <w:t>公司</w:t>
      </w:r>
    </w:p>
    <w:p>
      <w:pPr>
        <w:spacing w:line="240" w:lineRule="auto" w:before="6"/>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229"/>
        <w:gridCol w:w="5309"/>
      </w:tblGrid>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69" w:lineRule="exact"/>
              <w:ind w:left="855" w:right="0"/>
              <w:jc w:val="left"/>
              <w:rPr>
                <w:rFonts w:ascii="宋体" w:hAnsi="宋体" w:cs="宋体" w:eastAsia="宋体" w:hint="default"/>
                <w:sz w:val="21"/>
                <w:szCs w:val="21"/>
              </w:rPr>
            </w:pPr>
            <w:r>
              <w:rPr>
                <w:rFonts w:ascii="宋体" w:hAnsi="宋体" w:cs="宋体" w:eastAsia="宋体" w:hint="default"/>
                <w:sz w:val="21"/>
                <w:szCs w:val="21"/>
              </w:rPr>
              <w:t>资产组或资产组组合包含的资产、负债</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22,104,339.79</w:t>
            </w: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1"/>
              <w:jc w:val="left"/>
              <w:rPr>
                <w:rFonts w:ascii="宋体" w:hAnsi="宋体" w:cs="宋体" w:eastAsia="宋体" w:hint="default"/>
                <w:sz w:val="21"/>
                <w:szCs w:val="21"/>
              </w:rPr>
            </w:pPr>
            <w:r>
              <w:rPr>
                <w:rFonts w:ascii="宋体" w:hAnsi="宋体" w:cs="宋体" w:eastAsia="宋体" w:hint="default"/>
                <w:spacing w:val="3"/>
                <w:sz w:val="21"/>
                <w:szCs w:val="21"/>
              </w:rPr>
              <w:t>分摊至本资产组或资产组组合的商</w:t>
            </w:r>
            <w:r>
              <w:rPr>
                <w:rFonts w:ascii="宋体" w:hAnsi="宋体" w:cs="宋体" w:eastAsia="宋体" w:hint="default"/>
                <w:sz w:val="21"/>
                <w:szCs w:val="21"/>
              </w:rPr>
              <w:t> 誉账面价值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18,556,082.88</w:t>
            </w: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1"/>
              <w:jc w:val="left"/>
              <w:rPr>
                <w:rFonts w:ascii="宋体" w:hAnsi="宋体" w:cs="宋体" w:eastAsia="宋体" w:hint="default"/>
                <w:sz w:val="21"/>
                <w:szCs w:val="21"/>
              </w:rPr>
            </w:pPr>
            <w:r>
              <w:rPr>
                <w:rFonts w:ascii="宋体" w:hAnsi="宋体" w:cs="宋体" w:eastAsia="宋体" w:hint="default"/>
                <w:spacing w:val="3"/>
                <w:sz w:val="21"/>
                <w:szCs w:val="21"/>
              </w:rPr>
              <w:t>包含商誉的资产组或资产组组合的</w:t>
            </w:r>
            <w:r>
              <w:rPr>
                <w:rFonts w:ascii="宋体" w:hAnsi="宋体" w:cs="宋体" w:eastAsia="宋体" w:hint="default"/>
                <w:sz w:val="21"/>
                <w:szCs w:val="21"/>
              </w:rPr>
              <w:t> 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40,660,422.67</w:t>
            </w:r>
          </w:p>
        </w:tc>
      </w:tr>
      <w:tr>
        <w:trPr>
          <w:trHeight w:val="97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1"/>
              <w:jc w:val="both"/>
              <w:rPr>
                <w:rFonts w:ascii="宋体" w:hAnsi="宋体" w:cs="宋体" w:eastAsia="宋体" w:hint="default"/>
                <w:sz w:val="21"/>
                <w:szCs w:val="21"/>
              </w:rPr>
            </w:pPr>
            <w:r>
              <w:rPr>
                <w:rFonts w:ascii="宋体" w:hAnsi="宋体" w:cs="宋体" w:eastAsia="宋体" w:hint="default"/>
                <w:spacing w:val="11"/>
                <w:sz w:val="21"/>
                <w:szCs w:val="21"/>
              </w:rPr>
              <w:t>资产组或</w:t>
            </w:r>
            <w:r>
              <w:rPr>
                <w:rFonts w:ascii="宋体" w:hAnsi="宋体" w:cs="宋体" w:eastAsia="宋体" w:hint="default"/>
                <w:spacing w:val="-75"/>
                <w:sz w:val="21"/>
                <w:szCs w:val="21"/>
              </w:rPr>
              <w:t> </w:t>
            </w:r>
            <w:r>
              <w:rPr>
                <w:rFonts w:ascii="宋体" w:hAnsi="宋体" w:cs="宋体" w:eastAsia="宋体" w:hint="default"/>
                <w:spacing w:val="7"/>
                <w:sz w:val="21"/>
                <w:szCs w:val="21"/>
              </w:rPr>
              <w:t>资产</w:t>
            </w:r>
            <w:r>
              <w:rPr>
                <w:rFonts w:ascii="宋体" w:hAnsi="宋体" w:cs="宋体" w:eastAsia="宋体" w:hint="default"/>
                <w:spacing w:val="-75"/>
                <w:sz w:val="21"/>
                <w:szCs w:val="21"/>
              </w:rPr>
              <w:t> </w:t>
            </w:r>
            <w:r>
              <w:rPr>
                <w:rFonts w:ascii="宋体" w:hAnsi="宋体" w:cs="宋体" w:eastAsia="宋体" w:hint="default"/>
                <w:spacing w:val="10"/>
                <w:sz w:val="21"/>
                <w:szCs w:val="21"/>
              </w:rPr>
              <w:t>组组合</w:t>
            </w:r>
            <w:r>
              <w:rPr>
                <w:rFonts w:ascii="宋体" w:hAnsi="宋体" w:cs="宋体" w:eastAsia="宋体" w:hint="default"/>
                <w:spacing w:val="-75"/>
                <w:sz w:val="21"/>
                <w:szCs w:val="21"/>
              </w:rPr>
              <w:t> </w:t>
            </w:r>
            <w:r>
              <w:rPr>
                <w:rFonts w:ascii="宋体" w:hAnsi="宋体" w:cs="宋体" w:eastAsia="宋体" w:hint="default"/>
                <w:spacing w:val="10"/>
                <w:sz w:val="21"/>
                <w:szCs w:val="21"/>
              </w:rPr>
              <w:t>是否与</w:t>
            </w:r>
            <w:r>
              <w:rPr>
                <w:rFonts w:ascii="宋体" w:hAnsi="宋体" w:cs="宋体" w:eastAsia="宋体" w:hint="default"/>
                <w:spacing w:val="-75"/>
                <w:sz w:val="21"/>
                <w:szCs w:val="21"/>
              </w:rPr>
              <w:t> </w:t>
            </w:r>
            <w:r>
              <w:rPr>
                <w:rFonts w:ascii="宋体" w:hAnsi="宋体" w:cs="宋体" w:eastAsia="宋体" w:hint="default"/>
                <w:spacing w:val="7"/>
                <w:sz w:val="21"/>
                <w:szCs w:val="21"/>
              </w:rPr>
              <w:t>购买</w:t>
            </w:r>
            <w:r>
              <w:rPr>
                <w:rFonts w:ascii="宋体" w:hAnsi="宋体" w:cs="宋体" w:eastAsia="宋体" w:hint="default"/>
                <w:sz w:val="21"/>
                <w:szCs w:val="21"/>
              </w:rPr>
              <w:t> </w:t>
            </w:r>
            <w:r>
              <w:rPr>
                <w:rFonts w:ascii="宋体" w:hAnsi="宋体" w:cs="宋体" w:eastAsia="宋体" w:hint="default"/>
                <w:spacing w:val="3"/>
                <w:sz w:val="21"/>
                <w:szCs w:val="21"/>
              </w:rPr>
              <w:t>日、以前年度商誉减值测试时所确</w:t>
            </w:r>
            <w:r>
              <w:rPr>
                <w:rFonts w:ascii="宋体" w:hAnsi="宋体" w:cs="宋体" w:eastAsia="宋体" w:hint="default"/>
                <w:sz w:val="21"/>
                <w:szCs w:val="21"/>
              </w:rPr>
              <w:t> 定的资产组或资产组组合一致</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15"/>
              <w:jc w:val="center"/>
              <w:rPr>
                <w:rFonts w:ascii="宋体" w:hAnsi="宋体" w:cs="宋体" w:eastAsia="宋体" w:hint="default"/>
                <w:sz w:val="21"/>
                <w:szCs w:val="21"/>
              </w:rPr>
            </w:pPr>
            <w:r>
              <w:rPr>
                <w:rFonts w:ascii="宋体" w:hAnsi="宋体" w:cs="宋体" w:eastAsia="宋体" w:hint="default"/>
                <w:sz w:val="21"/>
                <w:szCs w:val="21"/>
              </w:rPr>
              <w:t>是</w:t>
            </w:r>
          </w:p>
        </w:tc>
      </w:tr>
    </w:tbl>
    <w:p>
      <w:pPr>
        <w:pStyle w:val="Heading6"/>
        <w:spacing w:line="255" w:lineRule="exact"/>
        <w:ind w:left="561" w:right="1086"/>
        <w:jc w:val="left"/>
      </w:pPr>
      <w:r>
        <w:rPr/>
        <w:t>②</w:t>
      </w:r>
      <w:r>
        <w:rPr>
          <w:spacing w:val="-15"/>
        </w:rPr>
        <w:t> </w:t>
      </w:r>
      <w:r>
        <w:rPr/>
        <w:t>思创超讯公司</w:t>
      </w:r>
    </w:p>
    <w:p>
      <w:pPr>
        <w:spacing w:line="240" w:lineRule="auto" w:before="8"/>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229"/>
        <w:gridCol w:w="5309"/>
      </w:tblGrid>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left="855" w:right="0"/>
              <w:jc w:val="left"/>
              <w:rPr>
                <w:rFonts w:ascii="宋体" w:hAnsi="宋体" w:cs="宋体" w:eastAsia="宋体" w:hint="default"/>
                <w:sz w:val="21"/>
                <w:szCs w:val="21"/>
              </w:rPr>
            </w:pPr>
            <w:r>
              <w:rPr>
                <w:rFonts w:ascii="宋体" w:hAnsi="宋体" w:cs="宋体" w:eastAsia="宋体" w:hint="default"/>
                <w:sz w:val="21"/>
                <w:szCs w:val="21"/>
              </w:rPr>
              <w:t>资产组或资产组组合包含的资产、负债</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10,840,579.40</w:t>
            </w: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1"/>
              <w:jc w:val="left"/>
              <w:rPr>
                <w:rFonts w:ascii="宋体" w:hAnsi="宋体" w:cs="宋体" w:eastAsia="宋体" w:hint="default"/>
                <w:sz w:val="21"/>
                <w:szCs w:val="21"/>
              </w:rPr>
            </w:pPr>
            <w:r>
              <w:rPr>
                <w:rFonts w:ascii="宋体" w:hAnsi="宋体" w:cs="宋体" w:eastAsia="宋体" w:hint="default"/>
                <w:spacing w:val="3"/>
                <w:sz w:val="21"/>
                <w:szCs w:val="21"/>
              </w:rPr>
              <w:t>分摊至本资产组或资产组组合的商</w:t>
            </w:r>
            <w:r>
              <w:rPr>
                <w:rFonts w:ascii="宋体" w:hAnsi="宋体" w:cs="宋体" w:eastAsia="宋体" w:hint="default"/>
                <w:sz w:val="21"/>
                <w:szCs w:val="21"/>
              </w:rPr>
              <w:t> 誉账面价值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6,182,387.86</w:t>
            </w:r>
          </w:p>
        </w:tc>
      </w:tr>
      <w:tr>
        <w:trPr>
          <w:trHeight w:val="6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11"/>
              <w:jc w:val="left"/>
              <w:rPr>
                <w:rFonts w:ascii="宋体" w:hAnsi="宋体" w:cs="宋体" w:eastAsia="宋体" w:hint="default"/>
                <w:sz w:val="21"/>
                <w:szCs w:val="21"/>
              </w:rPr>
            </w:pPr>
            <w:r>
              <w:rPr>
                <w:rFonts w:ascii="宋体" w:hAnsi="宋体" w:cs="宋体" w:eastAsia="宋体" w:hint="default"/>
                <w:spacing w:val="3"/>
                <w:sz w:val="21"/>
                <w:szCs w:val="21"/>
              </w:rPr>
              <w:t>包含商誉的资产组或资产组组合的</w:t>
            </w:r>
            <w:r>
              <w:rPr>
                <w:rFonts w:ascii="宋体" w:hAnsi="宋体" w:cs="宋体" w:eastAsia="宋体" w:hint="default"/>
                <w:sz w:val="21"/>
                <w:szCs w:val="21"/>
              </w:rPr>
              <w:t> 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17,022,967.26</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资产组或</w:t>
            </w:r>
            <w:r>
              <w:rPr>
                <w:rFonts w:ascii="宋体" w:hAnsi="宋体" w:cs="宋体" w:eastAsia="宋体" w:hint="default"/>
                <w:spacing w:val="-75"/>
                <w:sz w:val="21"/>
                <w:szCs w:val="21"/>
              </w:rPr>
              <w:t> </w:t>
            </w:r>
            <w:r>
              <w:rPr>
                <w:rFonts w:ascii="宋体" w:hAnsi="宋体" w:cs="宋体" w:eastAsia="宋体" w:hint="default"/>
                <w:spacing w:val="7"/>
                <w:sz w:val="21"/>
                <w:szCs w:val="21"/>
              </w:rPr>
              <w:t>资产</w:t>
            </w:r>
            <w:r>
              <w:rPr>
                <w:rFonts w:ascii="宋体" w:hAnsi="宋体" w:cs="宋体" w:eastAsia="宋体" w:hint="default"/>
                <w:spacing w:val="-75"/>
                <w:sz w:val="21"/>
                <w:szCs w:val="21"/>
              </w:rPr>
              <w:t> </w:t>
            </w:r>
            <w:r>
              <w:rPr>
                <w:rFonts w:ascii="宋体" w:hAnsi="宋体" w:cs="宋体" w:eastAsia="宋体" w:hint="default"/>
                <w:spacing w:val="10"/>
                <w:sz w:val="21"/>
                <w:szCs w:val="21"/>
              </w:rPr>
              <w:t>组组合</w:t>
            </w:r>
            <w:r>
              <w:rPr>
                <w:rFonts w:ascii="宋体" w:hAnsi="宋体" w:cs="宋体" w:eastAsia="宋体" w:hint="default"/>
                <w:spacing w:val="-75"/>
                <w:sz w:val="21"/>
                <w:szCs w:val="21"/>
              </w:rPr>
              <w:t> </w:t>
            </w:r>
            <w:r>
              <w:rPr>
                <w:rFonts w:ascii="宋体" w:hAnsi="宋体" w:cs="宋体" w:eastAsia="宋体" w:hint="default"/>
                <w:spacing w:val="10"/>
                <w:sz w:val="21"/>
                <w:szCs w:val="21"/>
              </w:rPr>
              <w:t>是否与</w:t>
            </w:r>
            <w:r>
              <w:rPr>
                <w:rFonts w:ascii="宋体" w:hAnsi="宋体" w:cs="宋体" w:eastAsia="宋体" w:hint="default"/>
                <w:spacing w:val="-75"/>
                <w:sz w:val="21"/>
                <w:szCs w:val="21"/>
              </w:rPr>
              <w:t> </w:t>
            </w:r>
            <w:r>
              <w:rPr>
                <w:rFonts w:ascii="宋体" w:hAnsi="宋体" w:cs="宋体" w:eastAsia="宋体" w:hint="default"/>
                <w:spacing w:val="7"/>
                <w:sz w:val="21"/>
                <w:szCs w:val="21"/>
              </w:rPr>
              <w:t>购买</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15"/>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70" w:lineRule="exact"/>
        <w:jc w:val="center"/>
        <w:rPr>
          <w:rFonts w:ascii="宋体" w:hAnsi="宋体" w:cs="宋体" w:eastAsia="宋体" w:hint="default"/>
          <w:sz w:val="21"/>
          <w:szCs w:val="21"/>
        </w:rPr>
        <w:sectPr>
          <w:pgSz w:w="11910" w:h="16850"/>
          <w:pgMar w:header="866" w:footer="981" w:top="1120" w:bottom="1180" w:left="1000" w:right="0"/>
        </w:sectPr>
      </w:pPr>
    </w:p>
    <w:p>
      <w:pPr>
        <w:spacing w:line="240" w:lineRule="auto" w:before="7"/>
        <w:rPr>
          <w:rFonts w:ascii="宋体" w:hAnsi="宋体" w:cs="宋体" w:eastAsia="宋体" w:hint="default"/>
          <w:sz w:val="23"/>
          <w:szCs w:val="23"/>
        </w:rPr>
      </w:pPr>
    </w:p>
    <w:p>
      <w:pPr>
        <w:spacing w:line="690" w:lineRule="exact"/>
        <w:ind w:left="126"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427.7pt;height:34.550pt;mso-position-horizontal-relative:char;mso-position-vertical-relative:line" coordorigin="0,0" coordsize="8554,691">
            <v:group style="position:absolute;left:15;top:15;width:3214;height:2" coordorigin="15,15" coordsize="3214,2">
              <v:shape style="position:absolute;left:15;top:15;width:3214;height:2" coordorigin="15,15" coordsize="3214,0" path="m15,15l3229,15e" filled="false" stroked="true" strokeweight=".75pt" strokecolor="#000000">
                <v:path arrowok="t"/>
              </v:shape>
            </v:group>
            <v:group style="position:absolute;left:3244;top:15;width:5302;height:2" coordorigin="3244,15" coordsize="5302,2">
              <v:shape style="position:absolute;left:3244;top:15;width:5302;height:2" coordorigin="3244,15" coordsize="5302,0" path="m3244,15l8546,15e" filled="false" stroked="true" strokeweight=".75pt" strokecolor="#000000">
                <v:path arrowok="t"/>
              </v:shape>
            </v:group>
            <v:group style="position:absolute;left:8;top:8;width:2;height:676" coordorigin="8,8" coordsize="2,676">
              <v:shape style="position:absolute;left:8;top:8;width:2;height:676" coordorigin="8,8" coordsize="0,676" path="m8,8l8,683e" filled="false" stroked="true" strokeweight=".75pt" strokecolor="#000000">
                <v:path arrowok="t"/>
              </v:shape>
            </v:group>
            <v:group style="position:absolute;left:15;top:675;width:3214;height:2" coordorigin="15,675" coordsize="3214,2">
              <v:shape style="position:absolute;left:15;top:675;width:3214;height:2" coordorigin="15,675" coordsize="3214,0" path="m15,675l3229,675e" filled="false" stroked="true" strokeweight=".75pt" strokecolor="#000000">
                <v:path arrowok="t"/>
              </v:shape>
            </v:group>
            <v:group style="position:absolute;left:3237;top:8;width:2;height:676" coordorigin="3237,8" coordsize="2,676">
              <v:shape style="position:absolute;left:3237;top:8;width:2;height:676" coordorigin="3237,8" coordsize="0,676" path="m3237,8l3237,683e" filled="false" stroked="true" strokeweight=".75pt" strokecolor="#000000">
                <v:path arrowok="t"/>
              </v:shape>
            </v:group>
            <v:group style="position:absolute;left:3244;top:675;width:5302;height:2" coordorigin="3244,675" coordsize="5302,2">
              <v:shape style="position:absolute;left:3244;top:675;width:5302;height:2" coordorigin="3244,675" coordsize="5302,0" path="m3244,675l8546,675e" filled="false" stroked="true" strokeweight=".75pt" strokecolor="#000000">
                <v:path arrowok="t"/>
              </v:shape>
              <v:shape style="position:absolute;left:8;top:15;width:3230;height:661" type="#_x0000_t202" filled="false" stroked="false">
                <v:textbox inset="0,0,0,0">
                  <w:txbxContent>
                    <w:p>
                      <w:pPr>
                        <w:spacing w:line="261" w:lineRule="auto" w:before="2"/>
                        <w:ind w:left="7" w:right="19" w:firstLine="0"/>
                        <w:jc w:val="left"/>
                        <w:rPr>
                          <w:rFonts w:ascii="宋体" w:hAnsi="宋体" w:cs="宋体" w:eastAsia="宋体" w:hint="default"/>
                          <w:sz w:val="21"/>
                          <w:szCs w:val="21"/>
                        </w:rPr>
                      </w:pPr>
                      <w:r>
                        <w:rPr>
                          <w:rFonts w:ascii="宋体" w:hAnsi="宋体" w:cs="宋体" w:eastAsia="宋体" w:hint="default"/>
                          <w:sz w:val="21"/>
                          <w:szCs w:val="21"/>
                        </w:rPr>
                        <w:t>日、以前年度商誉减值测试时所确</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定的资产组或资产组组合一致</w:t>
                      </w:r>
                    </w:p>
                  </w:txbxContent>
                </v:textbox>
                <w10:wrap type="none"/>
              </v:shape>
            </v:group>
          </v:group>
        </w:pict>
      </w:r>
      <w:r>
        <w:rPr>
          <w:rFonts w:ascii="宋体" w:hAnsi="宋体" w:cs="宋体" w:eastAsia="宋体" w:hint="default"/>
          <w:position w:val="-13"/>
          <w:sz w:val="20"/>
          <w:szCs w:val="20"/>
        </w:rPr>
      </w:r>
    </w:p>
    <w:p>
      <w:pPr>
        <w:pStyle w:val="Heading6"/>
        <w:spacing w:line="247" w:lineRule="exact"/>
        <w:ind w:left="561" w:right="1086"/>
        <w:jc w:val="left"/>
      </w:pPr>
      <w:r>
        <w:rPr/>
        <w:t>③</w:t>
      </w:r>
      <w:r>
        <w:rPr>
          <w:spacing w:val="-15"/>
        </w:rPr>
        <w:t> </w:t>
      </w:r>
      <w:r>
        <w:rPr/>
        <w:t>医惠科技公司</w:t>
      </w:r>
    </w:p>
    <w:p>
      <w:pPr>
        <w:spacing w:line="240" w:lineRule="auto" w:before="8"/>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3229"/>
        <w:gridCol w:w="5309"/>
      </w:tblGrid>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left="855" w:right="0"/>
              <w:jc w:val="left"/>
              <w:rPr>
                <w:rFonts w:ascii="宋体" w:hAnsi="宋体" w:cs="宋体" w:eastAsia="宋体" w:hint="default"/>
                <w:sz w:val="21"/>
                <w:szCs w:val="21"/>
              </w:rPr>
            </w:pPr>
            <w:r>
              <w:rPr>
                <w:rFonts w:ascii="宋体" w:hAnsi="宋体" w:cs="宋体" w:eastAsia="宋体" w:hint="default"/>
                <w:sz w:val="21"/>
                <w:szCs w:val="21"/>
              </w:rPr>
              <w:t>资产组或资产组组合包含的资产、负债</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1,117,222,387.62</w:t>
            </w: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11"/>
              <w:jc w:val="left"/>
              <w:rPr>
                <w:rFonts w:ascii="宋体" w:hAnsi="宋体" w:cs="宋体" w:eastAsia="宋体" w:hint="default"/>
                <w:sz w:val="21"/>
                <w:szCs w:val="21"/>
              </w:rPr>
            </w:pPr>
            <w:r>
              <w:rPr>
                <w:rFonts w:ascii="宋体" w:hAnsi="宋体" w:cs="宋体" w:eastAsia="宋体" w:hint="default"/>
                <w:spacing w:val="3"/>
                <w:sz w:val="21"/>
                <w:szCs w:val="21"/>
              </w:rPr>
              <w:t>分摊至本资产组或资产组组合的商</w:t>
            </w:r>
            <w:r>
              <w:rPr>
                <w:rFonts w:ascii="宋体" w:hAnsi="宋体" w:cs="宋体" w:eastAsia="宋体" w:hint="default"/>
                <w:sz w:val="21"/>
                <w:szCs w:val="21"/>
              </w:rPr>
              <w:t> 誉账面价值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649,900,730.44</w:t>
            </w: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11"/>
              <w:jc w:val="left"/>
              <w:rPr>
                <w:rFonts w:ascii="宋体" w:hAnsi="宋体" w:cs="宋体" w:eastAsia="宋体" w:hint="default"/>
                <w:sz w:val="21"/>
                <w:szCs w:val="21"/>
              </w:rPr>
            </w:pPr>
            <w:r>
              <w:rPr>
                <w:rFonts w:ascii="宋体" w:hAnsi="宋体" w:cs="宋体" w:eastAsia="宋体" w:hint="default"/>
                <w:spacing w:val="3"/>
                <w:sz w:val="21"/>
                <w:szCs w:val="21"/>
              </w:rPr>
              <w:t>包含商誉的资产组或资产组组合的</w:t>
            </w:r>
            <w:r>
              <w:rPr>
                <w:rFonts w:ascii="宋体" w:hAnsi="宋体" w:cs="宋体" w:eastAsia="宋体" w:hint="default"/>
                <w:sz w:val="21"/>
                <w:szCs w:val="21"/>
              </w:rPr>
              <w:t> 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1,767,123,118.06</w:t>
            </w:r>
          </w:p>
        </w:tc>
      </w:tr>
      <w:tr>
        <w:trPr>
          <w:trHeight w:val="97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right="11"/>
              <w:jc w:val="both"/>
              <w:rPr>
                <w:rFonts w:ascii="宋体" w:hAnsi="宋体" w:cs="宋体" w:eastAsia="宋体" w:hint="default"/>
                <w:sz w:val="21"/>
                <w:szCs w:val="21"/>
              </w:rPr>
            </w:pPr>
            <w:r>
              <w:rPr>
                <w:rFonts w:ascii="宋体" w:hAnsi="宋体" w:cs="宋体" w:eastAsia="宋体" w:hint="default"/>
                <w:spacing w:val="11"/>
                <w:sz w:val="21"/>
                <w:szCs w:val="21"/>
              </w:rPr>
              <w:t>资产组或</w:t>
            </w:r>
            <w:r>
              <w:rPr>
                <w:rFonts w:ascii="宋体" w:hAnsi="宋体" w:cs="宋体" w:eastAsia="宋体" w:hint="default"/>
                <w:spacing w:val="-75"/>
                <w:sz w:val="21"/>
                <w:szCs w:val="21"/>
              </w:rPr>
              <w:t> </w:t>
            </w:r>
            <w:r>
              <w:rPr>
                <w:rFonts w:ascii="宋体" w:hAnsi="宋体" w:cs="宋体" w:eastAsia="宋体" w:hint="default"/>
                <w:spacing w:val="7"/>
                <w:sz w:val="21"/>
                <w:szCs w:val="21"/>
              </w:rPr>
              <w:t>资产</w:t>
            </w:r>
            <w:r>
              <w:rPr>
                <w:rFonts w:ascii="宋体" w:hAnsi="宋体" w:cs="宋体" w:eastAsia="宋体" w:hint="default"/>
                <w:spacing w:val="-75"/>
                <w:sz w:val="21"/>
                <w:szCs w:val="21"/>
              </w:rPr>
              <w:t> </w:t>
            </w:r>
            <w:r>
              <w:rPr>
                <w:rFonts w:ascii="宋体" w:hAnsi="宋体" w:cs="宋体" w:eastAsia="宋体" w:hint="default"/>
                <w:spacing w:val="10"/>
                <w:sz w:val="21"/>
                <w:szCs w:val="21"/>
              </w:rPr>
              <w:t>组组合</w:t>
            </w:r>
            <w:r>
              <w:rPr>
                <w:rFonts w:ascii="宋体" w:hAnsi="宋体" w:cs="宋体" w:eastAsia="宋体" w:hint="default"/>
                <w:spacing w:val="-75"/>
                <w:sz w:val="21"/>
                <w:szCs w:val="21"/>
              </w:rPr>
              <w:t> </w:t>
            </w:r>
            <w:r>
              <w:rPr>
                <w:rFonts w:ascii="宋体" w:hAnsi="宋体" w:cs="宋体" w:eastAsia="宋体" w:hint="default"/>
                <w:spacing w:val="10"/>
                <w:sz w:val="21"/>
                <w:szCs w:val="21"/>
              </w:rPr>
              <w:t>是否与</w:t>
            </w:r>
            <w:r>
              <w:rPr>
                <w:rFonts w:ascii="宋体" w:hAnsi="宋体" w:cs="宋体" w:eastAsia="宋体" w:hint="default"/>
                <w:spacing w:val="-75"/>
                <w:sz w:val="21"/>
                <w:szCs w:val="21"/>
              </w:rPr>
              <w:t> </w:t>
            </w:r>
            <w:r>
              <w:rPr>
                <w:rFonts w:ascii="宋体" w:hAnsi="宋体" w:cs="宋体" w:eastAsia="宋体" w:hint="default"/>
                <w:spacing w:val="7"/>
                <w:sz w:val="21"/>
                <w:szCs w:val="21"/>
              </w:rPr>
              <w:t>购买</w:t>
            </w:r>
            <w:r>
              <w:rPr>
                <w:rFonts w:ascii="宋体" w:hAnsi="宋体" w:cs="宋体" w:eastAsia="宋体" w:hint="default"/>
                <w:sz w:val="21"/>
                <w:szCs w:val="21"/>
              </w:rPr>
              <w:t> </w:t>
            </w:r>
            <w:r>
              <w:rPr>
                <w:rFonts w:ascii="宋体" w:hAnsi="宋体" w:cs="宋体" w:eastAsia="宋体" w:hint="default"/>
                <w:spacing w:val="3"/>
                <w:sz w:val="21"/>
                <w:szCs w:val="21"/>
              </w:rPr>
              <w:t>日、以前年度商誉减值测试时所确</w:t>
            </w:r>
            <w:r>
              <w:rPr>
                <w:rFonts w:ascii="宋体" w:hAnsi="宋体" w:cs="宋体" w:eastAsia="宋体" w:hint="default"/>
                <w:sz w:val="21"/>
                <w:szCs w:val="21"/>
              </w:rPr>
              <w:t> 定的资产组或资产组组合一致</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15"/>
              <w:jc w:val="center"/>
              <w:rPr>
                <w:rFonts w:ascii="宋体" w:hAnsi="宋体" w:cs="宋体" w:eastAsia="宋体" w:hint="default"/>
                <w:sz w:val="21"/>
                <w:szCs w:val="21"/>
              </w:rPr>
            </w:pPr>
            <w:r>
              <w:rPr>
                <w:rFonts w:ascii="宋体" w:hAnsi="宋体" w:cs="宋体" w:eastAsia="宋体" w:hint="default"/>
                <w:sz w:val="21"/>
                <w:szCs w:val="21"/>
              </w:rPr>
              <w:t>是</w:t>
            </w:r>
          </w:p>
        </w:tc>
      </w:tr>
    </w:tbl>
    <w:p>
      <w:pPr>
        <w:pStyle w:val="Heading6"/>
        <w:spacing w:line="255" w:lineRule="exact"/>
        <w:ind w:left="561" w:right="1086"/>
        <w:jc w:val="left"/>
      </w:pPr>
      <w:r>
        <w:rPr/>
        <w:t>④</w:t>
      </w:r>
      <w:r>
        <w:rPr>
          <w:spacing w:val="-15"/>
        </w:rPr>
        <w:t> </w:t>
      </w:r>
      <w:r>
        <w:rPr/>
        <w:t>杭州华洁医疗科技有限公司</w:t>
      </w:r>
    </w:p>
    <w:p>
      <w:pPr>
        <w:spacing w:line="240" w:lineRule="auto" w:before="6"/>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229"/>
        <w:gridCol w:w="5309"/>
      </w:tblGrid>
      <w:tr>
        <w:trPr>
          <w:trHeight w:val="3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855" w:right="0"/>
              <w:jc w:val="left"/>
              <w:rPr>
                <w:rFonts w:ascii="宋体" w:hAnsi="宋体" w:cs="宋体" w:eastAsia="宋体" w:hint="default"/>
                <w:sz w:val="21"/>
                <w:szCs w:val="21"/>
              </w:rPr>
            </w:pPr>
            <w:r>
              <w:rPr>
                <w:rFonts w:ascii="宋体" w:hAnsi="宋体" w:cs="宋体" w:eastAsia="宋体" w:hint="default"/>
                <w:sz w:val="21"/>
                <w:szCs w:val="21"/>
              </w:rPr>
              <w:t>资产组或资产组组合包含的资产、负债</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21,194,406.40</w:t>
            </w: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分摊至本资产组或资产组组合的商</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z w:val="21"/>
                <w:szCs w:val="21"/>
              </w:rPr>
              <w:t>誉账面价值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10,437,079.55</w:t>
            </w: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包含商誉的资产组或资产组组合的</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z w:val="21"/>
              </w:rPr>
              <w:t>31,631,485.95</w:t>
            </w:r>
          </w:p>
        </w:tc>
      </w:tr>
      <w:tr>
        <w:trPr>
          <w:trHeight w:val="9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pacing w:val="11"/>
                <w:sz w:val="21"/>
                <w:szCs w:val="21"/>
              </w:rPr>
              <w:t>资产组或</w:t>
            </w:r>
            <w:r>
              <w:rPr>
                <w:rFonts w:ascii="宋体" w:hAnsi="宋体" w:cs="宋体" w:eastAsia="宋体" w:hint="default"/>
                <w:spacing w:val="-75"/>
                <w:sz w:val="21"/>
                <w:szCs w:val="21"/>
              </w:rPr>
              <w:t> </w:t>
            </w:r>
            <w:r>
              <w:rPr>
                <w:rFonts w:ascii="宋体" w:hAnsi="宋体" w:cs="宋体" w:eastAsia="宋体" w:hint="default"/>
                <w:spacing w:val="7"/>
                <w:sz w:val="21"/>
                <w:szCs w:val="21"/>
              </w:rPr>
              <w:t>资产</w:t>
            </w:r>
            <w:r>
              <w:rPr>
                <w:rFonts w:ascii="宋体" w:hAnsi="宋体" w:cs="宋体" w:eastAsia="宋体" w:hint="default"/>
                <w:spacing w:val="-75"/>
                <w:sz w:val="21"/>
                <w:szCs w:val="21"/>
              </w:rPr>
              <w:t> </w:t>
            </w:r>
            <w:r>
              <w:rPr>
                <w:rFonts w:ascii="宋体" w:hAnsi="宋体" w:cs="宋体" w:eastAsia="宋体" w:hint="default"/>
                <w:spacing w:val="10"/>
                <w:sz w:val="21"/>
                <w:szCs w:val="21"/>
              </w:rPr>
              <w:t>组组合</w:t>
            </w:r>
            <w:r>
              <w:rPr>
                <w:rFonts w:ascii="宋体" w:hAnsi="宋体" w:cs="宋体" w:eastAsia="宋体" w:hint="default"/>
                <w:spacing w:val="-75"/>
                <w:sz w:val="21"/>
                <w:szCs w:val="21"/>
              </w:rPr>
              <w:t> </w:t>
            </w:r>
            <w:r>
              <w:rPr>
                <w:rFonts w:ascii="宋体" w:hAnsi="宋体" w:cs="宋体" w:eastAsia="宋体" w:hint="default"/>
                <w:spacing w:val="10"/>
                <w:sz w:val="21"/>
                <w:szCs w:val="21"/>
              </w:rPr>
              <w:t>是否与</w:t>
            </w:r>
            <w:r>
              <w:rPr>
                <w:rFonts w:ascii="宋体" w:hAnsi="宋体" w:cs="宋体" w:eastAsia="宋体" w:hint="default"/>
                <w:spacing w:val="-75"/>
                <w:sz w:val="21"/>
                <w:szCs w:val="21"/>
              </w:rPr>
              <w:t> </w:t>
            </w:r>
            <w:r>
              <w:rPr>
                <w:rFonts w:ascii="宋体" w:hAnsi="宋体" w:cs="宋体" w:eastAsia="宋体" w:hint="default"/>
                <w:spacing w:val="7"/>
                <w:sz w:val="21"/>
                <w:szCs w:val="21"/>
              </w:rPr>
              <w:t>购买</w:t>
            </w:r>
          </w:p>
          <w:p>
            <w:pPr>
              <w:pStyle w:val="TableParagraph"/>
              <w:spacing w:line="276" w:lineRule="auto" w:before="40"/>
              <w:ind w:right="11"/>
              <w:jc w:val="left"/>
              <w:rPr>
                <w:rFonts w:ascii="宋体" w:hAnsi="宋体" w:cs="宋体" w:eastAsia="宋体" w:hint="default"/>
                <w:sz w:val="21"/>
                <w:szCs w:val="21"/>
              </w:rPr>
            </w:pPr>
            <w:r>
              <w:rPr>
                <w:rFonts w:ascii="宋体" w:hAnsi="宋体" w:cs="宋体" w:eastAsia="宋体" w:hint="default"/>
                <w:spacing w:val="3"/>
                <w:sz w:val="21"/>
                <w:szCs w:val="21"/>
              </w:rPr>
              <w:t>日、以前年度商誉减值测试时所确</w:t>
            </w:r>
            <w:r>
              <w:rPr>
                <w:rFonts w:ascii="宋体" w:hAnsi="宋体" w:cs="宋体" w:eastAsia="宋体" w:hint="default"/>
                <w:sz w:val="21"/>
                <w:szCs w:val="21"/>
              </w:rPr>
              <w:t> 定的资产组或资产组组合一致</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15"/>
              <w:jc w:val="center"/>
              <w:rPr>
                <w:rFonts w:ascii="宋体" w:hAnsi="宋体" w:cs="宋体" w:eastAsia="宋体" w:hint="default"/>
                <w:sz w:val="21"/>
                <w:szCs w:val="21"/>
              </w:rPr>
            </w:pPr>
            <w:r>
              <w:rPr>
                <w:rFonts w:ascii="宋体" w:hAnsi="宋体" w:cs="宋体" w:eastAsia="宋体" w:hint="default"/>
                <w:sz w:val="21"/>
                <w:szCs w:val="21"/>
              </w:rPr>
              <w:t>是</w:t>
            </w:r>
          </w:p>
        </w:tc>
      </w:tr>
    </w:tbl>
    <w:p>
      <w:pPr>
        <w:pStyle w:val="Heading6"/>
        <w:spacing w:line="271" w:lineRule="exact"/>
        <w:ind w:left="561" w:right="1086"/>
        <w:jc w:val="left"/>
        <w:rPr>
          <w:rFonts w:ascii="Times New Roman" w:hAnsi="Times New Roman" w:cs="Times New Roman" w:eastAsia="Times New Roman" w:hint="default"/>
        </w:rPr>
      </w:pPr>
      <w:r>
        <w:rPr/>
        <w:t>⑤ </w:t>
      </w:r>
      <w:r>
        <w:rPr>
          <w:rFonts w:ascii="Times New Roman" w:hAnsi="Times New Roman" w:cs="Times New Roman" w:eastAsia="Times New Roman" w:hint="default"/>
          <w:spacing w:val="-4"/>
        </w:rPr>
        <w:t>EWELL HONGKONG</w:t>
      </w:r>
      <w:r>
        <w:rPr>
          <w:rFonts w:ascii="Times New Roman" w:hAnsi="Times New Roman" w:cs="Times New Roman" w:eastAsia="Times New Roman" w:hint="default"/>
          <w:spacing w:val="17"/>
        </w:rPr>
        <w:t> </w:t>
      </w:r>
      <w:r>
        <w:rPr>
          <w:rFonts w:ascii="Times New Roman" w:hAnsi="Times New Roman" w:cs="Times New Roman" w:eastAsia="Times New Roman" w:hint="default"/>
        </w:rPr>
        <w:t>LIMITED</w:t>
      </w:r>
    </w:p>
    <w:p>
      <w:pPr>
        <w:spacing w:line="240" w:lineRule="auto" w:before="10"/>
        <w:rPr>
          <w:rFonts w:ascii="Times New Roman" w:hAnsi="Times New Roman" w:cs="Times New Roman" w:eastAsia="Times New Roman"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3229"/>
        <w:gridCol w:w="5309"/>
      </w:tblGrid>
      <w:tr>
        <w:trPr>
          <w:trHeight w:val="34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资产组或资产组组合的构成</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855" w:right="0"/>
              <w:jc w:val="left"/>
              <w:rPr>
                <w:rFonts w:ascii="宋体" w:hAnsi="宋体" w:cs="宋体" w:eastAsia="宋体" w:hint="default"/>
                <w:sz w:val="21"/>
                <w:szCs w:val="21"/>
              </w:rPr>
            </w:pPr>
            <w:r>
              <w:rPr>
                <w:rFonts w:ascii="宋体" w:hAnsi="宋体" w:cs="宋体" w:eastAsia="宋体" w:hint="default"/>
                <w:sz w:val="21"/>
                <w:szCs w:val="21"/>
              </w:rPr>
              <w:t>资产组或资产组组合包含的资产、负债</w:t>
            </w:r>
          </w:p>
        </w:tc>
      </w:tr>
      <w:tr>
        <w:trPr>
          <w:trHeight w:val="345"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0"/>
              <w:jc w:val="left"/>
              <w:rPr>
                <w:rFonts w:ascii="宋体" w:hAnsi="宋体" w:cs="宋体" w:eastAsia="宋体" w:hint="default"/>
                <w:sz w:val="21"/>
                <w:szCs w:val="21"/>
              </w:rPr>
            </w:pPr>
            <w:r>
              <w:rPr>
                <w:rFonts w:ascii="宋体" w:hAnsi="宋体" w:cs="宋体" w:eastAsia="宋体" w:hint="default"/>
                <w:sz w:val="21"/>
                <w:szCs w:val="21"/>
              </w:rPr>
              <w:t>资产组或资产组组合的账面价值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8"/>
              <w:ind w:right="0"/>
              <w:jc w:val="right"/>
              <w:rPr>
                <w:rFonts w:ascii="Times New Roman" w:hAnsi="Times New Roman" w:cs="Times New Roman" w:eastAsia="Times New Roman" w:hint="default"/>
                <w:sz w:val="21"/>
                <w:szCs w:val="21"/>
              </w:rPr>
            </w:pPr>
            <w:r>
              <w:rPr>
                <w:rFonts w:ascii="Times New Roman"/>
                <w:sz w:val="21"/>
              </w:rPr>
              <w:t>51,317,031.48</w:t>
            </w:r>
          </w:p>
        </w:tc>
      </w:tr>
      <w:tr>
        <w:trPr>
          <w:trHeight w:val="660"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2"/>
              <w:jc w:val="left"/>
              <w:rPr>
                <w:rFonts w:ascii="宋体" w:hAnsi="宋体" w:cs="宋体" w:eastAsia="宋体" w:hint="default"/>
                <w:sz w:val="21"/>
                <w:szCs w:val="21"/>
              </w:rPr>
            </w:pPr>
            <w:r>
              <w:rPr>
                <w:rFonts w:ascii="宋体" w:hAnsi="宋体" w:cs="宋体" w:eastAsia="宋体" w:hint="default"/>
                <w:spacing w:val="2"/>
                <w:sz w:val="21"/>
                <w:szCs w:val="21"/>
              </w:rPr>
              <w:t>分摊至本资产组或资产组组合的商</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誉账面价值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13,185,532.70</w:t>
            </w:r>
          </w:p>
        </w:tc>
      </w:tr>
      <w:tr>
        <w:trPr>
          <w:trHeight w:val="661"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ind w:right="11"/>
              <w:jc w:val="left"/>
              <w:rPr>
                <w:rFonts w:ascii="宋体" w:hAnsi="宋体" w:cs="宋体" w:eastAsia="宋体" w:hint="default"/>
                <w:sz w:val="21"/>
                <w:szCs w:val="21"/>
              </w:rPr>
            </w:pPr>
            <w:r>
              <w:rPr>
                <w:rFonts w:ascii="宋体" w:hAnsi="宋体" w:cs="宋体" w:eastAsia="宋体" w:hint="default"/>
                <w:spacing w:val="3"/>
                <w:sz w:val="21"/>
                <w:szCs w:val="21"/>
              </w:rPr>
              <w:t>包含商誉的资产组或资产组组合的</w:t>
            </w:r>
            <w:r>
              <w:rPr>
                <w:rFonts w:ascii="宋体" w:hAnsi="宋体" w:cs="宋体" w:eastAsia="宋体" w:hint="default"/>
                <w:sz w:val="21"/>
                <w:szCs w:val="21"/>
              </w:rPr>
              <w:t> 账面价值</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0"/>
              <w:jc w:val="right"/>
              <w:rPr>
                <w:rFonts w:ascii="Times New Roman" w:hAnsi="Times New Roman" w:cs="Times New Roman" w:eastAsia="Times New Roman" w:hint="default"/>
                <w:sz w:val="21"/>
                <w:szCs w:val="21"/>
              </w:rPr>
            </w:pPr>
            <w:r>
              <w:rPr>
                <w:rFonts w:ascii="Times New Roman"/>
                <w:sz w:val="21"/>
              </w:rPr>
              <w:t>64,502,564.18</w:t>
            </w:r>
          </w:p>
        </w:tc>
      </w:tr>
      <w:tr>
        <w:trPr>
          <w:trHeight w:val="976" w:hRule="exact"/>
        </w:trPr>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68" w:lineRule="auto"/>
              <w:ind w:right="11"/>
              <w:jc w:val="both"/>
              <w:rPr>
                <w:rFonts w:ascii="宋体" w:hAnsi="宋体" w:cs="宋体" w:eastAsia="宋体" w:hint="default"/>
                <w:sz w:val="21"/>
                <w:szCs w:val="21"/>
              </w:rPr>
            </w:pPr>
            <w:r>
              <w:rPr>
                <w:rFonts w:ascii="宋体" w:hAnsi="宋体" w:cs="宋体" w:eastAsia="宋体" w:hint="default"/>
                <w:spacing w:val="11"/>
                <w:sz w:val="21"/>
                <w:szCs w:val="21"/>
              </w:rPr>
              <w:t>资产组或</w:t>
            </w:r>
            <w:r>
              <w:rPr>
                <w:rFonts w:ascii="宋体" w:hAnsi="宋体" w:cs="宋体" w:eastAsia="宋体" w:hint="default"/>
                <w:spacing w:val="-75"/>
                <w:sz w:val="21"/>
                <w:szCs w:val="21"/>
              </w:rPr>
              <w:t> </w:t>
            </w:r>
            <w:r>
              <w:rPr>
                <w:rFonts w:ascii="宋体" w:hAnsi="宋体" w:cs="宋体" w:eastAsia="宋体" w:hint="default"/>
                <w:spacing w:val="7"/>
                <w:sz w:val="21"/>
                <w:szCs w:val="21"/>
              </w:rPr>
              <w:t>资产</w:t>
            </w:r>
            <w:r>
              <w:rPr>
                <w:rFonts w:ascii="宋体" w:hAnsi="宋体" w:cs="宋体" w:eastAsia="宋体" w:hint="default"/>
                <w:spacing w:val="-75"/>
                <w:sz w:val="21"/>
                <w:szCs w:val="21"/>
              </w:rPr>
              <w:t> </w:t>
            </w:r>
            <w:r>
              <w:rPr>
                <w:rFonts w:ascii="宋体" w:hAnsi="宋体" w:cs="宋体" w:eastAsia="宋体" w:hint="default"/>
                <w:spacing w:val="10"/>
                <w:sz w:val="21"/>
                <w:szCs w:val="21"/>
              </w:rPr>
              <w:t>组组合</w:t>
            </w:r>
            <w:r>
              <w:rPr>
                <w:rFonts w:ascii="宋体" w:hAnsi="宋体" w:cs="宋体" w:eastAsia="宋体" w:hint="default"/>
                <w:spacing w:val="-75"/>
                <w:sz w:val="21"/>
                <w:szCs w:val="21"/>
              </w:rPr>
              <w:t> </w:t>
            </w:r>
            <w:r>
              <w:rPr>
                <w:rFonts w:ascii="宋体" w:hAnsi="宋体" w:cs="宋体" w:eastAsia="宋体" w:hint="default"/>
                <w:spacing w:val="10"/>
                <w:sz w:val="21"/>
                <w:szCs w:val="21"/>
              </w:rPr>
              <w:t>是否与</w:t>
            </w:r>
            <w:r>
              <w:rPr>
                <w:rFonts w:ascii="宋体" w:hAnsi="宋体" w:cs="宋体" w:eastAsia="宋体" w:hint="default"/>
                <w:spacing w:val="-75"/>
                <w:sz w:val="21"/>
                <w:szCs w:val="21"/>
              </w:rPr>
              <w:t> </w:t>
            </w:r>
            <w:r>
              <w:rPr>
                <w:rFonts w:ascii="宋体" w:hAnsi="宋体" w:cs="宋体" w:eastAsia="宋体" w:hint="default"/>
                <w:spacing w:val="7"/>
                <w:sz w:val="21"/>
                <w:szCs w:val="21"/>
              </w:rPr>
              <w:t>购买</w:t>
            </w:r>
            <w:r>
              <w:rPr>
                <w:rFonts w:ascii="宋体" w:hAnsi="宋体" w:cs="宋体" w:eastAsia="宋体" w:hint="default"/>
                <w:sz w:val="21"/>
                <w:szCs w:val="21"/>
              </w:rPr>
              <w:t> </w:t>
            </w:r>
            <w:r>
              <w:rPr>
                <w:rFonts w:ascii="宋体" w:hAnsi="宋体" w:cs="宋体" w:eastAsia="宋体" w:hint="default"/>
                <w:spacing w:val="3"/>
                <w:sz w:val="21"/>
                <w:szCs w:val="21"/>
              </w:rPr>
              <w:t>日、以前年度商誉减值测试时所确</w:t>
            </w:r>
            <w:r>
              <w:rPr>
                <w:rFonts w:ascii="宋体" w:hAnsi="宋体" w:cs="宋体" w:eastAsia="宋体" w:hint="default"/>
                <w:sz w:val="21"/>
                <w:szCs w:val="21"/>
              </w:rPr>
              <w:t> 定的资产组或资产组组合一致</w:t>
            </w:r>
          </w:p>
        </w:tc>
        <w:tc>
          <w:tcPr>
            <w:tcW w:w="5309"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15"/>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5"/>
        <w:rPr>
          <w:rFonts w:ascii="Times New Roman" w:hAnsi="Times New Roman" w:cs="Times New Roman" w:eastAsia="Times New Roman" w:hint="default"/>
          <w:sz w:val="27"/>
          <w:szCs w:val="27"/>
        </w:rPr>
      </w:pPr>
    </w:p>
    <w:p>
      <w:pPr>
        <w:pStyle w:val="BodyText"/>
        <w:spacing w:line="240" w:lineRule="auto"/>
        <w:ind w:right="1086"/>
        <w:jc w:val="left"/>
      </w:pPr>
      <w:r>
        <w:rPr/>
        <w:t>商誉减值测试的影响</w:t>
      </w:r>
    </w:p>
    <w:p>
      <w:pPr>
        <w:pStyle w:val="Heading6"/>
        <w:spacing w:line="259" w:lineRule="auto" w:before="90"/>
        <w:ind w:left="561" w:right="1086"/>
        <w:jc w:val="left"/>
        <w:rPr>
          <w:rFonts w:ascii="Times New Roman" w:hAnsi="Times New Roman" w:cs="Times New Roman" w:eastAsia="Times New Roman" w:hint="default"/>
        </w:rPr>
      </w:pPr>
      <w:r>
        <w:rPr/>
        <w:t>①</w:t>
      </w:r>
      <w:r>
        <w:rPr>
          <w:spacing w:val="-15"/>
        </w:rPr>
        <w:t> </w:t>
      </w:r>
      <w:r>
        <w:rPr>
          <w:rFonts w:ascii="Times New Roman" w:hAnsi="Times New Roman" w:cs="Times New Roman" w:eastAsia="Times New Roman" w:hint="default"/>
          <w:spacing w:val="-3"/>
        </w:rPr>
        <w:t>GL</w:t>
      </w:r>
      <w:r>
        <w:rPr>
          <w:spacing w:val="-3"/>
        </w:rPr>
        <w:t>公司</w:t>
      </w:r>
      <w:r>
        <w:rPr/>
        <w:t> </w:t>
      </w:r>
      <w:r>
        <w:rPr>
          <w:rFonts w:ascii="Times New Roman" w:hAnsi="Times New Roman" w:cs="Times New Roman" w:eastAsia="Times New Roman" w:hint="default"/>
          <w:spacing w:val="3"/>
        </w:rPr>
        <w:t>GL</w:t>
      </w:r>
      <w:r>
        <w:rPr>
          <w:spacing w:val="3"/>
        </w:rPr>
        <w:t>公司商誉的可收回金额按照预计未来现金流量的现值计算，其预计现金流量根据</w:t>
      </w:r>
      <w:r>
        <w:rPr>
          <w:rFonts w:ascii="Times New Roman" w:hAnsi="Times New Roman" w:cs="Times New Roman" w:eastAsia="Times New Roman" w:hint="default"/>
          <w:spacing w:val="3"/>
        </w:rPr>
        <w:t>GL</w:t>
      </w:r>
      <w:r>
        <w:rPr>
          <w:spacing w:val="3"/>
        </w:rPr>
        <w:t>公司批准的</w:t>
      </w:r>
      <w:r>
        <w:rPr>
          <w:rFonts w:ascii="Times New Roman" w:hAnsi="Times New Roman" w:cs="Times New Roman" w:eastAsia="Times New Roman" w:hint="default"/>
          <w:spacing w:val="3"/>
        </w:rPr>
        <w:t>5</w:t>
      </w:r>
    </w:p>
    <w:p>
      <w:pPr>
        <w:pStyle w:val="Heading6"/>
        <w:spacing w:line="259" w:lineRule="auto"/>
        <w:ind w:right="1086"/>
        <w:jc w:val="left"/>
      </w:pPr>
      <w:r>
        <w:rPr/>
        <w:t>年期现金流量预测为基础，现金流量预测使用的折现率</w:t>
      </w:r>
      <w:r>
        <w:rPr>
          <w:rFonts w:ascii="Times New Roman" w:hAnsi="Times New Roman" w:cs="Times New Roman" w:eastAsia="Times New Roman" w:hint="default"/>
        </w:rPr>
        <w:t>15.00%</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），预测期以后的现金流量</w:t>
      </w:r>
      <w:r>
        <w:rPr>
          <w:spacing w:val="-94"/>
        </w:rPr>
        <w:t> </w:t>
      </w:r>
      <w:r>
        <w:rPr/>
        <w:t>保持稳定。</w:t>
      </w:r>
    </w:p>
    <w:p>
      <w:pPr>
        <w:pStyle w:val="Heading6"/>
        <w:spacing w:line="276" w:lineRule="auto" w:before="23"/>
        <w:ind w:right="1090" w:firstLine="420"/>
        <w:jc w:val="both"/>
      </w:pPr>
      <w:r>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Heading6"/>
        <w:spacing w:line="285" w:lineRule="exact"/>
        <w:ind w:left="561" w:right="0"/>
        <w:jc w:val="left"/>
      </w:pPr>
      <w:r>
        <w:rPr>
          <w:rFonts w:ascii="Times New Roman" w:hAnsi="Times New Roman" w:cs="Times New Roman" w:eastAsia="Times New Roman" w:hint="default"/>
        </w:rPr>
        <w:t>2017</w:t>
      </w:r>
      <w:r>
        <w:rPr/>
        <w:t>年度经执行减值测试，</w:t>
      </w:r>
      <w:r>
        <w:rPr>
          <w:rFonts w:ascii="Times New Roman" w:hAnsi="Times New Roman" w:cs="Times New Roman" w:eastAsia="Times New Roman" w:hint="default"/>
        </w:rPr>
        <w:t>GL</w:t>
      </w:r>
      <w:r>
        <w:rPr/>
        <w:t>公司可收回金额为</w:t>
      </w:r>
      <w:r>
        <w:rPr>
          <w:rFonts w:ascii="Times New Roman" w:hAnsi="Times New Roman" w:cs="Times New Roman" w:eastAsia="Times New Roman" w:hint="default"/>
        </w:rPr>
        <w:t>45,721,762.65</w:t>
      </w:r>
      <w:r>
        <w:rPr/>
        <w:t>元（可收回金额按未来预计现金流量的</w:t>
      </w:r>
    </w:p>
    <w:p>
      <w:pPr>
        <w:spacing w:after="0" w:line="285" w:lineRule="exact"/>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59" w:lineRule="auto" w:before="35"/>
        <w:ind w:right="1086"/>
        <w:jc w:val="left"/>
      </w:pPr>
      <w:r>
        <w:rPr/>
        <w:t>折现金额计算），账面价值（包括商誉）为</w:t>
      </w:r>
      <w:r>
        <w:rPr>
          <w:rFonts w:ascii="Times New Roman" w:hAnsi="Times New Roman" w:cs="Times New Roman" w:eastAsia="Times New Roman" w:hint="default"/>
        </w:rPr>
        <w:t>173,675,524.67</w:t>
      </w:r>
      <w:r>
        <w:rPr/>
        <w:t>元，发生减值</w:t>
      </w:r>
      <w:r>
        <w:rPr>
          <w:rFonts w:ascii="Times New Roman" w:hAnsi="Times New Roman" w:cs="Times New Roman" w:eastAsia="Times New Roman" w:hint="default"/>
        </w:rPr>
        <w:t>127,953,762.02</w:t>
      </w:r>
      <w:r>
        <w:rPr/>
        <w:t>元，按公司持股比</w:t>
      </w:r>
      <w:r>
        <w:rPr>
          <w:spacing w:val="-36"/>
        </w:rPr>
        <w:t> </w:t>
      </w:r>
      <w:r>
        <w:rPr/>
        <w:t>例</w:t>
      </w:r>
      <w:r>
        <w:rPr>
          <w:rFonts w:ascii="Times New Roman" w:hAnsi="Times New Roman" w:cs="Times New Roman" w:eastAsia="Times New Roman" w:hint="default"/>
        </w:rPr>
        <w:t>51%</w:t>
      </w:r>
      <w:r>
        <w:rPr/>
        <w:t>计算确认商誉减值准备</w:t>
      </w:r>
      <w:r>
        <w:rPr>
          <w:rFonts w:ascii="Times New Roman" w:hAnsi="Times New Roman" w:cs="Times New Roman" w:eastAsia="Times New Roman" w:hint="default"/>
        </w:rPr>
        <w:t>65,256,418.63</w:t>
      </w:r>
      <w:r>
        <w:rPr/>
        <w:t>元。</w:t>
      </w:r>
    </w:p>
    <w:p>
      <w:pPr>
        <w:pStyle w:val="Heading6"/>
        <w:spacing w:line="240" w:lineRule="auto" w:before="6"/>
        <w:ind w:left="561" w:right="1086"/>
        <w:jc w:val="left"/>
      </w:pPr>
      <w:r>
        <w:rPr>
          <w:rFonts w:ascii="Times New Roman" w:hAnsi="Times New Roman" w:cs="Times New Roman" w:eastAsia="Times New Roman" w:hint="default"/>
        </w:rPr>
        <w:t>2019</w:t>
      </w:r>
      <w:r>
        <w:rPr/>
        <w:t>年度经执行减值测试，</w:t>
      </w:r>
      <w:r>
        <w:rPr>
          <w:rFonts w:ascii="Times New Roman" w:hAnsi="Times New Roman" w:cs="Times New Roman" w:eastAsia="Times New Roman" w:hint="default"/>
        </w:rPr>
        <w:t>GL</w:t>
      </w:r>
      <w:r>
        <w:rPr/>
        <w:t>公司未进一步发现减值迹象。</w:t>
      </w:r>
    </w:p>
    <w:p>
      <w:pPr>
        <w:pStyle w:val="Heading6"/>
        <w:spacing w:line="276" w:lineRule="auto" w:before="9"/>
        <w:ind w:left="561" w:right="1089"/>
        <w:jc w:val="left"/>
      </w:pPr>
      <w:r>
        <w:rPr/>
        <w:t>②</w:t>
      </w:r>
      <w:r>
        <w:rPr>
          <w:spacing w:val="-15"/>
        </w:rPr>
        <w:t> </w:t>
      </w:r>
      <w:r>
        <w:rPr/>
        <w:t>思创超讯公司</w:t>
      </w:r>
      <w:r>
        <w:rPr/>
        <w:t> 思创超讯公司商誉的可收回金额按照预计未来现金流量的现值计算，其预计现金流量根据思创超讯公</w:t>
      </w:r>
    </w:p>
    <w:p>
      <w:pPr>
        <w:pStyle w:val="Heading6"/>
        <w:spacing w:line="259" w:lineRule="auto" w:before="9"/>
        <w:ind w:right="1086"/>
        <w:jc w:val="left"/>
      </w:pPr>
      <w:r>
        <w:rPr/>
        <w:t>司批准的</w:t>
      </w:r>
      <w:r>
        <w:rPr>
          <w:rFonts w:ascii="Times New Roman" w:hAnsi="Times New Roman" w:cs="Times New Roman" w:eastAsia="Times New Roman" w:hint="default"/>
        </w:rPr>
        <w:t>5</w:t>
      </w:r>
      <w:r>
        <w:rPr/>
        <w:t>年期现金流量预测为基础，现金流量预测使用的折现率</w:t>
      </w:r>
      <w:r>
        <w:rPr>
          <w:rFonts w:ascii="Times New Roman" w:hAnsi="Times New Roman" w:cs="Times New Roman" w:eastAsia="Times New Roman" w:hint="default"/>
        </w:rPr>
        <w:t>12.49%</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），预测期以后</w:t>
      </w:r>
      <w:r>
        <w:rPr>
          <w:spacing w:val="-17"/>
        </w:rPr>
        <w:t> </w:t>
      </w:r>
      <w:r>
        <w:rPr>
          <w:spacing w:val="-17"/>
        </w:rPr>
      </w:r>
      <w:r>
        <w:rPr/>
        <w:t>的现金流量保持稳定。</w:t>
      </w:r>
    </w:p>
    <w:p>
      <w:pPr>
        <w:pStyle w:val="Heading6"/>
        <w:spacing w:line="268" w:lineRule="auto" w:before="23"/>
        <w:ind w:right="1085" w:firstLine="420"/>
        <w:jc w:val="both"/>
      </w:pPr>
      <w:r>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Heading6"/>
        <w:spacing w:line="240" w:lineRule="auto" w:before="15"/>
        <w:ind w:left="561" w:right="1086"/>
        <w:jc w:val="left"/>
      </w:pPr>
      <w:r>
        <w:rPr/>
        <w:t>思创超讯公司可收回金额的预计表明商誉并未出现减值损失。</w:t>
      </w:r>
    </w:p>
    <w:p>
      <w:pPr>
        <w:pStyle w:val="Heading6"/>
        <w:spacing w:line="276" w:lineRule="auto" w:before="40"/>
        <w:ind w:left="561" w:right="1089"/>
        <w:jc w:val="left"/>
      </w:pPr>
      <w:r>
        <w:rPr/>
        <w:t>③</w:t>
      </w:r>
      <w:r>
        <w:rPr>
          <w:spacing w:val="-15"/>
        </w:rPr>
        <w:t> </w:t>
      </w:r>
      <w:r>
        <w:rPr/>
        <w:t>医惠科技公司</w:t>
      </w:r>
      <w:r>
        <w:rPr/>
        <w:t> 医惠科技公司商誉的可收回金额按照预计未来现金流量的现值计算，其预计现金流量根据医惠科技公</w:t>
      </w:r>
    </w:p>
    <w:p>
      <w:pPr>
        <w:pStyle w:val="Heading6"/>
        <w:spacing w:line="261" w:lineRule="auto"/>
        <w:ind w:right="1086"/>
        <w:jc w:val="left"/>
      </w:pPr>
      <w:r>
        <w:rPr/>
        <w:t>司批准的</w:t>
      </w:r>
      <w:r>
        <w:rPr>
          <w:rFonts w:ascii="Times New Roman" w:hAnsi="Times New Roman" w:cs="Times New Roman" w:eastAsia="Times New Roman" w:hint="default"/>
        </w:rPr>
        <w:t>5</w:t>
      </w:r>
      <w:r>
        <w:rPr/>
        <w:t>年期现金流量预测为基础，现金流量预测使用的折现率</w:t>
      </w:r>
      <w:r>
        <w:rPr>
          <w:rFonts w:ascii="Times New Roman" w:hAnsi="Times New Roman" w:cs="Times New Roman" w:eastAsia="Times New Roman" w:hint="default"/>
        </w:rPr>
        <w:t>13.03%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12.71%</w:t>
      </w:r>
      <w:r>
        <w:rPr/>
        <w:t>），预测期以</w:t>
      </w:r>
      <w:r>
        <w:rPr>
          <w:spacing w:val="-56"/>
        </w:rPr>
        <w:t> </w:t>
      </w:r>
      <w:r>
        <w:rPr/>
        <w:t>后的现金流量保持稳定。</w:t>
      </w:r>
    </w:p>
    <w:p>
      <w:pPr>
        <w:pStyle w:val="Heading6"/>
        <w:spacing w:line="276" w:lineRule="auto" w:before="21"/>
        <w:ind w:right="1085" w:firstLine="420"/>
        <w:jc w:val="both"/>
      </w:pPr>
      <w:r>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Heading6"/>
        <w:spacing w:line="269" w:lineRule="exact"/>
        <w:ind w:left="561" w:right="1086"/>
        <w:jc w:val="left"/>
      </w:pPr>
      <w:r>
        <w:rPr/>
        <w:t>医惠科技公司可收回金额的预计表明商誉并未出现减值损失。</w:t>
      </w:r>
    </w:p>
    <w:p>
      <w:pPr>
        <w:pStyle w:val="Heading6"/>
        <w:spacing w:line="276" w:lineRule="auto" w:before="40"/>
        <w:ind w:left="561" w:right="1089"/>
        <w:jc w:val="left"/>
      </w:pPr>
      <w:r>
        <w:rPr/>
        <w:t>④</w:t>
      </w:r>
      <w:r>
        <w:rPr>
          <w:spacing w:val="-15"/>
        </w:rPr>
        <w:t> </w:t>
      </w:r>
      <w:r>
        <w:rPr/>
        <w:t>杭州华洁医疗科技有限公司</w:t>
      </w:r>
      <w:r>
        <w:rPr/>
        <w:t> 杭州华洁医疗科技有限公司商誉的可收回金额按照预计未来现金流量的现值计算，其预计现金流量根</w:t>
      </w:r>
    </w:p>
    <w:p>
      <w:pPr>
        <w:pStyle w:val="Heading6"/>
        <w:spacing w:line="259" w:lineRule="auto" w:before="8"/>
        <w:ind w:right="1086"/>
        <w:jc w:val="left"/>
      </w:pPr>
      <w:r>
        <w:rPr>
          <w:spacing w:val="-3"/>
        </w:rPr>
        <w:t>据杭州华洁医疗科技有限公司批准的</w:t>
      </w:r>
      <w:r>
        <w:rPr>
          <w:rFonts w:ascii="Times New Roman" w:hAnsi="Times New Roman" w:cs="Times New Roman" w:eastAsia="Times New Roman" w:hint="default"/>
          <w:spacing w:val="-3"/>
        </w:rPr>
        <w:t>5</w:t>
      </w:r>
      <w:r>
        <w:rPr>
          <w:spacing w:val="-3"/>
        </w:rPr>
        <w:t>年期现金流量预测为基础，现金流量预测使用的折现率</w:t>
      </w:r>
      <w:r>
        <w:rPr>
          <w:rFonts w:ascii="Times New Roman" w:hAnsi="Times New Roman" w:cs="Times New Roman" w:eastAsia="Times New Roman" w:hint="default"/>
          <w:spacing w:val="-3"/>
        </w:rPr>
        <w:t>13.62%</w:t>
      </w:r>
      <w:r>
        <w:rPr>
          <w:spacing w:val="-3"/>
        </w:rPr>
        <w:t>（</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45"/>
        </w:rPr>
        <w:t> </w:t>
      </w:r>
      <w:r>
        <w:rPr/>
        <w:t>年：</w:t>
      </w:r>
      <w:r>
        <w:rPr>
          <w:rFonts w:ascii="Times New Roman" w:hAnsi="Times New Roman" w:cs="Times New Roman" w:eastAsia="Times New Roman" w:hint="default"/>
        </w:rPr>
        <w:t>12.71%</w:t>
      </w:r>
      <w:r>
        <w:rPr/>
        <w:t>），预测期以后的现金流量保持稳定。</w:t>
      </w:r>
    </w:p>
    <w:p>
      <w:pPr>
        <w:pStyle w:val="Heading6"/>
        <w:spacing w:line="276" w:lineRule="auto"/>
        <w:ind w:right="1085" w:firstLine="420"/>
        <w:jc w:val="both"/>
      </w:pPr>
      <w:r>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Heading6"/>
        <w:spacing w:line="240" w:lineRule="auto" w:before="8"/>
        <w:ind w:left="561" w:right="1086"/>
        <w:jc w:val="left"/>
      </w:pPr>
      <w:r>
        <w:rPr/>
        <w:t>杭州华洁医疗科技有限公司可收回金额的预计表明商誉并未出现减值损失。</w:t>
      </w:r>
    </w:p>
    <w:p>
      <w:pPr>
        <w:pStyle w:val="Heading6"/>
        <w:spacing w:line="240" w:lineRule="auto" w:before="40"/>
        <w:ind w:left="561" w:right="1086"/>
        <w:jc w:val="left"/>
        <w:rPr>
          <w:rFonts w:ascii="Times New Roman" w:hAnsi="Times New Roman" w:cs="Times New Roman" w:eastAsia="Times New Roman" w:hint="default"/>
        </w:rPr>
      </w:pPr>
      <w:r>
        <w:rPr/>
        <w:t>⑤ </w:t>
      </w:r>
      <w:r>
        <w:rPr>
          <w:rFonts w:ascii="Times New Roman" w:hAnsi="Times New Roman" w:cs="Times New Roman" w:eastAsia="Times New Roman" w:hint="default"/>
          <w:spacing w:val="-4"/>
        </w:rPr>
        <w:t>EWELL HONGKONG</w:t>
      </w:r>
      <w:r>
        <w:rPr>
          <w:rFonts w:ascii="Times New Roman" w:hAnsi="Times New Roman" w:cs="Times New Roman" w:eastAsia="Times New Roman" w:hint="default"/>
          <w:spacing w:val="17"/>
        </w:rPr>
        <w:t> </w:t>
      </w:r>
      <w:r>
        <w:rPr>
          <w:rFonts w:ascii="Times New Roman" w:hAnsi="Times New Roman" w:cs="Times New Roman" w:eastAsia="Times New Roman" w:hint="default"/>
        </w:rPr>
        <w:t>LIMITED</w:t>
      </w:r>
    </w:p>
    <w:p>
      <w:pPr>
        <w:pStyle w:val="Heading6"/>
        <w:spacing w:line="259" w:lineRule="auto" w:before="9"/>
        <w:ind w:right="1092" w:firstLine="420"/>
        <w:jc w:val="both"/>
      </w:pPr>
      <w:r>
        <w:rPr>
          <w:rFonts w:ascii="Times New Roman" w:hAnsi="Times New Roman" w:cs="Times New Roman" w:eastAsia="Times New Roman" w:hint="default"/>
          <w:spacing w:val="-4"/>
        </w:rPr>
        <w:t>EWELL </w:t>
      </w:r>
      <w:r>
        <w:rPr>
          <w:rFonts w:ascii="Times New Roman" w:hAnsi="Times New Roman" w:cs="Times New Roman" w:eastAsia="Times New Roman" w:hint="default"/>
        </w:rPr>
        <w:t>HONGKONG</w:t>
      </w:r>
      <w:r>
        <w:rPr>
          <w:rFonts w:ascii="Times New Roman" w:hAnsi="Times New Roman" w:cs="Times New Roman" w:eastAsia="Times New Roman" w:hint="default"/>
          <w:spacing w:val="-10"/>
        </w:rPr>
        <w:t> </w:t>
      </w:r>
      <w:r>
        <w:rPr>
          <w:rFonts w:ascii="Times New Roman" w:hAnsi="Times New Roman" w:cs="Times New Roman" w:eastAsia="Times New Roman" w:hint="default"/>
        </w:rPr>
        <w:t>LIMITED</w:t>
      </w:r>
      <w:r>
        <w:rPr/>
        <w:t>商誉的可收回金额按照预计未来现金流量的现值计算，其预计现金流 量根据</w:t>
      </w:r>
      <w:r>
        <w:rPr>
          <w:rFonts w:ascii="Times New Roman" w:hAnsi="Times New Roman" w:cs="Times New Roman" w:eastAsia="Times New Roman" w:hint="default"/>
        </w:rPr>
        <w:t>EWELL HONGKONG</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7"/>
        </w:rPr>
        <w:t>LIMITED</w:t>
      </w:r>
      <w:r>
        <w:rPr>
          <w:spacing w:val="7"/>
        </w:rPr>
        <w:t>批准的</w:t>
      </w:r>
      <w:r>
        <w:rPr>
          <w:rFonts w:ascii="Times New Roman" w:hAnsi="Times New Roman" w:cs="Times New Roman" w:eastAsia="Times New Roman" w:hint="default"/>
          <w:spacing w:val="7"/>
        </w:rPr>
        <w:t>5</w:t>
      </w:r>
      <w:r>
        <w:rPr>
          <w:spacing w:val="7"/>
        </w:rPr>
        <w:t>年期现金流量预测为基础，现金流量预测使用的折现率</w:t>
      </w:r>
      <w:r>
        <w:rPr/>
        <w:t> </w:t>
      </w:r>
      <w:r>
        <w:rPr>
          <w:rFonts w:ascii="Times New Roman" w:hAnsi="Times New Roman" w:cs="Times New Roman" w:eastAsia="Times New Roman" w:hint="default"/>
        </w:rPr>
        <w:t>13.55%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12.71%</w:t>
      </w:r>
      <w:r>
        <w:rPr/>
        <w:t>），预测期以后的现金流量保持稳定。</w:t>
      </w:r>
    </w:p>
    <w:p>
      <w:pPr>
        <w:pStyle w:val="Heading6"/>
        <w:spacing w:line="268" w:lineRule="auto" w:before="6"/>
        <w:ind w:right="1085" w:firstLine="420"/>
        <w:jc w:val="both"/>
      </w:pPr>
      <w:r>
        <w:rPr/>
        <w:t>减值测试中采用的其他关键数据包括：产品预计售价、销量、增长率、预计毛利率以及相关费用等。 公司根据历史经验及对市场发展的预测确定上述关键数据。公司采用的折现率是反映当前市场货币时间价 值和相关资产组特定风险的税前利率。</w:t>
      </w:r>
    </w:p>
    <w:p>
      <w:pPr>
        <w:pStyle w:val="Heading6"/>
        <w:spacing w:line="240" w:lineRule="auto" w:before="15"/>
        <w:ind w:right="1086"/>
        <w:jc w:val="left"/>
      </w:pPr>
      <w:r>
        <w:rPr>
          <w:rFonts w:ascii="Times New Roman" w:hAnsi="Times New Roman" w:cs="Times New Roman" w:eastAsia="Times New Roman" w:hint="default"/>
          <w:spacing w:val="-4"/>
        </w:rPr>
        <w:t>EWELL </w:t>
      </w:r>
      <w:r>
        <w:rPr>
          <w:rFonts w:ascii="Times New Roman" w:hAnsi="Times New Roman" w:cs="Times New Roman" w:eastAsia="Times New Roman" w:hint="default"/>
        </w:rPr>
        <w:t>HONGKONG</w:t>
      </w:r>
      <w:r>
        <w:rPr>
          <w:rFonts w:ascii="Times New Roman" w:hAnsi="Times New Roman" w:cs="Times New Roman" w:eastAsia="Times New Roman" w:hint="default"/>
          <w:spacing w:val="3"/>
        </w:rPr>
        <w:t> </w:t>
      </w:r>
      <w:r>
        <w:rPr>
          <w:rFonts w:ascii="Times New Roman" w:hAnsi="Times New Roman" w:cs="Times New Roman" w:eastAsia="Times New Roman" w:hint="default"/>
        </w:rPr>
        <w:t>LIMITED</w:t>
      </w:r>
      <w:r>
        <w:rPr/>
        <w:t>可收回金额的预计表明商誉并未出现减值损失。</w:t>
      </w:r>
    </w:p>
    <w:p>
      <w:pPr>
        <w:spacing w:line="240" w:lineRule="auto" w:before="12"/>
        <w:rPr>
          <w:rFonts w:ascii="宋体" w:hAnsi="宋体" w:cs="宋体" w:eastAsia="宋体" w:hint="default"/>
          <w:sz w:val="30"/>
          <w:szCs w:val="30"/>
        </w:rPr>
      </w:pPr>
    </w:p>
    <w:p>
      <w:pPr>
        <w:pStyle w:val="BodyText"/>
        <w:spacing w:line="240" w:lineRule="auto" w:before="0"/>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29、长期待摊费用" w:id="319"/>
      <w:bookmarkEnd w:id="319"/>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22,139,486.68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1" w:right="0"/>
              <w:jc w:val="left"/>
              <w:rPr>
                <w:rFonts w:ascii="Times New Roman" w:hAnsi="Times New Roman" w:cs="Times New Roman" w:eastAsia="Times New Roman" w:hint="default"/>
                <w:sz w:val="18"/>
                <w:szCs w:val="18"/>
              </w:rPr>
            </w:pPr>
            <w:r>
              <w:rPr>
                <w:rFonts w:ascii="Times New Roman"/>
                <w:sz w:val="18"/>
              </w:rPr>
              <w:t>499,553.57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15" w:right="0"/>
              <w:jc w:val="left"/>
              <w:rPr>
                <w:rFonts w:ascii="Times New Roman" w:hAnsi="Times New Roman" w:cs="Times New Roman" w:eastAsia="Times New Roman" w:hint="default"/>
                <w:sz w:val="18"/>
                <w:szCs w:val="18"/>
              </w:rPr>
            </w:pPr>
            <w:r>
              <w:rPr>
                <w:rFonts w:ascii="Times New Roman"/>
                <w:sz w:val="18"/>
              </w:rPr>
              <w:t>6,101,634.97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1,109,944.40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15,427,460.88</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21,567,392.37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5,986,591.96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15,580,800.41</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委外技术开发费用</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499,999.92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523,333.23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176,666.69</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1,793,916.67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2,532,897.50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3,185,230.83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1,141,583.34</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24,433,403.27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24,799,843.44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15,796,790.99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30" w:right="0"/>
              <w:jc w:val="left"/>
              <w:rPr>
                <w:rFonts w:ascii="Times New Roman" w:hAnsi="Times New Roman" w:cs="Times New Roman" w:eastAsia="Times New Roman" w:hint="default"/>
                <w:sz w:val="18"/>
                <w:szCs w:val="18"/>
              </w:rPr>
            </w:pPr>
            <w:r>
              <w:rPr>
                <w:rFonts w:ascii="Times New Roman"/>
                <w:sz w:val="18"/>
              </w:rPr>
              <w:t>1,109,944.40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32,326,511.32</w:t>
            </w:r>
          </w:p>
        </w:tc>
      </w:tr>
    </w:tbl>
    <w:p>
      <w:pPr>
        <w:pStyle w:val="BodyText"/>
        <w:spacing w:line="240" w:lineRule="auto" w:before="45"/>
        <w:ind w:right="1086"/>
        <w:jc w:val="left"/>
      </w:pPr>
      <w:r>
        <w:rPr/>
        <w:t>其他说明</w:t>
      </w:r>
    </w:p>
    <w:p>
      <w:pPr>
        <w:pStyle w:val="Heading6"/>
        <w:spacing w:line="276" w:lineRule="auto" w:before="89"/>
        <w:ind w:right="1086"/>
        <w:jc w:val="left"/>
      </w:pPr>
      <w:r>
        <w:rPr/>
        <w:t>其他转出系本期杭州琅玕科技有限公司和江苏瑞康医惠医疗投资管理有限公司不再纳入合并范围内而转 出长期待摊费用</w:t>
      </w:r>
      <w:r>
        <w:rPr>
          <w:rFonts w:ascii="Times New Roman" w:hAnsi="Times New Roman" w:cs="Times New Roman" w:eastAsia="Times New Roman" w:hint="default"/>
        </w:rPr>
        <w:t>1,109,944.40</w:t>
      </w:r>
      <w:r>
        <w:rPr/>
        <w:t>元。</w:t>
      </w:r>
    </w:p>
    <w:p>
      <w:pPr>
        <w:spacing w:line="240" w:lineRule="auto" w:before="4"/>
        <w:rPr>
          <w:rFonts w:ascii="宋体" w:hAnsi="宋体" w:cs="宋体" w:eastAsia="宋体" w:hint="default"/>
          <w:sz w:val="23"/>
          <w:szCs w:val="23"/>
        </w:rPr>
      </w:pPr>
    </w:p>
    <w:p>
      <w:pPr>
        <w:pStyle w:val="Heading5"/>
        <w:spacing w:line="240" w:lineRule="auto"/>
        <w:ind w:right="1086"/>
        <w:jc w:val="left"/>
        <w:rPr>
          <w:b w:val="0"/>
          <w:bCs w:val="0"/>
        </w:rPr>
      </w:pPr>
      <w:bookmarkStart w:name="30、递延所得税资产/递延所得税负债" w:id="320"/>
      <w:bookmarkEnd w:id="32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未经抵销的递延所得税资产" w:id="321"/>
      <w:bookmarkEnd w:id="32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203"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45"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168,343,383.41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25,317,962.62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117,428,253.51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17,753,793.78</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418,851.05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113,089.79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420,508.26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113,537.23</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168,762,234.46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25,431,052.41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117,848,761.77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17,867,331.01</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未经抵销的递延所得税负债" w:id="322"/>
      <w:bookmarkEnd w:id="32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以抵销后净额列示的递延所得税资产或负债" w:id="323"/>
      <w:bookmarkEnd w:id="32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15"/>
        <w:gridCol w:w="1915"/>
        <w:gridCol w:w="1915"/>
        <w:gridCol w:w="1907"/>
      </w:tblGrid>
      <w:tr>
        <w:trPr>
          <w:trHeight w:val="173"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405"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323" w:right="4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405" w:right="53"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44"/>
              <w:ind w:left="323" w:right="37"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r>
      <w:tr>
        <w:trPr>
          <w:trHeight w:val="158"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9" w:right="0"/>
              <w:jc w:val="left"/>
              <w:rPr>
                <w:rFonts w:ascii="Times New Roman" w:hAnsi="Times New Roman" w:cs="Times New Roman" w:eastAsia="Times New Roman" w:hint="default"/>
                <w:sz w:val="18"/>
                <w:szCs w:val="18"/>
              </w:rPr>
            </w:pPr>
            <w:r>
              <w:rPr>
                <w:rFonts w:ascii="Times New Roman"/>
                <w:sz w:val="18"/>
              </w:rPr>
              <w:t>25,431,052.41</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4）未确认递延所得税资产明细" w:id="324"/>
      <w:bookmarkEnd w:id="32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236,220,324.80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198,443,568.39</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236,220,324.80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198,443,568.39</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5）未确认递延所得税资产的可抵扣亏损将于以下年度到期" w:id="325"/>
      <w:bookmarkEnd w:id="32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16,252,737.31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23,489,581.83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27,603,002.49</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22,199,303.67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25,634,942.13</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58,686,116.15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47,175,172.18</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63,264,581.20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81,777,714.28</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68,580,741.95</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236,220,324.80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198,443,568.39</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5"/>
        <w:ind w:right="1086"/>
        <w:jc w:val="left"/>
        <w:rPr>
          <w:b w:val="0"/>
          <w:bCs w:val="0"/>
        </w:rPr>
      </w:pPr>
      <w:bookmarkStart w:name="31、其他非流动资产" w:id="326"/>
      <w:bookmarkEnd w:id="326"/>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866" w:footer="981" w:top="1120" w:bottom="1180" w:left="1000" w:right="0"/>
        </w:sectPr>
      </w:pPr>
    </w:p>
    <w:p>
      <w:pPr>
        <w:pStyle w:val="BodyText"/>
        <w:spacing w:line="240" w:lineRule="auto"/>
        <w:ind w:right="-20"/>
        <w:jc w:val="left"/>
      </w:pPr>
      <w:r>
        <w:rPr/>
        <w:t>是否已执行新收入准则</w:t>
      </w:r>
    </w:p>
    <w:p>
      <w:pPr>
        <w:pStyle w:val="BodyText"/>
        <w:spacing w:line="240" w:lineRule="auto" w:before="124"/>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1051"/>
        <w:gridCol w:w="1066"/>
        <w:gridCol w:w="1067"/>
        <w:gridCol w:w="1066"/>
        <w:gridCol w:w="1067"/>
        <w:gridCol w:w="1066"/>
      </w:tblGrid>
      <w:tr>
        <w:trPr>
          <w:trHeight w:val="405" w:hRule="exact"/>
        </w:trPr>
        <w:tc>
          <w:tcPr>
            <w:tcW w:w="31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9"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7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预付装修及工程款</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20,850,000.0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20,850,000.0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7,257,105.25</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7,257,105.25</w:t>
            </w:r>
          </w:p>
        </w:tc>
      </w:tr>
      <w:tr>
        <w:trPr>
          <w:trHeight w:val="72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14,440,000.0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14,440,000.0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预付设备采购款</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9" w:right="0"/>
              <w:jc w:val="left"/>
              <w:rPr>
                <w:rFonts w:ascii="Times New Roman" w:hAnsi="Times New Roman" w:cs="Times New Roman" w:eastAsia="Times New Roman" w:hint="default"/>
                <w:sz w:val="18"/>
                <w:szCs w:val="18"/>
              </w:rPr>
            </w:pPr>
            <w:r>
              <w:rPr>
                <w:rFonts w:ascii="Times New Roman"/>
                <w:sz w:val="18"/>
              </w:rPr>
              <w:t>300,800.00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5" w:right="0"/>
              <w:jc w:val="left"/>
              <w:rPr>
                <w:rFonts w:ascii="Times New Roman" w:hAnsi="Times New Roman" w:cs="Times New Roman" w:eastAsia="Times New Roman" w:hint="default"/>
                <w:sz w:val="18"/>
                <w:szCs w:val="18"/>
              </w:rPr>
            </w:pPr>
            <w:r>
              <w:rPr>
                <w:rFonts w:ascii="Times New Roman"/>
                <w:sz w:val="18"/>
              </w:rPr>
              <w:t>300,800.00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1,299,095.08</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1,299,095.08</w:t>
            </w:r>
          </w:p>
        </w:tc>
      </w:tr>
      <w:tr>
        <w:trPr>
          <w:trHeight w:val="7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35,590,800.0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35,590,800.0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8,556,200.33</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8,556,200.33</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1086"/>
        <w:jc w:val="left"/>
        <w:rPr>
          <w:b w:val="0"/>
          <w:bCs w:val="0"/>
        </w:rPr>
      </w:pPr>
      <w:bookmarkStart w:name="32、短期借款" w:id="327"/>
      <w:bookmarkEnd w:id="327"/>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短期借款分类" w:id="328"/>
      <w:bookmarkEnd w:id="32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320,931,558.95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315,245,800.00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福费廷融资</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129,000,000.00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保证借款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90,747,771.73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107,780,113.80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保理借款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15,000,000.00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2034" w:right="0"/>
              <w:jc w:val="left"/>
              <w:rPr>
                <w:rFonts w:ascii="Times New Roman" w:hAnsi="Times New Roman" w:cs="Times New Roman" w:eastAsia="Times New Roman" w:hint="default"/>
                <w:sz w:val="18"/>
                <w:szCs w:val="18"/>
              </w:rPr>
            </w:pPr>
            <w:r>
              <w:rPr>
                <w:rFonts w:ascii="Times New Roman"/>
                <w:sz w:val="18"/>
              </w:rPr>
              <w:t>506,679,330.68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567,025,913.80</w:t>
            </w:r>
          </w:p>
        </w:tc>
      </w:tr>
    </w:tbl>
    <w:p>
      <w:pPr>
        <w:pStyle w:val="BodyText"/>
        <w:spacing w:line="240" w:lineRule="auto"/>
        <w:ind w:right="0"/>
        <w:jc w:val="both"/>
      </w:pPr>
      <w:r>
        <w:rPr/>
        <w:t>短期借款分类的说明：</w:t>
      </w:r>
    </w:p>
    <w:p>
      <w:pPr>
        <w:pStyle w:val="Heading6"/>
        <w:spacing w:line="261" w:lineRule="auto" w:before="90"/>
        <w:ind w:left="561" w:right="108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日）差异详见本财务报表附注三</w:t>
      </w: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)2</w:t>
      </w:r>
      <w:r>
        <w:rPr/>
        <w:t>之说明。</w:t>
      </w:r>
      <w:r>
        <w:rPr>
          <w:spacing w:val="-94"/>
        </w:rPr>
        <w:t>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月，本公司与宁波银行股份有限公司杭州分行签订《开立保函协议》，宁波银行股份</w:t>
      </w:r>
    </w:p>
    <w:p>
      <w:pPr>
        <w:pStyle w:val="Heading6"/>
        <w:spacing w:line="259" w:lineRule="auto" w:before="3"/>
        <w:ind w:right="1095"/>
        <w:jc w:val="both"/>
      </w:pPr>
      <w:r>
        <w:rPr>
          <w:spacing w:val="-4"/>
        </w:rPr>
        <w:t>有限公司杭州分行为本公司提供保函，本公司向凯基商业银行股份有限公司取得</w:t>
      </w:r>
      <w:r>
        <w:rPr>
          <w:rFonts w:ascii="Times New Roman" w:hAnsi="Times New Roman" w:cs="Times New Roman" w:eastAsia="Times New Roman" w:hint="default"/>
          <w:spacing w:val="-4"/>
        </w:rPr>
        <w:t>582.60</w:t>
      </w:r>
      <w:r>
        <w:rPr>
          <w:spacing w:val="-4"/>
        </w:rPr>
        <w:t>万欧元的借款，</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5</w:t>
      </w:r>
      <w:r>
        <w:rPr/>
        <w:t>月，该笔借款获得银行展期。截至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45,533,103.00</w:t>
      </w:r>
      <w:r>
        <w:rPr/>
        <w:t>元，期末利息为</w:t>
      </w:r>
      <w:r>
        <w:rPr>
          <w:rFonts w:ascii="Times New Roman" w:hAnsi="Times New Roman" w:cs="Times New Roman" w:eastAsia="Times New Roman" w:hint="default"/>
        </w:rPr>
        <w:t>349,087.12</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元。</w:t>
      </w:r>
    </w:p>
    <w:p>
      <w:pPr>
        <w:pStyle w:val="Heading6"/>
        <w:spacing w:line="259" w:lineRule="auto" w:before="9"/>
        <w:ind w:right="1020" w:firstLine="42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月，本公司与宁波银行股份有限公司杭州分行签订《开立保函协议》，宁波银行股份有限公 </w:t>
      </w:r>
      <w:r>
        <w:rPr>
          <w:spacing w:val="-1"/>
        </w:rPr>
        <w:t>司杭州分行为本公司提供保函，本公司向凯基商业银行股份有限公司取得</w:t>
      </w:r>
      <w:r>
        <w:rPr>
          <w:rFonts w:ascii="Times New Roman" w:hAnsi="Times New Roman" w:cs="Times New Roman" w:eastAsia="Times New Roman" w:hint="default"/>
          <w:spacing w:val="-1"/>
        </w:rPr>
        <w:t>642</w:t>
      </w:r>
      <w:r>
        <w:rPr>
          <w:spacing w:val="-1"/>
        </w:rPr>
        <w:t>万美元的借款，</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spacing w:val="-93"/>
        </w:rPr>
        <w:t> </w:t>
      </w:r>
      <w:r>
        <w:rPr/>
        <w:t>该笔借款获得银行展期。截至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44,787,204.00</w:t>
      </w:r>
      <w:r>
        <w:rPr/>
        <w:t>元，期末利息为</w:t>
      </w:r>
      <w:r>
        <w:rPr>
          <w:rFonts w:ascii="Times New Roman" w:hAnsi="Times New Roman" w:cs="Times New Roman" w:eastAsia="Times New Roman" w:hint="default"/>
        </w:rPr>
        <w:t>78,377.61</w:t>
      </w:r>
      <w:r>
        <w:rPr/>
        <w:t>元。</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6"/>
          <w:szCs w:val="26"/>
        </w:rPr>
      </w:pPr>
    </w:p>
    <w:p>
      <w:pPr>
        <w:pStyle w:val="Heading5"/>
        <w:spacing w:line="240" w:lineRule="auto"/>
        <w:ind w:right="0"/>
        <w:jc w:val="both"/>
        <w:rPr>
          <w:b w:val="0"/>
          <w:bCs w:val="0"/>
        </w:rPr>
      </w:pPr>
      <w:bookmarkStart w:name="（2）已逾期未偿还的短期借款情况" w:id="329"/>
      <w:bookmarkEnd w:id="32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both"/>
      </w:pPr>
      <w:r>
        <w:rPr/>
        <w:t>本期末已逾期未偿还的短期借款总额为元，其中重要的已逾期未偿还的短期借款情况如下：</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3、交易性金融负债" w:id="330"/>
      <w:bookmarkEnd w:id="330"/>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99"/>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 期损益的金融负债</w:t>
            </w:r>
          </w:p>
        </w:tc>
        <w:tc>
          <w:tcPr>
            <w:tcW w:w="3192"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4,293,047.58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87"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4,293,047.58</w:t>
            </w:r>
          </w:p>
        </w:tc>
      </w:tr>
    </w:tbl>
    <w:p>
      <w:pPr>
        <w:pStyle w:val="BodyText"/>
        <w:spacing w:line="240" w:lineRule="auto" w:before="45"/>
        <w:ind w:right="0"/>
        <w:jc w:val="both"/>
      </w:pPr>
      <w:r>
        <w:rPr/>
        <w:t>其他说明：</w:t>
      </w:r>
    </w:p>
    <w:p>
      <w:pPr>
        <w:pStyle w:val="Heading6"/>
        <w:spacing w:line="259" w:lineRule="auto" w:before="89"/>
        <w:ind w:left="561"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：期初数与上年年末数（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日）差异详见本财务报表附注三</w:t>
      </w:r>
      <w:r>
        <w:rPr>
          <w:rFonts w:ascii="Times New Roman" w:hAnsi="Times New Roman" w:cs="Times New Roman" w:eastAsia="Times New Roman" w:hint="default"/>
        </w:rPr>
        <w:t>(</w:t>
      </w:r>
      <w:r>
        <w:rPr/>
        <w:t>二十六</w:t>
      </w:r>
      <w:r>
        <w:rPr>
          <w:rFonts w:ascii="Times New Roman" w:hAnsi="Times New Roman" w:cs="Times New Roman" w:eastAsia="Times New Roman" w:hint="default"/>
        </w:rPr>
        <w:t>)2</w:t>
      </w:r>
      <w:r>
        <w:rPr/>
        <w:t>之说明。</w:t>
      </w:r>
      <w:r>
        <w:rPr>
          <w:spacing w:val="-93"/>
        </w:rPr>
        <w:t> </w:t>
      </w:r>
      <w:r>
        <w:rPr/>
        <w:t>根据本公司与杭州华洁医疗科技有限公司、李明华、郝江签订的《增资协议之补充协议》，在对杭州</w:t>
      </w:r>
    </w:p>
    <w:p>
      <w:pPr>
        <w:pStyle w:val="Heading6"/>
        <w:spacing w:line="259" w:lineRule="auto" w:before="23"/>
        <w:ind w:right="1104"/>
        <w:jc w:val="both"/>
      </w:pPr>
      <w:r>
        <w:rPr>
          <w:spacing w:val="-1"/>
        </w:rPr>
        <w:t>华洁医疗科技有限公司增资完成后，杭州华洁医疗科技有限公司将投入一至两条自动化洗涤设备，如杭州</w:t>
      </w:r>
      <w:r>
        <w:rPr>
          <w:spacing w:val="-91"/>
        </w:rPr>
        <w:t> </w:t>
      </w:r>
      <w:r>
        <w:rPr>
          <w:spacing w:val="-91"/>
        </w:rPr>
      </w:r>
      <w:r>
        <w:rPr/>
        <w:t>华洁医疗科技有限公司在第一条自动化洗涤设备投产后第</w:t>
      </w:r>
      <w:r>
        <w:rPr>
          <w:rFonts w:ascii="Times New Roman" w:hAnsi="Times New Roman" w:cs="Times New Roman" w:eastAsia="Times New Roman" w:hint="default"/>
        </w:rPr>
        <w:t>11-12</w:t>
      </w:r>
      <w:r>
        <w:rPr/>
        <w:t>月月均营业收入达到</w:t>
      </w:r>
      <w:r>
        <w:rPr>
          <w:rFonts w:ascii="Times New Roman" w:hAnsi="Times New Roman" w:cs="Times New Roman" w:eastAsia="Times New Roman" w:hint="default"/>
        </w:rPr>
        <w:t>125</w:t>
      </w:r>
      <w:r>
        <w:rPr/>
        <w:t>万元人民币，则本 </w:t>
      </w:r>
      <w:r>
        <w:rPr>
          <w:spacing w:val="-2"/>
        </w:rPr>
        <w:t>公司同意将本次增资后杭州华洁医疗科技有限公司</w:t>
      </w:r>
      <w:r>
        <w:rPr>
          <w:rFonts w:ascii="Times New Roman" w:hAnsi="Times New Roman" w:cs="Times New Roman" w:eastAsia="Times New Roman" w:hint="default"/>
          <w:spacing w:val="-2"/>
        </w:rPr>
        <w:t>5%</w:t>
      </w:r>
      <w:r>
        <w:rPr>
          <w:spacing w:val="-2"/>
        </w:rPr>
        <w:t>的股权无偿转让给郝江；如杭州华洁医疗科技有限公</w:t>
      </w:r>
      <w:r>
        <w:rPr>
          <w:spacing w:val="-101"/>
        </w:rPr>
        <w:t> </w:t>
      </w:r>
      <w:r>
        <w:rPr>
          <w:spacing w:val="-101"/>
        </w:rPr>
      </w:r>
      <w:r>
        <w:rPr/>
        <w:t>司在第一条自动化洗涤设备投产后第</w:t>
      </w:r>
      <w:r>
        <w:rPr>
          <w:rFonts w:ascii="Times New Roman" w:hAnsi="Times New Roman" w:cs="Times New Roman" w:eastAsia="Times New Roman" w:hint="default"/>
        </w:rPr>
        <w:t>11-12</w:t>
      </w:r>
      <w:r>
        <w:rPr/>
        <w:t>月月均营业收入达到</w:t>
      </w:r>
      <w:r>
        <w:rPr>
          <w:rFonts w:ascii="Times New Roman" w:hAnsi="Times New Roman" w:cs="Times New Roman" w:eastAsia="Times New Roman" w:hint="default"/>
        </w:rPr>
        <w:t>180</w:t>
      </w:r>
      <w:r>
        <w:rPr/>
        <w:t>万元人民币，则本公司同意将本次增资 后杭州华洁医疗科技有限公司</w:t>
      </w:r>
      <w:r>
        <w:rPr>
          <w:rFonts w:ascii="Times New Roman" w:hAnsi="Times New Roman" w:cs="Times New Roman" w:eastAsia="Times New Roman" w:hint="default"/>
        </w:rPr>
        <w:t>10%</w:t>
      </w:r>
      <w:r>
        <w:rPr/>
        <w:t>的股权无偿转让给郝江；如杭州华洁医疗科技有限公司在第一条自动化 洗涤设备投产后第</w:t>
      </w:r>
      <w:r>
        <w:rPr>
          <w:rFonts w:ascii="Times New Roman" w:hAnsi="Times New Roman" w:cs="Times New Roman" w:eastAsia="Times New Roman" w:hint="default"/>
        </w:rPr>
        <w:t>23-24</w:t>
      </w:r>
      <w:r>
        <w:rPr/>
        <w:t>月月均营业收入达到</w:t>
      </w:r>
      <w:r>
        <w:rPr>
          <w:rFonts w:ascii="Times New Roman" w:hAnsi="Times New Roman" w:cs="Times New Roman" w:eastAsia="Times New Roman" w:hint="default"/>
        </w:rPr>
        <w:t>250</w:t>
      </w:r>
      <w:r>
        <w:rPr/>
        <w:t>万元人民币，则本公司同意将本次增资后杭州华洁医疗科 技有限公司</w:t>
      </w:r>
      <w:r>
        <w:rPr>
          <w:rFonts w:ascii="Times New Roman" w:hAnsi="Times New Roman" w:cs="Times New Roman" w:eastAsia="Times New Roman" w:hint="default"/>
        </w:rPr>
        <w:t>15%</w:t>
      </w:r>
      <w:r>
        <w:rPr/>
        <w:t>（包含前述股权的累计比例）的股权无偿转让给郝江；如杭州华洁医疗科技有限公司在第</w:t>
      </w:r>
      <w:r>
        <w:rPr>
          <w:spacing w:val="-102"/>
        </w:rPr>
        <w:t> </w:t>
      </w:r>
      <w:r>
        <w:rPr>
          <w:spacing w:val="-2"/>
        </w:rPr>
        <w:t>一条自动化洗涤设备投产后第</w:t>
      </w:r>
      <w:r>
        <w:rPr>
          <w:rFonts w:ascii="Times New Roman" w:hAnsi="Times New Roman" w:cs="Times New Roman" w:eastAsia="Times New Roman" w:hint="default"/>
          <w:spacing w:val="-2"/>
        </w:rPr>
        <w:t>23-24</w:t>
      </w:r>
      <w:r>
        <w:rPr>
          <w:spacing w:val="-2"/>
        </w:rPr>
        <w:t>月月均营业收入超过</w:t>
      </w:r>
      <w:r>
        <w:rPr>
          <w:rFonts w:ascii="Times New Roman" w:hAnsi="Times New Roman" w:cs="Times New Roman" w:eastAsia="Times New Roman" w:hint="default"/>
          <w:spacing w:val="-2"/>
        </w:rPr>
        <w:t>180</w:t>
      </w:r>
      <w:r>
        <w:rPr>
          <w:spacing w:val="-2"/>
        </w:rPr>
        <w:t>万元但未达到</w:t>
      </w:r>
      <w:r>
        <w:rPr>
          <w:rFonts w:ascii="Times New Roman" w:hAnsi="Times New Roman" w:cs="Times New Roman" w:eastAsia="Times New Roman" w:hint="default"/>
          <w:spacing w:val="-2"/>
        </w:rPr>
        <w:t>250</w:t>
      </w:r>
      <w:r>
        <w:rPr>
          <w:spacing w:val="-2"/>
        </w:rPr>
        <w:t>万，按比例折算本公司累计需</w:t>
      </w:r>
      <w:r>
        <w:rPr>
          <w:spacing w:val="-92"/>
        </w:rPr>
        <w:t> </w:t>
      </w:r>
      <w:r>
        <w:rPr>
          <w:spacing w:val="-92"/>
        </w:rPr>
      </w:r>
      <w:r>
        <w:rPr/>
        <w:t>无偿转让给郝江的股权数量。本期，杭州华洁医疗科技有限公司营业收入达到</w:t>
      </w:r>
      <w:r>
        <w:rPr>
          <w:rFonts w:ascii="Times New Roman" w:hAnsi="Times New Roman" w:cs="Times New Roman" w:eastAsia="Times New Roman" w:hint="default"/>
        </w:rPr>
        <w:t>250</w:t>
      </w:r>
      <w:r>
        <w:rPr/>
        <w:t>万元，因而，本公司将</w:t>
      </w:r>
    </w:p>
    <w:p>
      <w:pPr>
        <w:spacing w:after="0" w:line="259"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40" w:lineRule="auto" w:before="35"/>
        <w:ind w:right="1086"/>
        <w:jc w:val="left"/>
      </w:pPr>
      <w:r>
        <w:rPr>
          <w:rFonts w:ascii="Times New Roman" w:hAnsi="Times New Roman" w:cs="Times New Roman" w:eastAsia="Times New Roman" w:hint="default"/>
        </w:rPr>
        <w:t>15%</w:t>
      </w:r>
      <w:r>
        <w:rPr/>
        <w:t>股权无偿转让给郝江。</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8"/>
          <w:szCs w:val="28"/>
        </w:rPr>
      </w:pPr>
    </w:p>
    <w:p>
      <w:pPr>
        <w:pStyle w:val="Heading5"/>
        <w:spacing w:line="240" w:lineRule="auto"/>
        <w:ind w:right="1086"/>
        <w:jc w:val="left"/>
        <w:rPr>
          <w:b w:val="0"/>
          <w:bCs w:val="0"/>
        </w:rPr>
      </w:pPr>
      <w:bookmarkStart w:name="34、衍生金融负债" w:id="331"/>
      <w:bookmarkEnd w:id="331"/>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35、应付票据" w:id="332"/>
      <w:bookmarkEnd w:id="332"/>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种类</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36,279,069.18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22,396,727.46</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36,279,069.18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22,396,727.46</w:t>
            </w:r>
          </w:p>
        </w:tc>
      </w:tr>
    </w:tbl>
    <w:p>
      <w:pPr>
        <w:pStyle w:val="BodyText"/>
        <w:spacing w:line="240" w:lineRule="auto"/>
        <w:ind w:right="1086"/>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6、应付账款" w:id="333"/>
      <w:bookmarkEnd w:id="333"/>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应付账款列示" w:id="334"/>
      <w:bookmarkEnd w:id="33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170,131,767.69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127,076,919.97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长期资产购置款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8,005,482.71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4,483,863.94</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178,137,250.40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131,560,783.91</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账龄超过1年的重要应付账款" w:id="335"/>
      <w:bookmarkEnd w:id="335"/>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7、预收款项" w:id="336"/>
      <w:bookmarkEnd w:id="336"/>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是否已执行新收入准则</w:t>
      </w:r>
    </w:p>
    <w:p>
      <w:pPr>
        <w:pStyle w:val="BodyText"/>
        <w:spacing w:line="240" w:lineRule="auto" w:before="140"/>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1）预收款项列示" w:id="337"/>
      <w:bookmarkEnd w:id="33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after="0" w:line="240" w:lineRule="auto"/>
        <w:jc w:val="righ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15,592,437.97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15,305,449.37</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15,592,437.97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15,305,449.37</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账龄超过1年的重要预收款项" w:id="338"/>
      <w:bookmarkEnd w:id="338"/>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8、合同负债" w:id="339"/>
      <w:bookmarkEnd w:id="339"/>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1086"/>
        <w:jc w:val="left"/>
      </w:pPr>
      <w:r>
        <w:rPr/>
        <w:t>报告期内账面价值发生重大变动的金额和原因</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207"/>
        <w:gridCol w:w="2418"/>
        <w:gridCol w:w="4956"/>
      </w:tblGrid>
      <w:tr>
        <w:trPr>
          <w:trHeight w:val="406" w:hRule="exact"/>
        </w:trPr>
        <w:tc>
          <w:tcPr>
            <w:tcW w:w="2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9、应付职工薪酬" w:id="340"/>
      <w:bookmarkEnd w:id="340"/>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应付职工薪酬列示" w:id="341"/>
      <w:bookmarkEnd w:id="34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49,046,383.33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363,501,969.68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355,250,999.06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57,297,353.95</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735,363.96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15,830,526.15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15,339,953.47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1,225,936.64</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54,561.03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54,561.03</w:t>
            </w: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49,781,747.29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379,387,056.86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370,645,513.56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58,523,290.59</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短期薪酬列示" w:id="342"/>
      <w:bookmarkEnd w:id="34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47,300,429.99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327,561,458.70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319,849,462.60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55,012,426.09</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682,002.58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8,015,258.16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7,563,907.23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1,133,353.51</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500,379.32</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10,904,598.93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10,733,285.84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671,692.41</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443,660.83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9,613,128.92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9,483,160.96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573,628.79</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17,896.76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329,134.16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313,833.55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33,197.37</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38,821.73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962,335.85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936,291.33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64,866.25</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97,346.25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15,329,611.74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15,340,411.35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86,546.64</w:t>
            </w:r>
          </w:p>
        </w:tc>
      </w:tr>
      <w:tr>
        <w:trPr>
          <w:trHeight w:val="7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5"/>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466,225.19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1,691,042.15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1,763,932.04</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393,335.30</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49,046,383.33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363,501,969.68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355,250,999.06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57,297,353.95</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设定提存计划列示" w:id="343"/>
      <w:bookmarkEnd w:id="34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718,127.39</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15,245,968.58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14,785,000.77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1,179,095.20</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17,236.57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584,557.57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554,952.70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46,841.44</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735,363.96</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15,830,526.15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15,339,953.47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1,225,936.64</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1086"/>
        <w:jc w:val="left"/>
        <w:rPr>
          <w:b w:val="0"/>
          <w:bCs w:val="0"/>
        </w:rPr>
      </w:pPr>
      <w:bookmarkStart w:name="40、应交税费" w:id="344"/>
      <w:bookmarkEnd w:id="344"/>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77"/>
        <w:gridCol w:w="3199"/>
        <w:gridCol w:w="3199"/>
      </w:tblGrid>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54,744,833.94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49,741,333.41</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18,278,551.76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18,436,340.13</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881,767.53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595,628.06</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471,080.81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952,142.27</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467,404.30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266,512.78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479,734.05</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201,360.19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389,631.94</w:t>
            </w:r>
          </w:p>
        </w:tc>
      </w:tr>
      <w:tr>
        <w:trPr>
          <w:trHeight w:val="405"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134,546.92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268,245.47</w:t>
            </w:r>
          </w:p>
        </w:tc>
      </w:tr>
      <w:tr>
        <w:trPr>
          <w:trHeight w:val="406" w:hRule="exact"/>
        </w:trPr>
        <w:tc>
          <w:tcPr>
            <w:tcW w:w="31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48,242.61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82,090.68</w:t>
            </w:r>
          </w:p>
        </w:tc>
      </w:tr>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75,494,300.84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70,945,146.01</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1、其他应付款" w:id="345"/>
      <w:bookmarkEnd w:id="345"/>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32,644,780.71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22,328,366.32</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32,644,780.71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22,328,366.32</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1）应付利息" w:id="346"/>
      <w:bookmarkEnd w:id="346"/>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1086"/>
        <w:jc w:val="left"/>
      </w:pPr>
      <w:r>
        <w:rPr/>
        <w:t>重要的已逾期未支付的利息情况：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1086"/>
        <w:jc w:val="left"/>
        <w:rPr>
          <w:b w:val="0"/>
          <w:bCs w:val="0"/>
        </w:rPr>
      </w:pPr>
      <w:bookmarkStart w:name="（2）应付股利" w:id="347"/>
      <w:bookmarkEnd w:id="347"/>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9"/>
        <w:ind w:right="1086"/>
        <w:jc w:val="left"/>
      </w:pPr>
      <w:r>
        <w:rPr/>
        <w:t>其他说明，包括重要的超过</w:t>
      </w:r>
      <w:r>
        <w:rPr>
          <w:spacing w:val="-43"/>
        </w:rPr>
        <w:t> </w:t>
      </w:r>
      <w:r>
        <w:rPr>
          <w:rFonts w:ascii="Times New Roman" w:hAnsi="Times New Roman" w:cs="Times New Roman" w:eastAsia="Times New Roman" w:hint="default"/>
        </w:rPr>
        <w:t>1 </w:t>
      </w:r>
      <w:r>
        <w:rPr/>
        <w:t>年未支付的应付股利，应披露未支付原因：</w:t>
      </w:r>
    </w:p>
    <w:p>
      <w:pPr>
        <w:spacing w:line="240" w:lineRule="auto" w:before="6"/>
        <w:rPr>
          <w:rFonts w:ascii="宋体" w:hAnsi="宋体" w:cs="宋体" w:eastAsia="宋体" w:hint="default"/>
          <w:sz w:val="26"/>
          <w:szCs w:val="26"/>
        </w:rPr>
      </w:pPr>
    </w:p>
    <w:p>
      <w:pPr>
        <w:pStyle w:val="Heading5"/>
        <w:spacing w:line="508" w:lineRule="auto"/>
        <w:ind w:right="7903"/>
        <w:jc w:val="left"/>
        <w:rPr>
          <w:b w:val="0"/>
          <w:bCs w:val="0"/>
        </w:rPr>
      </w:pPr>
      <w:bookmarkStart w:name="（3）其他应付款" w:id="348"/>
      <w:bookmarkEnd w:id="348"/>
      <w:r>
        <w:rPr>
          <w:b w:val="0"/>
          <w:bCs w:val="0"/>
        </w:rPr>
      </w:r>
      <w:r>
        <w:rPr/>
        <w:t>（</w:t>
      </w:r>
      <w:r>
        <w:rPr>
          <w:rFonts w:ascii="Times New Roman" w:hAnsi="Times New Roman" w:cs="Times New Roman" w:eastAsia="Times New Roman" w:hint="default"/>
        </w:rPr>
        <w:t>3</w:t>
      </w:r>
      <w:r>
        <w:rPr/>
        <w:t>）其他应付款</w:t>
      </w:r>
      <w:r>
        <w:rPr>
          <w:w w:val="99"/>
        </w:rPr>
        <w:t> </w:t>
      </w:r>
      <w:bookmarkStart w:name="1）按款项性质列示其他应付款" w:id="349"/>
      <w:bookmarkEnd w:id="349"/>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5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1,768,113.62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1,757,694.29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3,952,608.56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9,395,869.08</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应付费用类</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18,060,915.86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1,845,384.31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8,863,142.67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9,329,418.64</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32,644,780.71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22,328,366.32</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账龄超过1年的重要其他应付款" w:id="350"/>
      <w:bookmarkEnd w:id="350"/>
      <w:r>
        <w:rPr>
          <w:b w:val="0"/>
          <w:bCs w:val="0"/>
        </w:rPr>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2、持有待售负债" w:id="351"/>
      <w:bookmarkEnd w:id="351"/>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1086"/>
        <w:jc w:val="left"/>
      </w:pPr>
      <w:r>
        <w:rPr/>
        <w:t>其他说明：</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43、一年内到期的非流动负债" w:id="352"/>
      <w:bookmarkEnd w:id="352"/>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108,034,456.07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96,063,769.80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108,034,456.07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96,063,769.80</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44、其他流动负债" w:id="353"/>
      <w:bookmarkEnd w:id="353"/>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50"/>
          <w:pgMar w:header="866" w:footer="981" w:top="1120" w:bottom="1180" w:left="1000" w:right="0"/>
        </w:sectPr>
      </w:pPr>
    </w:p>
    <w:p>
      <w:pPr>
        <w:pStyle w:val="BodyText"/>
        <w:spacing w:line="240" w:lineRule="auto"/>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1086"/>
        <w:jc w:val="left"/>
      </w:pPr>
      <w:r>
        <w:rPr/>
        <w:t>短期应付债券的增减变动：</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5、长期借款" w:id="354"/>
      <w:bookmarkEnd w:id="354"/>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长期借款分类" w:id="355"/>
      <w:bookmarkEnd w:id="355"/>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130,000,000.00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83,543,012.85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105,038,642.68</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80,105,555.56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268,687,211.09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130,000,000.00</w:t>
            </w:r>
          </w:p>
        </w:tc>
      </w:tr>
    </w:tbl>
    <w:p>
      <w:pPr>
        <w:pStyle w:val="BodyText"/>
        <w:spacing w:line="240" w:lineRule="auto"/>
        <w:ind w:right="1086"/>
        <w:jc w:val="left"/>
      </w:pPr>
      <w:r>
        <w:rPr/>
        <w:t>长期借款分类的说明：</w:t>
      </w:r>
    </w:p>
    <w:p>
      <w:pPr>
        <w:pStyle w:val="Heading6"/>
        <w:spacing w:line="256" w:lineRule="auto" w:before="90"/>
        <w:ind w:right="1084"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日，本公司与中国银行股份有限公司浙江省分行签订《质押合同》，将本公司持有医惠科 </w:t>
      </w:r>
      <w:r>
        <w:rPr>
          <w:spacing w:val="-2"/>
        </w:rPr>
        <w:t>技公司</w:t>
      </w:r>
      <w:r>
        <w:rPr>
          <w:rFonts w:ascii="Times New Roman" w:hAnsi="Times New Roman" w:cs="Times New Roman" w:eastAsia="Times New Roman" w:hint="default"/>
          <w:spacing w:val="-2"/>
        </w:rPr>
        <w:t>69.1417%</w:t>
      </w:r>
      <w:r>
        <w:rPr>
          <w:spacing w:val="-2"/>
        </w:rPr>
        <w:t>的股权质押，取得</w:t>
      </w:r>
      <w:r>
        <w:rPr>
          <w:rFonts w:ascii="Times New Roman" w:hAnsi="Times New Roman" w:cs="Times New Roman" w:eastAsia="Times New Roman" w:hint="default"/>
          <w:spacing w:val="-2"/>
        </w:rPr>
        <w:t>3</w:t>
      </w:r>
      <w:r>
        <w:rPr>
          <w:spacing w:val="-2"/>
        </w:rPr>
        <w:t>亿元并购借款，借款期限为</w:t>
      </w:r>
      <w:r>
        <w:rPr>
          <w:rFonts w:ascii="Times New Roman" w:hAnsi="Times New Roman" w:cs="Times New Roman" w:eastAsia="Times New Roman" w:hint="default"/>
          <w:spacing w:val="-2"/>
        </w:rPr>
        <w:t>5</w:t>
      </w:r>
      <w:r>
        <w:rPr>
          <w:spacing w:val="-2"/>
        </w:rPr>
        <w:t>年。截至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日借款余额为</w:t>
      </w:r>
      <w:r>
        <w:rPr>
          <w:rFonts w:ascii="Times New Roman" w:hAnsi="Times New Roman" w:cs="Times New Roman" w:eastAsia="Times New Roman" w:hint="default"/>
          <w:spacing w:val="-2"/>
        </w:rPr>
        <w:t>1,600</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spacing w:val="-1"/>
        </w:rPr>
        <w:t>万元，期末利息为</w:t>
      </w:r>
      <w:r>
        <w:rPr>
          <w:rFonts w:ascii="Times New Roman" w:hAnsi="Times New Roman" w:cs="Times New Roman" w:eastAsia="Times New Roman" w:hint="default"/>
          <w:spacing w:val="-1"/>
        </w:rPr>
        <w:t>21,111.11</w:t>
      </w:r>
      <w:r>
        <w:rPr>
          <w:spacing w:val="-1"/>
        </w:rPr>
        <w:t>元。期末将于</w:t>
      </w:r>
      <w:r>
        <w:rPr>
          <w:rFonts w:ascii="Times New Roman" w:hAnsi="Times New Roman" w:cs="Times New Roman" w:eastAsia="Times New Roman" w:hint="default"/>
          <w:spacing w:val="-1"/>
        </w:rPr>
        <w:t>2020</w:t>
      </w:r>
      <w:r>
        <w:rPr>
          <w:spacing w:val="-1"/>
        </w:rPr>
        <w:t>年度支付的长期借款</w:t>
      </w:r>
      <w:r>
        <w:rPr>
          <w:rFonts w:ascii="Times New Roman" w:hAnsi="Times New Roman" w:cs="Times New Roman" w:eastAsia="Times New Roman" w:hint="default"/>
          <w:spacing w:val="-1"/>
        </w:rPr>
        <w:t>1,600</w:t>
      </w:r>
      <w:r>
        <w:rPr>
          <w:spacing w:val="-1"/>
        </w:rPr>
        <w:t>万元及期末利息</w:t>
      </w:r>
      <w:r>
        <w:rPr>
          <w:rFonts w:ascii="Times New Roman" w:hAnsi="Times New Roman" w:cs="Times New Roman" w:eastAsia="Times New Roman" w:hint="default"/>
          <w:spacing w:val="-1"/>
        </w:rPr>
        <w:t>21,111.11</w:t>
      </w:r>
      <w:r>
        <w:rPr>
          <w:spacing w:val="-1"/>
        </w:rPr>
        <w:t>元列示于</w:t>
      </w:r>
      <w:r>
        <w:rPr/>
        <w:t> 一年内到期的非流动负债。</w:t>
      </w:r>
    </w:p>
    <w:p>
      <w:pPr>
        <w:pStyle w:val="Heading6"/>
        <w:spacing w:line="256" w:lineRule="auto" w:before="25"/>
        <w:ind w:right="1093"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26</w:t>
      </w:r>
      <w:r>
        <w:rPr/>
        <w:t>日，本公司与中国银行股份有限公司浙江省分行签订《质押合同》，将本公司持有医惠 </w:t>
      </w:r>
      <w:r>
        <w:rPr>
          <w:spacing w:val="-3"/>
        </w:rPr>
        <w:t>科技公司</w:t>
      </w:r>
      <w:r>
        <w:rPr>
          <w:rFonts w:ascii="Times New Roman" w:hAnsi="Times New Roman" w:cs="Times New Roman" w:eastAsia="Times New Roman" w:hint="default"/>
          <w:spacing w:val="-3"/>
        </w:rPr>
        <w:t>30.8583%</w:t>
      </w:r>
      <w:r>
        <w:rPr>
          <w:spacing w:val="-3"/>
        </w:rPr>
        <w:t>的股权质押，取得</w:t>
      </w:r>
      <w:r>
        <w:rPr>
          <w:rFonts w:ascii="Times New Roman" w:hAnsi="Times New Roman" w:cs="Times New Roman" w:eastAsia="Times New Roman" w:hint="default"/>
          <w:spacing w:val="-3"/>
        </w:rPr>
        <w:t>2</w:t>
      </w:r>
      <w:r>
        <w:rPr>
          <w:spacing w:val="-3"/>
        </w:rPr>
        <w:t>亿元并购借款</w:t>
      </w:r>
      <w:r>
        <w:rPr>
          <w:rFonts w:ascii="Times New Roman" w:hAnsi="Times New Roman" w:cs="Times New Roman" w:eastAsia="Times New Roman" w:hint="default"/>
          <w:spacing w:val="-3"/>
        </w:rPr>
        <w:t>,</w:t>
      </w:r>
      <w:r>
        <w:rPr>
          <w:spacing w:val="-3"/>
        </w:rPr>
        <w:t>借款期限为</w:t>
      </w:r>
      <w:r>
        <w:rPr>
          <w:rFonts w:ascii="Times New Roman" w:hAnsi="Times New Roman" w:cs="Times New Roman" w:eastAsia="Times New Roman" w:hint="default"/>
          <w:spacing w:val="-3"/>
        </w:rPr>
        <w:t>5</w:t>
      </w:r>
      <w:r>
        <w:rPr>
          <w:spacing w:val="-3"/>
        </w:rPr>
        <w:t>年。截至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日借款余额为</w:t>
      </w:r>
      <w:r>
        <w:rPr>
          <w:rFonts w:ascii="Times New Roman" w:hAnsi="Times New Roman" w:cs="Times New Roman" w:eastAsia="Times New Roman" w:hint="default"/>
          <w:spacing w:val="-3"/>
        </w:rPr>
        <w:t>7,600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spacing w:val="-1"/>
        </w:rPr>
        <w:t>万元，期末利息为</w:t>
      </w:r>
      <w:r>
        <w:rPr>
          <w:rFonts w:ascii="Times New Roman" w:hAnsi="Times New Roman" w:cs="Times New Roman" w:eastAsia="Times New Roman" w:hint="default"/>
          <w:spacing w:val="-1"/>
        </w:rPr>
        <w:t>100,277.78</w:t>
      </w:r>
      <w:r>
        <w:rPr>
          <w:spacing w:val="-1"/>
        </w:rPr>
        <w:t>元。期末将于</w:t>
      </w:r>
      <w:r>
        <w:rPr>
          <w:rFonts w:ascii="Times New Roman" w:hAnsi="Times New Roman" w:cs="Times New Roman" w:eastAsia="Times New Roman" w:hint="default"/>
          <w:spacing w:val="-1"/>
        </w:rPr>
        <w:t>2020</w:t>
      </w:r>
      <w:r>
        <w:rPr>
          <w:spacing w:val="-1"/>
        </w:rPr>
        <w:t>年度支付的长期借款</w:t>
      </w:r>
      <w:r>
        <w:rPr>
          <w:rFonts w:ascii="Times New Roman" w:hAnsi="Times New Roman" w:cs="Times New Roman" w:eastAsia="Times New Roman" w:hint="default"/>
          <w:spacing w:val="-1"/>
        </w:rPr>
        <w:t>7,600</w:t>
      </w:r>
      <w:r>
        <w:rPr>
          <w:spacing w:val="-1"/>
        </w:rPr>
        <w:t>万元及期末利息</w:t>
      </w:r>
      <w:r>
        <w:rPr>
          <w:rFonts w:ascii="Times New Roman" w:hAnsi="Times New Roman" w:cs="Times New Roman" w:eastAsia="Times New Roman" w:hint="default"/>
          <w:spacing w:val="-1"/>
        </w:rPr>
        <w:t>100,277.78</w:t>
      </w:r>
      <w:r>
        <w:rPr>
          <w:spacing w:val="-1"/>
        </w:rPr>
        <w:t>元列示</w:t>
      </w:r>
      <w:r>
        <w:rPr>
          <w:spacing w:val="-103"/>
        </w:rPr>
        <w:t> </w:t>
      </w:r>
      <w:r>
        <w:rPr/>
        <w:t>于一年内到期的非流动负债。</w:t>
      </w:r>
    </w:p>
    <w:p>
      <w:pPr>
        <w:spacing w:after="0" w:line="256" w:lineRule="auto"/>
        <w:jc w:val="both"/>
        <w:sectPr>
          <w:type w:val="continuous"/>
          <w:pgSz w:w="11910" w:h="16850"/>
          <w:pgMar w:top="1040" w:bottom="1180" w:left="1000" w:right="0"/>
        </w:sectPr>
      </w:pPr>
    </w:p>
    <w:p>
      <w:pPr>
        <w:spacing w:line="240" w:lineRule="auto" w:before="11"/>
        <w:rPr>
          <w:rFonts w:ascii="宋体" w:hAnsi="宋体" w:cs="宋体" w:eastAsia="宋体" w:hint="default"/>
          <w:sz w:val="19"/>
          <w:szCs w:val="19"/>
        </w:rPr>
      </w:pPr>
    </w:p>
    <w:p>
      <w:pPr>
        <w:pStyle w:val="Heading6"/>
        <w:spacing w:line="261" w:lineRule="auto" w:before="35"/>
        <w:ind w:right="1080" w:firstLine="420"/>
        <w:jc w:val="righ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日，本公司与中国工商银行股份有限公司杭州拱宸支行签订《开立融资类保函</w:t>
      </w:r>
      <w:r>
        <w:rPr>
          <w:rFonts w:ascii="Times New Roman" w:hAnsi="Times New Roman" w:cs="Times New Roman" w:eastAsia="Times New Roman" w:hint="default"/>
        </w:rPr>
        <w:t>/</w:t>
      </w:r>
      <w:r>
        <w:rPr/>
        <w:t>备用信用 证协议》，中国工商银行股份有限公司杭州拱宸支行为本公司提供担保，本公司向中国工商银行新加坡分 行取得</w:t>
      </w:r>
      <w:r>
        <w:rPr>
          <w:rFonts w:ascii="Times New Roman" w:hAnsi="Times New Roman" w:cs="Times New Roman" w:eastAsia="Times New Roman" w:hint="default"/>
        </w:rPr>
        <w:t>1,500.00</w:t>
      </w:r>
      <w:r>
        <w:rPr/>
        <w:t>万美元的借款。截至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10,464.30</w:t>
      </w:r>
      <w:r>
        <w:rPr/>
        <w:t>万元，期末利息为</w:t>
      </w:r>
      <w:r>
        <w:rPr>
          <w:rFonts w:ascii="Times New Roman" w:hAnsi="Times New Roman" w:cs="Times New Roman" w:eastAsia="Times New Roman" w:hint="default"/>
        </w:rPr>
        <w:t>395,642.68</w:t>
      </w:r>
      <w:r>
        <w:rPr/>
        <w:t>元。 </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21</w:t>
      </w:r>
      <w:r>
        <w:rPr>
          <w:spacing w:val="-1"/>
        </w:rPr>
        <w:t>日，子公司医惠科技公司与中国农业银行股份有限公司杭州滨江支行签订《最高额抵押合</w:t>
      </w:r>
      <w:r>
        <w:rPr/>
        <w:t> </w:t>
      </w:r>
      <w:r>
        <w:rPr>
          <w:spacing w:val="-2"/>
        </w:rPr>
        <w:t>同》，医惠科技公司将土地使用权</w:t>
      </w:r>
      <w:r>
        <w:rPr>
          <w:rFonts w:ascii="Times New Roman" w:hAnsi="Times New Roman" w:cs="Times New Roman" w:eastAsia="Times New Roman" w:hint="default"/>
          <w:spacing w:val="-2"/>
        </w:rPr>
        <w:t>(</w:t>
      </w:r>
      <w:r>
        <w:rPr>
          <w:spacing w:val="-2"/>
        </w:rPr>
        <w:t>浙〔</w:t>
      </w:r>
      <w:r>
        <w:rPr>
          <w:rFonts w:ascii="Times New Roman" w:hAnsi="Times New Roman" w:cs="Times New Roman" w:eastAsia="Times New Roman" w:hint="default"/>
          <w:spacing w:val="-2"/>
        </w:rPr>
        <w:t>2018</w:t>
      </w:r>
      <w:r>
        <w:rPr>
          <w:spacing w:val="-2"/>
        </w:rPr>
        <w:t>〕杭州市不动产权第</w:t>
      </w:r>
      <w:r>
        <w:rPr>
          <w:rFonts w:ascii="Times New Roman" w:hAnsi="Times New Roman" w:cs="Times New Roman" w:eastAsia="Times New Roman" w:hint="default"/>
          <w:spacing w:val="-2"/>
        </w:rPr>
        <w:t>0318835</w:t>
      </w:r>
      <w:r>
        <w:rPr>
          <w:spacing w:val="-2"/>
        </w:rPr>
        <w:t>号</w:t>
      </w:r>
      <w:r>
        <w:rPr>
          <w:rFonts w:ascii="Times New Roman" w:hAnsi="Times New Roman" w:cs="Times New Roman" w:eastAsia="Times New Roman" w:hint="default"/>
          <w:spacing w:val="-2"/>
        </w:rPr>
        <w:t>)</w:t>
      </w:r>
      <w:r>
        <w:rPr>
          <w:spacing w:val="-2"/>
        </w:rPr>
        <w:t>进行抵押，向中国农业银行股</w:t>
      </w:r>
      <w:r>
        <w:rPr/>
        <w:t> 份有限公司杭州滨江支行取得</w:t>
      </w:r>
      <w:r>
        <w:rPr>
          <w:rFonts w:ascii="Times New Roman" w:hAnsi="Times New Roman" w:cs="Times New Roman" w:eastAsia="Times New Roman" w:hint="default"/>
        </w:rPr>
        <w:t>10,946.80</w:t>
      </w:r>
      <w:r>
        <w:rPr/>
        <w:t>万元的借款。截至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日借款余额为</w:t>
      </w:r>
      <w:r>
        <w:rPr>
          <w:rFonts w:ascii="Times New Roman" w:hAnsi="Times New Roman" w:cs="Times New Roman" w:eastAsia="Times New Roman" w:hint="default"/>
        </w:rPr>
        <w:t>9,932.50</w:t>
      </w:r>
      <w:r>
        <w:rPr/>
        <w:t>万元，期末 </w:t>
      </w:r>
      <w:r>
        <w:rPr>
          <w:spacing w:val="9"/>
        </w:rPr>
        <w:t>利息为</w:t>
      </w:r>
      <w:r>
        <w:rPr>
          <w:rFonts w:ascii="Times New Roman" w:hAnsi="Times New Roman" w:cs="Times New Roman" w:eastAsia="Times New Roman" w:hint="default"/>
          <w:spacing w:val="9"/>
        </w:rPr>
        <w:t>131,080.03</w:t>
      </w:r>
      <w:r>
        <w:rPr>
          <w:spacing w:val="9"/>
        </w:rPr>
        <w:t>元。期末将按借款合同</w:t>
      </w:r>
      <w:r>
        <w:rPr>
          <w:spacing w:val="-70"/>
        </w:rPr>
        <w:t> </w:t>
      </w:r>
      <w:r>
        <w:rPr>
          <w:spacing w:val="8"/>
        </w:rPr>
        <w:t>约定需在</w:t>
      </w:r>
      <w:r>
        <w:rPr>
          <w:rFonts w:ascii="Times New Roman" w:hAnsi="Times New Roman" w:cs="Times New Roman" w:eastAsia="Times New Roman" w:hint="default"/>
          <w:spacing w:val="8"/>
        </w:rPr>
        <w:t>2020</w:t>
      </w:r>
      <w:r>
        <w:rPr>
          <w:spacing w:val="8"/>
        </w:rPr>
        <w:t>年</w:t>
      </w:r>
      <w:r>
        <w:rPr>
          <w:spacing w:val="-70"/>
        </w:rPr>
        <w:t> </w:t>
      </w:r>
      <w:r>
        <w:rPr>
          <w:spacing w:val="12"/>
        </w:rPr>
        <w:t>度支付的长期</w:t>
      </w:r>
      <w:r>
        <w:rPr>
          <w:spacing w:val="-70"/>
        </w:rPr>
        <w:t> </w:t>
      </w:r>
      <w:r>
        <w:rPr>
          <w:spacing w:val="9"/>
        </w:rPr>
        <w:t>借款</w:t>
      </w:r>
      <w:r>
        <w:rPr>
          <w:rFonts w:ascii="Times New Roman" w:hAnsi="Times New Roman" w:cs="Times New Roman" w:eastAsia="Times New Roman" w:hint="default"/>
          <w:spacing w:val="9"/>
        </w:rPr>
        <w:t>1,589.00</w:t>
      </w:r>
      <w:r>
        <w:rPr>
          <w:spacing w:val="9"/>
        </w:rPr>
        <w:t>万元及期末利息</w:t>
      </w:r>
      <w:r>
        <w:rPr/>
      </w:r>
    </w:p>
    <w:p>
      <w:pPr>
        <w:pStyle w:val="Heading6"/>
        <w:spacing w:line="240" w:lineRule="auto" w:before="3"/>
        <w:ind w:right="1086"/>
        <w:jc w:val="left"/>
      </w:pPr>
      <w:r>
        <w:rPr>
          <w:rFonts w:ascii="Times New Roman" w:hAnsi="Times New Roman" w:cs="Times New Roman" w:eastAsia="Times New Roman" w:hint="default"/>
        </w:rPr>
        <w:t>23,067.18</w:t>
      </w:r>
      <w:r>
        <w:rPr/>
        <w:t>元列示于一年内到期的非流动负债。</w:t>
      </w:r>
    </w:p>
    <w:p>
      <w:pPr>
        <w:spacing w:line="240" w:lineRule="auto" w:before="10"/>
        <w:rPr>
          <w:rFonts w:ascii="宋体" w:hAnsi="宋体" w:cs="宋体" w:eastAsia="宋体" w:hint="default"/>
          <w:sz w:val="29"/>
          <w:szCs w:val="29"/>
        </w:rPr>
      </w:pPr>
    </w:p>
    <w:p>
      <w:pPr>
        <w:pStyle w:val="BodyText"/>
        <w:spacing w:line="240" w:lineRule="auto" w:before="0"/>
        <w:ind w:right="1086"/>
        <w:jc w:val="left"/>
      </w:pPr>
      <w:r>
        <w:rPr/>
        <w:t>其他说明，包括利率区间：</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6、应付债券" w:id="356"/>
      <w:bookmarkEnd w:id="356"/>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应付债券" w:id="357"/>
      <w:bookmarkEnd w:id="357"/>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应付债券的增减变动（不包括划分为金融负债的优先股、永续债等其他金融工具）" w:id="358"/>
      <w:bookmarkEnd w:id="358"/>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811"/>
        <w:gridCol w:w="796"/>
        <w:gridCol w:w="796"/>
        <w:gridCol w:w="796"/>
        <w:gridCol w:w="796"/>
        <w:gridCol w:w="811"/>
        <w:gridCol w:w="796"/>
        <w:gridCol w:w="796"/>
        <w:gridCol w:w="796"/>
        <w:gridCol w:w="796"/>
      </w:tblGrid>
      <w:tr>
        <w:trPr>
          <w:trHeight w:val="158" w:hRule="exact"/>
        </w:trPr>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81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119" w:right="44"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5" w:right="43" w:hanging="271"/>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6" w:type="dxa"/>
            <w:vMerge w:val="restart"/>
            <w:tcBorders>
              <w:top w:val="single" w:sz="6" w:space="0" w:color="000000"/>
              <w:left w:val="single" w:sz="6" w:space="0" w:color="000000"/>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面值</w:t>
            </w:r>
          </w:p>
        </w:tc>
        <w:tc>
          <w:tcPr>
            <w:tcW w:w="8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811"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r>
      <w:tr>
        <w:trPr>
          <w:trHeight w:val="158"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81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12"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12"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可转换公司债券的转股条件、转股时间说明" w:id="359"/>
      <w:bookmarkEnd w:id="359"/>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4）划分为金融负债的其他金融工具说明" w:id="360"/>
      <w:bookmarkEnd w:id="360"/>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期末发行在外的优先股、永续债等其他金融工具基本情况</w:t>
      </w:r>
    </w:p>
    <w:p>
      <w:pPr>
        <w:pStyle w:val="BodyText"/>
        <w:spacing w:line="240" w:lineRule="auto" w:before="125"/>
        <w:ind w:right="1086"/>
        <w:jc w:val="left"/>
      </w:pPr>
      <w:r>
        <w:rPr/>
        <w:t>期末发行在外的优先股、永续债等金融工具变动情况表</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405"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391"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2" w:lineRule="auto"/>
        <w:ind w:right="7509"/>
        <w:jc w:val="left"/>
      </w:pPr>
      <w:r>
        <w:rPr/>
        <w:t>其他金融工具划分为金融负债的依据说明 其他说明</w:t>
      </w:r>
    </w:p>
    <w:p>
      <w:pPr>
        <w:spacing w:line="240" w:lineRule="auto" w:before="4"/>
        <w:rPr>
          <w:rFonts w:ascii="宋体" w:hAnsi="宋体" w:cs="宋体" w:eastAsia="宋体" w:hint="default"/>
          <w:sz w:val="23"/>
          <w:szCs w:val="23"/>
        </w:rPr>
      </w:pPr>
    </w:p>
    <w:p>
      <w:pPr>
        <w:pStyle w:val="Heading5"/>
        <w:spacing w:line="240" w:lineRule="auto"/>
        <w:ind w:right="1086"/>
        <w:jc w:val="left"/>
        <w:rPr>
          <w:b w:val="0"/>
          <w:bCs w:val="0"/>
        </w:rPr>
      </w:pPr>
      <w:bookmarkStart w:name="47、租赁负债" w:id="361"/>
      <w:bookmarkEnd w:id="361"/>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1"/>
        <w:jc w:val="right"/>
      </w:pPr>
      <w:r>
        <w:rPr/>
        <w:t>单位：</w:t>
      </w:r>
    </w:p>
    <w:p>
      <w:pPr>
        <w:spacing w:after="0" w:line="240" w:lineRule="auto"/>
        <w:jc w:val="righ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48、长期应付款" w:id="362"/>
      <w:bookmarkEnd w:id="362"/>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1）按款项性质列示长期应付款" w:id="363"/>
      <w:bookmarkEnd w:id="36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2）专项应付款" w:id="364"/>
      <w:bookmarkEnd w:id="364"/>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9、长期应付职工薪酬" w:id="365"/>
      <w:bookmarkEnd w:id="365"/>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长期应付职工薪酬表" w:id="366"/>
      <w:bookmarkEnd w:id="366"/>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设定受益计划变动情况" w:id="367"/>
      <w:bookmarkEnd w:id="367"/>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1086"/>
        <w:jc w:val="left"/>
      </w:pPr>
      <w:r>
        <w:rPr/>
        <w:t>设定受益计划义务现值：</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ind w:right="1086"/>
        <w:jc w:val="left"/>
      </w:pPr>
      <w:r>
        <w:rPr/>
        <w:t>计划资产：</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ind w:right="1086"/>
        <w:jc w:val="left"/>
      </w:pPr>
      <w:r>
        <w:rPr/>
        <w:t>设定受益计划净负债（净资产）</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7" w:lineRule="auto"/>
        <w:ind w:right="3549"/>
        <w:jc w:val="left"/>
      </w:pPr>
      <w:r>
        <w:rPr/>
        <w:t>设定受益计划的内容及与之相关风险、对公司未来现金流量、时间和不确定性的影响说明： 设定受益计划重大精算假设及敏感性分析结果说明：</w:t>
      </w:r>
    </w:p>
    <w:p>
      <w:pPr>
        <w:spacing w:after="0" w:line="367" w:lineRule="auto"/>
        <w:jc w:val="left"/>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50、预计负债" w:id="368"/>
      <w:bookmarkEnd w:id="36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6" w:footer="981" w:top="1120" w:bottom="1180" w:left="1000" w:right="0"/>
        </w:sectPr>
      </w:pPr>
    </w:p>
    <w:p>
      <w:pPr>
        <w:pStyle w:val="BodyText"/>
        <w:spacing w:line="240" w:lineRule="auto"/>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418,300.00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319,500.00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质量保证</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418,300.00</w:t>
            </w:r>
          </w:p>
        </w:tc>
        <w:tc>
          <w:tcPr>
            <w:tcW w:w="2388" w:type="dxa"/>
            <w:tcBorders>
              <w:top w:val="single" w:sz="6" w:space="0" w:color="000000"/>
              <w:left w:val="single" w:sz="6" w:space="0" w:color="000000"/>
              <w:bottom w:val="single" w:sz="6" w:space="0" w:color="000000"/>
              <w:right w:val="single" w:sz="18" w:space="0" w:color="D2D2D2"/>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319,500.00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1086"/>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51、递延收益" w:id="369"/>
      <w:bookmarkEnd w:id="36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77"/>
        <w:gridCol w:w="1615"/>
        <w:gridCol w:w="1592"/>
        <w:gridCol w:w="1592"/>
        <w:gridCol w:w="1592"/>
        <w:gridCol w:w="1607"/>
      </w:tblGrid>
      <w:tr>
        <w:trPr>
          <w:trHeight w:val="4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4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6"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1,126,984.00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1,126,984.00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1,126,984.00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1,126,984.00</w:t>
            </w:r>
          </w:p>
        </w:tc>
        <w:tc>
          <w:tcPr>
            <w:tcW w:w="1592" w:type="dxa"/>
            <w:tcBorders>
              <w:top w:val="single" w:sz="6" w:space="0" w:color="000000"/>
              <w:left w:val="single" w:sz="6" w:space="0" w:color="000000"/>
              <w:bottom w:val="single" w:sz="6" w:space="0" w:color="000000"/>
              <w:right w:val="single" w:sz="18" w:space="0" w:color="D2D2D2"/>
            </w:tcBorders>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1086"/>
        <w:jc w:val="left"/>
      </w:pPr>
      <w:r>
        <w:rPr/>
        <w:t>涉及政府补助的项目：</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06"/>
        <w:gridCol w:w="1262"/>
        <w:gridCol w:w="1006"/>
        <w:gridCol w:w="1006"/>
        <w:gridCol w:w="1021"/>
        <w:gridCol w:w="1007"/>
        <w:gridCol w:w="1006"/>
        <w:gridCol w:w="1262"/>
        <w:gridCol w:w="1006"/>
      </w:tblGrid>
      <w:tr>
        <w:trPr>
          <w:trHeight w:val="1021" w:hRule="exact"/>
        </w:trPr>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9" w:right="2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60" w:right="45"/>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45" w:right="44"/>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73" w:lineRule="auto"/>
              <w:ind w:left="45" w:right="24" w:hanging="3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6" w:hRule="exact"/>
        </w:trPr>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44"/>
              <w:ind w:left="15" w:right="73"/>
              <w:jc w:val="left"/>
              <w:rPr>
                <w:rFonts w:ascii="宋体" w:hAnsi="宋体" w:cs="宋体" w:eastAsia="宋体" w:hint="default"/>
                <w:sz w:val="18"/>
                <w:szCs w:val="18"/>
              </w:rPr>
            </w:pPr>
            <w:r>
              <w:rPr>
                <w:rFonts w:ascii="宋体" w:hAnsi="宋体" w:cs="宋体" w:eastAsia="宋体" w:hint="default"/>
                <w:sz w:val="18"/>
                <w:szCs w:val="18"/>
              </w:rPr>
              <w:t>医用超高频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标签</w:t>
            </w:r>
            <w:r>
              <w:rPr>
                <w:rFonts w:ascii="宋体" w:hAnsi="宋体" w:cs="宋体" w:eastAsia="宋体" w:hint="default"/>
                <w:spacing w:val="-88"/>
                <w:sz w:val="18"/>
                <w:szCs w:val="18"/>
              </w:rPr>
              <w:t> </w:t>
            </w:r>
            <w:r>
              <w:rPr>
                <w:rFonts w:ascii="宋体" w:hAnsi="宋体" w:cs="宋体" w:eastAsia="宋体" w:hint="default"/>
                <w:sz w:val="18"/>
                <w:szCs w:val="18"/>
              </w:rPr>
              <w:t>的研发及产 业化</w:t>
            </w:r>
          </w:p>
        </w:tc>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1,126,984.00</w:t>
            </w:r>
          </w:p>
        </w:tc>
        <w:tc>
          <w:tcPr>
            <w:tcW w:w="1006"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0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1,126,984.00</w:t>
            </w:r>
          </w:p>
        </w:tc>
        <w:tc>
          <w:tcPr>
            <w:tcW w:w="1007"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
        </w:tc>
        <w:tc>
          <w:tcPr>
            <w:tcW w:w="1262" w:type="dxa"/>
            <w:tcBorders>
              <w:top w:val="single" w:sz="6" w:space="0" w:color="000000"/>
              <w:left w:val="single" w:sz="6" w:space="0" w:color="000000"/>
              <w:bottom w:val="single" w:sz="6" w:space="0" w:color="000000"/>
              <w:right w:val="single" w:sz="6" w:space="0" w:color="000000"/>
            </w:tcBorders>
          </w:tcPr>
          <w:p>
            <w:pP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52、其他非流动负债" w:id="370"/>
      <w:bookmarkEnd w:id="37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是否已执行新收入准则</w:t>
      </w:r>
    </w:p>
    <w:p>
      <w:pPr>
        <w:pStyle w:val="BodyText"/>
        <w:spacing w:line="240" w:lineRule="auto" w:before="139"/>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1086"/>
        <w:jc w:val="left"/>
        <w:rPr>
          <w:b w:val="0"/>
          <w:bCs w:val="0"/>
        </w:rPr>
      </w:pPr>
      <w:bookmarkStart w:name="53、股本" w:id="371"/>
      <w:bookmarkEnd w:id="371"/>
      <w:r>
        <w:rPr>
          <w:b w:val="0"/>
          <w:bCs w:val="0"/>
        </w:rPr>
      </w:r>
      <w:r>
        <w:rPr>
          <w:rFonts w:ascii="Times New Roman" w:hAnsi="Times New Roman" w:cs="Times New Roman" w:eastAsia="Times New Roman" w:hint="default"/>
        </w:rPr>
        <w:t>53</w:t>
      </w:r>
      <w:r>
        <w:rPr/>
        <w:t>、股本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10"/>
        <w:jc w:val="right"/>
      </w:pPr>
      <w:r>
        <w:rPr/>
        <w:t>单位：元</w:t>
      </w:r>
    </w:p>
    <w:p>
      <w:pPr>
        <w:spacing w:after="0" w:line="240" w:lineRule="auto"/>
        <w:jc w:val="right"/>
        <w:sectPr>
          <w:type w:val="continuous"/>
          <w:pgSz w:w="11910" w:h="16850"/>
          <w:pgMar w:top="1040" w:bottom="1180" w:left="1000" w:right="0"/>
        </w:sectPr>
      </w:pPr>
    </w:p>
    <w:p>
      <w:pPr>
        <w:spacing w:line="240" w:lineRule="auto" w:before="2"/>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1194"/>
        <w:gridCol w:w="1194"/>
        <w:gridCol w:w="1194"/>
        <w:gridCol w:w="1202"/>
        <w:gridCol w:w="1201"/>
        <w:gridCol w:w="1186"/>
        <w:gridCol w:w="1194"/>
        <w:gridCol w:w="1209"/>
      </w:tblGrid>
      <w:tr>
        <w:trPr>
          <w:trHeight w:val="202"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5977"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77" w:type="dxa"/>
            <w:gridSpan w:val="5"/>
            <w:vMerge/>
            <w:tcBorders>
              <w:left w:val="single" w:sz="6" w:space="0" w:color="000000"/>
              <w:bottom w:val="single" w:sz="6" w:space="0" w:color="000000"/>
              <w:right w:val="single" w:sz="6" w:space="0" w:color="000000"/>
            </w:tcBorders>
            <w:shd w:val="clear" w:color="auto" w:fill="D2D2D2"/>
          </w:tcPr>
          <w:p>
            <w:pPr/>
          </w:p>
        </w:tc>
        <w:tc>
          <w:tcPr>
            <w:tcW w:w="120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8"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tcBorders>
              <w:left w:val="single" w:sz="6" w:space="0" w:color="000000"/>
              <w:bottom w:val="nil" w:sz="6" w:space="0" w:color="auto"/>
              <w:right w:val="single" w:sz="6" w:space="0" w:color="000000"/>
            </w:tcBorders>
            <w:shd w:val="clear" w:color="auto" w:fill="D2D2D2"/>
          </w:tcPr>
          <w:p>
            <w:pP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2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9" w:type="dxa"/>
            <w:vMerge/>
            <w:tcBorders>
              <w:left w:val="single" w:sz="6" w:space="0" w:color="000000"/>
              <w:bottom w:val="nil" w:sz="6" w:space="0" w:color="auto"/>
              <w:right w:val="single" w:sz="6" w:space="0" w:color="000000"/>
            </w:tcBorders>
            <w:shd w:val="clear" w:color="auto" w:fill="D2D2D2"/>
          </w:tcPr>
          <w:p>
            <w:pPr/>
          </w:p>
        </w:tc>
      </w:tr>
      <w:tr>
        <w:trPr>
          <w:trHeight w:val="217"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194" w:type="dxa"/>
            <w:vMerge/>
            <w:tcBorders>
              <w:left w:val="single" w:sz="6" w:space="0" w:color="000000"/>
              <w:bottom w:val="single" w:sz="6" w:space="0" w:color="000000"/>
              <w:right w:val="single" w:sz="6" w:space="0" w:color="000000"/>
            </w:tcBorders>
            <w:shd w:val="clear" w:color="auto" w:fill="D2D2D2"/>
          </w:tcPr>
          <w:p>
            <w:pPr/>
          </w:p>
        </w:tc>
        <w:tc>
          <w:tcPr>
            <w:tcW w:w="120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807,885,334.00</w:t>
            </w: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27" w:right="0"/>
              <w:jc w:val="left"/>
              <w:rPr>
                <w:rFonts w:ascii="Times New Roman" w:hAnsi="Times New Roman" w:cs="Times New Roman" w:eastAsia="Times New Roman" w:hint="default"/>
                <w:sz w:val="18"/>
                <w:szCs w:val="18"/>
              </w:rPr>
            </w:pPr>
            <w:r>
              <w:rPr>
                <w:rFonts w:ascii="Times New Roman"/>
                <w:sz w:val="18"/>
              </w:rPr>
              <w:t>51,390,132.00</w:t>
            </w: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35" w:right="0"/>
              <w:jc w:val="left"/>
              <w:rPr>
                <w:rFonts w:ascii="Times New Roman" w:hAnsi="Times New Roman" w:cs="Times New Roman" w:eastAsia="Times New Roman" w:hint="default"/>
                <w:sz w:val="18"/>
                <w:szCs w:val="18"/>
              </w:rPr>
            </w:pPr>
            <w:r>
              <w:rPr>
                <w:rFonts w:ascii="Times New Roman"/>
                <w:sz w:val="18"/>
              </w:rPr>
              <w:t>51,390,132.00</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 w:right="0"/>
              <w:jc w:val="left"/>
              <w:rPr>
                <w:rFonts w:ascii="Times New Roman" w:hAnsi="Times New Roman" w:cs="Times New Roman" w:eastAsia="Times New Roman" w:hint="default"/>
                <w:sz w:val="18"/>
                <w:szCs w:val="18"/>
              </w:rPr>
            </w:pPr>
            <w:r>
              <w:rPr>
                <w:rFonts w:ascii="Times New Roman"/>
                <w:sz w:val="18"/>
              </w:rPr>
              <w:t>859,275,466.00</w:t>
            </w:r>
          </w:p>
        </w:tc>
      </w:tr>
    </w:tbl>
    <w:p>
      <w:pPr>
        <w:pStyle w:val="BodyText"/>
        <w:spacing w:line="240" w:lineRule="auto"/>
        <w:ind w:right="1086"/>
        <w:jc w:val="left"/>
      </w:pPr>
      <w:r>
        <w:rPr/>
        <w:t>其他说明：</w:t>
      </w:r>
    </w:p>
    <w:p>
      <w:pPr>
        <w:pStyle w:val="Heading6"/>
        <w:spacing w:line="261" w:lineRule="auto" w:before="90"/>
        <w:ind w:right="1085" w:firstLine="420"/>
        <w:jc w:val="both"/>
      </w:pPr>
      <w:r>
        <w:rPr/>
        <w:t>经中国证券监督管理委员会《关于核准思创医惠科技股份有限公司非公开发行股票的批复》（证监许 </w:t>
      </w:r>
      <w:r>
        <w:rPr>
          <w:spacing w:val="-2"/>
        </w:rPr>
        <w:t>可</w:t>
      </w:r>
      <w:r>
        <w:rPr>
          <w:rFonts w:ascii="Times New Roman" w:hAnsi="Times New Roman" w:cs="Times New Roman" w:eastAsia="Times New Roman" w:hint="default"/>
          <w:spacing w:val="-2"/>
        </w:rPr>
        <w:t>[2019]1442</w:t>
      </w:r>
      <w:r>
        <w:rPr>
          <w:spacing w:val="-2"/>
        </w:rPr>
        <w:t>号）核准，公司获准非公开发行不超过</w:t>
      </w:r>
      <w:r>
        <w:rPr>
          <w:rFonts w:ascii="Times New Roman" w:hAnsi="Times New Roman" w:cs="Times New Roman" w:eastAsia="Times New Roman" w:hint="default"/>
          <w:spacing w:val="-2"/>
        </w:rPr>
        <w:t>161,577,000</w:t>
      </w:r>
      <w:r>
        <w:rPr>
          <w:spacing w:val="-2"/>
        </w:rPr>
        <w:t>股的人民币普通股（</w:t>
      </w:r>
      <w:r>
        <w:rPr>
          <w:rFonts w:ascii="Times New Roman" w:hAnsi="Times New Roman" w:cs="Times New Roman" w:eastAsia="Times New Roman" w:hint="default"/>
          <w:spacing w:val="-2"/>
        </w:rPr>
        <w:t>A</w:t>
      </w:r>
      <w:r>
        <w:rPr>
          <w:spacing w:val="-2"/>
        </w:rPr>
        <w:t>股）股票，由公司与</w:t>
      </w:r>
      <w:r>
        <w:rPr>
          <w:spacing w:val="-91"/>
        </w:rPr>
        <w:t> </w:t>
      </w:r>
      <w:r>
        <w:rPr>
          <w:spacing w:val="-91"/>
        </w:rPr>
      </w:r>
      <w:r>
        <w:rPr/>
        <w:t>主承销商财通证券股份有限公司共同确定向银华基金管理股份有限公司和红土创新基金管理有限公司等</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名特定对象非公开发行人民币普通股（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51,390,132</w:t>
      </w:r>
      <w:r>
        <w:rPr/>
        <w:t>股，每股面值</w:t>
      </w:r>
      <w:r>
        <w:rPr>
          <w:rFonts w:ascii="Times New Roman" w:hAnsi="Times New Roman" w:cs="Times New Roman" w:eastAsia="Times New Roman" w:hint="default"/>
        </w:rPr>
        <w:t>1</w:t>
      </w:r>
      <w:r>
        <w:rPr/>
        <w:t>元，发行价为每股人民币</w:t>
      </w:r>
      <w:r>
        <w:rPr>
          <w:rFonts w:ascii="Times New Roman" w:hAnsi="Times New Roman" w:cs="Times New Roman" w:eastAsia="Times New Roman" w:hint="default"/>
        </w:rPr>
        <w:t>11.15</w:t>
      </w:r>
      <w:r>
        <w:rPr/>
        <w:t>元， 募集资金总额</w:t>
      </w:r>
      <w:r>
        <w:rPr>
          <w:rFonts w:ascii="Times New Roman" w:hAnsi="Times New Roman" w:cs="Times New Roman" w:eastAsia="Times New Roman" w:hint="default"/>
        </w:rPr>
        <w:t>572,999,971.80</w:t>
      </w:r>
      <w:r>
        <w:rPr/>
        <w:t>元，减除发行费</w:t>
      </w:r>
      <w:r>
        <w:rPr>
          <w:rFonts w:ascii="Times New Roman" w:hAnsi="Times New Roman" w:cs="Times New Roman" w:eastAsia="Times New Roman" w:hint="default"/>
        </w:rPr>
        <w:t>7,597,169.53</w:t>
      </w:r>
      <w:r>
        <w:rPr/>
        <w:t>元后，募集资金净额</w:t>
      </w:r>
      <w:r>
        <w:rPr>
          <w:rFonts w:ascii="Times New Roman" w:hAnsi="Times New Roman" w:cs="Times New Roman" w:eastAsia="Times New Roman" w:hint="default"/>
        </w:rPr>
        <w:t>565,402,802.27</w:t>
      </w:r>
      <w:r>
        <w:rPr/>
        <w:t>元。其中，计</w:t>
      </w:r>
      <w:r>
        <w:rPr>
          <w:spacing w:val="-73"/>
        </w:rPr>
        <w:t> </w:t>
      </w:r>
      <w:r>
        <w:rPr/>
        <w:t>入股本</w:t>
      </w:r>
      <w:r>
        <w:rPr>
          <w:rFonts w:ascii="Times New Roman" w:hAnsi="Times New Roman" w:cs="Times New Roman" w:eastAsia="Times New Roman" w:hint="default"/>
        </w:rPr>
        <w:t>51,390,132.00</w:t>
      </w:r>
      <w:r>
        <w:rPr/>
        <w:t>元，计入资本公积（股本溢价）</w:t>
      </w:r>
      <w:r>
        <w:rPr>
          <w:rFonts w:ascii="Times New Roman" w:hAnsi="Times New Roman" w:cs="Times New Roman" w:eastAsia="Times New Roman" w:hint="default"/>
        </w:rPr>
        <w:t>514,012,670.27</w:t>
      </w:r>
      <w:r>
        <w:rPr/>
        <w:t>元。上述非公开发行新增股本事项业经 </w:t>
      </w:r>
      <w:r>
        <w:rPr>
          <w:spacing w:val="-1"/>
        </w:rPr>
        <w:t>天健会计师事务所</w:t>
      </w:r>
      <w:r>
        <w:rPr>
          <w:rFonts w:ascii="Times New Roman" w:hAnsi="Times New Roman" w:cs="Times New Roman" w:eastAsia="Times New Roman" w:hint="default"/>
          <w:spacing w:val="-1"/>
        </w:rPr>
        <w:t>(</w:t>
      </w:r>
      <w:r>
        <w:rPr>
          <w:spacing w:val="-1"/>
        </w:rPr>
        <w:t>特殊普通合伙</w:t>
      </w:r>
      <w:r>
        <w:rPr>
          <w:rFonts w:ascii="Times New Roman" w:hAnsi="Times New Roman" w:cs="Times New Roman" w:eastAsia="Times New Roman" w:hint="default"/>
          <w:spacing w:val="-1"/>
        </w:rPr>
        <w:t>)</w:t>
      </w:r>
      <w:r>
        <w:rPr>
          <w:spacing w:val="-1"/>
        </w:rPr>
        <w:t>审验，并由其出具了《验资报告》（天健验〔</w:t>
      </w:r>
      <w:r>
        <w:rPr>
          <w:rFonts w:ascii="Times New Roman" w:hAnsi="Times New Roman" w:cs="Times New Roman" w:eastAsia="Times New Roman" w:hint="default"/>
          <w:spacing w:val="-1"/>
        </w:rPr>
        <w:t>2019</w:t>
      </w:r>
      <w:r>
        <w:rPr>
          <w:spacing w:val="-1"/>
        </w:rPr>
        <w:t>〕</w:t>
      </w:r>
      <w:r>
        <w:rPr>
          <w:rFonts w:ascii="Times New Roman" w:hAnsi="Times New Roman" w:cs="Times New Roman" w:eastAsia="Times New Roman" w:hint="default"/>
          <w:spacing w:val="-1"/>
        </w:rPr>
        <w:t>381</w:t>
      </w:r>
      <w:r>
        <w:rPr>
          <w:spacing w:val="-1"/>
        </w:rPr>
        <w:t>号）。公司已于</w:t>
      </w:r>
      <w:r>
        <w:rPr>
          <w:spacing w:val="-99"/>
        </w:rPr>
        <w:t> </w:t>
      </w:r>
      <w:r>
        <w:rPr>
          <w:spacing w:val="-99"/>
        </w:rPr>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月办妥工商变更登记手续。</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5"/>
        <w:spacing w:line="240" w:lineRule="auto"/>
        <w:ind w:right="1086"/>
        <w:jc w:val="left"/>
        <w:rPr>
          <w:b w:val="0"/>
          <w:bCs w:val="0"/>
        </w:rPr>
      </w:pPr>
      <w:bookmarkStart w:name="54、其他权益工具" w:id="372"/>
      <w:bookmarkEnd w:id="37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期末发行在外的优先股、永续债等其他金融工具基本情况" w:id="373"/>
      <w:bookmarkEnd w:id="37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2）期末发行在外的优先股、永续债等金融工具变动情况表" w:id="374"/>
      <w:bookmarkEnd w:id="37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390"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4"/>
              <w:ind w:left="150" w:right="88"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期初</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6"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0" w:lineRule="auto" w:before="45"/>
        <w:ind w:right="4629"/>
        <w:jc w:val="left"/>
      </w:pPr>
      <w:r>
        <w:rPr/>
        <w:t>其他权益工具本期增减变动情况、变动原因说明，以及相关会计处理的依据：</w:t>
      </w:r>
      <w:r>
        <w:rPr>
          <w:spacing w:val="-86"/>
        </w:rPr>
        <w:t> </w:t>
      </w:r>
      <w:r>
        <w:rPr>
          <w:spacing w:val="-86"/>
        </w:rPr>
      </w:r>
      <w:r>
        <w:rPr/>
        <w:t>其他说明：</w:t>
      </w:r>
    </w:p>
    <w:p>
      <w:pPr>
        <w:spacing w:line="240" w:lineRule="auto" w:before="4"/>
        <w:rPr>
          <w:rFonts w:ascii="宋体" w:hAnsi="宋体" w:cs="宋体" w:eastAsia="宋体" w:hint="default"/>
          <w:sz w:val="22"/>
          <w:szCs w:val="22"/>
        </w:rPr>
      </w:pPr>
    </w:p>
    <w:p>
      <w:pPr>
        <w:pStyle w:val="Heading5"/>
        <w:spacing w:line="240" w:lineRule="auto"/>
        <w:ind w:right="1086"/>
        <w:jc w:val="left"/>
        <w:rPr>
          <w:b w:val="0"/>
          <w:bCs w:val="0"/>
        </w:rPr>
      </w:pPr>
      <w:bookmarkStart w:name="55、资本公积" w:id="375"/>
      <w:bookmarkEnd w:id="37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787,331,570.51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514,395,065.69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1,008,228.86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1,300,718,407.34</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12,970,585.27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3,396,267.65</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16,366,852.92</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800,302,155.78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517,791,333.34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1,008,228.86</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1,317,085,260.26</w:t>
            </w:r>
          </w:p>
        </w:tc>
      </w:tr>
    </w:tbl>
    <w:p>
      <w:pPr>
        <w:pStyle w:val="BodyText"/>
        <w:spacing w:line="240" w:lineRule="auto" w:before="45"/>
        <w:ind w:right="1086"/>
        <w:jc w:val="left"/>
      </w:pPr>
      <w:r>
        <w:rPr/>
        <w:t>其他说明，包括本期增减变动情况、变动原因说明：</w:t>
      </w:r>
    </w:p>
    <w:p>
      <w:pPr>
        <w:pStyle w:val="Heading6"/>
        <w:spacing w:line="259" w:lineRule="auto" w:before="90"/>
        <w:ind w:right="0" w:firstLine="420"/>
        <w:jc w:val="left"/>
      </w:pPr>
      <w:r>
        <w:rPr>
          <w:spacing w:val="-7"/>
        </w:rPr>
        <w:t>本期资本公积增加系：</w:t>
      </w:r>
      <w:r>
        <w:rPr>
          <w:rFonts w:ascii="Times New Roman" w:hAnsi="Times New Roman" w:cs="Times New Roman" w:eastAsia="Times New Roman" w:hint="default"/>
          <w:spacing w:val="-7"/>
        </w:rPr>
        <w:t>1)</w:t>
      </w:r>
      <w:r>
        <w:rPr>
          <w:rFonts w:ascii="Times New Roman" w:hAnsi="Times New Roman" w:cs="Times New Roman" w:eastAsia="Times New Roman" w:hint="default"/>
          <w:spacing w:val="21"/>
        </w:rPr>
        <w:t> </w:t>
      </w:r>
      <w:r>
        <w:rPr>
          <w:spacing w:val="-4"/>
        </w:rPr>
        <w:t>本期公司非公开发行股票溢价</w:t>
      </w:r>
      <w:r>
        <w:rPr>
          <w:rFonts w:ascii="Times New Roman" w:hAnsi="Times New Roman" w:cs="Times New Roman" w:eastAsia="Times New Roman" w:hint="default"/>
          <w:spacing w:val="-4"/>
        </w:rPr>
        <w:t>514,012,670.27</w:t>
      </w:r>
      <w:r>
        <w:rPr>
          <w:spacing w:val="-4"/>
        </w:rPr>
        <w:t>元，详见本财务报表附注五（一）</w:t>
      </w:r>
      <w:r>
        <w:rPr/>
        <w:t> </w:t>
      </w:r>
      <w:r>
        <w:rPr>
          <w:rFonts w:ascii="Times New Roman" w:hAnsi="Times New Roman" w:cs="Times New Roman" w:eastAsia="Times New Roman" w:hint="default"/>
        </w:rPr>
        <w:t>34</w:t>
      </w:r>
      <w:r>
        <w:rPr/>
        <w:t>股本之说明；</w:t>
      </w:r>
      <w:r>
        <w:rPr>
          <w:rFonts w:ascii="Times New Roman" w:hAnsi="Times New Roman" w:cs="Times New Roman" w:eastAsia="Times New Roman" w:hint="default"/>
        </w:rPr>
        <w:t>2)</w:t>
      </w:r>
      <w:r>
        <w:rPr/>
        <w:t>本期子公司广州理德物联网科技有限公司员工以低于授予日公允价值的价格取得广州理</w:t>
      </w:r>
      <w:r>
        <w:rPr>
          <w:spacing w:val="-101"/>
        </w:rPr>
        <w:t> </w:t>
      </w:r>
      <w:r>
        <w:rPr>
          <w:spacing w:val="4"/>
        </w:rPr>
        <w:t>德物联网科技有限公司</w:t>
      </w:r>
      <w:r>
        <w:rPr>
          <w:rFonts w:ascii="Times New Roman" w:hAnsi="Times New Roman" w:cs="Times New Roman" w:eastAsia="Times New Roman" w:hint="default"/>
          <w:spacing w:val="4"/>
        </w:rPr>
        <w:t>22%</w:t>
      </w:r>
      <w:r>
        <w:rPr>
          <w:spacing w:val="4"/>
        </w:rPr>
        <w:t>股权，按照实际出资价格低于授予日公允价值的差额部分确认股份支付费用</w:t>
      </w:r>
      <w:r>
        <w:rPr>
          <w:spacing w:val="-75"/>
        </w:rPr>
        <w:t> </w:t>
      </w:r>
      <w:r>
        <w:rPr>
          <w:spacing w:val="-75"/>
        </w:rPr>
      </w:r>
      <w:r>
        <w:rPr>
          <w:rFonts w:ascii="Times New Roman" w:hAnsi="Times New Roman" w:cs="Times New Roman" w:eastAsia="Times New Roman" w:hint="default"/>
        </w:rPr>
        <w:t>2,895,606.03</w:t>
      </w:r>
      <w:r>
        <w:rPr/>
        <w:t>元，本公司按</w:t>
      </w:r>
      <w:r>
        <w:rPr>
          <w:rFonts w:ascii="Times New Roman" w:hAnsi="Times New Roman" w:cs="Times New Roman" w:eastAsia="Times New Roman" w:hint="default"/>
        </w:rPr>
        <w:t>90%</w:t>
      </w:r>
      <w:r>
        <w:rPr/>
        <w:t>的持股比例确认股份支付费用</w:t>
      </w:r>
      <w:r>
        <w:rPr>
          <w:rFonts w:ascii="Times New Roman" w:hAnsi="Times New Roman" w:cs="Times New Roman" w:eastAsia="Times New Roman" w:hint="default"/>
        </w:rPr>
        <w:t>2,606,045.43</w:t>
      </w:r>
      <w:r>
        <w:rPr/>
        <w:t>元，并增加资本公积（其他资本公 </w:t>
      </w:r>
      <w:r>
        <w:rPr>
          <w:spacing w:val="-4"/>
        </w:rPr>
        <w:t>积）；</w:t>
      </w:r>
      <w:r>
        <w:rPr>
          <w:rFonts w:ascii="Times New Roman" w:hAnsi="Times New Roman" w:cs="Times New Roman" w:eastAsia="Times New Roman" w:hint="default"/>
          <w:spacing w:val="-4"/>
        </w:rPr>
        <w:t>3)</w:t>
      </w:r>
      <w:r>
        <w:rPr>
          <w:spacing w:val="-4"/>
        </w:rPr>
        <w:t>本期杭州琅玕科技有限公司员工以低于授予日公允价值的价格取得杭州琅玕科技有限公司</w:t>
      </w:r>
      <w:r>
        <w:rPr>
          <w:rFonts w:ascii="Times New Roman" w:hAnsi="Times New Roman" w:cs="Times New Roman" w:eastAsia="Times New Roman" w:hint="default"/>
          <w:spacing w:val="-4"/>
        </w:rPr>
        <w:t>5%</w:t>
      </w:r>
      <w:r>
        <w:rPr>
          <w:spacing w:val="-4"/>
        </w:rPr>
        <w:t>股权，</w:t>
      </w:r>
      <w:r>
        <w:rPr>
          <w:spacing w:val="-58"/>
        </w:rPr>
        <w:t> </w:t>
      </w:r>
      <w:r>
        <w:rPr/>
        <w:t>按照实际出资价格低于授予日公允价值的差额部分确认股份支付费用</w:t>
      </w:r>
      <w:r>
        <w:rPr>
          <w:rFonts w:ascii="Times New Roman" w:hAnsi="Times New Roman" w:cs="Times New Roman" w:eastAsia="Times New Roman" w:hint="default"/>
        </w:rPr>
        <w:t>1,519,658.12</w:t>
      </w:r>
      <w:r>
        <w:rPr/>
        <w:t>元</w:t>
      </w:r>
      <w:r>
        <w:rPr>
          <w:rFonts w:ascii="Times New Roman" w:hAnsi="Times New Roman" w:cs="Times New Roman" w:eastAsia="Times New Roman" w:hint="default"/>
        </w:rPr>
        <w:t>, </w:t>
      </w:r>
      <w:r>
        <w:rPr/>
        <w:t>本公司按</w:t>
      </w:r>
      <w:r>
        <w:rPr>
          <w:rFonts w:ascii="Times New Roman" w:hAnsi="Times New Roman" w:cs="Times New Roman" w:eastAsia="Times New Roman" w:hint="default"/>
        </w:rPr>
        <w:t>52%</w:t>
      </w:r>
      <w:r>
        <w:rPr/>
        <w:t>的持股</w:t>
      </w:r>
      <w:r>
        <w:rPr>
          <w:spacing w:val="-79"/>
        </w:rPr>
        <w:t> </w:t>
      </w:r>
      <w:r>
        <w:rPr/>
        <w:t>比例确认股份支付费用</w:t>
      </w:r>
      <w:r>
        <w:rPr>
          <w:rFonts w:ascii="Times New Roman" w:hAnsi="Times New Roman" w:cs="Times New Roman" w:eastAsia="Times New Roman" w:hint="default"/>
        </w:rPr>
        <w:t>790,222.22</w:t>
      </w:r>
      <w:r>
        <w:rPr/>
        <w:t>元，并增加资本公积（其他资本公积）；</w:t>
      </w: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本期子公司杭州认知投资管</w:t>
      </w:r>
    </w:p>
    <w:p>
      <w:pPr>
        <w:spacing w:after="0" w:line="259"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61" w:lineRule="auto" w:before="35"/>
        <w:ind w:right="0"/>
        <w:jc w:val="left"/>
      </w:pPr>
      <w:r>
        <w:rPr>
          <w:spacing w:val="-2"/>
        </w:rPr>
        <w:t>理有限公司将杭州沃森诊所有限公司</w:t>
      </w:r>
      <w:r>
        <w:rPr>
          <w:rFonts w:ascii="Times New Roman" w:hAnsi="Times New Roman" w:cs="Times New Roman" w:eastAsia="Times New Roman" w:hint="default"/>
          <w:spacing w:val="-2"/>
        </w:rPr>
        <w:t>20%</w:t>
      </w:r>
      <w:r>
        <w:rPr>
          <w:spacing w:val="-2"/>
        </w:rPr>
        <w:t>股权以</w:t>
      </w:r>
      <w:r>
        <w:rPr>
          <w:rFonts w:ascii="Times New Roman" w:hAnsi="Times New Roman" w:cs="Times New Roman" w:eastAsia="Times New Roman" w:hint="default"/>
          <w:spacing w:val="-2"/>
        </w:rPr>
        <w:t>0</w:t>
      </w:r>
      <w:r>
        <w:rPr>
          <w:spacing w:val="-2"/>
        </w:rPr>
        <w:t>元对价转让给华松鸳，按照转让价格与转让股权比例享有</w:t>
      </w:r>
      <w:r>
        <w:rPr>
          <w:spacing w:val="-98"/>
        </w:rPr>
        <w:t> </w:t>
      </w:r>
      <w:r>
        <w:rPr>
          <w:spacing w:val="-98"/>
        </w:rPr>
      </w:r>
      <w:r>
        <w:rPr>
          <w:spacing w:val="-1"/>
        </w:rPr>
        <w:t>该子公司自购买日开始持续计算的可辨认净资产份额之间的差额</w:t>
      </w:r>
      <w:r>
        <w:rPr>
          <w:rFonts w:ascii="Times New Roman" w:hAnsi="Times New Roman" w:cs="Times New Roman" w:eastAsia="Times New Roman" w:hint="default"/>
          <w:spacing w:val="-1"/>
        </w:rPr>
        <w:t>382,395.42</w:t>
      </w:r>
      <w:r>
        <w:rPr>
          <w:spacing w:val="-1"/>
        </w:rPr>
        <w:t>元计入资本公积（资本溢价）；</w:t>
      </w:r>
      <w:r>
        <w:rPr>
          <w:spacing w:val="-74"/>
        </w:rPr>
        <w:t> </w:t>
      </w:r>
      <w:r>
        <w:rPr>
          <w:spacing w:val="-74"/>
        </w:rPr>
      </w:r>
      <w:r>
        <w:rPr/>
        <w:t>本期资本公积减少系：</w:t>
      </w:r>
      <w:r>
        <w:rPr>
          <w:rFonts w:ascii="Times New Roman" w:hAnsi="Times New Roman" w:cs="Times New Roman" w:eastAsia="Times New Roman" w:hint="default"/>
        </w:rPr>
        <w:t>1) </w:t>
      </w:r>
      <w:r>
        <w:rPr/>
        <w:t>本期公司出资</w:t>
      </w:r>
      <w:r>
        <w:rPr>
          <w:rFonts w:ascii="Times New Roman" w:hAnsi="Times New Roman" w:cs="Times New Roman" w:eastAsia="Times New Roman" w:hint="default"/>
        </w:rPr>
        <w:t>400,000.00</w:t>
      </w:r>
      <w:r>
        <w:rPr/>
        <w:t>元收购子公司杭州认知投资管理有限公司</w:t>
      </w:r>
      <w:r>
        <w:rPr>
          <w:rFonts w:ascii="Times New Roman" w:hAnsi="Times New Roman" w:cs="Times New Roman" w:eastAsia="Times New Roman" w:hint="default"/>
        </w:rPr>
        <w:t>20%</w:t>
      </w:r>
      <w:r>
        <w:rPr/>
        <w:t>股权，新</w:t>
      </w:r>
      <w:r>
        <w:rPr>
          <w:spacing w:val="-71"/>
        </w:rPr>
        <w:t> </w:t>
      </w:r>
      <w:r>
        <w:rPr>
          <w:spacing w:val="4"/>
        </w:rPr>
        <w:t>增长期股权投资与按照新增持股比例享有该子公司自购买日开始持续计算的可辨认净资产份额之间的差</w:t>
      </w:r>
      <w:r>
        <w:rPr/>
        <w:t> 额</w:t>
      </w:r>
      <w:r>
        <w:rPr>
          <w:rFonts w:ascii="Times New Roman" w:hAnsi="Times New Roman" w:cs="Times New Roman" w:eastAsia="Times New Roman" w:hint="default"/>
        </w:rPr>
        <w:t>534,578.05</w:t>
      </w:r>
      <w:r>
        <w:rPr/>
        <w:t>元冲减资本公积（资本溢价）；</w:t>
      </w:r>
      <w:r>
        <w:rPr>
          <w:rFonts w:ascii="Times New Roman" w:hAnsi="Times New Roman" w:cs="Times New Roman" w:eastAsia="Times New Roman" w:hint="default"/>
        </w:rPr>
        <w:t>2)</w:t>
      </w:r>
      <w:r>
        <w:rPr>
          <w:rFonts w:ascii="Times New Roman" w:hAnsi="Times New Roman" w:cs="Times New Roman" w:eastAsia="Times New Roman" w:hint="default"/>
          <w:spacing w:val="47"/>
        </w:rPr>
        <w:t> </w:t>
      </w:r>
      <w:r>
        <w:rPr/>
        <w:t>本期子公司杭州中瑞思创物联科技有限公司将广州理德物</w:t>
      </w:r>
      <w:r>
        <w:rPr>
          <w:spacing w:val="-98"/>
        </w:rPr>
        <w:t> </w:t>
      </w:r>
      <w:r>
        <w:rPr>
          <w:spacing w:val="-2"/>
        </w:rPr>
        <w:t>联网科技有限公司</w:t>
      </w:r>
      <w:r>
        <w:rPr>
          <w:rFonts w:ascii="Times New Roman" w:hAnsi="Times New Roman" w:cs="Times New Roman" w:eastAsia="Times New Roman" w:hint="default"/>
          <w:spacing w:val="-2"/>
        </w:rPr>
        <w:t>22%</w:t>
      </w:r>
      <w:r>
        <w:rPr>
          <w:spacing w:val="-2"/>
        </w:rPr>
        <w:t>股权以</w:t>
      </w:r>
      <w:r>
        <w:rPr>
          <w:rFonts w:ascii="Times New Roman" w:hAnsi="Times New Roman" w:cs="Times New Roman" w:eastAsia="Times New Roman" w:hint="default"/>
          <w:spacing w:val="-2"/>
        </w:rPr>
        <w:t>110</w:t>
      </w:r>
      <w:r>
        <w:rPr>
          <w:spacing w:val="-2"/>
        </w:rPr>
        <w:t>万元对价转让员工，按照转让价格与转让股权比例享有该子公司自购买日</w:t>
      </w:r>
      <w:r>
        <w:rPr>
          <w:spacing w:val="-94"/>
        </w:rPr>
        <w:t> </w:t>
      </w:r>
      <w:r>
        <w:rPr>
          <w:spacing w:val="-94"/>
        </w:rPr>
      </w:r>
      <w:r>
        <w:rPr/>
        <w:t>开始持续计算的可辨认净资产份额之间的差额</w:t>
      </w:r>
      <w:r>
        <w:rPr>
          <w:rFonts w:ascii="Times New Roman" w:hAnsi="Times New Roman" w:cs="Times New Roman" w:eastAsia="Times New Roman" w:hint="default"/>
        </w:rPr>
        <w:t>473,650.81</w:t>
      </w:r>
      <w:r>
        <w:rPr/>
        <w:t>元冲减资本公积（资本溢价）。</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5"/>
        <w:spacing w:line="240" w:lineRule="auto"/>
        <w:ind w:right="1086"/>
        <w:jc w:val="left"/>
        <w:rPr>
          <w:b w:val="0"/>
          <w:bCs w:val="0"/>
        </w:rPr>
      </w:pPr>
      <w:bookmarkStart w:name="56、库存股" w:id="376"/>
      <w:bookmarkEnd w:id="37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ind w:right="1086"/>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57、其他综合收益" w:id="377"/>
      <w:bookmarkEnd w:id="37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546"/>
        <w:gridCol w:w="976"/>
        <w:gridCol w:w="856"/>
        <w:gridCol w:w="1051"/>
        <w:gridCol w:w="857"/>
        <w:gridCol w:w="856"/>
        <w:gridCol w:w="856"/>
        <w:gridCol w:w="841"/>
        <w:gridCol w:w="736"/>
      </w:tblGrid>
      <w:tr>
        <w:trPr>
          <w:trHeight w:val="398" w:hRule="exact"/>
        </w:trPr>
        <w:tc>
          <w:tcPr>
            <w:tcW w:w="2546" w:type="dxa"/>
            <w:vMerge w:val="restart"/>
            <w:tcBorders>
              <w:top w:val="single" w:sz="6" w:space="0" w:color="000000"/>
              <w:left w:val="single" w:sz="6" w:space="0" w:color="000000"/>
              <w:right w:val="single" w:sz="6" w:space="0" w:color="000000"/>
            </w:tcBorders>
            <w:shd w:val="clear" w:color="auto" w:fill="D2D2D2"/>
          </w:tcPr>
          <w:p>
            <w:pPr/>
          </w:p>
        </w:tc>
        <w:tc>
          <w:tcPr>
            <w:tcW w:w="976" w:type="dxa"/>
            <w:vMerge w:val="restart"/>
            <w:tcBorders>
              <w:top w:val="single" w:sz="6" w:space="0" w:color="000000"/>
              <w:left w:val="single" w:sz="6" w:space="0" w:color="000000"/>
              <w:right w:val="single" w:sz="6" w:space="0" w:color="000000"/>
            </w:tcBorders>
            <w:shd w:val="clear" w:color="auto" w:fill="D2D2D2"/>
          </w:tcPr>
          <w:p>
            <w:pPr/>
          </w:p>
        </w:tc>
        <w:tc>
          <w:tcPr>
            <w:tcW w:w="5317"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6" w:type="dxa"/>
            <w:vMerge w:val="restart"/>
            <w:tcBorders>
              <w:top w:val="single" w:sz="6" w:space="0" w:color="000000"/>
              <w:left w:val="single" w:sz="6" w:space="0" w:color="000000"/>
              <w:right w:val="single" w:sz="6" w:space="0" w:color="000000"/>
            </w:tcBorders>
            <w:shd w:val="clear" w:color="auto" w:fill="D2D2D2"/>
          </w:tcPr>
          <w:p>
            <w:pPr/>
          </w:p>
        </w:tc>
      </w:tr>
      <w:tr>
        <w:trPr>
          <w:trHeight w:val="165"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85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41" w:type="dxa"/>
            <w:vMerge w:val="restart"/>
            <w:tcBorders>
              <w:top w:val="single" w:sz="6" w:space="0" w:color="000000"/>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39"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30" w:right="15"/>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bottom w:val="single" w:sz="18" w:space="0" w:color="FFFFFF"/>
              <w:right w:val="single" w:sz="6" w:space="0" w:color="000000"/>
            </w:tcBorders>
            <w:shd w:val="clear" w:color="auto" w:fill="D2D2D2"/>
          </w:tcPr>
          <w:p>
            <w:pPr/>
          </w:p>
        </w:tc>
        <w:tc>
          <w:tcPr>
            <w:tcW w:w="736" w:type="dxa"/>
            <w:vMerge/>
            <w:tcBorders>
              <w:left w:val="single" w:sz="6" w:space="0" w:color="000000"/>
              <w:bottom w:val="single" w:sz="18" w:space="0" w:color="FFFFFF"/>
              <w:right w:val="single" w:sz="6" w:space="0" w:color="000000"/>
            </w:tcBorders>
            <w:shd w:val="clear" w:color="auto" w:fill="D2D2D2"/>
          </w:tcPr>
          <w:p>
            <w:pPr/>
          </w:p>
        </w:tc>
      </w:tr>
      <w:tr>
        <w:trPr>
          <w:trHeight w:val="154" w:hRule="exact"/>
        </w:trPr>
        <w:tc>
          <w:tcPr>
            <w:tcW w:w="2546" w:type="dxa"/>
            <w:vMerge/>
            <w:tcBorders>
              <w:left w:val="single" w:sz="6" w:space="0" w:color="000000"/>
              <w:bottom w:val="nil" w:sz="6" w:space="0" w:color="auto"/>
              <w:right w:val="single" w:sz="6" w:space="0" w:color="000000"/>
            </w:tcBorders>
            <w:shd w:val="clear" w:color="auto" w:fill="D2D2D2"/>
          </w:tcPr>
          <w:p>
            <w:pPr/>
          </w:p>
        </w:tc>
        <w:tc>
          <w:tcPr>
            <w:tcW w:w="976" w:type="dxa"/>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56"/>
              <w:ind w:left="60"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val="restart"/>
            <w:tcBorders>
              <w:top w:val="single" w:sz="18" w:space="0" w:color="FFFFFF"/>
              <w:left w:val="single" w:sz="6" w:space="0" w:color="000000"/>
              <w:right w:val="single" w:sz="6" w:space="0" w:color="000000"/>
            </w:tcBorders>
            <w:shd w:val="clear" w:color="auto" w:fill="D2D2D2"/>
          </w:tcPr>
          <w:p>
            <w:pPr>
              <w:pStyle w:val="TableParagraph"/>
              <w:spacing w:line="321" w:lineRule="auto" w:before="33"/>
              <w:ind w:left="45" w:right="60"/>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6" w:type="dxa"/>
            <w:vMerge w:val="restart"/>
            <w:tcBorders>
              <w:top w:val="single" w:sz="18" w:space="0" w:color="FFFFFF"/>
              <w:left w:val="single" w:sz="6" w:space="0" w:color="000000"/>
              <w:right w:val="single" w:sz="6" w:space="0" w:color="000000"/>
            </w:tcBorders>
            <w:shd w:val="clear" w:color="auto" w:fill="D2D2D2"/>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68"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20"/>
              <w:jc w:val="center"/>
              <w:rPr>
                <w:rFonts w:ascii="宋体" w:hAnsi="宋体" w:cs="宋体" w:eastAsia="宋体" w:hint="default"/>
                <w:sz w:val="18"/>
                <w:szCs w:val="18"/>
              </w:rPr>
            </w:pPr>
            <w:r>
              <w:rPr>
                <w:rFonts w:ascii="宋体" w:hAnsi="宋体" w:cs="宋体" w:eastAsia="宋体" w:hint="default"/>
                <w:sz w:val="18"/>
                <w:szCs w:val="18"/>
              </w:rPr>
              <w:t>项目</w:t>
            </w:r>
          </w:p>
        </w:tc>
        <w:tc>
          <w:tcPr>
            <w:tcW w:w="9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67"/>
              <w:ind w:left="135"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67"/>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0" w:hRule="exact"/>
        </w:trPr>
        <w:tc>
          <w:tcPr>
            <w:tcW w:w="2546" w:type="dxa"/>
            <w:vMerge w:val="restart"/>
            <w:tcBorders>
              <w:top w:val="nil" w:sz="6" w:space="0" w:color="auto"/>
              <w:left w:val="single" w:sz="6" w:space="0" w:color="000000"/>
              <w:right w:val="single" w:sz="6" w:space="0" w:color="000000"/>
            </w:tcBorders>
            <w:shd w:val="clear" w:color="auto" w:fill="D2D2D2"/>
          </w:tcPr>
          <w:p>
            <w:pPr/>
          </w:p>
        </w:tc>
        <w:tc>
          <w:tcPr>
            <w:tcW w:w="976" w:type="dxa"/>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bottom w:val="nil" w:sz="6" w:space="0" w:color="auto"/>
              <w:right w:val="single" w:sz="6" w:space="0" w:color="000000"/>
            </w:tcBorders>
            <w:shd w:val="clear" w:color="auto" w:fill="D2D2D2"/>
          </w:tcPr>
          <w:p>
            <w:pPr/>
          </w:p>
        </w:tc>
      </w:tr>
      <w:tr>
        <w:trPr>
          <w:trHeight w:val="211"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val="restart"/>
            <w:tcBorders>
              <w:top w:val="nil" w:sz="6" w:space="0" w:color="auto"/>
              <w:left w:val="single" w:sz="6" w:space="0" w:color="000000"/>
              <w:right w:val="single" w:sz="6" w:space="0" w:color="000000"/>
            </w:tcBorders>
            <w:shd w:val="clear" w:color="auto" w:fill="D2D2D2"/>
          </w:tcPr>
          <w:p>
            <w:pPr/>
          </w:p>
        </w:tc>
      </w:tr>
      <w:tr>
        <w:trPr>
          <w:trHeight w:val="150"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841" w:type="dxa"/>
            <w:vMerge/>
            <w:tcBorders>
              <w:left w:val="single" w:sz="6" w:space="0" w:color="000000"/>
              <w:bottom w:val="nil" w:sz="6" w:space="0" w:color="auto"/>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0"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val="restart"/>
            <w:tcBorders>
              <w:top w:val="nil" w:sz="6" w:space="0" w:color="auto"/>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73" w:hRule="exact"/>
        </w:trPr>
        <w:tc>
          <w:tcPr>
            <w:tcW w:w="2546" w:type="dxa"/>
            <w:vMerge/>
            <w:tcBorders>
              <w:left w:val="single" w:sz="6" w:space="0" w:color="000000"/>
              <w:bottom w:val="single" w:sz="6" w:space="0" w:color="000000"/>
              <w:right w:val="single" w:sz="6" w:space="0" w:color="000000"/>
            </w:tcBorders>
            <w:shd w:val="clear" w:color="auto" w:fill="D2D2D2"/>
          </w:tcPr>
          <w:p>
            <w:pPr/>
          </w:p>
        </w:tc>
        <w:tc>
          <w:tcPr>
            <w:tcW w:w="97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857"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6"/>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-1,983,142.9</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1</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-1,181,157</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.73</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-1,253,509</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.44</w:t>
            </w:r>
          </w:p>
        </w:tc>
        <w:tc>
          <w:tcPr>
            <w:tcW w:w="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72,351.71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center"/>
              <w:rPr>
                <w:rFonts w:ascii="Times New Roman" w:hAnsi="Times New Roman" w:cs="Times New Roman" w:eastAsia="Times New Roman" w:hint="default"/>
                <w:sz w:val="18"/>
                <w:szCs w:val="18"/>
              </w:rPr>
            </w:pPr>
            <w:r>
              <w:rPr>
                <w:rFonts w:ascii="Times New Roman"/>
                <w:sz w:val="18"/>
              </w:rPr>
              <w:t>-3,236,6</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52.35</w:t>
            </w:r>
          </w:p>
        </w:tc>
      </w:tr>
      <w:tr>
        <w:trPr>
          <w:trHeight w:val="721"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6"/>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综合收益</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57" w:right="0"/>
              <w:jc w:val="left"/>
              <w:rPr>
                <w:rFonts w:ascii="Times New Roman" w:hAnsi="Times New Roman" w:cs="Times New Roman" w:eastAsia="Times New Roman" w:hint="default"/>
                <w:sz w:val="18"/>
                <w:szCs w:val="18"/>
              </w:rPr>
            </w:pPr>
            <w:r>
              <w:rPr>
                <w:rFonts w:ascii="Times New Roman"/>
                <w:sz w:val="18"/>
              </w:rPr>
              <w:t>-96,534.78</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-782,877.8</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-782,877.8</w:t>
            </w:r>
            <w:r>
              <w:rPr>
                <w:rFonts w:ascii="Times New Roman"/>
                <w:sz w:val="18"/>
              </w:rPr>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-879,412</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.58</w:t>
            </w:r>
          </w:p>
        </w:tc>
      </w:tr>
      <w:tr>
        <w:trPr>
          <w:trHeight w:val="157" w:hRule="exact"/>
        </w:trPr>
        <w:tc>
          <w:tcPr>
            <w:tcW w:w="25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76" w:type="dxa"/>
            <w:vMerge w:val="restart"/>
            <w:tcBorders>
              <w:top w:val="single" w:sz="6" w:space="0" w:color="000000"/>
              <w:left w:val="single" w:sz="12" w:space="0" w:color="D2D2D2"/>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-1,886,608.1</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w w:val="95"/>
                <w:sz w:val="18"/>
              </w:rPr>
              <w:t>-398,279.9</w:t>
            </w:r>
            <w:r>
              <w:rPr>
                <w:rFonts w:ascii="Times New Roman"/>
                <w:sz w:val="18"/>
              </w:rPr>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3</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w w:val="95"/>
                <w:sz w:val="18"/>
              </w:rPr>
              <w:t>-470,631.6</w:t>
            </w:r>
            <w:r>
              <w:rPr>
                <w:rFonts w:ascii="Times New Roman"/>
                <w:sz w:val="18"/>
              </w:rPr>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4</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72,351.71</w:t>
            </w: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101"/>
              <w:ind w:left="89" w:right="0"/>
              <w:jc w:val="center"/>
              <w:rPr>
                <w:rFonts w:ascii="Times New Roman" w:hAnsi="Times New Roman" w:cs="Times New Roman" w:eastAsia="Times New Roman" w:hint="default"/>
                <w:sz w:val="18"/>
                <w:szCs w:val="18"/>
              </w:rPr>
            </w:pPr>
            <w:r>
              <w:rPr>
                <w:rFonts w:ascii="Times New Roman"/>
                <w:sz w:val="18"/>
              </w:rPr>
              <w:t>-2,357,2</w:t>
            </w:r>
          </w:p>
          <w:p>
            <w:pPr>
              <w:pStyle w:val="TableParagraph"/>
              <w:spacing w:line="240" w:lineRule="auto" w:before="93"/>
              <w:ind w:left="285" w:right="0"/>
              <w:jc w:val="center"/>
              <w:rPr>
                <w:rFonts w:ascii="Times New Roman" w:hAnsi="Times New Roman" w:cs="Times New Roman" w:eastAsia="Times New Roman" w:hint="default"/>
                <w:sz w:val="18"/>
                <w:szCs w:val="18"/>
              </w:rPr>
            </w:pPr>
            <w:r>
              <w:rPr>
                <w:rFonts w:ascii="Times New Roman"/>
                <w:sz w:val="18"/>
              </w:rPr>
              <w:t>39.77</w:t>
            </w:r>
          </w:p>
        </w:tc>
      </w:tr>
      <w:tr>
        <w:trPr>
          <w:trHeight w:val="390"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6"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73" w:hRule="exact"/>
        </w:trPr>
        <w:tc>
          <w:tcPr>
            <w:tcW w:w="25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76"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r>
        <w:trPr>
          <w:trHeight w:val="158" w:hRule="exact"/>
        </w:trPr>
        <w:tc>
          <w:tcPr>
            <w:tcW w:w="25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76" w:type="dxa"/>
            <w:vMerge w:val="restart"/>
            <w:tcBorders>
              <w:top w:val="single" w:sz="6" w:space="0" w:color="000000"/>
              <w:left w:val="single" w:sz="12" w:space="0" w:color="D2D2D2"/>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-1,983,142.9</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1</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-1,181,157</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.73</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-1,253,509</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.44</w:t>
            </w:r>
          </w:p>
        </w:tc>
        <w:tc>
          <w:tcPr>
            <w:tcW w:w="84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72,351.71</w:t>
            </w: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87"/>
              <w:ind w:left="89" w:right="0"/>
              <w:jc w:val="center"/>
              <w:rPr>
                <w:rFonts w:ascii="Times New Roman" w:hAnsi="Times New Roman" w:cs="Times New Roman" w:eastAsia="Times New Roman" w:hint="default"/>
                <w:sz w:val="18"/>
                <w:szCs w:val="18"/>
              </w:rPr>
            </w:pPr>
            <w:r>
              <w:rPr>
                <w:rFonts w:ascii="Times New Roman"/>
                <w:sz w:val="18"/>
              </w:rPr>
              <w:t>-3,236,6</w:t>
            </w:r>
          </w:p>
          <w:p>
            <w:pPr>
              <w:pStyle w:val="TableParagraph"/>
              <w:spacing w:line="240" w:lineRule="auto" w:before="108"/>
              <w:ind w:left="285" w:right="0"/>
              <w:jc w:val="center"/>
              <w:rPr>
                <w:rFonts w:ascii="Times New Roman" w:hAnsi="Times New Roman" w:cs="Times New Roman" w:eastAsia="Times New Roman" w:hint="default"/>
                <w:sz w:val="18"/>
                <w:szCs w:val="18"/>
              </w:rPr>
            </w:pPr>
            <w:r>
              <w:rPr>
                <w:rFonts w:ascii="Times New Roman"/>
                <w:sz w:val="18"/>
              </w:rPr>
              <w:t>52.35</w:t>
            </w:r>
          </w:p>
        </w:tc>
      </w:tr>
      <w:tr>
        <w:trPr>
          <w:trHeight w:val="391"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6"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58" w:hRule="exact"/>
        </w:trPr>
        <w:tc>
          <w:tcPr>
            <w:tcW w:w="25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76"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1086"/>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58、专项储备" w:id="378"/>
      <w:bookmarkEnd w:id="37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5"/>
        <w:ind w:right="1086"/>
        <w:jc w:val="left"/>
      </w:pPr>
      <w:r>
        <w:rPr/>
        <w:t>其他说明，包括本期增减变动情况、变动原因说明：</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59、盈余公积" w:id="379"/>
      <w:bookmarkEnd w:id="37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72,600,033.72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72,600,033.72</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72,600,033.72</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72,600,033.72</w:t>
            </w:r>
          </w:p>
        </w:tc>
      </w:tr>
    </w:tbl>
    <w:p>
      <w:pPr>
        <w:pStyle w:val="BodyText"/>
        <w:spacing w:line="240" w:lineRule="auto" w:before="45"/>
        <w:ind w:right="1086"/>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60、未分配利润" w:id="380"/>
      <w:bookmarkEnd w:id="38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513,136,506.47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384,785,003.30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147,607,911.10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143,472,605.91</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579,166.73</w:t>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14,541,936.01</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14,541,936.01</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646,202,481.56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513,136,506.47</w:t>
            </w:r>
          </w:p>
        </w:tc>
      </w:tr>
    </w:tbl>
    <w:p>
      <w:pPr>
        <w:pStyle w:val="BodyText"/>
        <w:spacing w:line="240" w:lineRule="auto" w:before="45"/>
        <w:ind w:right="1086"/>
        <w:jc w:val="left"/>
      </w:pPr>
      <w:r>
        <w:rPr/>
        <w:t>调整期初未分配利润明细：</w:t>
      </w:r>
    </w:p>
    <w:p>
      <w:pPr>
        <w:pStyle w:val="BodyText"/>
        <w:spacing w:line="240" w:lineRule="auto" w:before="125"/>
        <w:ind w:right="1086"/>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96"/>
        <w:ind w:right="1086"/>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11"/>
        <w:ind w:right="1086"/>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96"/>
        <w:ind w:right="1086"/>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11"/>
        <w:ind w:right="1086"/>
        <w:jc w:val="left"/>
      </w:pPr>
      <w:r>
        <w:rPr>
          <w:rFonts w:ascii="Times New Roman" w:hAnsi="Times New Roman" w:cs="Times New Roman" w:eastAsia="Times New Roman" w:hint="default"/>
        </w:rPr>
        <w:t>5)</w:t>
      </w:r>
      <w:r>
        <w:rPr/>
        <w:t>、其他调整合计影响期初未分配利润元。</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61、营业收入和营业成本" w:id="381"/>
      <w:bookmarkEnd w:id="38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203"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2"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1,511,822,763.37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877,498,883.14</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1,271,305,049.38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721,503,248.42</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62,170,843.10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58,529,804.87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23,328,506.17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20,192,600.04</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1,573,993,606.47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936,028,688.01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1,294,633,555.55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741,695,848.46</w:t>
            </w:r>
          </w:p>
        </w:tc>
      </w:tr>
    </w:tbl>
    <w:p>
      <w:pPr>
        <w:pStyle w:val="BodyText"/>
        <w:spacing w:line="240" w:lineRule="auto"/>
        <w:ind w:right="1086"/>
        <w:jc w:val="left"/>
      </w:pPr>
      <w:r>
        <w:rPr/>
        <w:t>是否已执行新收入准则</w:t>
      </w:r>
    </w:p>
    <w:p>
      <w:pPr>
        <w:pStyle w:val="BodyText"/>
        <w:spacing w:line="319" w:lineRule="auto" w:before="125"/>
        <w:ind w:right="94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收入相关信息：</w:t>
      </w:r>
    </w:p>
    <w:p>
      <w:pPr>
        <w:pStyle w:val="BodyText"/>
        <w:spacing w:line="240" w:lineRule="auto" w:before="6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合同分类</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Times New Roman" w:hAnsi="Times New Roman" w:cs="Times New Roman" w:eastAsia="Times New Roman" w:hint="default"/>
                <w:sz w:val="18"/>
                <w:szCs w:val="18"/>
              </w:rPr>
            </w:pPr>
            <w:r>
              <w:rPr>
                <w:rFonts w:ascii="宋体" w:hAnsi="宋体" w:cs="宋体" w:eastAsia="宋体" w:hint="default"/>
                <w:sz w:val="18"/>
                <w:szCs w:val="18"/>
              </w:rPr>
              <w:t>分部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分部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pStyle w:val="BodyText"/>
        <w:spacing w:line="367" w:lineRule="auto"/>
        <w:ind w:right="8769"/>
        <w:jc w:val="left"/>
      </w:pPr>
      <w:r>
        <w:rPr/>
        <w:t>与履约义务相关的信息： 不适用</w:t>
      </w:r>
    </w:p>
    <w:p>
      <w:pPr>
        <w:pStyle w:val="BodyText"/>
        <w:spacing w:line="240" w:lineRule="auto" w:before="14"/>
        <w:ind w:right="1086"/>
        <w:jc w:val="left"/>
      </w:pPr>
      <w:r>
        <w:rPr/>
        <w:t>与分摊至剩余履约义务的交易价格相关的信息：</w:t>
      </w:r>
    </w:p>
    <w:p>
      <w:pPr>
        <w:pStyle w:val="BodyText"/>
        <w:spacing w:line="276" w:lineRule="auto" w:before="140"/>
        <w:ind w:right="1156"/>
        <w:jc w:val="left"/>
      </w:pPr>
      <w:r>
        <w:rPr/>
        <w:t>本报告期末已签订合同、但尚未履行或尚未履行完毕的履约义务所对应的收入金额为</w:t>
      </w:r>
      <w:r>
        <w:rPr>
          <w:spacing w:val="-37"/>
        </w:rPr>
        <w:t> </w:t>
      </w:r>
      <w:r>
        <w:rPr>
          <w:rFonts w:ascii="Times New Roman" w:hAnsi="Times New Roman" w:cs="Times New Roman" w:eastAsia="Times New Roman" w:hint="default"/>
        </w:rPr>
        <w:t>0.00 </w:t>
      </w:r>
      <w:r>
        <w:rPr/>
        <w:t>元，其中，元预计将于年度确认 收入，元预计将于年度确认收入，元预计将于年度确认收入。</w:t>
      </w:r>
    </w:p>
    <w:p>
      <w:pPr>
        <w:pStyle w:val="BodyText"/>
        <w:spacing w:line="240" w:lineRule="auto" w:before="97"/>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62、税金及附加" w:id="382"/>
      <w:bookmarkEnd w:id="38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4,245,234.98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5,544,455.89</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1,833,816.77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2,371,641.01</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1,462,199.21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1,526,221.25</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539,861.93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96,622.08</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4,654.89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5,450.00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647,982.78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545,321.94</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1,215,069.23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1,590,705.02</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9,948,819.79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11,680,417.19</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63、销售费用" w:id="383"/>
      <w:bookmarkEnd w:id="38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39,842,086.25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29,386,857.06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办公、招待费用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17,286,156.87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18,054,595.75</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20,390,995.88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2,744,959.31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14,363,785.90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9,303,958.64</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13,532,216.49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9,973,968.67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运杂费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8,210,355.63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8,488,617.95</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出口信用保险费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2,189,325.57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1,700,123.11</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折旧、资产摊销费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110,129.42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835,132.80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招投标费用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4,131,887.68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2,378,575.36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8,256,382.54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3,510,807.86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128,313,322.23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86,377,596.51</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64、管理费用" w:id="384"/>
      <w:bookmarkEnd w:id="38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71,325,161.41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70,085,994.18</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折旧、资产摊销费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23,583,650.83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25,872,683.62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办公、招待费用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26,026,939.04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25,216,704.11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中介相关费用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12,772,739.38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9,312,659.22</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车辆费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2,227,654.74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3,249,452.76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810,997.78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647,001.42</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4,415,264.15</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11,434,968.60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10,585,553.85</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152,597,375.93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144,970,049.16</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1086"/>
        <w:jc w:val="left"/>
        <w:rPr>
          <w:b w:val="0"/>
          <w:bCs w:val="0"/>
        </w:rPr>
      </w:pPr>
      <w:bookmarkStart w:name="65、研发费用" w:id="385"/>
      <w:bookmarkEnd w:id="385"/>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106,971,450.81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75,724,175.39</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委外研发费用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4,073,321.82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7,152,891.68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机物料消耗</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10,513,093.99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13,654,500.78</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折旧、资产摊销费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9,143,679.26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5,832,647.26</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办公、招待费用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985,090.32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822,668.24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6,394,145.40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3,028,059.71</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138,080,781.60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106,214,943.06</w:t>
            </w:r>
          </w:p>
        </w:tc>
      </w:tr>
    </w:tbl>
    <w:p>
      <w:pPr>
        <w:pStyle w:val="BodyText"/>
        <w:spacing w:line="240" w:lineRule="auto"/>
        <w:ind w:right="1086"/>
        <w:jc w:val="left"/>
      </w:pPr>
      <w:r>
        <w:rPr/>
        <w:t>其他说明：</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66、财务费用" w:id="386"/>
      <w:bookmarkEnd w:id="386"/>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29,365,044.38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24,016,378.44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-3,066,406.13</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-2,171,568.06</w:t>
            </w:r>
            <w:r>
              <w:rPr>
                <w:rFonts w:ascii="Times New Roman"/>
                <w:sz w:val="18"/>
              </w:rPr>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2,119,341.17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8,465,176.17</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福费廷融资费用</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3,296,567.85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4,541,288.89</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2,404,155.16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4,149,096.66</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34,118,702.43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39,000,372.10</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67、其他收益" w:id="387"/>
      <w:bookmarkEnd w:id="387"/>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政府补助</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20,952,547.49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14,904,674.74</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软件企业增值税退税</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26,520,791.68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25,592,687.77</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代扣个人所得税手续费返还</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294,693.30</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47,473,339.17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40,792,055.81</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68、投资收益" w:id="388"/>
      <w:bookmarkEnd w:id="38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69"/>
        <w:gridCol w:w="3184"/>
        <w:gridCol w:w="2929"/>
      </w:tblGrid>
      <w:tr>
        <w:trPr>
          <w:trHeight w:val="406"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-3,892,234.01</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-2,173,297.05</w:t>
            </w:r>
            <w:r>
              <w:rPr>
                <w:rFonts w:ascii="Times New Roman"/>
                <w:sz w:val="18"/>
              </w:rPr>
            </w: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7,314,692.13</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71,857.90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555,107.31</w:t>
            </w: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处置金融工具取得的投资收益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13,329.82</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3,507,645.84</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-1,618,189.74</w:t>
            </w:r>
            <w:r>
              <w:rPr>
                <w:rFonts w:ascii="Times New Roman"/>
                <w:sz w:val="18"/>
              </w:rPr>
            </w:r>
          </w:p>
        </w:tc>
      </w:tr>
    </w:tbl>
    <w:p>
      <w:pPr>
        <w:pStyle w:val="BodyText"/>
        <w:spacing w:line="240" w:lineRule="auto" w:before="45"/>
        <w:ind w:right="1086"/>
        <w:jc w:val="left"/>
      </w:pPr>
      <w:r>
        <w:rPr/>
        <w:t>其他说明：</w:t>
      </w:r>
    </w:p>
    <w:p>
      <w:pPr>
        <w:pStyle w:val="Heading6"/>
        <w:spacing w:line="259" w:lineRule="auto" w:before="89"/>
        <w:ind w:right="1086"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：分类为以公允价值计量且其变动计入其他综合收益的金融资产资产处置收益为本期应收融资款</w:t>
      </w:r>
      <w:r>
        <w:rPr>
          <w:w w:val="99"/>
        </w:rPr>
        <w:t> </w:t>
      </w:r>
      <w:r>
        <w:rPr/>
        <w:t>项项下应收票据贴现利息。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5"/>
        <w:spacing w:line="240" w:lineRule="auto"/>
        <w:ind w:right="1086"/>
        <w:jc w:val="left"/>
        <w:rPr>
          <w:b w:val="0"/>
          <w:bCs w:val="0"/>
        </w:rPr>
      </w:pPr>
      <w:bookmarkStart w:name="69、净敞口套期收益" w:id="389"/>
      <w:bookmarkEnd w:id="389"/>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after="0" w:line="240" w:lineRule="auto"/>
        <w:jc w:val="righ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70、公允价值变动收益" w:id="390"/>
      <w:bookmarkEnd w:id="390"/>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335,076.34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335,076.34</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71、信用减值损失" w:id="391"/>
      <w:bookmarkEnd w:id="391"/>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-60,793,173.95</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-60,793,173.95</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72、资产减值损失" w:id="392"/>
      <w:bookmarkEnd w:id="392"/>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6" w:footer="981" w:top="1120" w:bottom="1180" w:left="1000" w:right="0"/>
        </w:sectPr>
      </w:pPr>
    </w:p>
    <w:p>
      <w:pPr>
        <w:pStyle w:val="BodyText"/>
        <w:spacing w:line="240" w:lineRule="auto"/>
        <w:ind w:right="-20"/>
        <w:jc w:val="left"/>
      </w:pPr>
      <w:r>
        <w:rPr/>
        <w:t>是否已执行新收入准则</w:t>
      </w:r>
    </w:p>
    <w:p>
      <w:pPr>
        <w:pStyle w:val="BodyText"/>
        <w:spacing w:line="240" w:lineRule="auto" w:before="124"/>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-40,854,331.15</w:t>
            </w:r>
            <w:r>
              <w:rPr>
                <w:rFonts w:ascii="Times New Roman"/>
                <w:sz w:val="18"/>
              </w:rPr>
            </w:r>
          </w:p>
        </w:tc>
      </w:tr>
      <w:tr>
        <w:trPr>
          <w:trHeight w:val="7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84"/>
              <w:jc w:val="left"/>
              <w:rPr>
                <w:rFonts w:ascii="宋体" w:hAnsi="宋体" w:cs="宋体" w:eastAsia="宋体" w:hint="default"/>
                <w:sz w:val="18"/>
                <w:szCs w:val="18"/>
              </w:rPr>
            </w:pPr>
            <w:r>
              <w:rPr>
                <w:rFonts w:ascii="宋体" w:hAnsi="宋体" w:cs="宋体" w:eastAsia="宋体" w:hint="default"/>
                <w:sz w:val="18"/>
                <w:szCs w:val="18"/>
              </w:rPr>
              <w:t>二、存货跌价损失及合同履约成本减值 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-1,111,965.06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-65,005.31</w:t>
            </w:r>
            <w:r>
              <w:rPr>
                <w:rFonts w:ascii="Times New Roman"/>
                <w:sz w:val="18"/>
              </w:rPr>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-1,111,965.06</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-40,919,336.46</w:t>
            </w:r>
            <w:r>
              <w:rPr>
                <w:rFonts w:ascii="Times New Roman"/>
                <w:sz w:val="18"/>
              </w:rPr>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73、资产处置收益" w:id="393"/>
      <w:bookmarkEnd w:id="393"/>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310,032.21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-20,364.76</w:t>
            </w:r>
            <w:r>
              <w:rPr>
                <w:rFonts w:ascii="Times New Roman"/>
                <w:sz w:val="18"/>
              </w:rPr>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310,032.21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-20,364.76</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74、营业外收入" w:id="394"/>
      <w:bookmarkEnd w:id="394"/>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403" w:type="dxa"/>
            <w:tcBorders>
              <w:top w:val="single" w:sz="6" w:space="0" w:color="000000"/>
              <w:left w:val="single" w:sz="12" w:space="0" w:color="D2D2D2"/>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687,348.81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无需支付的应付账款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444,426.64</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444,426.64</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398,216.57</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73,776.03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398,216.57</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842,643.21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761,124.84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842,643.21</w:t>
            </w:r>
          </w:p>
        </w:tc>
      </w:tr>
    </w:tbl>
    <w:p>
      <w:pPr>
        <w:pStyle w:val="BodyText"/>
        <w:spacing w:line="240" w:lineRule="auto" w:before="45"/>
        <w:ind w:right="1086"/>
        <w:jc w:val="left"/>
      </w:pPr>
      <w:r>
        <w:rPr/>
        <w:t>计入当期损益的政府补助：</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81"/>
        <w:gridCol w:w="1051"/>
        <w:gridCol w:w="1066"/>
      </w:tblGrid>
      <w:tr>
        <w:trPr>
          <w:trHeight w:val="721"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35" w:right="89"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20"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1086"/>
        <w:jc w:val="left"/>
        <w:rPr>
          <w:b w:val="0"/>
          <w:bCs w:val="0"/>
        </w:rPr>
      </w:pPr>
      <w:bookmarkStart w:name="75、营业外支出" w:id="395"/>
      <w:bookmarkEnd w:id="395"/>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58"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1,204.22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310,979.76</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387.88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310,979.76</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54,160.01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1,316,426.05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54,160.01</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158,844.74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161,779.67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158,844.74</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583,984.51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1,511,797.82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583,984.51</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76、所得税费用" w:id="396"/>
      <w:bookmarkEnd w:id="396"/>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所得税费用表" w:id="397"/>
      <w:bookmarkEnd w:id="39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26,319,962.16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25,926,752.76</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-7,675,821.14</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-4,713,601.25</w:t>
            </w:r>
            <w:r>
              <w:rPr>
                <w:rFonts w:ascii="Times New Roman"/>
                <w:sz w:val="18"/>
              </w:rPr>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18,644,141.02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21,213,151.51</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2）会计利润与所得税费用调整过程" w:id="398"/>
      <w:bookmarkEnd w:id="39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164,885,529.73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41,445,901.73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-27,929,139.37</w:t>
            </w:r>
            <w:r>
              <w:rPr>
                <w:rFonts w:ascii="Times New Roman"/>
                <w:sz w:val="18"/>
              </w:rPr>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228,198.48</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762,291.95</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-1,856,364.85</w:t>
            </w:r>
            <w:r>
              <w:rPr>
                <w:rFonts w:ascii="Times New Roman"/>
                <w:sz w:val="18"/>
              </w:rPr>
            </w:r>
          </w:p>
        </w:tc>
      </w:tr>
      <w:tr>
        <w:trPr>
          <w:trHeight w:val="72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18,162,162.70</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-10,437,232.54</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权益法确认的投资收益</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586,810.89</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税率变动对递延所得税资产的影响</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-2,318,487.97</w:t>
            </w:r>
            <w:r>
              <w:rPr>
                <w:rFonts w:ascii="Times New Roman"/>
                <w:sz w:val="18"/>
              </w:rPr>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18,644,141.02</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77、其他综合收益" w:id="399"/>
      <w:bookmarkEnd w:id="399"/>
      <w:r>
        <w:rPr>
          <w:b w:val="0"/>
          <w:bCs w:val="0"/>
        </w:rPr>
      </w:r>
      <w:r>
        <w:rPr>
          <w:rFonts w:ascii="Times New Roman" w:hAnsi="Times New Roman" w:cs="Times New Roman" w:eastAsia="Times New Roman" w:hint="default"/>
        </w:rPr>
        <w:t>77</w:t>
      </w:r>
      <w:r>
        <w:rPr/>
        <w:t>、其他综合收益</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详见附注合并资产负债表项目注释之其他综合收益说明</w:t>
      </w:r>
      <w:r>
        <w:rPr>
          <w:spacing w:val="-90"/>
        </w:rPr>
        <w:t>。</w:t>
      </w:r>
      <w:r>
        <w:rPr/>
        <w:t>。</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78、现金流量表项目" w:id="400"/>
      <w:bookmarkEnd w:id="400"/>
      <w:r>
        <w:rPr>
          <w:b w:val="0"/>
          <w:bCs w:val="0"/>
        </w:rPr>
      </w:r>
      <w:r>
        <w:rPr>
          <w:rFonts w:ascii="Times New Roman" w:hAnsi="Times New Roman" w:cs="Times New Roman" w:eastAsia="Times New Roman" w:hint="default"/>
        </w:rPr>
        <w:t>78</w:t>
      </w:r>
      <w:r>
        <w:rPr/>
        <w:t>、现金流量表项目</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收到的其他与经营活动有关的现金" w:id="401"/>
      <w:bookmarkEnd w:id="40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19,825,563.37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15,802,985.45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收到的活期利息收入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3,066,406.13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2,171,568.06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收回的押金及代垫款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50,871,613.60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13,005,260.00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收回的票据、保函、承兑保证金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79,276,085.37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7,694,964.00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收到的房租及水电费收入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6,016,709.70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5,856,259.24</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2,418,525.60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278,443.41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161,474,903.77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44,809,480.16</w:t>
            </w:r>
          </w:p>
        </w:tc>
      </w:tr>
    </w:tbl>
    <w:p>
      <w:pPr>
        <w:pStyle w:val="BodyText"/>
        <w:spacing w:line="240" w:lineRule="auto" w:before="45"/>
        <w:ind w:right="1086"/>
        <w:jc w:val="left"/>
      </w:pPr>
      <w:r>
        <w:rPr/>
        <w:t>收到的其他与经营活动有关的现金说明：</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2）支付的其他与经营活动有关的现金" w:id="402"/>
      <w:bookmarkEnd w:id="40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21,965,651.53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32,113,720.41</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中介相关费用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12,772,739.38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9,454,168.65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车辆费、运杂费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10,438,010.37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12,065,833.58</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办公、招待费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43,313,095.91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43,523,919.53</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代理费及佣金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7,190,413.08</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2,384,480.95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广告宣传费、市场推广费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26,556,152.39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24,709,711.79</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出口信用保险费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2,189,325.57</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2,162,269.96</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29,909,633.69</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44,647,279.58</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支付的票据、保函、承兑保证金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92,213,668.23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18,462,145.80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支付的备用金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2,040,021.84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4,108,145.03</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26,308,014.96</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14,620,396.59</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274,896,726.95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208,252,071.87</w:t>
            </w:r>
          </w:p>
        </w:tc>
      </w:tr>
    </w:tbl>
    <w:p>
      <w:pPr>
        <w:pStyle w:val="BodyText"/>
        <w:spacing w:line="240" w:lineRule="auto" w:before="45"/>
        <w:ind w:right="1086"/>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3）收到的其他与投资活动有关的现金" w:id="403"/>
      <w:bookmarkEnd w:id="40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收回理财产品和结构性存款本金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146,356,958.05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94,364,780.26</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146,356,958.05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94,364,780.26</w:t>
            </w:r>
          </w:p>
        </w:tc>
      </w:tr>
    </w:tbl>
    <w:p>
      <w:pPr>
        <w:pStyle w:val="BodyText"/>
        <w:spacing w:line="240" w:lineRule="auto" w:before="45"/>
        <w:ind w:right="1086"/>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支付的其他与投资活动有关的现金" w:id="404"/>
      <w:bookmarkEnd w:id="40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购买理财产品和结构性存款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375,356,958.05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购买基金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9,405,024.34</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处置子公司收到的现金净额负数</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2,416,451.23</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387,178,433.62</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90,000,000.00</w:t>
            </w:r>
          </w:p>
        </w:tc>
      </w:tr>
    </w:tbl>
    <w:p>
      <w:pPr>
        <w:pStyle w:val="BodyText"/>
        <w:spacing w:line="240" w:lineRule="auto" w:before="45"/>
        <w:ind w:right="1086"/>
        <w:jc w:val="left"/>
      </w:pPr>
      <w:r>
        <w:rPr/>
        <w:t>支付的其他与投资活动有关的现金说明：</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5）收到的其他与筹资活动有关的现金" w:id="405"/>
      <w:bookmarkEnd w:id="40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处置少数股权收到的款项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收到的拆借款</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600,000.00</w:t>
            </w:r>
          </w:p>
        </w:tc>
      </w:tr>
    </w:tbl>
    <w:p>
      <w:pPr>
        <w:pStyle w:val="BodyText"/>
        <w:spacing w:line="240" w:lineRule="auto" w:before="45"/>
        <w:ind w:right="1086"/>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6）支付的其他与筹资活动有关的现金" w:id="406"/>
      <w:bookmarkEnd w:id="40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收购少数股东股权支付的款项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14,440,000.00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1,400,000.00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福费廷融资手续费及保函费用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3,296,567.85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6,672,201.17</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外币借款手续费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2,080,944.66</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支付非公开发行股票中介费用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1,179,245.29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20,996,757.80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8,072,201.17</w:t>
            </w:r>
          </w:p>
        </w:tc>
      </w:tr>
    </w:tbl>
    <w:p>
      <w:pPr>
        <w:pStyle w:val="BodyText"/>
        <w:spacing w:line="240" w:lineRule="auto" w:before="45"/>
        <w:ind w:right="1086"/>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79、现金流量表补充资料" w:id="407"/>
      <w:bookmarkEnd w:id="407"/>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现金流量表补充资料" w:id="408"/>
      <w:bookmarkEnd w:id="40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146,241,388.71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140,964,669.43</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61,905,139.01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40,919,336.46</w:t>
            </w:r>
          </w:p>
        </w:tc>
      </w:tr>
      <w:tr>
        <w:trPr>
          <w:trHeight w:val="72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53"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45,909,674.97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39,726,455.93</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19,134,781.86</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15,395,936.62</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15,796,790.99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8,282,630.70</w:t>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29"/>
              <w:ind w:left="7" w:right="53"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-310,032.21</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20,364.76</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54,160.01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1,316,426.05</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-335,076.34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2"/>
        <w:rPr>
          <w:rFonts w:ascii="宋体" w:hAnsi="宋体" w:cs="宋体" w:eastAsia="宋体" w:hint="default"/>
          <w:sz w:val="24"/>
          <w:szCs w:val="24"/>
        </w:rPr>
      </w:pPr>
      <w:r>
        <w:rPr/>
        <w:pict>
          <v:group style="position:absolute;margin-left:224.529999pt;margin-top:166.654999pt;width:150.2pt;height:19.55pt;mso-position-horizontal-relative:page;mso-position-vertical-relative:page;z-index:-1276336" coordorigin="4491,3333" coordsize="3004,391">
            <v:shape style="position:absolute;left:4491;top:3333;width:3004;height:391" coordorigin="4491,3333" coordsize="3004,391" path="m4491,3724l7495,3724,7495,3333,4491,3333,4491,3724xe" filled="true" fillcolor="#ffffff" stroked="false">
              <v:path arrowok="t"/>
              <v:fill type="solid"/>
            </v:shape>
            <w10:wrap type="none"/>
          </v:group>
        </w:pict>
      </w: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36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66"/>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31,635,710.58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40,459,955.78</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6"/>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-3,507,645.84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1,618,189.74</w:t>
            </w:r>
          </w:p>
        </w:tc>
      </w:tr>
      <w:tr>
        <w:trPr>
          <w:trHeight w:val="7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-7,675,821.14</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-4,713,601.25</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11"/>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tabs>
                <w:tab w:pos="2147" w:val="left" w:leader="none"/>
              </w:tabs>
              <w:spacing w:line="240" w:lineRule="auto" w:before="59"/>
              <w:ind w:left="-136"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-768,989.68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29,745,621.78</w:t>
            </w:r>
          </w:p>
        </w:tc>
      </w:tr>
      <w:tr>
        <w:trPr>
          <w:trHeight w:val="7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-368,049,759.49</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-362,122,688.16</w:t>
            </w:r>
            <w:r>
              <w:rPr>
                <w:rFonts w:ascii="Times New Roman"/>
                <w:sz w:val="18"/>
              </w:rPr>
            </w:r>
          </w:p>
        </w:tc>
      </w:tr>
      <w:tr>
        <w:trPr>
          <w:trHeight w:val="7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59,570,466.63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39,344,225.45</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4,415,264.15</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6,792,000.20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33"/>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4,016,052.21</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-2,250,476.51</w:t>
            </w:r>
            <w:r>
              <w:rPr>
                <w:rFonts w:ascii="Times New Roman"/>
                <w:sz w:val="18"/>
              </w:rPr>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59"/>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73"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5"/>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505,003,784.42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468,158,593.60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468,158,593.60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425,757,370.45</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36,845,190.82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42,401,223.15</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本期支付的取得子公司的现金净额" w:id="409"/>
      <w:bookmarkEnd w:id="40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本期收到的处置子公司的现金净额" w:id="410"/>
      <w:bookmarkEnd w:id="41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其中：江苏瑞康医惠医疗投资管理有限公司</w:t>
            </w:r>
          </w:p>
        </w:tc>
        <w:tc>
          <w:tcPr>
            <w:tcW w:w="458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915"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c>
          <w:tcPr>
            <w:tcW w:w="458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5"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915" w:right="0"/>
              <w:jc w:val="left"/>
              <w:rPr>
                <w:rFonts w:ascii="宋体" w:hAnsi="宋体" w:cs="宋体" w:eastAsia="宋体" w:hint="default"/>
                <w:sz w:val="18"/>
                <w:szCs w:val="18"/>
              </w:rPr>
            </w:pPr>
            <w:r>
              <w:rPr>
                <w:rFonts w:ascii="宋体" w:hAnsi="宋体" w:cs="宋体" w:eastAsia="宋体" w:hint="default"/>
                <w:sz w:val="18"/>
                <w:szCs w:val="18"/>
              </w:rPr>
              <w:t>杭州集嘉科技有限公司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3,416,451.23</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222" w:right="0"/>
              <w:jc w:val="lef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其中：江苏瑞康医惠医疗投资管理有限公司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99,406.25</w:t>
            </w:r>
          </w:p>
        </w:tc>
      </w:tr>
      <w:tr>
        <w:trPr>
          <w:trHeight w:val="406"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197,557.68</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915" w:right="0"/>
              <w:jc w:val="left"/>
              <w:rPr>
                <w:rFonts w:ascii="宋体" w:hAnsi="宋体" w:cs="宋体" w:eastAsia="宋体" w:hint="default"/>
                <w:sz w:val="18"/>
                <w:szCs w:val="18"/>
              </w:rPr>
            </w:pPr>
            <w:r>
              <w:rPr>
                <w:rFonts w:ascii="宋体" w:hAnsi="宋体" w:cs="宋体" w:eastAsia="宋体" w:hint="default"/>
                <w:sz w:val="18"/>
                <w:szCs w:val="18"/>
              </w:rPr>
              <w:t>杭州琅玕科技有限公司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2,455,404.79</w:t>
            </w:r>
          </w:p>
        </w:tc>
      </w:tr>
      <w:tr>
        <w:trPr>
          <w:trHeight w:val="406" w:hRule="exact"/>
        </w:trPr>
        <w:tc>
          <w:tcPr>
            <w:tcW w:w="5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915" w:right="0"/>
              <w:jc w:val="left"/>
              <w:rPr>
                <w:rFonts w:ascii="宋体" w:hAnsi="宋体" w:cs="宋体" w:eastAsia="宋体" w:hint="default"/>
                <w:sz w:val="18"/>
                <w:szCs w:val="18"/>
              </w:rPr>
            </w:pPr>
            <w:r>
              <w:rPr>
                <w:rFonts w:ascii="宋体" w:hAnsi="宋体" w:cs="宋体" w:eastAsia="宋体" w:hint="default"/>
                <w:sz w:val="18"/>
                <w:szCs w:val="18"/>
              </w:rPr>
              <w:t>杭州集嘉科技有限公司</w:t>
            </w:r>
          </w:p>
        </w:tc>
        <w:tc>
          <w:tcPr>
            <w:tcW w:w="45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664,082.51</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2222" w:right="0"/>
              <w:jc w:val="left"/>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1"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-2,416,451.23</w:t>
            </w:r>
            <w:r>
              <w:rPr>
                <w:rFonts w:ascii="Times New Roman"/>
                <w:sz w:val="18"/>
              </w:rPr>
            </w:r>
          </w:p>
        </w:tc>
      </w:tr>
    </w:tbl>
    <w:p>
      <w:pPr>
        <w:pStyle w:val="BodyText"/>
        <w:spacing w:line="240" w:lineRule="auto"/>
        <w:ind w:right="1086"/>
        <w:jc w:val="left"/>
      </w:pPr>
      <w:r>
        <w:rPr/>
        <w:t>其他说明：</w:t>
      </w:r>
    </w:p>
    <w:p>
      <w:pPr>
        <w:pStyle w:val="Heading6"/>
        <w:spacing w:line="261" w:lineRule="auto" w:before="90"/>
        <w:ind w:right="1080" w:firstLine="420"/>
        <w:jc w:val="righ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：本年处置江苏瑞康医惠医疗投资管理有限公司、杭州睿杰信息技术有限公司、杭州琅玕科技有</w:t>
      </w:r>
      <w:r>
        <w:rPr>
          <w:w w:val="99"/>
        </w:rPr>
        <w:t> </w:t>
      </w:r>
      <w:r>
        <w:rPr>
          <w:spacing w:val="4"/>
        </w:rPr>
        <w:t>限公司和杭州集嘉科技有限公司收到的现金净额分别为</w:t>
      </w:r>
      <w:r>
        <w:rPr>
          <w:rFonts w:ascii="Times New Roman" w:hAnsi="Times New Roman" w:cs="Times New Roman" w:eastAsia="Times New Roman" w:hint="default"/>
          <w:spacing w:val="4"/>
        </w:rPr>
        <w:t>-99,406.25</w:t>
      </w:r>
      <w:r>
        <w:rPr>
          <w:spacing w:val="4"/>
        </w:rPr>
        <w:t>元、</w:t>
      </w:r>
      <w:r>
        <w:rPr>
          <w:rFonts w:ascii="Times New Roman" w:hAnsi="Times New Roman" w:cs="Times New Roman" w:eastAsia="Times New Roman" w:hint="default"/>
          <w:spacing w:val="4"/>
        </w:rPr>
        <w:t>-197,557.68</w:t>
      </w:r>
      <w:r>
        <w:rPr>
          <w:spacing w:val="4"/>
        </w:rPr>
        <w:t>元、</w:t>
      </w:r>
      <w:r>
        <w:rPr>
          <w:rFonts w:ascii="Times New Roman" w:hAnsi="Times New Roman" w:cs="Times New Roman" w:eastAsia="Times New Roman" w:hint="default"/>
          <w:spacing w:val="4"/>
        </w:rPr>
        <w:t>-1,955,404.79</w:t>
      </w:r>
      <w:r>
        <w:rPr>
          <w:spacing w:val="4"/>
        </w:rPr>
        <w:t>元和</w:t>
      </w:r>
      <w:r>
        <w:rPr/>
      </w:r>
    </w:p>
    <w:p>
      <w:pPr>
        <w:pStyle w:val="Heading6"/>
        <w:spacing w:line="240" w:lineRule="auto" w:before="3"/>
        <w:ind w:right="1086"/>
        <w:jc w:val="left"/>
      </w:pPr>
      <w:r>
        <w:rPr>
          <w:rFonts w:ascii="Times New Roman" w:hAnsi="Times New Roman" w:cs="Times New Roman" w:eastAsia="Times New Roman" w:hint="default"/>
        </w:rPr>
        <w:t>-164,082.51</w:t>
      </w:r>
      <w:r>
        <w:rPr/>
        <w:t>元，现金流量表列示于</w:t>
      </w:r>
      <w:r>
        <w:rPr>
          <w:rFonts w:ascii="Times New Roman" w:hAnsi="Times New Roman" w:cs="Times New Roman" w:eastAsia="Times New Roman" w:hint="default"/>
        </w:rPr>
        <w:t>“</w:t>
      </w:r>
      <w:r>
        <w:rPr/>
        <w:t>支付其他与投资活动有关的现金</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Heading5"/>
        <w:spacing w:line="240" w:lineRule="auto"/>
        <w:ind w:right="1086"/>
        <w:jc w:val="left"/>
        <w:rPr>
          <w:b w:val="0"/>
          <w:bCs w:val="0"/>
        </w:rPr>
      </w:pPr>
      <w:bookmarkStart w:name="（4）现金和现金等价物的构成" w:id="411"/>
      <w:bookmarkEnd w:id="41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505,003,784.42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468,158,593.60</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318,425.37</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180,763.84</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504,670,371.73</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467,864,678.74</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14,987.32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113,151.02</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505,003,784.42</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468,158,593.60</w:t>
            </w:r>
          </w:p>
        </w:tc>
      </w:tr>
    </w:tbl>
    <w:p>
      <w:pPr>
        <w:pStyle w:val="BodyText"/>
        <w:spacing w:line="240" w:lineRule="auto" w:before="45"/>
        <w:ind w:right="1086"/>
        <w:jc w:val="left"/>
      </w:pPr>
      <w:r>
        <w:rPr/>
        <w:t>其他说明：</w:t>
      </w:r>
    </w:p>
    <w:p>
      <w:pPr>
        <w:pStyle w:val="Heading6"/>
        <w:spacing w:line="240" w:lineRule="auto" w:before="89"/>
        <w:ind w:left="561" w:right="1086"/>
        <w:jc w:val="left"/>
      </w:pPr>
      <w:r>
        <w:rPr/>
        <w:t>不属于现金及现金等价物的货币资金情况的说明：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240" w:lineRule="auto"/>
        <w:ind w:left="0" w:right="2027"/>
        <w:jc w:val="right"/>
      </w:pPr>
      <w:r>
        <w:rPr/>
        <w:pict>
          <v:shape style="position:absolute;margin-left:56.325001pt;margin-top:-65.338287pt;width:435.6pt;height:146.4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7"/>
                    <w:gridCol w:w="1637"/>
                    <w:gridCol w:w="1622"/>
                    <w:gridCol w:w="1637"/>
                    <w:gridCol w:w="2155"/>
                  </w:tblGrid>
                  <w:tr>
                    <w:trPr>
                      <w:trHeight w:val="345"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时点</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5" w:right="0"/>
                          <w:jc w:val="left"/>
                          <w:rPr>
                            <w:rFonts w:ascii="宋体" w:hAnsi="宋体" w:cs="宋体" w:eastAsia="宋体" w:hint="default"/>
                            <w:sz w:val="18"/>
                            <w:szCs w:val="18"/>
                          </w:rPr>
                        </w:pPr>
                        <w:r>
                          <w:rPr>
                            <w:rFonts w:ascii="宋体" w:hAnsi="宋体" w:cs="宋体" w:eastAsia="宋体" w:hint="default"/>
                            <w:sz w:val="18"/>
                            <w:szCs w:val="18"/>
                          </w:rPr>
                          <w:t>现金流量表</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345" w:right="0"/>
                          <w:jc w:val="left"/>
                          <w:rPr>
                            <w:rFonts w:ascii="宋体" w:hAnsi="宋体" w:cs="宋体" w:eastAsia="宋体" w:hint="default"/>
                            <w:sz w:val="18"/>
                            <w:szCs w:val="18"/>
                          </w:rPr>
                        </w:pPr>
                        <w:r>
                          <w:rPr>
                            <w:rFonts w:ascii="宋体" w:hAnsi="宋体" w:cs="宋体" w:eastAsia="宋体" w:hint="default"/>
                            <w:sz w:val="18"/>
                            <w:szCs w:val="18"/>
                          </w:rPr>
                          <w:t>资产负债表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50" w:right="0"/>
                          <w:jc w:val="left"/>
                          <w:rPr>
                            <w:rFonts w:ascii="宋体" w:hAnsi="宋体" w:cs="宋体" w:eastAsia="宋体" w:hint="default"/>
                            <w:sz w:val="18"/>
                            <w:szCs w:val="18"/>
                          </w:rPr>
                        </w:pPr>
                        <w:r>
                          <w:rPr>
                            <w:rFonts w:ascii="宋体" w:hAnsi="宋体" w:cs="宋体" w:eastAsia="宋体" w:hint="default"/>
                            <w:sz w:val="18"/>
                            <w:szCs w:val="18"/>
                          </w:rPr>
                          <w:t>差异金额</w:t>
                        </w:r>
                      </w:p>
                    </w:tc>
                    <w:tc>
                      <w:tcPr>
                        <w:tcW w:w="215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4"/>
                          <w:ind w:left="690" w:right="0"/>
                          <w:jc w:val="left"/>
                          <w:rPr>
                            <w:rFonts w:ascii="宋体" w:hAnsi="宋体" w:cs="宋体" w:eastAsia="宋体" w:hint="default"/>
                            <w:sz w:val="18"/>
                            <w:szCs w:val="18"/>
                          </w:rPr>
                        </w:pPr>
                        <w:r>
                          <w:rPr>
                            <w:rFonts w:ascii="宋体" w:hAnsi="宋体" w:cs="宋体" w:eastAsia="宋体" w:hint="default"/>
                            <w:sz w:val="18"/>
                            <w:szCs w:val="18"/>
                          </w:rPr>
                          <w:t>差异内容</w:t>
                        </w:r>
                      </w:p>
                    </w:tc>
                  </w:tr>
                  <w:tr>
                    <w:trPr>
                      <w:trHeight w:val="97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468,158,593.60</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482,794,143.90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14,635,550.30</w:t>
                        </w:r>
                      </w:p>
                    </w:tc>
                    <w:tc>
                      <w:tcPr>
                        <w:tcW w:w="2155" w:type="dxa"/>
                        <w:tcBorders>
                          <w:top w:val="single" w:sz="6" w:space="0" w:color="000000"/>
                          <w:left w:val="single" w:sz="6" w:space="0" w:color="000000"/>
                          <w:bottom w:val="single" w:sz="6" w:space="0" w:color="000000"/>
                          <w:right w:val="nil" w:sz="6" w:space="0" w:color="auto"/>
                        </w:tcBorders>
                      </w:tcPr>
                      <w:p>
                        <w:pPr>
                          <w:pStyle w:val="TableParagraph"/>
                          <w:spacing w:line="312" w:lineRule="auto" w:before="15"/>
                          <w:ind w:right="1"/>
                          <w:jc w:val="both"/>
                          <w:rPr>
                            <w:rFonts w:ascii="宋体" w:hAnsi="宋体" w:cs="宋体" w:eastAsia="宋体" w:hint="default"/>
                            <w:sz w:val="18"/>
                            <w:szCs w:val="18"/>
                          </w:rPr>
                        </w:pPr>
                        <w:r>
                          <w:rPr>
                            <w:rFonts w:ascii="宋体" w:hAnsi="宋体" w:cs="宋体" w:eastAsia="宋体" w:hint="default"/>
                            <w:sz w:val="18"/>
                            <w:szCs w:val="18"/>
                          </w:rPr>
                          <w:t>承 兑 汇 票 保 证</w:t>
                        </w:r>
                        <w:r>
                          <w:rPr>
                            <w:rFonts w:ascii="宋体" w:hAnsi="宋体" w:cs="宋体" w:eastAsia="宋体" w:hint="default"/>
                            <w:spacing w:val="-15"/>
                            <w:sz w:val="18"/>
                            <w:szCs w:val="18"/>
                          </w:rPr>
                          <w:t> </w:t>
                        </w:r>
                        <w:r>
                          <w:rPr>
                            <w:rFonts w:ascii="宋体" w:hAnsi="宋体" w:cs="宋体" w:eastAsia="宋体" w:hint="default"/>
                            <w:sz w:val="18"/>
                            <w:szCs w:val="18"/>
                          </w:rPr>
                          <w:t>金</w:t>
                        </w:r>
                        <w:r>
                          <w:rPr>
                            <w:rFonts w:ascii="宋体" w:hAnsi="宋体" w:cs="宋体" w:eastAsia="宋体" w:hint="default"/>
                            <w:sz w:val="18"/>
                            <w:szCs w:val="18"/>
                          </w:rPr>
                          <w:t> </w:t>
                        </w:r>
                        <w:r>
                          <w:rPr>
                            <w:rFonts w:ascii="Times New Roman" w:hAnsi="Times New Roman" w:cs="Times New Roman" w:eastAsia="Times New Roman" w:hint="default"/>
                            <w:sz w:val="18"/>
                            <w:szCs w:val="18"/>
                          </w:rPr>
                          <w:t>12,656,550.00</w:t>
                        </w:r>
                        <w:r>
                          <w:rPr>
                            <w:rFonts w:ascii="宋体" w:hAnsi="宋体" w:cs="宋体" w:eastAsia="宋体" w:hint="default"/>
                            <w:sz w:val="18"/>
                            <w:szCs w:val="18"/>
                          </w:rPr>
                          <w:t>元，信用证保 证金</w:t>
                        </w:r>
                        <w:r>
                          <w:rPr>
                            <w:rFonts w:ascii="Times New Roman" w:hAnsi="Times New Roman" w:cs="Times New Roman" w:eastAsia="Times New Roman" w:hint="default"/>
                            <w:sz w:val="18"/>
                            <w:szCs w:val="18"/>
                          </w:rPr>
                          <w:t>1,979,000.30</w:t>
                        </w:r>
                        <w:r>
                          <w:rPr>
                            <w:rFonts w:ascii="宋体" w:hAnsi="宋体" w:cs="宋体" w:eastAsia="宋体" w:hint="default"/>
                            <w:sz w:val="18"/>
                            <w:szCs w:val="18"/>
                          </w:rPr>
                          <w:t>元</w:t>
                        </w:r>
                      </w:p>
                    </w:tc>
                  </w:tr>
                  <w:tr>
                    <w:trPr>
                      <w:trHeight w:val="1591"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505,003,784.42</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532,074,102.60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27,070,318.18</w:t>
                        </w:r>
                      </w:p>
                    </w:tc>
                    <w:tc>
                      <w:tcPr>
                        <w:tcW w:w="2155" w:type="dxa"/>
                        <w:tcBorders>
                          <w:top w:val="single" w:sz="6" w:space="0" w:color="000000"/>
                          <w:left w:val="single" w:sz="6" w:space="0" w:color="000000"/>
                          <w:bottom w:val="single" w:sz="6" w:space="0" w:color="000000"/>
                          <w:right w:val="nil" w:sz="6" w:space="0" w:color="auto"/>
                        </w:tcBorders>
                      </w:tcPr>
                      <w:p>
                        <w:pPr>
                          <w:pStyle w:val="TableParagraph"/>
                          <w:spacing w:line="300" w:lineRule="auto" w:before="14"/>
                          <w:ind w:right="1"/>
                          <w:jc w:val="both"/>
                          <w:rPr>
                            <w:rFonts w:ascii="宋体" w:hAnsi="宋体" w:cs="宋体" w:eastAsia="宋体" w:hint="default"/>
                            <w:sz w:val="18"/>
                            <w:szCs w:val="18"/>
                          </w:rPr>
                        </w:pPr>
                        <w:r>
                          <w:rPr>
                            <w:rFonts w:ascii="宋体" w:hAnsi="宋体" w:cs="宋体" w:eastAsia="宋体" w:hint="default"/>
                            <w:sz w:val="18"/>
                            <w:szCs w:val="18"/>
                          </w:rPr>
                          <w:t>保函保证金</w:t>
                        </w:r>
                        <w:r>
                          <w:rPr>
                            <w:rFonts w:ascii="Times New Roman" w:hAnsi="Times New Roman" w:cs="Times New Roman" w:eastAsia="Times New Roman" w:hint="default"/>
                            <w:sz w:val="18"/>
                            <w:szCs w:val="18"/>
                          </w:rPr>
                          <w:t>1,420,417.44</w:t>
                        </w:r>
                        <w:r>
                          <w:rPr>
                            <w:rFonts w:ascii="宋体" w:hAnsi="宋体" w:cs="宋体" w:eastAsia="宋体" w:hint="default"/>
                            <w:sz w:val="18"/>
                            <w:szCs w:val="18"/>
                          </w:rPr>
                          <w:t>元 贷款保证金</w:t>
                        </w:r>
                        <w:r>
                          <w:rPr>
                            <w:rFonts w:ascii="Times New Roman" w:hAnsi="Times New Roman" w:cs="Times New Roman" w:eastAsia="Times New Roman" w:hint="default"/>
                            <w:sz w:val="18"/>
                            <w:szCs w:val="18"/>
                          </w:rPr>
                          <w:t>1,744,050.00</w:t>
                        </w:r>
                        <w:r>
                          <w:rPr>
                            <w:rFonts w:ascii="宋体" w:hAnsi="宋体" w:cs="宋体" w:eastAsia="宋体" w:hint="default"/>
                            <w:sz w:val="18"/>
                            <w:szCs w:val="18"/>
                          </w:rPr>
                          <w:t>元 锁汇保证金</w:t>
                        </w:r>
                        <w:r>
                          <w:rPr>
                            <w:rFonts w:ascii="Times New Roman" w:hAnsi="Times New Roman" w:cs="Times New Roman" w:eastAsia="Times New Roman" w:hint="default"/>
                            <w:sz w:val="18"/>
                            <w:szCs w:val="18"/>
                          </w:rPr>
                          <w:t>2,332,869.99</w:t>
                        </w:r>
                        <w:r>
                          <w:rPr>
                            <w:rFonts w:ascii="宋体" w:hAnsi="宋体" w:cs="宋体" w:eastAsia="宋体" w:hint="default"/>
                            <w:sz w:val="18"/>
                            <w:szCs w:val="18"/>
                          </w:rPr>
                          <w:t>元 承  兑  汇 票  保  证</w:t>
                        </w:r>
                        <w:r>
                          <w:rPr>
                            <w:rFonts w:ascii="宋体" w:hAnsi="宋体" w:cs="宋体" w:eastAsia="宋体" w:hint="default"/>
                            <w:spacing w:val="-15"/>
                            <w:sz w:val="18"/>
                            <w:szCs w:val="18"/>
                          </w:rPr>
                          <w:t> </w:t>
                        </w:r>
                        <w:r>
                          <w:rPr>
                            <w:rFonts w:ascii="宋体" w:hAnsi="宋体" w:cs="宋体" w:eastAsia="宋体" w:hint="default"/>
                            <w:sz w:val="18"/>
                            <w:szCs w:val="18"/>
                          </w:rPr>
                          <w:t>金</w:t>
                        </w:r>
                      </w:p>
                      <w:p>
                        <w:pPr>
                          <w:pStyle w:val="TableParagraph"/>
                          <w:spacing w:line="240" w:lineRule="auto" w:before="50"/>
                          <w:ind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21,572,980.75</w:t>
                        </w:r>
                        <w:r>
                          <w:rPr>
                            <w:rFonts w:ascii="宋体" w:hAnsi="宋体" w:cs="宋体" w:eastAsia="宋体" w:hint="default"/>
                            <w:sz w:val="18"/>
                            <w:szCs w:val="18"/>
                          </w:rPr>
                          <w:t>元</w:t>
                        </w:r>
                      </w:p>
                    </w:tc>
                  </w:tr>
                </w:tbl>
                <w:p>
                  <w:pPr/>
                </w:p>
              </w:txbxContent>
            </v:textbox>
            <w10:wrap type="none"/>
          </v:shape>
        </w:pict>
      </w:r>
      <w:r>
        <w:rPr/>
        <w:t>，</w:t>
      </w:r>
    </w:p>
    <w:p>
      <w:pPr>
        <w:pStyle w:val="BodyText"/>
        <w:spacing w:line="240" w:lineRule="auto" w:before="80"/>
        <w:ind w:left="0" w:right="2027"/>
        <w:jc w:val="right"/>
      </w:pPr>
      <w:r>
        <w:rPr/>
        <w:t>，</w:t>
      </w:r>
    </w:p>
    <w:p>
      <w:pPr>
        <w:pStyle w:val="BodyText"/>
        <w:spacing w:line="240" w:lineRule="auto" w:before="79"/>
        <w:ind w:left="0" w:right="202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6"/>
        <w:spacing w:line="240" w:lineRule="auto" w:before="166"/>
        <w:ind w:left="561" w:right="1086"/>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6"/>
        </w:rPr>
        <w:t> </w:t>
      </w:r>
      <w:r>
        <w:rPr/>
        <w:t>不涉及现金收支的商业汇票背书转让金额</w:t>
      </w:r>
    </w:p>
    <w:p>
      <w:pPr>
        <w:spacing w:line="240" w:lineRule="auto" w:before="6"/>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656"/>
        <w:gridCol w:w="1968"/>
        <w:gridCol w:w="1915"/>
      </w:tblGrid>
      <w:tr>
        <w:trPr>
          <w:trHeight w:val="345" w:hRule="exact"/>
        </w:trPr>
        <w:tc>
          <w:tcPr>
            <w:tcW w:w="465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75"/>
                <w:sz w:val="21"/>
                <w:szCs w:val="21"/>
              </w:rPr>
              <w:t> </w:t>
            </w:r>
            <w:r>
              <w:rPr>
                <w:rFonts w:ascii="宋体" w:hAnsi="宋体" w:cs="宋体" w:eastAsia="宋体" w:hint="default"/>
                <w:sz w:val="21"/>
                <w:szCs w:val="21"/>
              </w:rPr>
              <w:t>目</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60"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1915"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630" w:right="0"/>
              <w:jc w:val="left"/>
              <w:rPr>
                <w:rFonts w:ascii="宋体" w:hAnsi="宋体" w:cs="宋体" w:eastAsia="宋体" w:hint="default"/>
                <w:sz w:val="21"/>
                <w:szCs w:val="21"/>
              </w:rPr>
            </w:pPr>
            <w:r>
              <w:rPr>
                <w:rFonts w:ascii="宋体" w:hAnsi="宋体" w:cs="宋体" w:eastAsia="宋体" w:hint="default"/>
                <w:sz w:val="21"/>
                <w:szCs w:val="21"/>
              </w:rPr>
              <w:t>上期数</w:t>
            </w:r>
          </w:p>
        </w:tc>
      </w:tr>
      <w:tr>
        <w:trPr>
          <w:trHeight w:val="345" w:hRule="exact"/>
        </w:trPr>
        <w:tc>
          <w:tcPr>
            <w:tcW w:w="465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背书转让的商业汇票金额</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30" w:right="-13"/>
              <w:jc w:val="left"/>
              <w:rPr>
                <w:rFonts w:ascii="Times New Roman" w:hAnsi="Times New Roman" w:cs="Times New Roman" w:eastAsia="Times New Roman" w:hint="default"/>
                <w:sz w:val="21"/>
                <w:szCs w:val="21"/>
              </w:rPr>
            </w:pPr>
            <w:r>
              <w:rPr>
                <w:rFonts w:ascii="Times New Roman"/>
                <w:sz w:val="21"/>
              </w:rPr>
              <w:t>128,803,987.60</w:t>
            </w:r>
          </w:p>
        </w:tc>
        <w:tc>
          <w:tcPr>
            <w:tcW w:w="1915"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465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其中：支付货款</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630" w:right="-13"/>
              <w:jc w:val="left"/>
              <w:rPr>
                <w:rFonts w:ascii="Times New Roman" w:hAnsi="Times New Roman" w:cs="Times New Roman" w:eastAsia="Times New Roman" w:hint="default"/>
                <w:sz w:val="21"/>
                <w:szCs w:val="21"/>
              </w:rPr>
            </w:pPr>
            <w:r>
              <w:rPr>
                <w:rFonts w:ascii="Times New Roman"/>
                <w:sz w:val="21"/>
              </w:rPr>
              <w:t>128,803,987.60</w:t>
            </w:r>
          </w:p>
        </w:tc>
        <w:tc>
          <w:tcPr>
            <w:tcW w:w="1915" w:type="dxa"/>
            <w:tcBorders>
              <w:top w:val="single" w:sz="6" w:space="0" w:color="000000"/>
              <w:left w:val="single" w:sz="6" w:space="0" w:color="000000"/>
              <w:bottom w:val="single" w:sz="6" w:space="0" w:color="000000"/>
              <w:right w:val="nil" w:sz="6" w:space="0" w:color="auto"/>
            </w:tcBorders>
          </w:tcPr>
          <w:p>
            <w:pPr/>
          </w:p>
        </w:tc>
      </w:tr>
    </w:tbl>
    <w:p>
      <w:pPr>
        <w:spacing w:after="0"/>
        <w:sectPr>
          <w:pgSz w:w="11910" w:h="16850"/>
          <w:pgMar w:header="866" w:footer="981" w:top="112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5"/>
        <w:spacing w:line="240" w:lineRule="auto" w:before="35"/>
        <w:ind w:right="1086"/>
        <w:jc w:val="left"/>
        <w:rPr>
          <w:b w:val="0"/>
          <w:bCs w:val="0"/>
        </w:rPr>
      </w:pPr>
      <w:bookmarkStart w:name="80、所有者权益变动表项目注释" w:id="412"/>
      <w:bookmarkEnd w:id="412"/>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81、所有权或使用权受到限制的资产" w:id="413"/>
      <w:bookmarkEnd w:id="413"/>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1021"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27,070,318.18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保函保证金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1,420,417.44</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元；贷款保证金</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1,744,050.00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锁汇保证金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2,332,869.99</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元；承兑汇票保证金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21,572,980.75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17,260,723.89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44,331,042.07</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82、外币货币性项目" w:id="414"/>
      <w:bookmarkEnd w:id="414"/>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外币货币性项目" w:id="415"/>
      <w:bookmarkEnd w:id="41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78"/>
        <w:gridCol w:w="2306"/>
        <w:gridCol w:w="2403"/>
        <w:gridCol w:w="2388"/>
      </w:tblGrid>
      <w:tr>
        <w:trPr>
          <w:trHeight w:val="406"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3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6"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390"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10,491,050.45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73,187,666.15</w:t>
            </w:r>
          </w:p>
        </w:tc>
      </w:tr>
      <w:tr>
        <w:trPr>
          <w:trHeight w:val="405"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561,893.07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4,391,475.29</w:t>
            </w:r>
          </w:p>
        </w:tc>
      </w:tr>
      <w:tr>
        <w:trPr>
          <w:trHeight w:val="406"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8,341,163.21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0.8958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7,472,014.00</w:t>
            </w:r>
          </w:p>
        </w:tc>
      </w:tr>
      <w:tr>
        <w:trPr>
          <w:trHeight w:val="405" w:hRule="exact"/>
        </w:trPr>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22"/>
              <w:jc w:val="right"/>
              <w:rPr>
                <w:rFonts w:ascii="宋体" w:hAnsi="宋体" w:cs="宋体" w:eastAsia="宋体" w:hint="default"/>
                <w:sz w:val="18"/>
                <w:szCs w:val="18"/>
              </w:rPr>
            </w:pPr>
            <w:r>
              <w:rPr>
                <w:rFonts w:ascii="宋体" w:hAnsi="宋体" w:cs="宋体" w:eastAsia="宋体" w:hint="default"/>
                <w:sz w:val="18"/>
                <w:szCs w:val="18"/>
              </w:rPr>
              <w:t>智利比索</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223,162,629.00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0.0093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2,075,412.45</w:t>
            </w:r>
          </w:p>
        </w:tc>
      </w:tr>
      <w:tr>
        <w:trPr>
          <w:trHeight w:val="405" w:hRule="exact"/>
        </w:trPr>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22"/>
              <w:jc w:val="right"/>
              <w:rPr>
                <w:rFonts w:ascii="宋体" w:hAnsi="宋体" w:cs="宋体" w:eastAsia="宋体" w:hint="default"/>
                <w:sz w:val="18"/>
                <w:szCs w:val="18"/>
              </w:rPr>
            </w:pPr>
            <w:r>
              <w:rPr>
                <w:rFonts w:ascii="宋体" w:hAnsi="宋体" w:cs="宋体" w:eastAsia="宋体" w:hint="default"/>
                <w:sz w:val="18"/>
                <w:szCs w:val="18"/>
              </w:rPr>
              <w:t>瑞典克朗</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132,970.00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0.7464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99,248.81</w:t>
            </w:r>
          </w:p>
        </w:tc>
      </w:tr>
      <w:tr>
        <w:trPr>
          <w:trHeight w:val="391" w:hRule="exact"/>
        </w:trPr>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06"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其中：智利比索</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11,215,805.00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0.0093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104,306.99</w:t>
            </w:r>
          </w:p>
        </w:tc>
      </w:tr>
      <w:tr>
        <w:trPr>
          <w:trHeight w:val="405"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6"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15,363,181.01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107,176,623.36</w:t>
            </w:r>
          </w:p>
        </w:tc>
      </w:tr>
      <w:tr>
        <w:trPr>
          <w:trHeight w:val="405"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1,068,881.23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8,353,841.25</w:t>
            </w:r>
          </w:p>
        </w:tc>
      </w:tr>
      <w:tr>
        <w:trPr>
          <w:trHeight w:val="390"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42,716,567.80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0.8958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38,265,501.44</w:t>
            </w:r>
          </w:p>
        </w:tc>
      </w:tr>
      <w:tr>
        <w:trPr>
          <w:trHeight w:val="405" w:hRule="exact"/>
        </w:trPr>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22"/>
              <w:jc w:val="right"/>
              <w:rPr>
                <w:rFonts w:ascii="宋体" w:hAnsi="宋体" w:cs="宋体" w:eastAsia="宋体" w:hint="default"/>
                <w:sz w:val="18"/>
                <w:szCs w:val="18"/>
              </w:rPr>
            </w:pPr>
            <w:r>
              <w:rPr>
                <w:rFonts w:ascii="宋体" w:hAnsi="宋体" w:cs="宋体" w:eastAsia="宋体" w:hint="default"/>
                <w:sz w:val="18"/>
                <w:szCs w:val="18"/>
              </w:rPr>
              <w:t>智利比索</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904,363,194.00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0.0093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8,410,577.70</w:t>
            </w:r>
          </w:p>
        </w:tc>
      </w:tr>
      <w:tr>
        <w:trPr>
          <w:trHeight w:val="405" w:hRule="exact"/>
        </w:trPr>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06"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141,611.26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987,908.47</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84"/>
              <w:jc w:val="center"/>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101,395.67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792,457.86</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8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1,740,997.44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0.8958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1,559,585.51</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30"/>
              <w:jc w:val="right"/>
              <w:rPr>
                <w:rFonts w:ascii="宋体" w:hAnsi="宋体" w:cs="宋体" w:eastAsia="宋体" w:hint="default"/>
                <w:sz w:val="18"/>
                <w:szCs w:val="18"/>
              </w:rPr>
            </w:pPr>
            <w:r>
              <w:rPr>
                <w:rFonts w:ascii="宋体" w:hAnsi="宋体" w:cs="宋体" w:eastAsia="宋体" w:hint="default"/>
                <w:sz w:val="18"/>
                <w:szCs w:val="18"/>
              </w:rPr>
              <w:t>智利比索</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76,049,759.00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0.0093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707,262.76</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30"/>
              <w:jc w:val="right"/>
              <w:rPr>
                <w:rFonts w:ascii="宋体" w:hAnsi="宋体" w:cs="宋体" w:eastAsia="宋体" w:hint="default"/>
                <w:sz w:val="18"/>
                <w:szCs w:val="18"/>
              </w:rPr>
            </w:pPr>
            <w:r>
              <w:rPr>
                <w:rFonts w:ascii="宋体" w:hAnsi="宋体" w:cs="宋体" w:eastAsia="宋体" w:hint="default"/>
                <w:sz w:val="18"/>
                <w:szCs w:val="18"/>
              </w:rPr>
              <w:t>瑞典克朗</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9,250.00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0.7464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6,904.20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6,970,000.00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48,624,114.00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84"/>
              <w:jc w:val="center"/>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9,826,000.00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76,795,103.00</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智利比索</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17,859,288.00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0.0093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166,091.38</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4,203,384.98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29,323,654.30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284"/>
              <w:jc w:val="center"/>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223,253.94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1,744,841.17</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4,961.44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0.8958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4,444.46</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30"/>
              <w:jc w:val="right"/>
              <w:rPr>
                <w:rFonts w:ascii="宋体" w:hAnsi="宋体" w:cs="宋体" w:eastAsia="宋体" w:hint="default"/>
                <w:sz w:val="18"/>
                <w:szCs w:val="18"/>
              </w:rPr>
            </w:pPr>
            <w:r>
              <w:rPr>
                <w:rFonts w:ascii="宋体" w:hAnsi="宋体" w:cs="宋体" w:eastAsia="宋体" w:hint="default"/>
                <w:sz w:val="18"/>
                <w:szCs w:val="18"/>
              </w:rPr>
              <w:t>智利比索</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206,293,708.00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0.0093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1,918,531.48</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0"/>
              <w:jc w:val="right"/>
              <w:rPr>
                <w:rFonts w:ascii="宋体" w:hAnsi="宋体" w:cs="宋体" w:eastAsia="宋体" w:hint="default"/>
                <w:sz w:val="18"/>
                <w:szCs w:val="18"/>
              </w:rPr>
            </w:pPr>
            <w:r>
              <w:rPr>
                <w:rFonts w:ascii="宋体" w:hAnsi="宋体" w:cs="宋体" w:eastAsia="宋体" w:hint="default"/>
                <w:sz w:val="18"/>
                <w:szCs w:val="18"/>
              </w:rPr>
              <w:t>瑞典克朗</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27,480.00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0.7464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20,511.07</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38,870.99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7.8155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303,796.22</w:t>
            </w:r>
          </w:p>
        </w:tc>
      </w:tr>
      <w:tr>
        <w:trPr>
          <w:trHeight w:val="390"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0.8958</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44,790.00</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930"/>
              <w:jc w:val="right"/>
              <w:rPr>
                <w:rFonts w:ascii="宋体" w:hAnsi="宋体" w:cs="宋体" w:eastAsia="宋体" w:hint="default"/>
                <w:sz w:val="18"/>
                <w:szCs w:val="18"/>
              </w:rPr>
            </w:pPr>
            <w:r>
              <w:rPr>
                <w:rFonts w:ascii="宋体" w:hAnsi="宋体" w:cs="宋体" w:eastAsia="宋体" w:hint="default"/>
                <w:sz w:val="18"/>
                <w:szCs w:val="18"/>
              </w:rPr>
              <w:t>智利比索</w:t>
            </w:r>
          </w:p>
        </w:tc>
        <w:tc>
          <w:tcPr>
            <w:tcW w:w="22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127,712,581.80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0.0093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1,187,727.01</w:t>
            </w:r>
          </w:p>
        </w:tc>
      </w:tr>
      <w:tr>
        <w:trPr>
          <w:trHeight w:val="4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2388" w:type="dxa"/>
            <w:tcBorders>
              <w:top w:val="single" w:sz="6" w:space="0" w:color="000000"/>
              <w:left w:val="single" w:sz="18" w:space="0" w:color="D2D2D2"/>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15,000,000.00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6.9762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104,643,000.00</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8" w:type="dxa"/>
            <w:tcBorders>
              <w:top w:val="single" w:sz="6" w:space="0" w:color="000000"/>
              <w:left w:val="single" w:sz="12" w:space="0" w:color="D2D2D2"/>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86" w:lineRule="exact" w:before="156"/>
        <w:ind w:right="1086"/>
        <w:jc w:val="left"/>
        <w:rPr>
          <w:b w:val="0"/>
          <w:bCs w:val="0"/>
        </w:rPr>
      </w:pPr>
      <w:bookmarkStart w:name="（2）境外经营实体说明，包括对于重要的境外经营实体，应披露其境外主要经营地、记账" w:id="416"/>
      <w:bookmarkEnd w:id="41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57"/>
        </w:rPr>
        <w:t> </w:t>
      </w:r>
      <w:r>
        <w:rPr>
          <w:spacing w:val="-57"/>
        </w:rPr>
      </w:r>
      <w:r>
        <w:rPr/>
        <w:t>依据，记账本位币发生变化的还应披露原因。</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3379"/>
        <w:gridCol w:w="1412"/>
        <w:gridCol w:w="1547"/>
        <w:gridCol w:w="2440"/>
      </w:tblGrid>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0" w:right="0"/>
              <w:jc w:val="left"/>
              <w:rPr>
                <w:rFonts w:ascii="宋体" w:hAnsi="宋体" w:cs="宋体" w:eastAsia="宋体" w:hint="default"/>
                <w:sz w:val="21"/>
                <w:szCs w:val="21"/>
              </w:rPr>
            </w:pPr>
            <w:r>
              <w:rPr>
                <w:rFonts w:ascii="宋体" w:hAnsi="宋体" w:cs="宋体" w:eastAsia="宋体" w:hint="default"/>
                <w:sz w:val="21"/>
                <w:szCs w:val="21"/>
              </w:rPr>
              <w:t>境外经营实体</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1"/>
              <w:jc w:val="center"/>
              <w:rPr>
                <w:rFonts w:ascii="宋体" w:hAnsi="宋体" w:cs="宋体" w:eastAsia="宋体" w:hint="default"/>
                <w:sz w:val="21"/>
                <w:szCs w:val="21"/>
              </w:rPr>
            </w:pPr>
            <w:r>
              <w:rPr>
                <w:rFonts w:ascii="宋体" w:hAnsi="宋体" w:cs="宋体" w:eastAsia="宋体" w:hint="default"/>
                <w:sz w:val="21"/>
                <w:szCs w:val="21"/>
              </w:rPr>
              <w:t>主要经营地</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记账本位币</w:t>
            </w:r>
          </w:p>
        </w:tc>
        <w:tc>
          <w:tcPr>
            <w:tcW w:w="2440"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297"/>
              <w:jc w:val="center"/>
              <w:rPr>
                <w:rFonts w:ascii="宋体" w:hAnsi="宋体" w:cs="宋体" w:eastAsia="宋体" w:hint="default"/>
                <w:sz w:val="21"/>
                <w:szCs w:val="21"/>
              </w:rPr>
            </w:pPr>
            <w:r>
              <w:rPr>
                <w:rFonts w:ascii="宋体" w:hAnsi="宋体" w:cs="宋体" w:eastAsia="宋体" w:hint="default"/>
                <w:sz w:val="21"/>
                <w:szCs w:val="21"/>
              </w:rPr>
              <w:t>选择记账本位币的依据</w:t>
            </w:r>
          </w:p>
        </w:tc>
      </w:tr>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中瑞思创（香港）国际有限公司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3"/>
              <w:jc w:val="center"/>
              <w:rPr>
                <w:rFonts w:ascii="宋体" w:hAnsi="宋体" w:cs="宋体" w:eastAsia="宋体" w:hint="default"/>
                <w:sz w:val="21"/>
                <w:szCs w:val="21"/>
              </w:rPr>
            </w:pPr>
            <w:r>
              <w:rPr>
                <w:rFonts w:ascii="宋体" w:hAnsi="宋体" w:cs="宋体" w:eastAsia="宋体" w:hint="default"/>
                <w:sz w:val="21"/>
                <w:szCs w:val="21"/>
              </w:rPr>
              <w:t>香港</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440"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296"/>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z w:val="21"/>
              </w:rPr>
              <w:t>Century Retail Europe</w:t>
            </w:r>
            <w:r>
              <w:rPr>
                <w:rFonts w:ascii="Times New Roman"/>
                <w:spacing w:val="-2"/>
                <w:sz w:val="21"/>
              </w:rPr>
              <w:t> </w:t>
            </w:r>
            <w:r>
              <w:rPr>
                <w:rFonts w:ascii="Times New Roman"/>
                <w:spacing w:val="-8"/>
                <w:sz w:val="21"/>
              </w:rPr>
              <w:t>B.V.</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
              <w:jc w:val="center"/>
              <w:rPr>
                <w:rFonts w:ascii="宋体" w:hAnsi="宋体" w:cs="宋体" w:eastAsia="宋体" w:hint="default"/>
                <w:sz w:val="21"/>
                <w:szCs w:val="21"/>
              </w:rPr>
            </w:pPr>
            <w:r>
              <w:rPr>
                <w:rFonts w:ascii="宋体" w:hAnsi="宋体" w:cs="宋体" w:eastAsia="宋体" w:hint="default"/>
                <w:sz w:val="21"/>
                <w:szCs w:val="21"/>
              </w:rPr>
              <w:t>荷兰</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欧元</w:t>
            </w:r>
          </w:p>
        </w:tc>
        <w:tc>
          <w:tcPr>
            <w:tcW w:w="2440"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96"/>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z w:val="21"/>
              </w:rPr>
              <w:t>Century </w:t>
            </w:r>
            <w:r>
              <w:rPr>
                <w:rFonts w:ascii="Times New Roman"/>
                <w:spacing w:val="-6"/>
                <w:sz w:val="21"/>
              </w:rPr>
              <w:t>Link</w:t>
            </w:r>
            <w:r>
              <w:rPr>
                <w:rFonts w:ascii="Times New Roman"/>
                <w:spacing w:val="27"/>
                <w:sz w:val="21"/>
              </w:rPr>
              <w:t> </w:t>
            </w:r>
            <w:r>
              <w:rPr>
                <w:rFonts w:ascii="Times New Roman"/>
                <w:spacing w:val="-3"/>
                <w:sz w:val="21"/>
              </w:rPr>
              <w:t>America</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
              <w:jc w:val="center"/>
              <w:rPr>
                <w:rFonts w:ascii="宋体" w:hAnsi="宋体" w:cs="宋体" w:eastAsia="宋体" w:hint="default"/>
                <w:sz w:val="21"/>
                <w:szCs w:val="21"/>
              </w:rPr>
            </w:pPr>
            <w:r>
              <w:rPr>
                <w:rFonts w:ascii="宋体" w:hAnsi="宋体" w:cs="宋体" w:eastAsia="宋体" w:hint="default"/>
                <w:sz w:val="21"/>
                <w:szCs w:val="21"/>
              </w:rPr>
              <w:t>美国</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美元</w:t>
            </w:r>
          </w:p>
        </w:tc>
        <w:tc>
          <w:tcPr>
            <w:tcW w:w="2440"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96"/>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z w:val="21"/>
              </w:rPr>
              <w:t>Century Europe</w:t>
            </w:r>
            <w:r>
              <w:rPr>
                <w:rFonts w:ascii="Times New Roman"/>
                <w:spacing w:val="-2"/>
                <w:sz w:val="21"/>
              </w:rPr>
              <w:t> </w:t>
            </w:r>
            <w:r>
              <w:rPr>
                <w:rFonts w:ascii="Times New Roman"/>
                <w:sz w:val="21"/>
              </w:rPr>
              <w:t>AB</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
              <w:jc w:val="center"/>
              <w:rPr>
                <w:rFonts w:ascii="宋体" w:hAnsi="宋体" w:cs="宋体" w:eastAsia="宋体" w:hint="default"/>
                <w:sz w:val="21"/>
                <w:szCs w:val="21"/>
              </w:rPr>
            </w:pPr>
            <w:r>
              <w:rPr>
                <w:rFonts w:ascii="宋体" w:hAnsi="宋体" w:cs="宋体" w:eastAsia="宋体" w:hint="default"/>
                <w:sz w:val="21"/>
                <w:szCs w:val="21"/>
              </w:rPr>
              <w:t>瑞典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瑞典克朗</w:t>
            </w:r>
          </w:p>
        </w:tc>
        <w:tc>
          <w:tcPr>
            <w:tcW w:w="2440"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96"/>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GL</w:t>
            </w:r>
            <w:r>
              <w:rPr>
                <w:rFonts w:ascii="宋体" w:hAnsi="宋体" w:cs="宋体" w:eastAsia="宋体" w:hint="default"/>
                <w:spacing w:val="-3"/>
                <w:sz w:val="21"/>
                <w:szCs w:val="21"/>
              </w:rPr>
              <w:t>公司</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
              <w:jc w:val="center"/>
              <w:rPr>
                <w:rFonts w:ascii="宋体" w:hAnsi="宋体" w:cs="宋体" w:eastAsia="宋体" w:hint="default"/>
                <w:sz w:val="21"/>
                <w:szCs w:val="21"/>
              </w:rPr>
            </w:pPr>
            <w:r>
              <w:rPr>
                <w:rFonts w:ascii="宋体" w:hAnsi="宋体" w:cs="宋体" w:eastAsia="宋体" w:hint="default"/>
                <w:sz w:val="21"/>
                <w:szCs w:val="21"/>
              </w:rPr>
              <w:t>智利</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智利比索</w:t>
            </w:r>
          </w:p>
        </w:tc>
        <w:tc>
          <w:tcPr>
            <w:tcW w:w="2440"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right="296"/>
              <w:jc w:val="center"/>
              <w:rPr>
                <w:rFonts w:ascii="宋体" w:hAnsi="宋体" w:cs="宋体" w:eastAsia="宋体" w:hint="default"/>
                <w:sz w:val="21"/>
                <w:szCs w:val="21"/>
              </w:rPr>
            </w:pPr>
            <w:r>
              <w:rPr>
                <w:rFonts w:ascii="宋体" w:hAnsi="宋体" w:cs="宋体" w:eastAsia="宋体" w:hint="default"/>
                <w:sz w:val="21"/>
                <w:szCs w:val="21"/>
              </w:rPr>
              <w:t>经营所在地主要货币</w:t>
            </w:r>
          </w:p>
        </w:tc>
      </w:tr>
    </w:tbl>
    <w:p>
      <w:pPr>
        <w:spacing w:after="0" w:line="270" w:lineRule="exact"/>
        <w:jc w:val="center"/>
        <w:rPr>
          <w:rFonts w:ascii="宋体" w:hAnsi="宋体" w:cs="宋体" w:eastAsia="宋体" w:hint="default"/>
          <w:sz w:val="21"/>
          <w:szCs w:val="21"/>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379"/>
        <w:gridCol w:w="1412"/>
        <w:gridCol w:w="1547"/>
        <w:gridCol w:w="2440"/>
      </w:tblGrid>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pacing w:val="-4"/>
                <w:sz w:val="21"/>
              </w:rPr>
              <w:t>EWELL </w:t>
            </w:r>
            <w:r>
              <w:rPr>
                <w:rFonts w:ascii="Times New Roman"/>
                <w:sz w:val="21"/>
              </w:rPr>
              <w:t>HONGKONG LIMITED</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93"/>
              <w:jc w:val="right"/>
              <w:rPr>
                <w:rFonts w:ascii="宋体" w:hAnsi="宋体" w:cs="宋体" w:eastAsia="宋体" w:hint="default"/>
                <w:sz w:val="21"/>
                <w:szCs w:val="21"/>
              </w:rPr>
            </w:pPr>
            <w:r>
              <w:rPr>
                <w:rFonts w:ascii="宋体" w:hAnsi="宋体" w:cs="宋体" w:eastAsia="宋体" w:hint="default"/>
                <w:sz w:val="21"/>
                <w:szCs w:val="21"/>
              </w:rPr>
              <w:t>香港</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440"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r>
        <w:trPr>
          <w:trHeight w:val="345"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left"/>
              <w:rPr>
                <w:rFonts w:ascii="Times New Roman" w:hAnsi="Times New Roman" w:cs="Times New Roman" w:eastAsia="Times New Roman" w:hint="default"/>
                <w:sz w:val="21"/>
                <w:szCs w:val="21"/>
              </w:rPr>
            </w:pPr>
            <w:r>
              <w:rPr>
                <w:rFonts w:ascii="Times New Roman"/>
                <w:sz w:val="21"/>
              </w:rPr>
              <w:t>Sun </w:t>
            </w:r>
            <w:r>
              <w:rPr>
                <w:rFonts w:ascii="Times New Roman"/>
                <w:spacing w:val="-3"/>
                <w:sz w:val="21"/>
              </w:rPr>
              <w:t>Pacific  </w:t>
            </w:r>
            <w:r>
              <w:rPr>
                <w:rFonts w:ascii="Times New Roman"/>
                <w:spacing w:val="-6"/>
                <w:sz w:val="21"/>
              </w:rPr>
              <w:t>Link</w:t>
            </w:r>
            <w:r>
              <w:rPr>
                <w:rFonts w:ascii="Times New Roman"/>
                <w:spacing w:val="-2"/>
                <w:sz w:val="21"/>
              </w:rPr>
              <w:t> </w:t>
            </w:r>
            <w:r>
              <w:rPr>
                <w:rFonts w:ascii="Times New Roman"/>
                <w:spacing w:val="-4"/>
                <w:sz w:val="21"/>
              </w:rPr>
              <w:t>Limited</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493"/>
              <w:jc w:val="right"/>
              <w:rPr>
                <w:rFonts w:ascii="宋体" w:hAnsi="宋体" w:cs="宋体" w:eastAsia="宋体" w:hint="default"/>
                <w:sz w:val="21"/>
                <w:szCs w:val="21"/>
              </w:rPr>
            </w:pPr>
            <w:r>
              <w:rPr>
                <w:rFonts w:ascii="宋体" w:hAnsi="宋体" w:cs="宋体" w:eastAsia="宋体" w:hint="default"/>
                <w:sz w:val="21"/>
                <w:szCs w:val="21"/>
              </w:rPr>
              <w:t>香港</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港币</w:t>
            </w:r>
          </w:p>
        </w:tc>
        <w:tc>
          <w:tcPr>
            <w:tcW w:w="2440"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120" w:right="0"/>
              <w:jc w:val="left"/>
              <w:rPr>
                <w:rFonts w:ascii="宋体" w:hAnsi="宋体" w:cs="宋体" w:eastAsia="宋体" w:hint="default"/>
                <w:sz w:val="21"/>
                <w:szCs w:val="21"/>
              </w:rPr>
            </w:pPr>
            <w:r>
              <w:rPr>
                <w:rFonts w:ascii="宋体" w:hAnsi="宋体" w:cs="宋体" w:eastAsia="宋体" w:hint="default"/>
                <w:sz w:val="21"/>
                <w:szCs w:val="21"/>
              </w:rPr>
              <w:t>经营所在地主要货币</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5"/>
        <w:spacing w:line="240" w:lineRule="auto" w:before="35"/>
        <w:ind w:right="1086"/>
        <w:jc w:val="left"/>
        <w:rPr>
          <w:b w:val="0"/>
          <w:bCs w:val="0"/>
        </w:rPr>
      </w:pPr>
      <w:bookmarkStart w:name="83、套期" w:id="417"/>
      <w:bookmarkEnd w:id="417"/>
      <w:r>
        <w:rPr>
          <w:b w:val="0"/>
          <w:bCs w:val="0"/>
        </w:rPr>
      </w:r>
      <w:r>
        <w:rPr>
          <w:rFonts w:ascii="Times New Roman" w:hAnsi="Times New Roman" w:cs="Times New Roman" w:eastAsia="Times New Roman" w:hint="default"/>
        </w:rPr>
        <w:t>83</w:t>
      </w:r>
      <w:r>
        <w:rPr/>
        <w:t>、套期</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按照套期类别披露套期项目及相关套期工具、被套期风险的定性和定量信息：</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84、政府补助" w:id="418"/>
      <w:bookmarkEnd w:id="418"/>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政府补助基本情况" w:id="419"/>
      <w:bookmarkEnd w:id="41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44"/>
              <w:jc w:val="left"/>
              <w:rPr>
                <w:rFonts w:ascii="宋体" w:hAnsi="宋体" w:cs="宋体" w:eastAsia="宋体" w:hint="default"/>
                <w:sz w:val="18"/>
                <w:szCs w:val="18"/>
              </w:rPr>
            </w:pPr>
            <w:r>
              <w:rPr>
                <w:rFonts w:ascii="宋体" w:hAnsi="宋体" w:cs="宋体" w:eastAsia="宋体" w:hint="default"/>
                <w:sz w:val="18"/>
                <w:szCs w:val="18"/>
              </w:rPr>
              <w:t>医用超高频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RFID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标签的研发 及产业化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1,126,984.12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1,126,984.12</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年瞪羚企业资助资金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3,417,300.00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3,417,300.00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基于互联网和物联网技术的 区域健康云平台补助资金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2,679,300.00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2,679,300.00</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both"/>
              <w:rPr>
                <w:rFonts w:ascii="宋体" w:hAnsi="宋体" w:cs="宋体" w:eastAsia="宋体" w:hint="default"/>
                <w:sz w:val="18"/>
                <w:szCs w:val="18"/>
              </w:rPr>
            </w:pPr>
            <w:r>
              <w:rPr>
                <w:rFonts w:ascii="宋体" w:hAnsi="宋体" w:cs="宋体" w:eastAsia="宋体" w:hint="default"/>
                <w:sz w:val="18"/>
                <w:szCs w:val="18"/>
              </w:rPr>
              <w:t>基于人工智能的临床辅助决 策支持系统研发政府补助资 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1,720,000.00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1,720,000.00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物联网智能传感识别芯片研 究补助资金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1,390,000.00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ISO</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标准奖励资金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1,000,000.00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新一代宽带无线移动通信网</w:t>
            </w:r>
            <w:r>
              <w:rPr>
                <w:rFonts w:ascii="Times New Roman" w:hAnsi="Times New Roman" w:cs="Times New Roman" w:eastAsia="Times New Roman" w:hint="default"/>
                <w:sz w:val="18"/>
                <w:szCs w:val="18"/>
              </w:rPr>
              <w:t>"</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科技重大专项课题经费补助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951,200.00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951,200.00</w:t>
            </w:r>
          </w:p>
        </w:tc>
      </w:tr>
      <w:tr>
        <w:trPr>
          <w:trHeight w:val="10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"2013ZX02310-003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智能识别</w:t>
            </w:r>
          </w:p>
          <w:p>
            <w:pPr>
              <w:pStyle w:val="TableParagraph"/>
              <w:spacing w:line="336" w:lineRule="auto" w:before="36"/>
              <w:ind w:left="15" w:right="196"/>
              <w:jc w:val="left"/>
              <w:rPr>
                <w:rFonts w:ascii="宋体" w:hAnsi="宋体" w:cs="宋体" w:eastAsia="宋体" w:hint="default"/>
                <w:sz w:val="18"/>
                <w:szCs w:val="18"/>
              </w:rPr>
            </w:pPr>
            <w:r>
              <w:rPr>
                <w:rFonts w:ascii="宋体" w:hAnsi="宋体" w:cs="宋体" w:eastAsia="宋体" w:hint="default"/>
                <w:sz w:val="18"/>
                <w:szCs w:val="18"/>
              </w:rPr>
              <w:t>传感器产品设计集成一体化 技术</w:t>
            </w:r>
            <w:r>
              <w:rPr>
                <w:rFonts w:ascii="Times New Roman" w:hAnsi="Times New Roman" w:cs="Times New Roman" w:eastAsia="Times New Roman" w:hint="default"/>
                <w:sz w:val="18"/>
                <w:szCs w:val="18"/>
              </w:rPr>
              <w:t>"</w:t>
            </w:r>
            <w:r>
              <w:rPr>
                <w:rFonts w:ascii="宋体" w:hAnsi="宋体" w:cs="宋体" w:eastAsia="宋体" w:hint="default"/>
                <w:sz w:val="18"/>
                <w:szCs w:val="18"/>
              </w:rPr>
              <w:t>课题经费补助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770,000.00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770,000.00</w:t>
            </w:r>
          </w:p>
        </w:tc>
      </w:tr>
      <w:tr>
        <w:trPr>
          <w:trHeight w:val="10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both"/>
              <w:rPr>
                <w:rFonts w:ascii="宋体" w:hAnsi="宋体" w:cs="宋体" w:eastAsia="宋体" w:hint="default"/>
                <w:sz w:val="18"/>
                <w:szCs w:val="18"/>
              </w:rPr>
            </w:pPr>
            <w:r>
              <w:rPr>
                <w:rFonts w:ascii="宋体" w:hAnsi="宋体" w:cs="宋体" w:eastAsia="宋体" w:hint="default"/>
                <w:sz w:val="18"/>
                <w:szCs w:val="18"/>
              </w:rPr>
              <w:t>基于立体化网络建设出生缺 陷综合防控示范应用体系研 发补助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525,000.00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省级重点项目企业研究院重 点研发项目补助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500,000.00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年度广陵区工业和信息 化转型升级项目补助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414,000.00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414,000.00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年度第二批区科技经费 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院内导航信息关键技术及应</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400,000.00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6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用研究经费补助</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年度人才激励专项资金 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331,726.00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331,726.00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2016-2017 </w:t>
            </w:r>
            <w:r>
              <w:rPr>
                <w:rFonts w:ascii="宋体" w:hAnsi="宋体" w:cs="宋体" w:eastAsia="宋体" w:hint="default"/>
                <w:sz w:val="18"/>
                <w:szCs w:val="18"/>
              </w:rPr>
              <w:t>年度科技经费奖励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320,000.00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320,000.00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浙江大学穿戴式科研经费补 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中央财政经费补助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290,000.00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96"/>
              <w:jc w:val="left"/>
              <w:rPr>
                <w:rFonts w:ascii="宋体" w:hAnsi="宋体" w:cs="宋体" w:eastAsia="宋体" w:hint="default"/>
                <w:sz w:val="18"/>
                <w:szCs w:val="18"/>
              </w:rPr>
            </w:pPr>
            <w:r>
              <w:rPr>
                <w:rFonts w:ascii="宋体" w:hAnsi="宋体" w:cs="宋体" w:eastAsia="宋体" w:hint="default"/>
                <w:sz w:val="18"/>
                <w:szCs w:val="18"/>
              </w:rPr>
              <w:t>省融合创新试点和促进高效 用地项目奖励资金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280,000.00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280,000.00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14"/>
              <w:jc w:val="left"/>
              <w:rPr>
                <w:rFonts w:ascii="宋体" w:hAnsi="宋体" w:cs="宋体" w:eastAsia="宋体" w:hint="default"/>
                <w:sz w:val="18"/>
                <w:szCs w:val="18"/>
              </w:rPr>
            </w:pPr>
            <w:r>
              <w:rPr>
                <w:rFonts w:ascii="宋体" w:hAnsi="宋体" w:cs="宋体" w:eastAsia="宋体" w:hint="default"/>
                <w:sz w:val="18"/>
                <w:szCs w:val="18"/>
              </w:rPr>
              <w:t>新一轮</w:t>
            </w:r>
            <w:r>
              <w:rPr>
                <w:rFonts w:ascii="Times New Roman" w:hAnsi="Times New Roman" w:cs="Times New Roman" w:eastAsia="Times New Roman" w:hint="default"/>
                <w:sz w:val="18"/>
                <w:szCs w:val="18"/>
              </w:rPr>
              <w:t>"5050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入选企业研 发经费补助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274,900.00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274,900.00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年杭州市第二批商务发 展（外贸）财政专项补助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245,914.35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245,914.35</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年第二批中小微企业研 发补助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239,000.00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239,000.00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4"/>
              <w:jc w:val="left"/>
              <w:rPr>
                <w:rFonts w:ascii="宋体" w:hAnsi="宋体" w:cs="宋体" w:eastAsia="宋体" w:hint="default"/>
                <w:sz w:val="18"/>
                <w:szCs w:val="18"/>
              </w:rPr>
            </w:pPr>
            <w:r>
              <w:rPr>
                <w:rFonts w:ascii="宋体" w:hAnsi="宋体" w:cs="宋体" w:eastAsia="宋体" w:hint="default"/>
                <w:sz w:val="18"/>
                <w:szCs w:val="18"/>
              </w:rPr>
              <w:t>新一轮</w:t>
            </w:r>
            <w:r>
              <w:rPr>
                <w:rFonts w:ascii="Times New Roman" w:hAnsi="Times New Roman" w:cs="Times New Roman" w:eastAsia="Times New Roman" w:hint="default"/>
                <w:sz w:val="18"/>
                <w:szCs w:val="18"/>
              </w:rPr>
              <w:t>"5050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计划</w:t>
            </w:r>
            <w:r>
              <w:rPr>
                <w:rFonts w:ascii="Times New Roman" w:hAnsi="Times New Roman" w:cs="Times New Roman" w:eastAsia="Times New Roman" w:hint="default"/>
                <w:sz w:val="18"/>
                <w:szCs w:val="18"/>
              </w:rPr>
              <w:t>"</w:t>
            </w:r>
            <w:r>
              <w:rPr>
                <w:rFonts w:ascii="宋体" w:hAnsi="宋体" w:cs="宋体" w:eastAsia="宋体" w:hint="default"/>
                <w:sz w:val="18"/>
                <w:szCs w:val="18"/>
              </w:rPr>
              <w:t>入选企业办 公场所补助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235,000.00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年度余杭区企业研发投 入补助资金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226,000.00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226,000.00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绿扬金凤计划</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225,000.00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225,000.00</w:t>
            </w:r>
          </w:p>
        </w:tc>
      </w:tr>
      <w:tr>
        <w:trPr>
          <w:trHeight w:val="103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0"/>
              <w:ind w:left="15" w:right="15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年度第二批省级工业和 信息产业转型升级专项资金 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200,000.00</w:t>
            </w:r>
          </w:p>
        </w:tc>
      </w:tr>
      <w:tr>
        <w:trPr>
          <w:trHeight w:val="10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6"/>
              <w:jc w:val="left"/>
              <w:rPr>
                <w:rFonts w:ascii="宋体" w:hAnsi="宋体" w:cs="宋体" w:eastAsia="宋体" w:hint="default"/>
                <w:sz w:val="18"/>
                <w:szCs w:val="18"/>
              </w:rPr>
            </w:pPr>
            <w:r>
              <w:rPr>
                <w:rFonts w:ascii="宋体" w:hAnsi="宋体" w:cs="宋体" w:eastAsia="宋体" w:hint="default"/>
                <w:sz w:val="18"/>
                <w:szCs w:val="18"/>
              </w:rPr>
              <w:t>上城区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年度第二批外经 贸发展扶持资金（出口信用保 险保费）项目补助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197,500.00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197,500.00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年杭州市第二批信息服 务业验收合格项目剩余资助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168,000.00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168,000.00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年度第三批区科技经费 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109,400.00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109,400.00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年度市场监督管理专项 资金补助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200,000.00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南方医科大学南方医院心内 科课题合作经费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100,000.00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年上城区企业创新券兑 现资金补助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89,100.00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89,100.00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年度跨境电子商务项目</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76,200.00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76,200.00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6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雏鹰计划</w:t>
            </w:r>
            <w:r>
              <w:rPr>
                <w:rFonts w:ascii="Times New Roman" w:hAnsi="Times New Roman" w:cs="Times New Roman" w:eastAsia="Times New Roman" w:hint="default"/>
                <w:sz w:val="18"/>
                <w:szCs w:val="18"/>
              </w:rPr>
              <w:t>"</w:t>
            </w:r>
            <w:r>
              <w:rPr>
                <w:rFonts w:ascii="宋体" w:hAnsi="宋体" w:cs="宋体" w:eastAsia="宋体" w:hint="default"/>
                <w:sz w:val="18"/>
                <w:szCs w:val="18"/>
              </w:rPr>
              <w:t>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50,000.00</w:t>
            </w: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6" w:lineRule="auto" w:before="59"/>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年度余杭区开放型经济 发展专项资金补助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41,100.00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41,100.00</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16"/>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年度工业和信息化发展 专项资金（节能类）项目资助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年度上城区中小外贸企 业开拓市场项目专项补助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31,700.00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31,700.00</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44"/>
              <w:ind w:left="15" w:right="15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年及以前年度中央外经 贸发展专项资金补助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20,000.00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其他零星政府补助</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1,268,223.02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1,268,223.02</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20,952,547.49</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86"/>
        <w:jc w:val="left"/>
        <w:rPr>
          <w:b w:val="0"/>
          <w:bCs w:val="0"/>
        </w:rPr>
      </w:pPr>
      <w:bookmarkStart w:name="（2）政府补助退回情况" w:id="420"/>
      <w:bookmarkEnd w:id="42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before="0"/>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4"/>
        <w:rPr>
          <w:rFonts w:ascii="宋体" w:hAnsi="宋体" w:cs="宋体" w:eastAsia="宋体" w:hint="default"/>
          <w:sz w:val="23"/>
          <w:szCs w:val="23"/>
        </w:rPr>
      </w:pPr>
    </w:p>
    <w:p>
      <w:pPr>
        <w:spacing w:line="487" w:lineRule="auto" w:before="0"/>
        <w:ind w:left="141" w:right="8324" w:firstLine="0"/>
        <w:jc w:val="left"/>
        <w:rPr>
          <w:rFonts w:ascii="宋体" w:hAnsi="宋体" w:cs="宋体" w:eastAsia="宋体" w:hint="default"/>
          <w:sz w:val="21"/>
          <w:szCs w:val="21"/>
        </w:rPr>
      </w:pPr>
      <w:bookmarkStart w:name="85、其他" w:id="421"/>
      <w:bookmarkEnd w:id="421"/>
      <w:r>
        <w:rPr/>
      </w: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22"/>
      <w:bookmarkEnd w:id="42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spacing w:val="-115"/>
          <w:sz w:val="24"/>
          <w:szCs w:val="24"/>
        </w:rPr>
        <w:t> </w:t>
      </w:r>
      <w:r>
        <w:rPr>
          <w:rFonts w:ascii="宋体" w:hAnsi="宋体" w:cs="宋体" w:eastAsia="宋体" w:hint="default"/>
          <w:b/>
          <w:bCs/>
          <w:spacing w:val="-115"/>
          <w:sz w:val="24"/>
          <w:szCs w:val="24"/>
        </w:rPr>
      </w:r>
      <w:bookmarkStart w:name="1、非同一控制下企业合并" w:id="423"/>
      <w:bookmarkEnd w:id="423"/>
      <w:r>
        <w:rPr>
          <w:rFonts w:ascii="宋体" w:hAnsi="宋体" w:cs="宋体" w:eastAsia="宋体" w:hint="default"/>
          <w:b/>
          <w:bCs/>
          <w:spacing w:val="-11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70"/>
        <w:ind w:right="1086"/>
        <w:jc w:val="left"/>
        <w:rPr>
          <w:b w:val="0"/>
          <w:bCs w:val="0"/>
        </w:rPr>
      </w:pPr>
      <w:bookmarkStart w:name="（1）本期发生的非同一控制下企业合并" w:id="424"/>
      <w:bookmarkEnd w:id="42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66"/>
        <w:gridCol w:w="1067"/>
        <w:gridCol w:w="1051"/>
        <w:gridCol w:w="1067"/>
        <w:gridCol w:w="1066"/>
      </w:tblGrid>
      <w:tr>
        <w:trPr>
          <w:trHeight w:val="102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420" w:right="88" w:hanging="361"/>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420" w:right="89" w:hanging="361"/>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420" w:right="90" w:hanging="361"/>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宋体" w:hAnsi="宋体" w:cs="宋体" w:eastAsia="宋体" w:hint="default"/>
                <w:sz w:val="14"/>
                <w:szCs w:val="14"/>
              </w:rPr>
            </w:pPr>
          </w:p>
          <w:p>
            <w:pPr>
              <w:pStyle w:val="TableParagraph"/>
              <w:spacing w:line="307" w:lineRule="auto"/>
              <w:ind w:left="240"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2）合并成本及商誉" w:id="425"/>
      <w:bookmarkEnd w:id="42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12"/>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8;width:2;height:391" coordorigin="23,8" coordsize="2,391">
              <v:shape style="position:absolute;left:23;top:8;width:2;height:391" coordorigin="23,8" coordsize="0,391" path="m23,7l23,398e" filled="false" stroked="true" strokeweight=".75pt" strokecolor="#d2d2d2">
                <v:path arrowok="t"/>
              </v:shape>
            </v:group>
            <v:group style="position:absolute;left:4784;top:8;width:2;height:391" coordorigin="4784,8" coordsize="2,391">
              <v:shape style="position:absolute;left:4784;top:8;width:2;height:391" coordorigin="4784,8" coordsize="0,391" path="m4784,7l4784,398e" filled="false" stroked="true" strokeweight=".75pt" strokecolor="#d2d2d2">
                <v:path arrowok="t"/>
              </v:shape>
            </v:group>
            <v:group style="position:absolute;left:30;top:8;width:4746;height:391" coordorigin="30,8" coordsize="4746,391">
              <v:shape style="position:absolute;left:30;top:8;width:4746;height:391" coordorigin="30,8" coordsize="4746,391" path="m30,398l4776,398,4776,7,30,7,30,398xe" filled="true" fillcolor="#d2d2d2" stroked="false">
                <v:path arrowok="t"/>
                <v:fill type="solid"/>
              </v:shape>
            </v:group>
            <v:group style="position:absolute;left:4814;top:8;width:2;height:391" coordorigin="4814,8" coordsize="2,391">
              <v:shape style="position:absolute;left:4814;top:8;width:2;height:391" coordorigin="4814,8" coordsize="0,391" path="m4814,7l4814,398e" filled="false" stroked="true" strokeweight=".75pt" strokecolor="#d2d2d2">
                <v:path arrowok="t"/>
              </v:shape>
            </v:group>
            <v:group style="position:absolute;left:9574;top:8;width:2;height:391" coordorigin="9574,8" coordsize="2,391">
              <v:shape style="position:absolute;left:9574;top:8;width:2;height:391" coordorigin="9574,8" coordsize="0,391" path="m9574,7l9574,398e" filled="false" stroked="true" strokeweight=".75pt" strokecolor="#d2d2d2">
                <v:path arrowok="t"/>
              </v:shape>
            </v:group>
            <v:group style="position:absolute;left:4821;top:8;width:4746;height:391" coordorigin="4821,8" coordsize="4746,391">
              <v:shape style="position:absolute;left:4821;top:8;width:4746;height:391" coordorigin="4821,8" coordsize="4746,391" path="m4821,398l9567,398,9567,7,4821,7,4821,398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6" coordorigin="8,8" coordsize="2,406">
              <v:shape style="position:absolute;left:8;top:8;width:2;height:406" coordorigin="8,8" coordsize="0,406" path="m8,8l8,413e" filled="false" stroked="true" strokeweight=".75pt" strokecolor="#000000">
                <v:path arrowok="t"/>
              </v:shape>
            </v:group>
            <v:group style="position:absolute;left:15;top:405;width:4776;height:2" coordorigin="15,405" coordsize="4776,2">
              <v:shape style="position:absolute;left:15;top:405;width:4776;height:2" coordorigin="15,405" coordsize="4776,0" path="m15,405l4791,405e" filled="false" stroked="true" strokeweight=".75pt" strokecolor="#000000">
                <v:path arrowok="t"/>
              </v:shape>
            </v:group>
            <v:group style="position:absolute;left:4799;top:8;width:2;height:406" coordorigin="4799,8" coordsize="2,406">
              <v:shape style="position:absolute;left:4799;top:8;width:2;height:406" coordorigin="4799,8" coordsize="0,406" path="m4799,8l4799,413e" filled="false" stroked="true" strokeweight=".75pt" strokecolor="#000000">
                <v:path arrowok="t"/>
              </v:shape>
            </v:group>
            <v:group style="position:absolute;left:4806;top:405;width:4776;height:2" coordorigin="4806,405" coordsize="4776,2">
              <v:shape style="position:absolute;left:4806;top:405;width:4776;height:2" coordorigin="4806,405" coordsize="4776,0" path="m4806,405l9582,405e" filled="false" stroked="true" strokeweight=".75pt" strokecolor="#000000">
                <v:path arrowok="t"/>
              </v:shape>
            </v:group>
            <v:group style="position:absolute;left:9589;top:8;width:2;height:406" coordorigin="9589,8" coordsize="2,406">
              <v:shape style="position:absolute;left:9589;top:8;width:2;height:406" coordorigin="9589,8" coordsize="0,406" path="m9589,8l9589,413e" filled="false" stroked="true" strokeweight=".75pt" strokecolor="#000000">
                <v:path arrowok="t"/>
              </v:shape>
              <v:shape style="position:absolute;left:8;top:15;width:4792;height:391" type="#_x0000_t202" filled="false" stroked="false">
                <v:textbox inset="0,0,0,0">
                  <w:txbxContent>
                    <w:p>
                      <w:pPr>
                        <w:spacing w:before="37"/>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2" w:lineRule="auto" w:before="37"/>
        <w:ind w:right="6069"/>
        <w:jc w:val="left"/>
      </w:pPr>
      <w:r>
        <w:rPr/>
        <w:t>合并成本公允价值的确定方法、或有对价及其变动的说明： 大额商誉形成的主要原因：</w:t>
      </w:r>
    </w:p>
    <w:p>
      <w:pPr>
        <w:pStyle w:val="BodyText"/>
        <w:spacing w:line="240" w:lineRule="auto" w:before="40"/>
        <w:ind w:right="1086"/>
        <w:jc w:val="left"/>
      </w:pPr>
      <w:r>
        <w:rPr/>
        <w:t>其他说明：</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3）被购买方于购买日可辨认资产、负债" w:id="426"/>
      <w:bookmarkEnd w:id="42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6398" w:type="dxa"/>
            <w:gridSpan w:val="2"/>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52" w:lineRule="auto"/>
        <w:ind w:right="7526"/>
        <w:jc w:val="both"/>
      </w:pPr>
      <w:r>
        <w:rPr/>
        <w:t>可辨认资产、负债公允价值的确定方法： 企业合并中承担的被购买方的或有负债： 其他说明：</w:t>
      </w:r>
    </w:p>
    <w:p>
      <w:pPr>
        <w:spacing w:line="240" w:lineRule="auto" w:before="5"/>
        <w:rPr>
          <w:rFonts w:ascii="宋体" w:hAnsi="宋体" w:cs="宋体" w:eastAsia="宋体" w:hint="default"/>
          <w:sz w:val="23"/>
          <w:szCs w:val="23"/>
        </w:rPr>
      </w:pPr>
    </w:p>
    <w:p>
      <w:pPr>
        <w:pStyle w:val="Heading5"/>
        <w:spacing w:line="240" w:lineRule="auto"/>
        <w:ind w:right="0"/>
        <w:jc w:val="both"/>
        <w:rPr>
          <w:b w:val="0"/>
          <w:bCs w:val="0"/>
        </w:rPr>
      </w:pPr>
      <w:bookmarkStart w:name="（4）购买日之前持有的股权按照公允价值重新计量产生的利得或损失" w:id="427"/>
      <w:bookmarkEnd w:id="42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24"/>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26"/>
        <w:ind w:right="0"/>
        <w:jc w:val="both"/>
        <w:rPr>
          <w:b w:val="0"/>
          <w:bCs w:val="0"/>
        </w:rPr>
      </w:pPr>
      <w:bookmarkStart w:name="（5）购买日或合并当期期末无法合理确定合并对价或被购买方可辨认资产、负债公允价值" w:id="428"/>
      <w:bookmarkEnd w:id="42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3"/>
          <w:szCs w:val="23"/>
        </w:rPr>
      </w:pPr>
    </w:p>
    <w:p>
      <w:pPr>
        <w:pStyle w:val="Heading5"/>
        <w:spacing w:line="508" w:lineRule="auto"/>
        <w:ind w:right="8535"/>
        <w:jc w:val="left"/>
        <w:rPr>
          <w:b w:val="0"/>
          <w:bCs w:val="0"/>
        </w:rPr>
      </w:pPr>
      <w:bookmarkStart w:name="（6）其他说明" w:id="429"/>
      <w:bookmarkEnd w:id="429"/>
      <w:r>
        <w:rPr>
          <w:b w:val="0"/>
          <w:bCs w:val="0"/>
        </w:rPr>
      </w:r>
      <w:r>
        <w:rPr/>
        <w:t>（</w:t>
      </w:r>
      <w:r>
        <w:rPr>
          <w:rFonts w:ascii="Times New Roman" w:hAnsi="Times New Roman" w:cs="Times New Roman" w:eastAsia="Times New Roman" w:hint="default"/>
        </w:rPr>
        <w:t>6</w:t>
      </w:r>
      <w:r>
        <w:rPr/>
        <w:t>）其他说明</w:t>
      </w:r>
      <w:r>
        <w:rPr>
          <w:w w:val="99"/>
        </w:rPr>
        <w:t> </w:t>
      </w:r>
      <w:bookmarkStart w:name="2、同一控制下企业合并" w:id="430"/>
      <w:bookmarkEnd w:id="430"/>
      <w:r>
        <w:rPr>
          <w:w w:val="99"/>
        </w:rPr>
      </w:r>
      <w:r>
        <w:rPr>
          <w:rFonts w:ascii="Times New Roman" w:hAnsi="Times New Roman" w:cs="Times New Roman" w:eastAsia="Times New Roman" w:hint="default"/>
        </w:rPr>
        <w:t>2</w:t>
      </w:r>
      <w:r>
        <w:rPr/>
        <w:t>、同一控制下企业合并</w:t>
      </w:r>
      <w:r>
        <w:rPr>
          <w:b w:val="0"/>
          <w:bCs w:val="0"/>
        </w:rPr>
      </w:r>
    </w:p>
    <w:p>
      <w:pPr>
        <w:pStyle w:val="Heading5"/>
        <w:spacing w:line="240" w:lineRule="auto" w:before="64"/>
        <w:ind w:right="0"/>
        <w:jc w:val="both"/>
        <w:rPr>
          <w:b w:val="0"/>
          <w:bCs w:val="0"/>
        </w:rPr>
      </w:pPr>
      <w:bookmarkStart w:name="（1）本期发生的同一控制下企业合并" w:id="431"/>
      <w:bookmarkEnd w:id="43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133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420" w:right="88" w:hanging="361"/>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75"/>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5"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54"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55"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75" w:right="73"/>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5"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60" w:right="89"/>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2）合并成本" w:id="432"/>
      <w:bookmarkEnd w:id="43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13"/>
        <w:rPr>
          <w:rFonts w:ascii="宋体" w:hAnsi="宋体" w:cs="宋体" w:eastAsia="宋体" w:hint="default"/>
          <w:sz w:val="8"/>
          <w:szCs w:val="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05pt;mso-position-horizontal-relative:char;mso-position-vertical-relative:line" coordorigin="0,0" coordsize="9597,421">
            <v:group style="position:absolute;left:23;top:22;width:2;height:391" coordorigin="23,22" coordsize="2,391">
              <v:shape style="position:absolute;left:23;top:22;width:2;height:391" coordorigin="23,22" coordsize="0,391" path="m23,22l23,413e" filled="false" stroked="true" strokeweight=".75pt" strokecolor="#d2d2d2">
                <v:path arrowok="t"/>
              </v:shape>
            </v:group>
            <v:group style="position:absolute;left:4784;top:22;width:2;height:391" coordorigin="4784,22" coordsize="2,391">
              <v:shape style="position:absolute;left:4784;top:22;width:2;height:391" coordorigin="4784,22" coordsize="0,391" path="m4784,22l4784,413e" filled="false" stroked="true" strokeweight=".75pt" strokecolor="#d2d2d2">
                <v:path arrowok="t"/>
              </v:shape>
            </v:group>
            <v:group style="position:absolute;left:30;top:22;width:4746;height:391" coordorigin="30,22" coordsize="4746,391">
              <v:shape style="position:absolute;left:30;top:22;width:4746;height:391" coordorigin="30,22" coordsize="4746,391" path="m30,413l4776,413,4776,22,30,22,30,413xe" filled="true" fillcolor="#d2d2d2" stroked="false">
                <v:path arrowok="t"/>
                <v:fill type="solid"/>
              </v:shape>
            </v:group>
            <v:group style="position:absolute;left:4814;top:22;width:2;height:391" coordorigin="4814,22" coordsize="2,391">
              <v:shape style="position:absolute;left:4814;top:22;width:2;height:391" coordorigin="4814,22" coordsize="0,391" path="m4814,22l4814,413e" filled="false" stroked="true" strokeweight=".75pt" strokecolor="#d2d2d2">
                <v:path arrowok="t"/>
              </v:shape>
            </v:group>
            <v:group style="position:absolute;left:9574;top:22;width:2;height:391" coordorigin="9574,22" coordsize="2,391">
              <v:shape style="position:absolute;left:9574;top:22;width:2;height:391" coordorigin="9574,22" coordsize="0,391" path="m9574,22l9574,413e" filled="false" stroked="true" strokeweight=".75pt" strokecolor="#d2d2d2">
                <v:path arrowok="t"/>
              </v:shape>
            </v:group>
            <v:group style="position:absolute;left:4821;top:22;width:4746;height:391" coordorigin="4821,22" coordsize="4746,391">
              <v:shape style="position:absolute;left:4821;top:22;width:4746;height:391" coordorigin="4821,22" coordsize="4746,391" path="m4821,413l9567,413,9567,22,4821,22,4821,413xe" filled="true" fillcolor="#d2d2d2" stroked="false">
                <v:path arrowok="t"/>
                <v:fill type="solid"/>
              </v:shape>
            </v:group>
            <v:group style="position:absolute;left:15;top:15;width:4776;height:2" coordorigin="15,15" coordsize="4776,2">
              <v:shape style="position:absolute;left:15;top:15;width:4776;height:2" coordorigin="15,15" coordsize="4776,0" path="m15,15l4791,15e" filled="false" stroked="true" strokeweight=".75pt" strokecolor="#000000">
                <v:path arrowok="t"/>
              </v:shape>
            </v:group>
            <v:group style="position:absolute;left:4806;top:15;width:4776;height:2" coordorigin="4806,15" coordsize="4776,2">
              <v:shape style="position:absolute;left:4806;top:15;width:4776;height:2" coordorigin="4806,15" coordsize="4776,0" path="m4806,15l9582,15e" filled="false" stroked="true" strokeweight=".75pt" strokecolor="#000000">
                <v:path arrowok="t"/>
              </v:shape>
            </v:group>
            <v:group style="position:absolute;left:8;top:8;width:2;height:406" coordorigin="8,8" coordsize="2,406">
              <v:shape style="position:absolute;left:8;top:8;width:2;height:406" coordorigin="8,8" coordsize="0,406" path="m8,8l8,413e" filled="false" stroked="true" strokeweight=".75pt" strokecolor="#000000">
                <v:path arrowok="t"/>
              </v:shape>
            </v:group>
            <v:group style="position:absolute;left:15;top:405;width:4776;height:2" coordorigin="15,405" coordsize="4776,2">
              <v:shape style="position:absolute;left:15;top:405;width:4776;height:2" coordorigin="15,405" coordsize="4776,0" path="m15,405l4791,405e" filled="false" stroked="true" strokeweight=".75pt" strokecolor="#000000">
                <v:path arrowok="t"/>
              </v:shape>
            </v:group>
            <v:group style="position:absolute;left:4799;top:8;width:2;height:406" coordorigin="4799,8" coordsize="2,406">
              <v:shape style="position:absolute;left:4799;top:8;width:2;height:406" coordorigin="4799,8" coordsize="0,406" path="m4799,8l4799,413e" filled="false" stroked="true" strokeweight=".75pt" strokecolor="#000000">
                <v:path arrowok="t"/>
              </v:shape>
            </v:group>
            <v:group style="position:absolute;left:4806;top:405;width:4776;height:2" coordorigin="4806,405" coordsize="4776,2">
              <v:shape style="position:absolute;left:4806;top:405;width:4776;height:2" coordorigin="4806,405" coordsize="4776,0" path="m4806,405l9582,405e" filled="false" stroked="true" strokeweight=".75pt" strokecolor="#000000">
                <v:path arrowok="t"/>
              </v:shape>
            </v:group>
            <v:group style="position:absolute;left:9589;top:8;width:2;height:406" coordorigin="9589,8" coordsize="2,406">
              <v:shape style="position:absolute;left:9589;top:8;width:2;height:406" coordorigin="9589,8" coordsize="0,406" path="m9589,8l9589,413e" filled="false" stroked="true" strokeweight=".75pt" strokecolor="#000000">
                <v:path arrowok="t"/>
              </v:shape>
              <v:shape style="position:absolute;left:8;top:15;width:4792;height:391" type="#_x0000_t202" filled="false" stroked="false">
                <v:textbox inset="0,0,0,0">
                  <w:txbxContent>
                    <w:p>
                      <w:pPr>
                        <w:spacing w:before="52"/>
                        <w:ind w:left="0" w:right="29"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2" w:lineRule="auto" w:before="37"/>
        <w:ind w:right="8589"/>
        <w:jc w:val="left"/>
      </w:pPr>
      <w:r>
        <w:rPr/>
        <w:t>或有对价及其变动的说明： 其他说明：</w:t>
      </w:r>
    </w:p>
    <w:p>
      <w:pPr>
        <w:spacing w:line="240" w:lineRule="auto" w:before="4"/>
        <w:rPr>
          <w:rFonts w:ascii="宋体" w:hAnsi="宋体" w:cs="宋体" w:eastAsia="宋体" w:hint="default"/>
          <w:sz w:val="23"/>
          <w:szCs w:val="23"/>
        </w:rPr>
      </w:pPr>
    </w:p>
    <w:p>
      <w:pPr>
        <w:pStyle w:val="Heading5"/>
        <w:spacing w:line="240" w:lineRule="auto"/>
        <w:ind w:right="1086"/>
        <w:jc w:val="left"/>
        <w:rPr>
          <w:b w:val="0"/>
          <w:bCs w:val="0"/>
        </w:rPr>
      </w:pPr>
      <w:bookmarkStart w:name="（3）合并日被合并方资产、负债的账面价值" w:id="433"/>
      <w:bookmarkEnd w:id="43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p>
      <w:pPr>
        <w:spacing w:line="833" w:lineRule="exact"/>
        <w:ind w:left="126"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85pt;height:41.7pt;mso-position-horizontal-relative:char;mso-position-vertical-relative:line" coordorigin="0,0" coordsize="9597,834">
            <v:group style="position:absolute;left:23;top:15;width:2;height:391" coordorigin="23,15" coordsize="2,391">
              <v:shape style="position:absolute;left:23;top:15;width:2;height:391" coordorigin="23,15" coordsize="0,391" path="m23,15l23,406e" filled="false" stroked="true" strokeweight=".75pt" strokecolor="#d2d2d2">
                <v:path arrowok="t"/>
              </v:shape>
            </v:group>
            <v:group style="position:absolute;left:3184;top:15;width:2;height:391" coordorigin="3184,15" coordsize="2,391">
              <v:shape style="position:absolute;left:3184;top:15;width:2;height:391" coordorigin="3184,15" coordsize="0,391" path="m3184,15l3184,406e" filled="false" stroked="true" strokeweight="1.5pt" strokecolor="#d2d2d2">
                <v:path arrowok="t"/>
              </v:shape>
            </v:group>
            <v:group style="position:absolute;left:30;top:15;width:3139;height:391" coordorigin="30,15" coordsize="3139,391">
              <v:shape style="position:absolute;left:30;top:15;width:3139;height:391" coordorigin="30,15" coordsize="3139,391" path="m30,406l3169,406,3169,15,30,15,30,406xe" filled="true" fillcolor="#d2d2d2" stroked="false">
                <v:path arrowok="t"/>
                <v:fill type="solid"/>
              </v:shape>
            </v:group>
            <v:group style="position:absolute;left:3222;top:15;width:2;height:391" coordorigin="3222,15" coordsize="2,391">
              <v:shape style="position:absolute;left:3222;top:15;width:2;height:391" coordorigin="3222,15" coordsize="0,391" path="m3222,15l3222,406e" filled="false" stroked="true" strokeweight=".75pt" strokecolor="#d2d2d2">
                <v:path arrowok="t"/>
              </v:shape>
            </v:group>
            <v:group style="position:absolute;left:9574;top:15;width:2;height:391" coordorigin="9574,15" coordsize="2,391">
              <v:shape style="position:absolute;left:9574;top:15;width:2;height:391" coordorigin="9574,15" coordsize="0,391" path="m9574,15l9574,406e" filled="false" stroked="true" strokeweight=".75pt" strokecolor="#d2d2d2">
                <v:path arrowok="t"/>
              </v:shape>
            </v:group>
            <v:group style="position:absolute;left:3229;top:15;width:6338;height:391" coordorigin="3229,15" coordsize="6338,391">
              <v:shape style="position:absolute;left:3229;top:15;width:6338;height:391" coordorigin="3229,15" coordsize="6338,391" path="m3229,406l9567,406,9567,15,3229,15,3229,406xe" filled="true" fillcolor="#d2d2d2" stroked="false">
                <v:path arrowok="t"/>
                <v:fill type="solid"/>
              </v:shape>
            </v:group>
            <v:group style="position:absolute;left:15;top:23;width:3184;height:2" coordorigin="15,23" coordsize="3184,2">
              <v:shape style="position:absolute;left:15;top:23;width:3184;height:2" coordorigin="15,23" coordsize="3184,0" path="m15,23l3199,23e" filled="false" stroked="true" strokeweight=".75pt" strokecolor="#000000">
                <v:path arrowok="t"/>
              </v:shape>
            </v:group>
            <v:group style="position:absolute;left:3214;top:23;width:6368;height:2" coordorigin="3214,23" coordsize="6368,2">
              <v:shape style="position:absolute;left:3214;top:23;width:6368;height:2" coordorigin="3214,23" coordsize="6368,0" path="m3214,23l9582,23e" filled="false" stroked="true" strokeweight=".75pt" strokecolor="#000000">
                <v:path arrowok="t"/>
              </v:shape>
            </v:group>
            <v:group style="position:absolute;left:23;top:420;width:2;height:391" coordorigin="23,420" coordsize="2,391">
              <v:shape style="position:absolute;left:23;top:420;width:2;height:391" coordorigin="23,420" coordsize="0,391" path="m23,420l23,811e" filled="false" stroked="true" strokeweight=".75pt" strokecolor="#d2d2d2">
                <v:path arrowok="t"/>
              </v:shape>
            </v:group>
            <v:group style="position:absolute;left:3184;top:420;width:2;height:391" coordorigin="3184,420" coordsize="2,391">
              <v:shape style="position:absolute;left:3184;top:420;width:2;height:391" coordorigin="3184,420" coordsize="0,391" path="m3184,420l3184,811e" filled="false" stroked="true" strokeweight="1.5pt" strokecolor="#d2d2d2">
                <v:path arrowok="t"/>
              </v:shape>
            </v:group>
            <v:group style="position:absolute;left:30;top:420;width:3139;height:391" coordorigin="30,420" coordsize="3139,391">
              <v:shape style="position:absolute;left:30;top:420;width:3139;height:391" coordorigin="30,420" coordsize="3139,391" path="m30,811l3169,811,3169,420,30,420,30,811xe" filled="true" fillcolor="#d2d2d2" stroked="false">
                <v:path arrowok="t"/>
                <v:fill type="solid"/>
              </v:shape>
            </v:group>
            <v:group style="position:absolute;left:3222;top:420;width:2;height:391" coordorigin="3222,420" coordsize="2,391">
              <v:shape style="position:absolute;left:3222;top:420;width:2;height:391" coordorigin="3222,420" coordsize="0,391" path="m3222,420l3222,811e" filled="false" stroked="true" strokeweight=".75pt" strokecolor="#d2d2d2">
                <v:path arrowok="t"/>
              </v:shape>
            </v:group>
            <v:group style="position:absolute;left:6368;top:420;width:30;height:391" coordorigin="6368,420" coordsize="30,391">
              <v:shape style="position:absolute;left:6368;top:420;width:30;height:391" coordorigin="6368,420" coordsize="30,391" path="m6368,811l6398,811,6398,420,6368,420,6368,811xe" filled="true" fillcolor="#d2d2d2" stroked="false">
                <v:path arrowok="t"/>
                <v:fill type="solid"/>
              </v:shape>
            </v:group>
            <v:group style="position:absolute;left:3229;top:420;width:3139;height:391" coordorigin="3229,420" coordsize="3139,391">
              <v:shape style="position:absolute;left:3229;top:420;width:3139;height:391" coordorigin="3229,420" coordsize="3139,391" path="m3229,811l6368,811,6368,420,3229,420,3229,811xe" filled="true" fillcolor="#d2d2d2" stroked="false">
                <v:path arrowok="t"/>
                <v:fill type="solid"/>
              </v:shape>
            </v:group>
            <v:group style="position:absolute;left:6398;top:420;width:30;height:391" coordorigin="6398,420" coordsize="30,391">
              <v:shape style="position:absolute;left:6398;top:420;width:30;height:391" coordorigin="6398,420" coordsize="30,391" path="m6398,811l6428,811,6428,420,6398,420,6398,811xe" filled="true" fillcolor="#d2d2d2" stroked="false">
                <v:path arrowok="t"/>
                <v:fill type="solid"/>
              </v:shape>
            </v:group>
            <v:group style="position:absolute;left:9574;top:420;width:2;height:391" coordorigin="9574,420" coordsize="2,391">
              <v:shape style="position:absolute;left:9574;top:420;width:2;height:391" coordorigin="9574,420" coordsize="0,391" path="m9574,420l9574,811e" filled="false" stroked="true" strokeweight=".75pt" strokecolor="#d2d2d2">
                <v:path arrowok="t"/>
              </v:shape>
            </v:group>
            <v:group style="position:absolute;left:6428;top:420;width:3139;height:391" coordorigin="6428,420" coordsize="3139,391">
              <v:shape style="position:absolute;left:6428;top:420;width:3139;height:391" coordorigin="6428,420" coordsize="3139,391" path="m6428,811l9567,811,9567,420,6428,420,6428,811xe" filled="true" fillcolor="#d2d2d2" stroked="false">
                <v:path arrowok="t"/>
                <v:fill type="solid"/>
              </v:shape>
            </v:group>
            <v:group style="position:absolute;left:15;top:413;width:3184;height:2" coordorigin="15,413" coordsize="3184,2">
              <v:shape style="position:absolute;left:15;top:413;width:3184;height:2" coordorigin="15,413" coordsize="3184,0" path="m15,413l3199,413e" filled="false" stroked="true" strokeweight=".75pt" strokecolor="#000000">
                <v:path arrowok="t"/>
              </v:shape>
            </v:group>
            <v:group style="position:absolute;left:3214;top:413;width:3169;height:2" coordorigin="3214,413" coordsize="3169,2">
              <v:shape style="position:absolute;left:3214;top:413;width:3169;height:2" coordorigin="3214,413" coordsize="3169,0" path="m3214,413l6383,413e" filled="false" stroked="true" strokeweight=".75pt" strokecolor="#000000">
                <v:path arrowok="t"/>
              </v:shape>
            </v:group>
            <v:group style="position:absolute;left:6398;top:413;width:3184;height:2" coordorigin="6398,413" coordsize="3184,2">
              <v:shape style="position:absolute;left:6398;top:413;width:3184;height:2" coordorigin="6398,413" coordsize="3184,0" path="m6398,413l9582,413e" filled="false" stroked="true" strokeweight=".75pt" strokecolor="#000000">
                <v:path arrowok="t"/>
              </v:shape>
            </v:group>
            <v:group style="position:absolute;left:8;top:15;width:2;height:811" coordorigin="8,15" coordsize="2,811">
              <v:shape style="position:absolute;left:8;top:15;width:2;height:811" coordorigin="8,15" coordsize="0,811" path="m8,15l8,826e" filled="false" stroked="true" strokeweight=".75pt" strokecolor="#000000">
                <v:path arrowok="t"/>
              </v:shape>
            </v:group>
            <v:group style="position:absolute;left:15;top:818;width:3184;height:2" coordorigin="15,818" coordsize="3184,2">
              <v:shape style="position:absolute;left:15;top:818;width:3184;height:2" coordorigin="15,818" coordsize="3184,0" path="m15,818l3199,818e" filled="false" stroked="true" strokeweight=".75pt" strokecolor="#000000">
                <v:path arrowok="t"/>
              </v:shape>
            </v:group>
            <v:group style="position:absolute;left:3207;top:15;width:2;height:811" coordorigin="3207,15" coordsize="2,811">
              <v:shape style="position:absolute;left:3207;top:15;width:2;height:811" coordorigin="3207,15" coordsize="0,811" path="m3207,15l3207,826e" filled="false" stroked="true" strokeweight=".75pt" strokecolor="#000000">
                <v:path arrowok="t"/>
              </v:shape>
            </v:group>
            <v:group style="position:absolute;left:3214;top:818;width:3169;height:2" coordorigin="3214,818" coordsize="3169,2">
              <v:shape style="position:absolute;left:3214;top:818;width:3169;height:2" coordorigin="3214,818" coordsize="3169,0" path="m3214,818l6383,818e" filled="false" stroked="true" strokeweight=".75pt" strokecolor="#000000">
                <v:path arrowok="t"/>
              </v:shape>
            </v:group>
            <v:group style="position:absolute;left:6391;top:405;width:2;height:421" coordorigin="6391,405" coordsize="2,421">
              <v:shape style="position:absolute;left:6391;top:405;width:2;height:421" coordorigin="6391,405" coordsize="0,421" path="m6391,405l6391,826e" filled="false" stroked="true" strokeweight=".75pt" strokecolor="#000000">
                <v:path arrowok="t"/>
              </v:shape>
            </v:group>
            <v:group style="position:absolute;left:6398;top:818;width:3184;height:2" coordorigin="6398,818" coordsize="3184,2">
              <v:shape style="position:absolute;left:6398;top:818;width:3184;height:2" coordorigin="6398,818" coordsize="3184,0" path="m6398,818l9582,818e" filled="false" stroked="true" strokeweight=".75pt" strokecolor="#000000">
                <v:path arrowok="t"/>
              </v:shape>
            </v:group>
            <v:group style="position:absolute;left:9589;top:15;width:2;height:811" coordorigin="9589,15" coordsize="2,811">
              <v:shape style="position:absolute;left:9589;top:15;width:2;height:811" coordorigin="9589,15" coordsize="0,811" path="m9589,15l9589,826e" filled="false" stroked="true" strokeweight=".75pt" strokecolor="#000000">
                <v:path arrowok="t"/>
              </v:shape>
              <v:shape style="position:absolute;left:3192;top:413;width:3200;height:406" type="#_x0000_t202" filled="false" stroked="false">
                <v:textbox inset="0,0,0,0">
                  <w:txbxContent>
                    <w:p>
                      <w:pPr>
                        <w:spacing w:before="52"/>
                        <w:ind w:left="0" w:right="1"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1;top:413;width:3199;height:406" type="#_x0000_t202" filled="false" stroked="false">
                <v:textbox inset="0,0,0,0">
                  <w:txbxContent>
                    <w:p>
                      <w:pPr>
                        <w:spacing w:before="52"/>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6"/>
          <w:sz w:val="20"/>
          <w:szCs w:val="20"/>
        </w:rPr>
      </w:r>
    </w:p>
    <w:p>
      <w:pPr>
        <w:spacing w:after="0" w:line="833" w:lineRule="exact"/>
        <w:rPr>
          <w:rFonts w:ascii="宋体" w:hAnsi="宋体" w:cs="宋体" w:eastAsia="宋体" w:hint="default"/>
          <w:sz w:val="20"/>
          <w:szCs w:val="20"/>
        </w:rPr>
        <w:sectPr>
          <w:pgSz w:w="11910" w:h="16850"/>
          <w:pgMar w:header="866" w:footer="981" w:top="1120" w:bottom="1180" w:left="1000" w:right="0"/>
        </w:sectPr>
      </w:pPr>
    </w:p>
    <w:p>
      <w:pPr>
        <w:spacing w:line="240" w:lineRule="auto" w:before="9"/>
        <w:rPr>
          <w:rFonts w:ascii="宋体" w:hAnsi="宋体" w:cs="宋体" w:eastAsia="宋体" w:hint="default"/>
          <w:sz w:val="20"/>
          <w:szCs w:val="20"/>
        </w:rPr>
      </w:pPr>
    </w:p>
    <w:p>
      <w:pPr>
        <w:pStyle w:val="BodyText"/>
        <w:spacing w:line="352" w:lineRule="auto"/>
        <w:ind w:right="7509"/>
        <w:jc w:val="left"/>
      </w:pPr>
      <w:r>
        <w:rPr/>
        <w:t>企业合并中承担的被合并方的或有负债： 其他说明：</w:t>
      </w:r>
    </w:p>
    <w:p>
      <w:pPr>
        <w:spacing w:line="240" w:lineRule="auto" w:before="4"/>
        <w:rPr>
          <w:rFonts w:ascii="宋体" w:hAnsi="宋体" w:cs="宋体" w:eastAsia="宋体" w:hint="default"/>
          <w:sz w:val="23"/>
          <w:szCs w:val="23"/>
        </w:rPr>
      </w:pPr>
    </w:p>
    <w:p>
      <w:pPr>
        <w:pStyle w:val="Heading5"/>
        <w:spacing w:line="240" w:lineRule="auto"/>
        <w:ind w:right="1086"/>
        <w:jc w:val="left"/>
        <w:rPr>
          <w:b w:val="0"/>
          <w:bCs w:val="0"/>
        </w:rPr>
      </w:pPr>
      <w:bookmarkStart w:name="3、反向购买" w:id="434"/>
      <w:bookmarkEnd w:id="43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
        <w:rPr>
          <w:rFonts w:ascii="宋体" w:hAnsi="宋体" w:cs="宋体" w:eastAsia="宋体" w:hint="default"/>
          <w:b/>
          <w:bCs/>
          <w:sz w:val="24"/>
          <w:szCs w:val="24"/>
        </w:rPr>
      </w:pPr>
    </w:p>
    <w:p>
      <w:pPr>
        <w:pStyle w:val="BodyText"/>
        <w:spacing w:line="321" w:lineRule="auto" w:before="0"/>
        <w:ind w:right="1086"/>
        <w:jc w:val="left"/>
      </w:pPr>
      <w:r>
        <w:rPr>
          <w:spacing w:val="-2"/>
        </w:rPr>
        <w:t>交易基本信息、交易构成反向购买的依据、上市公司保留的资产、负债是否构成业务及其依据、合并成本的确定、按照权益</w:t>
      </w:r>
      <w:r>
        <w:rPr>
          <w:spacing w:val="-57"/>
        </w:rPr>
        <w:t> </w:t>
      </w:r>
      <w:r>
        <w:rPr>
          <w:spacing w:val="-57"/>
        </w:rPr>
      </w:r>
      <w:r>
        <w:rPr/>
        <w:t>性交易处理时调整权益的金额及其计算：</w:t>
      </w:r>
    </w:p>
    <w:p>
      <w:pPr>
        <w:spacing w:line="240" w:lineRule="auto" w:before="13"/>
        <w:rPr>
          <w:rFonts w:ascii="宋体" w:hAnsi="宋体" w:cs="宋体" w:eastAsia="宋体" w:hint="default"/>
          <w:sz w:val="23"/>
          <w:szCs w:val="23"/>
        </w:rPr>
      </w:pPr>
    </w:p>
    <w:p>
      <w:pPr>
        <w:pStyle w:val="Heading5"/>
        <w:spacing w:line="240" w:lineRule="auto"/>
        <w:ind w:right="1086"/>
        <w:jc w:val="left"/>
        <w:rPr>
          <w:b w:val="0"/>
          <w:bCs w:val="0"/>
        </w:rPr>
      </w:pPr>
      <w:bookmarkStart w:name="4、处置子公司" w:id="435"/>
      <w:bookmarkEnd w:id="43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866" w:footer="981" w:top="1120" w:bottom="1180" w:left="1000" w:right="0"/>
        </w:sectPr>
      </w:pPr>
    </w:p>
    <w:p>
      <w:pPr>
        <w:pStyle w:val="BodyText"/>
        <w:spacing w:line="240" w:lineRule="auto"/>
        <w:ind w:right="-20"/>
        <w:jc w:val="left"/>
      </w:pPr>
      <w:r>
        <w:rPr/>
        <w:t>是否存在单次处置对子公司投资即丧失控制权的情形</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4282" w:space="456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3844"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7"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7"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7"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7" w:lineRule="auto"/>
              <w:ind w:left="90" w:right="88"/>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21"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4"/>
              <w:ind w:left="90"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90" w:right="90"/>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90" w:right="88"/>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90" w:right="89"/>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90" w:right="105"/>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75" w:right="103"/>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65"/>
              <w:jc w:val="both"/>
              <w:rPr>
                <w:rFonts w:ascii="宋体" w:hAnsi="宋体" w:cs="宋体" w:eastAsia="宋体" w:hint="default"/>
                <w:sz w:val="18"/>
                <w:szCs w:val="18"/>
              </w:rPr>
            </w:pPr>
            <w:r>
              <w:rPr>
                <w:rFonts w:ascii="宋体" w:hAnsi="宋体" w:cs="宋体" w:eastAsia="宋体" w:hint="default"/>
                <w:sz w:val="18"/>
                <w:szCs w:val="18"/>
              </w:rPr>
              <w:t>杭州集 嘉科技 有限公 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150"/>
              <w:jc w:val="left"/>
              <w:rPr>
                <w:rFonts w:ascii="宋体" w:hAnsi="宋体" w:cs="宋体" w:eastAsia="宋体" w:hint="default"/>
                <w:sz w:val="18"/>
                <w:szCs w:val="18"/>
              </w:rPr>
            </w:pPr>
            <w:r>
              <w:rPr>
                <w:rFonts w:ascii="宋体" w:hAnsi="宋体" w:cs="宋体" w:eastAsia="宋体" w:hint="default"/>
                <w:sz w:val="18"/>
                <w:szCs w:val="18"/>
              </w:rPr>
              <w:t>财产权 交接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-793,038</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.92</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65"/>
              <w:jc w:val="both"/>
              <w:rPr>
                <w:rFonts w:ascii="宋体" w:hAnsi="宋体" w:cs="宋体" w:eastAsia="宋体" w:hint="default"/>
                <w:sz w:val="18"/>
                <w:szCs w:val="18"/>
              </w:rPr>
            </w:pPr>
            <w:r>
              <w:rPr>
                <w:rFonts w:ascii="宋体" w:hAnsi="宋体" w:cs="宋体" w:eastAsia="宋体" w:hint="default"/>
                <w:sz w:val="18"/>
                <w:szCs w:val="18"/>
              </w:rPr>
              <w:t>杭州琅 玕科技 有限公 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5.00%</w:t>
            </w:r>
            <w:r>
              <w:rPr>
                <w:rFonts w:ascii="Times New Roman"/>
                <w:sz w:val="18"/>
              </w:rPr>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30" w:right="150"/>
              <w:jc w:val="left"/>
              <w:rPr>
                <w:rFonts w:ascii="宋体" w:hAnsi="宋体" w:cs="宋体" w:eastAsia="宋体" w:hint="default"/>
                <w:sz w:val="18"/>
                <w:szCs w:val="18"/>
              </w:rPr>
            </w:pPr>
            <w:r>
              <w:rPr>
                <w:rFonts w:ascii="宋体" w:hAnsi="宋体" w:cs="宋体" w:eastAsia="宋体" w:hint="default"/>
                <w:sz w:val="18"/>
                <w:szCs w:val="18"/>
              </w:rPr>
              <w:t>财产权 交接</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-663,521</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47.00%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21,277,1</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06.93</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21,277,1</w:t>
            </w:r>
          </w:p>
          <w:p>
            <w:pPr>
              <w:pStyle w:val="TableParagraph"/>
              <w:spacing w:line="240" w:lineRule="auto" w:before="108"/>
              <w:ind w:left="300" w:right="0"/>
              <w:jc w:val="left"/>
              <w:rPr>
                <w:rFonts w:ascii="Times New Roman" w:hAnsi="Times New Roman" w:cs="Times New Roman" w:eastAsia="Times New Roman" w:hint="default"/>
                <w:sz w:val="18"/>
                <w:szCs w:val="18"/>
              </w:rPr>
            </w:pPr>
            <w:r>
              <w:rPr>
                <w:rFonts w:ascii="Times New Roman"/>
                <w:sz w:val="18"/>
              </w:rPr>
              <w:t>06.93</w:t>
            </w: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4989"/>
        <w:jc w:val="left"/>
      </w:pPr>
      <w:r>
        <w:rPr/>
        <w:t>其他说明： 是否存在通过多次交易分步处置对子公司投资且在本期丧失控制权的情形</w:t>
      </w:r>
    </w:p>
    <w:p>
      <w:pPr>
        <w:pStyle w:val="BodyText"/>
        <w:spacing w:line="240" w:lineRule="auto" w:before="42"/>
        <w:ind w:right="1086"/>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p>
    <w:p>
      <w:pPr>
        <w:pStyle w:val="Heading5"/>
        <w:spacing w:line="240" w:lineRule="auto" w:before="125"/>
        <w:ind w:right="1086"/>
        <w:jc w:val="left"/>
        <w:rPr>
          <w:b w:val="0"/>
          <w:bCs w:val="0"/>
        </w:rPr>
      </w:pPr>
      <w:bookmarkStart w:name="5、其他原因的合并范围变动" w:id="436"/>
      <w:bookmarkEnd w:id="43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说明其他原因导致的合并范围变动（如，新设子公司、清算子公司等）及其相关情况：</w:t>
      </w:r>
    </w:p>
    <w:p>
      <w:pPr>
        <w:pStyle w:val="Heading6"/>
        <w:spacing w:line="240" w:lineRule="auto" w:before="90"/>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合并范围增加</w:t>
      </w:r>
    </w:p>
    <w:p>
      <w:pPr>
        <w:spacing w:line="240" w:lineRule="auto" w:before="5"/>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2658"/>
        <w:gridCol w:w="1712"/>
        <w:gridCol w:w="1412"/>
        <w:gridCol w:w="1562"/>
        <w:gridCol w:w="1194"/>
      </w:tblGrid>
      <w:tr>
        <w:trPr>
          <w:trHeight w:val="345" w:hRule="exact"/>
        </w:trPr>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25" w:right="0"/>
              <w:jc w:val="left"/>
              <w:rPr>
                <w:rFonts w:ascii="宋体" w:hAnsi="宋体" w:cs="宋体" w:eastAsia="宋体" w:hint="default"/>
                <w:sz w:val="21"/>
                <w:szCs w:val="21"/>
              </w:rPr>
            </w:pPr>
            <w:r>
              <w:rPr>
                <w:rFonts w:ascii="宋体" w:hAnsi="宋体" w:cs="宋体" w:eastAsia="宋体" w:hint="default"/>
                <w:sz w:val="21"/>
                <w:szCs w:val="21"/>
              </w:rPr>
              <w:t>股权取得方式</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60" w:right="0"/>
              <w:jc w:val="left"/>
              <w:rPr>
                <w:rFonts w:ascii="宋体" w:hAnsi="宋体" w:cs="宋体" w:eastAsia="宋体" w:hint="default"/>
                <w:sz w:val="21"/>
                <w:szCs w:val="21"/>
              </w:rPr>
            </w:pPr>
            <w:r>
              <w:rPr>
                <w:rFonts w:ascii="宋体" w:hAnsi="宋体" w:cs="宋体" w:eastAsia="宋体" w:hint="default"/>
                <w:sz w:val="21"/>
                <w:szCs w:val="21"/>
              </w:rPr>
              <w:t>股权取得时点</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50"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194"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165" w:right="0"/>
              <w:jc w:val="left"/>
              <w:rPr>
                <w:rFonts w:ascii="宋体" w:hAnsi="宋体" w:cs="宋体" w:eastAsia="宋体" w:hint="default"/>
                <w:sz w:val="21"/>
                <w:szCs w:val="21"/>
              </w:rPr>
            </w:pPr>
            <w:r>
              <w:rPr>
                <w:rFonts w:ascii="宋体" w:hAnsi="宋体" w:cs="宋体" w:eastAsia="宋体" w:hint="default"/>
                <w:sz w:val="21"/>
                <w:szCs w:val="21"/>
              </w:rPr>
              <w:t>出资比例</w:t>
            </w:r>
          </w:p>
        </w:tc>
      </w:tr>
    </w:tbl>
    <w:p>
      <w:pPr>
        <w:spacing w:after="0" w:line="270" w:lineRule="exact"/>
        <w:jc w:val="left"/>
        <w:rPr>
          <w:rFonts w:ascii="宋体" w:hAnsi="宋体" w:cs="宋体" w:eastAsia="宋体" w:hint="default"/>
          <w:sz w:val="21"/>
          <w:szCs w:val="21"/>
        </w:rPr>
        <w:sectPr>
          <w:type w:val="continuous"/>
          <w:pgSz w:w="11910" w:h="16850"/>
          <w:pgMar w:top="104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658"/>
        <w:gridCol w:w="1712"/>
        <w:gridCol w:w="1412"/>
        <w:gridCol w:w="1562"/>
        <w:gridCol w:w="1194"/>
      </w:tblGrid>
      <w:tr>
        <w:trPr>
          <w:trHeight w:val="660" w:hRule="exact"/>
        </w:trPr>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新昌医惠数字科技有限公司</w:t>
            </w:r>
          </w:p>
          <w:p>
            <w:pPr>
              <w:pStyle w:val="TableParagraph"/>
              <w:spacing w:line="240" w:lineRule="auto" w:before="25"/>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1]</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628"/>
              <w:jc w:val="right"/>
              <w:rPr>
                <w:rFonts w:ascii="宋体" w:hAnsi="宋体" w:cs="宋体" w:eastAsia="宋体" w:hint="default"/>
                <w:sz w:val="21"/>
                <w:szCs w:val="21"/>
              </w:rPr>
            </w:pPr>
            <w:r>
              <w:rPr>
                <w:rFonts w:ascii="宋体" w:hAnsi="宋体" w:cs="宋体" w:eastAsia="宋体" w:hint="default"/>
                <w:sz w:val="21"/>
                <w:szCs w:val="21"/>
              </w:rPr>
              <w:t>设立</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223"/>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9</w:t>
            </w:r>
            <w:r>
              <w:rPr>
                <w:rFonts w:ascii="宋体" w:hAnsi="宋体" w:cs="宋体" w:eastAsia="宋体" w:hint="default"/>
                <w:sz w:val="21"/>
                <w:szCs w:val="21"/>
              </w:rPr>
              <w:t>月</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6"/>
              <w:jc w:val="right"/>
              <w:rPr>
                <w:rFonts w:ascii="宋体" w:hAnsi="宋体" w:cs="宋体" w:eastAsia="宋体" w:hint="default"/>
                <w:sz w:val="21"/>
                <w:szCs w:val="21"/>
              </w:rPr>
            </w:pPr>
            <w:r>
              <w:rPr>
                <w:rFonts w:ascii="Times New Roman" w:hAnsi="Times New Roman" w:cs="Times New Roman" w:eastAsia="Times New Roman" w:hint="default"/>
                <w:sz w:val="21"/>
                <w:szCs w:val="21"/>
              </w:rPr>
              <w:t>1,800.00</w:t>
            </w:r>
            <w:r>
              <w:rPr>
                <w:rFonts w:ascii="宋体" w:hAnsi="宋体" w:cs="宋体" w:eastAsia="宋体" w:hint="default"/>
                <w:sz w:val="21"/>
                <w:szCs w:val="21"/>
              </w:rPr>
              <w:t>万元</w:t>
            </w:r>
          </w:p>
        </w:tc>
        <w:tc>
          <w:tcPr>
            <w:tcW w:w="11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4"/>
              <w:jc w:val="right"/>
              <w:rPr>
                <w:rFonts w:ascii="Times New Roman" w:hAnsi="Times New Roman" w:cs="Times New Roman" w:eastAsia="Times New Roman" w:hint="default"/>
                <w:sz w:val="21"/>
                <w:szCs w:val="21"/>
              </w:rPr>
            </w:pPr>
            <w:r>
              <w:rPr>
                <w:rFonts w:ascii="Times New Roman"/>
                <w:sz w:val="21"/>
              </w:rPr>
              <w:t>100.00%</w:t>
            </w:r>
          </w:p>
        </w:tc>
      </w:tr>
      <w:tr>
        <w:trPr>
          <w:trHeight w:val="660" w:hRule="exact"/>
        </w:trPr>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115"/>
              <w:jc w:val="left"/>
              <w:rPr>
                <w:rFonts w:ascii="Times New Roman" w:hAnsi="Times New Roman" w:cs="Times New Roman" w:eastAsia="Times New Roman" w:hint="default"/>
                <w:sz w:val="21"/>
                <w:szCs w:val="21"/>
              </w:rPr>
            </w:pPr>
            <w:r>
              <w:rPr>
                <w:rFonts w:ascii="宋体" w:hAnsi="宋体" w:cs="宋体" w:eastAsia="宋体" w:hint="default"/>
                <w:sz w:val="21"/>
                <w:szCs w:val="21"/>
              </w:rPr>
              <w:t>杭州医惠织物智能科技有限 公司</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2]</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628"/>
              <w:jc w:val="right"/>
              <w:rPr>
                <w:rFonts w:ascii="宋体" w:hAnsi="宋体" w:cs="宋体" w:eastAsia="宋体" w:hint="default"/>
                <w:sz w:val="21"/>
                <w:szCs w:val="21"/>
              </w:rPr>
            </w:pPr>
            <w:r>
              <w:rPr>
                <w:rFonts w:ascii="宋体" w:hAnsi="宋体" w:cs="宋体" w:eastAsia="宋体" w:hint="default"/>
                <w:sz w:val="21"/>
                <w:szCs w:val="21"/>
              </w:rPr>
              <w:t>设立</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78"/>
              <w:jc w:val="righ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300.00</w:t>
            </w:r>
            <w:r>
              <w:rPr>
                <w:rFonts w:ascii="宋体" w:hAnsi="宋体" w:cs="宋体" w:eastAsia="宋体" w:hint="default"/>
                <w:sz w:val="21"/>
                <w:szCs w:val="21"/>
              </w:rPr>
              <w:t>万元</w:t>
            </w:r>
          </w:p>
        </w:tc>
        <w:tc>
          <w:tcPr>
            <w:tcW w:w="11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3"/>
              <w:jc w:val="right"/>
              <w:rPr>
                <w:rFonts w:ascii="Times New Roman" w:hAnsi="Times New Roman" w:cs="Times New Roman" w:eastAsia="Times New Roman" w:hint="default"/>
                <w:sz w:val="21"/>
                <w:szCs w:val="21"/>
              </w:rPr>
            </w:pPr>
            <w:r>
              <w:rPr>
                <w:rFonts w:ascii="Times New Roman"/>
                <w:sz w:val="21"/>
              </w:rPr>
              <w:t>55.00%</w:t>
            </w:r>
          </w:p>
        </w:tc>
      </w:tr>
      <w:tr>
        <w:trPr>
          <w:trHeight w:val="661" w:hRule="exact"/>
        </w:trPr>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宋体" w:hAnsi="宋体" w:cs="宋体" w:eastAsia="宋体" w:hint="default"/>
                <w:sz w:val="21"/>
                <w:szCs w:val="21"/>
              </w:rPr>
              <w:t>上海惠沪信息技术有限公司</w:t>
            </w:r>
          </w:p>
          <w:p>
            <w:pPr>
              <w:pStyle w:val="TableParagraph"/>
              <w:spacing w:line="240" w:lineRule="auto" w:before="25"/>
              <w:ind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3]</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628"/>
              <w:jc w:val="right"/>
              <w:rPr>
                <w:rFonts w:ascii="宋体" w:hAnsi="宋体" w:cs="宋体" w:eastAsia="宋体" w:hint="default"/>
                <w:sz w:val="21"/>
                <w:szCs w:val="21"/>
              </w:rPr>
            </w:pPr>
            <w:r>
              <w:rPr>
                <w:rFonts w:ascii="宋体" w:hAnsi="宋体" w:cs="宋体" w:eastAsia="宋体" w:hint="default"/>
                <w:sz w:val="21"/>
                <w:szCs w:val="21"/>
              </w:rPr>
              <w:t>设立</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right"/>
              <w:rPr>
                <w:rFonts w:ascii="宋体" w:hAnsi="宋体" w:cs="宋体" w:eastAsia="宋体" w:hint="default"/>
                <w:sz w:val="21"/>
                <w:szCs w:val="21"/>
              </w:rPr>
            </w:pPr>
            <w:r>
              <w:rPr>
                <w:rFonts w:ascii="Times New Roman" w:hAnsi="Times New Roman" w:cs="Times New Roman" w:eastAsia="Times New Roman" w:hint="default"/>
                <w:sz w:val="21"/>
                <w:szCs w:val="21"/>
              </w:rPr>
              <w:t>500.00</w:t>
            </w:r>
            <w:r>
              <w:rPr>
                <w:rFonts w:ascii="宋体" w:hAnsi="宋体" w:cs="宋体" w:eastAsia="宋体" w:hint="default"/>
                <w:sz w:val="21"/>
                <w:szCs w:val="21"/>
              </w:rPr>
              <w:t>万元</w:t>
            </w:r>
          </w:p>
        </w:tc>
        <w:tc>
          <w:tcPr>
            <w:tcW w:w="11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3"/>
              <w:jc w:val="right"/>
              <w:rPr>
                <w:rFonts w:ascii="Times New Roman" w:hAnsi="Times New Roman" w:cs="Times New Roman" w:eastAsia="Times New Roman" w:hint="default"/>
                <w:sz w:val="21"/>
                <w:szCs w:val="21"/>
              </w:rPr>
            </w:pPr>
            <w:r>
              <w:rPr>
                <w:rFonts w:ascii="Times New Roman"/>
                <w:sz w:val="21"/>
              </w:rPr>
              <w:t>60.00%</w:t>
            </w:r>
          </w:p>
        </w:tc>
      </w:tr>
      <w:tr>
        <w:trPr>
          <w:trHeight w:val="660" w:hRule="exact"/>
        </w:trPr>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6"/>
              <w:jc w:val="left"/>
              <w:rPr>
                <w:rFonts w:ascii="宋体" w:hAnsi="宋体" w:cs="宋体" w:eastAsia="宋体" w:hint="default"/>
                <w:sz w:val="21"/>
                <w:szCs w:val="21"/>
              </w:rPr>
            </w:pPr>
            <w:r>
              <w:rPr>
                <w:rFonts w:ascii="宋体" w:hAnsi="宋体" w:cs="宋体" w:eastAsia="宋体" w:hint="default"/>
                <w:spacing w:val="-11"/>
                <w:sz w:val="21"/>
                <w:szCs w:val="21"/>
              </w:rPr>
              <w:t>医惠科技（福建）有限公司</w:t>
            </w:r>
            <w:r>
              <w:rPr>
                <w:rFonts w:ascii="Times New Roman" w:hAnsi="Times New Roman" w:cs="Times New Roman" w:eastAsia="Times New Roman" w:hint="default"/>
                <w:spacing w:val="-11"/>
                <w:sz w:val="21"/>
                <w:szCs w:val="21"/>
              </w:rPr>
              <w:t>[</w:t>
            </w:r>
            <w:r>
              <w:rPr>
                <w:rFonts w:ascii="宋体" w:hAnsi="宋体" w:cs="宋体" w:eastAsia="宋体" w:hint="default"/>
                <w:spacing w:val="-11"/>
                <w:sz w:val="21"/>
                <w:szCs w:val="21"/>
              </w:rPr>
              <w:t>注</w:t>
            </w:r>
          </w:p>
          <w:p>
            <w:pPr>
              <w:pStyle w:val="TableParagraph"/>
              <w:spacing w:line="240" w:lineRule="auto" w:before="89"/>
              <w:ind w:right="0"/>
              <w:jc w:val="left"/>
              <w:rPr>
                <w:rFonts w:ascii="Times New Roman" w:hAnsi="Times New Roman" w:cs="Times New Roman" w:eastAsia="Times New Roman" w:hint="default"/>
                <w:sz w:val="21"/>
                <w:szCs w:val="21"/>
              </w:rPr>
            </w:pPr>
            <w:r>
              <w:rPr>
                <w:rFonts w:ascii="Times New Roman"/>
                <w:sz w:val="21"/>
              </w:rPr>
              <w:t>4]</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628"/>
              <w:jc w:val="right"/>
              <w:rPr>
                <w:rFonts w:ascii="宋体" w:hAnsi="宋体" w:cs="宋体" w:eastAsia="宋体" w:hint="default"/>
                <w:sz w:val="21"/>
                <w:szCs w:val="21"/>
              </w:rPr>
            </w:pPr>
            <w:r>
              <w:rPr>
                <w:rFonts w:ascii="宋体" w:hAnsi="宋体" w:cs="宋体" w:eastAsia="宋体" w:hint="default"/>
                <w:sz w:val="21"/>
                <w:szCs w:val="21"/>
              </w:rPr>
              <w:t>设立</w:t>
            </w:r>
          </w:p>
        </w:tc>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6"/>
              <w:jc w:val="right"/>
              <w:rPr>
                <w:rFonts w:ascii="宋体" w:hAnsi="宋体" w:cs="宋体" w:eastAsia="宋体" w:hint="default"/>
                <w:sz w:val="21"/>
                <w:szCs w:val="21"/>
              </w:rPr>
            </w:pPr>
            <w:r>
              <w:rPr>
                <w:rFonts w:ascii="Times New Roman" w:hAnsi="Times New Roman" w:cs="Times New Roman" w:eastAsia="Times New Roman" w:hint="default"/>
                <w:sz w:val="21"/>
                <w:szCs w:val="21"/>
              </w:rPr>
              <w:t>1,000.00</w:t>
            </w:r>
            <w:r>
              <w:rPr>
                <w:rFonts w:ascii="宋体" w:hAnsi="宋体" w:cs="宋体" w:eastAsia="宋体" w:hint="default"/>
                <w:sz w:val="21"/>
                <w:szCs w:val="21"/>
              </w:rPr>
              <w:t>万元</w:t>
            </w:r>
          </w:p>
        </w:tc>
        <w:tc>
          <w:tcPr>
            <w:tcW w:w="119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z w:val="21"/>
              </w:rPr>
              <w:t>55.00%</w:t>
            </w:r>
          </w:p>
        </w:tc>
      </w:tr>
    </w:tbl>
    <w:p>
      <w:pPr>
        <w:pStyle w:val="Heading6"/>
        <w:spacing w:line="271" w:lineRule="exact"/>
        <w:ind w:left="561" w:right="1086"/>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：新昌医惠数字科技有限公司注册资本为</w:t>
      </w:r>
      <w:r>
        <w:rPr>
          <w:rFonts w:ascii="Times New Roman" w:hAnsi="Times New Roman" w:cs="Times New Roman" w:eastAsia="Times New Roman" w:hint="default"/>
        </w:rPr>
        <w:t>1,800</w:t>
      </w:r>
      <w:r>
        <w:rPr/>
        <w:t>万元，全部由本公司认缴，本公司已于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p>
    <w:p>
      <w:pPr>
        <w:pStyle w:val="Heading6"/>
        <w:spacing w:line="254" w:lineRule="auto" w:before="24"/>
        <w:ind w:left="561" w:right="1086" w:hanging="421"/>
        <w:jc w:val="left"/>
      </w:pPr>
      <w:r>
        <w:rPr/>
        <w:t>月实缴注册资本</w:t>
      </w:r>
      <w:r>
        <w:rPr>
          <w:rFonts w:ascii="Times New Roman" w:hAnsi="Times New Roman" w:cs="Times New Roman" w:eastAsia="Times New Roman" w:hint="default"/>
        </w:rPr>
        <w:t>200</w:t>
      </w:r>
      <w:r>
        <w:rPr/>
        <w:t>万元。 </w:t>
      </w: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月，由杭州医惠医疗智能科技有限公司更名为杭州医惠织物智能科技有限公司。 </w:t>
      </w:r>
      <w:r>
        <w:rPr>
          <w:spacing w:val="-1"/>
        </w:rPr>
        <w:t>杭州医惠织物智能科技有限公司注册资本为</w:t>
      </w:r>
      <w:r>
        <w:rPr>
          <w:rFonts w:ascii="Times New Roman" w:hAnsi="Times New Roman" w:cs="Times New Roman" w:eastAsia="Times New Roman" w:hint="default"/>
          <w:spacing w:val="-1"/>
        </w:rPr>
        <w:t>300</w:t>
      </w:r>
      <w:r>
        <w:rPr>
          <w:spacing w:val="-1"/>
        </w:rPr>
        <w:t>万元，子公司医惠科技公司认缴</w:t>
      </w:r>
      <w:r>
        <w:rPr>
          <w:rFonts w:ascii="Times New Roman" w:hAnsi="Times New Roman" w:cs="Times New Roman" w:eastAsia="Times New Roman" w:hint="default"/>
          <w:spacing w:val="-1"/>
        </w:rPr>
        <w:t>153</w:t>
      </w:r>
      <w:r>
        <w:rPr>
          <w:spacing w:val="-1"/>
        </w:rPr>
        <w:t>万元，子公司杭州</w:t>
      </w:r>
    </w:p>
    <w:p>
      <w:pPr>
        <w:pStyle w:val="Heading6"/>
        <w:spacing w:line="259" w:lineRule="auto" w:before="11"/>
        <w:ind w:right="1106"/>
        <w:jc w:val="both"/>
      </w:pPr>
      <w:r>
        <w:rPr>
          <w:spacing w:val="-1"/>
        </w:rPr>
        <w:t>思创医惠孵化器有限公司认缴</w:t>
      </w:r>
      <w:r>
        <w:rPr>
          <w:rFonts w:ascii="Times New Roman" w:hAnsi="Times New Roman" w:cs="Times New Roman" w:eastAsia="Times New Roman" w:hint="default"/>
          <w:spacing w:val="-1"/>
        </w:rPr>
        <w:t>12</w:t>
      </w:r>
      <w:r>
        <w:rPr>
          <w:spacing w:val="-1"/>
        </w:rPr>
        <w:t>万元。子公司医惠科技公司已于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月实缴注册资本</w:t>
      </w:r>
      <w:r>
        <w:rPr>
          <w:rFonts w:ascii="Times New Roman" w:hAnsi="Times New Roman" w:cs="Times New Roman" w:eastAsia="Times New Roman" w:hint="default"/>
          <w:spacing w:val="-1"/>
        </w:rPr>
        <w:t>50</w:t>
      </w:r>
      <w:r>
        <w:rPr>
          <w:spacing w:val="-1"/>
        </w:rPr>
        <w:t>万元，子公司</w:t>
      </w:r>
      <w:r>
        <w:rPr>
          <w:spacing w:val="-91"/>
        </w:rPr>
        <w:t> </w:t>
      </w:r>
      <w:r>
        <w:rPr>
          <w:spacing w:val="-91"/>
        </w:rPr>
      </w:r>
      <w:r>
        <w:rPr>
          <w:spacing w:val="-1"/>
        </w:rPr>
        <w:t>杭州思创医惠孵化器有限公司已于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月实缴注册资本</w:t>
      </w:r>
      <w:r>
        <w:rPr>
          <w:rFonts w:ascii="Times New Roman" w:hAnsi="Times New Roman" w:cs="Times New Roman" w:eastAsia="Times New Roman" w:hint="default"/>
          <w:spacing w:val="-1"/>
        </w:rPr>
        <w:t>6</w:t>
      </w:r>
      <w:r>
        <w:rPr>
          <w:spacing w:val="-1"/>
        </w:rPr>
        <w:t>万元。由于杭州医惠织物智能科技有限公司于</w:t>
      </w:r>
      <w:r>
        <w:rPr>
          <w:spacing w:val="-77"/>
        </w:rPr>
        <w:t> </w:t>
      </w:r>
      <w:r>
        <w:rPr>
          <w:spacing w:val="-77"/>
        </w:rPr>
      </w:r>
      <w:r>
        <w:rPr>
          <w:rFonts w:ascii="Times New Roman" w:hAnsi="Times New Roman" w:cs="Times New Roman" w:eastAsia="Times New Roman" w:hint="default"/>
        </w:rPr>
        <w:t>2019</w:t>
      </w:r>
      <w:r>
        <w:rPr/>
        <w:t>年开始开展业务，因而</w:t>
      </w:r>
      <w:r>
        <w:rPr>
          <w:rFonts w:ascii="Times New Roman" w:hAnsi="Times New Roman" w:cs="Times New Roman" w:eastAsia="Times New Roman" w:hint="default"/>
        </w:rPr>
        <w:t>2019</w:t>
      </w:r>
      <w:r>
        <w:rPr/>
        <w:t>年开始纳入合并范围内。</w:t>
      </w:r>
    </w:p>
    <w:p>
      <w:pPr>
        <w:pStyle w:val="Heading6"/>
        <w:spacing w:line="261" w:lineRule="auto"/>
        <w:ind w:right="0"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3]</w:t>
      </w:r>
      <w:r>
        <w:rPr/>
        <w:t>：上海惠沪信息技术有限公司注册资本为</w:t>
      </w:r>
      <w:r>
        <w:rPr>
          <w:rFonts w:ascii="Times New Roman" w:hAnsi="Times New Roman" w:cs="Times New Roman" w:eastAsia="Times New Roman" w:hint="default"/>
        </w:rPr>
        <w:t>500</w:t>
      </w:r>
      <w:r>
        <w:rPr/>
        <w:t>万元，子公司医惠科技公司认缴</w:t>
      </w:r>
      <w:r>
        <w:rPr>
          <w:rFonts w:ascii="Times New Roman" w:hAnsi="Times New Roman" w:cs="Times New Roman" w:eastAsia="Times New Roman" w:hint="default"/>
        </w:rPr>
        <w:t>300</w:t>
      </w:r>
      <w:r>
        <w:rPr/>
        <w:t>万元，子公司医</w:t>
      </w:r>
      <w:r>
        <w:rPr>
          <w:w w:val="99"/>
        </w:rPr>
        <w:t> </w:t>
      </w:r>
      <w:r>
        <w:rPr>
          <w:spacing w:val="-2"/>
        </w:rPr>
        <w:t>惠科技公司已于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月实缴注册资本</w:t>
      </w:r>
      <w:r>
        <w:rPr>
          <w:rFonts w:ascii="Times New Roman" w:hAnsi="Times New Roman" w:cs="Times New Roman" w:eastAsia="Times New Roman" w:hint="default"/>
          <w:spacing w:val="-2"/>
        </w:rPr>
        <w:t>0.5</w:t>
      </w:r>
      <w:r>
        <w:rPr>
          <w:spacing w:val="-2"/>
        </w:rPr>
        <w:t>万元。由于上海惠沪信息技术有限公司于</w:t>
      </w:r>
      <w:r>
        <w:rPr>
          <w:rFonts w:ascii="Times New Roman" w:hAnsi="Times New Roman" w:cs="Times New Roman" w:eastAsia="Times New Roman" w:hint="default"/>
          <w:spacing w:val="-2"/>
        </w:rPr>
        <w:t>2019</w:t>
      </w:r>
      <w:r>
        <w:rPr>
          <w:spacing w:val="-2"/>
        </w:rPr>
        <w:t>年开始开展业务，</w:t>
      </w:r>
      <w:r>
        <w:rPr>
          <w:spacing w:val="-73"/>
        </w:rPr>
        <w:t> </w:t>
      </w:r>
      <w:r>
        <w:rPr/>
        <w:t>因而</w:t>
      </w:r>
      <w:r>
        <w:rPr>
          <w:rFonts w:ascii="Times New Roman" w:hAnsi="Times New Roman" w:cs="Times New Roman" w:eastAsia="Times New Roman" w:hint="default"/>
        </w:rPr>
        <w:t>2019</w:t>
      </w:r>
      <w:r>
        <w:rPr/>
        <w:t>年开始纳入合并范围内。</w:t>
      </w:r>
    </w:p>
    <w:p>
      <w:pPr>
        <w:pStyle w:val="Heading6"/>
        <w:spacing w:line="259" w:lineRule="auto" w:before="3"/>
        <w:ind w:left="561" w:right="1086"/>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月，由福建医惠医疗信息服务有限公司更名为医惠科技（福建）有限公司。</w:t>
      </w:r>
      <w:r>
        <w:rPr>
          <w:spacing w:val="-97"/>
        </w:rPr>
        <w:t> </w:t>
      </w:r>
      <w:r>
        <w:rPr/>
        <w:t>医惠科技（福建）有限公司注册资本为</w:t>
      </w:r>
      <w:r>
        <w:rPr>
          <w:rFonts w:ascii="Times New Roman" w:hAnsi="Times New Roman" w:cs="Times New Roman" w:eastAsia="Times New Roman" w:hint="default"/>
        </w:rPr>
        <w:t>1,000</w:t>
      </w:r>
      <w:r>
        <w:rPr/>
        <w:t>万元，子公司医惠科技公司认缴</w:t>
      </w:r>
      <w:r>
        <w:rPr>
          <w:rFonts w:ascii="Times New Roman" w:hAnsi="Times New Roman" w:cs="Times New Roman" w:eastAsia="Times New Roman" w:hint="default"/>
        </w:rPr>
        <w:t>550</w:t>
      </w:r>
      <w:r>
        <w:rPr/>
        <w:t>万元，截至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p>
    <w:p>
      <w:pPr>
        <w:pStyle w:val="Heading6"/>
        <w:spacing w:line="259" w:lineRule="auto"/>
        <w:ind w:right="1092"/>
        <w:jc w:val="both"/>
      </w:pPr>
      <w:r>
        <w:rPr/>
        <w:t>月</w:t>
      </w:r>
      <w:r>
        <w:rPr>
          <w:rFonts w:ascii="Times New Roman" w:hAnsi="Times New Roman" w:cs="Times New Roman" w:eastAsia="Times New Roman" w:hint="default"/>
        </w:rPr>
        <w:t>31</w:t>
      </w:r>
      <w:r>
        <w:rPr/>
        <w:t>日，尚未出资。由于医惠科技（福建）有限公司于</w:t>
      </w:r>
      <w:r>
        <w:rPr>
          <w:rFonts w:ascii="Times New Roman" w:hAnsi="Times New Roman" w:cs="Times New Roman" w:eastAsia="Times New Roman" w:hint="default"/>
        </w:rPr>
        <w:t>2019</w:t>
      </w:r>
      <w:r>
        <w:rPr/>
        <w:t>年开始开展业务，因而</w:t>
      </w:r>
      <w:r>
        <w:rPr>
          <w:rFonts w:ascii="Times New Roman" w:hAnsi="Times New Roman" w:cs="Times New Roman" w:eastAsia="Times New Roman" w:hint="default"/>
        </w:rPr>
        <w:t>2019</w:t>
      </w:r>
      <w:r>
        <w:rPr/>
        <w:t>年开始纳入合并范 围内。</w:t>
      </w:r>
    </w:p>
    <w:p>
      <w:pPr>
        <w:pStyle w:val="Heading6"/>
        <w:spacing w:line="240" w:lineRule="auto" w:before="23"/>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合并范围减少</w:t>
      </w:r>
    </w:p>
    <w:p>
      <w:pPr>
        <w:spacing w:line="240" w:lineRule="auto" w:before="5"/>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952"/>
        <w:gridCol w:w="1457"/>
        <w:gridCol w:w="1712"/>
        <w:gridCol w:w="1697"/>
        <w:gridCol w:w="1720"/>
      </w:tblGrid>
      <w:tr>
        <w:trPr>
          <w:trHeight w:val="661"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股权处置方式</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1"/>
              <w:jc w:val="center"/>
              <w:rPr>
                <w:rFonts w:ascii="宋体" w:hAnsi="宋体" w:cs="宋体" w:eastAsia="宋体" w:hint="default"/>
                <w:sz w:val="21"/>
                <w:szCs w:val="21"/>
              </w:rPr>
            </w:pPr>
            <w:r>
              <w:rPr>
                <w:rFonts w:ascii="宋体" w:hAnsi="宋体" w:cs="宋体" w:eastAsia="宋体" w:hint="default"/>
                <w:sz w:val="21"/>
                <w:szCs w:val="21"/>
              </w:rPr>
              <w:t>股权处置时点</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0"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1720"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期初至处置日</w:t>
            </w:r>
          </w:p>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净利润</w:t>
            </w:r>
          </w:p>
        </w:tc>
      </w:tr>
      <w:tr>
        <w:trPr>
          <w:trHeight w:val="660"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杭州睿杰信息技术有</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28"/>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13"/>
              <w:jc w:val="right"/>
              <w:rPr>
                <w:rFonts w:ascii="Times New Roman" w:hAnsi="Times New Roman" w:cs="Times New Roman" w:eastAsia="Times New Roman" w:hint="default"/>
                <w:sz w:val="21"/>
                <w:szCs w:val="21"/>
              </w:rPr>
            </w:pPr>
            <w:r>
              <w:rPr>
                <w:rFonts w:ascii="Times New Roman"/>
                <w:sz w:val="21"/>
              </w:rPr>
              <w:t>1,518,379.79</w:t>
            </w:r>
          </w:p>
        </w:tc>
        <w:tc>
          <w:tcPr>
            <w:tcW w:w="1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3"/>
              <w:ind w:right="1"/>
              <w:jc w:val="right"/>
              <w:rPr>
                <w:rFonts w:ascii="Times New Roman" w:hAnsi="Times New Roman" w:cs="Times New Roman" w:eastAsia="Times New Roman" w:hint="default"/>
                <w:sz w:val="21"/>
                <w:szCs w:val="21"/>
              </w:rPr>
            </w:pPr>
            <w:r>
              <w:rPr>
                <w:rFonts w:ascii="Times New Roman"/>
                <w:sz w:val="21"/>
              </w:rPr>
              <w:t>-913,849.88</w:t>
            </w:r>
          </w:p>
        </w:tc>
      </w:tr>
      <w:tr>
        <w:trPr>
          <w:trHeight w:val="661" w:hRule="exact"/>
        </w:trPr>
        <w:tc>
          <w:tcPr>
            <w:tcW w:w="195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pacing w:val="3"/>
                <w:sz w:val="21"/>
                <w:szCs w:val="21"/>
              </w:rPr>
              <w:t>江苏瑞康医惠医疗投</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z w:val="21"/>
                <w:szCs w:val="21"/>
              </w:rPr>
              <w:t>资管理有限公司</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center"/>
              <w:rPr>
                <w:rFonts w:ascii="宋体" w:hAnsi="宋体" w:cs="宋体" w:eastAsia="宋体" w:hint="default"/>
                <w:sz w:val="21"/>
                <w:szCs w:val="21"/>
              </w:rPr>
            </w:pPr>
            <w:r>
              <w:rPr>
                <w:rFonts w:ascii="宋体" w:hAnsi="宋体" w:cs="宋体" w:eastAsia="宋体" w:hint="default"/>
                <w:sz w:val="21"/>
                <w:szCs w:val="21"/>
              </w:rPr>
              <w:t>其他减少</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4"/>
              <w:jc w:val="right"/>
              <w:rPr>
                <w:rFonts w:ascii="Times New Roman" w:hAnsi="Times New Roman" w:cs="Times New Roman" w:eastAsia="Times New Roman" w:hint="default"/>
                <w:sz w:val="21"/>
                <w:szCs w:val="21"/>
              </w:rPr>
            </w:pPr>
            <w:r>
              <w:rPr>
                <w:rFonts w:ascii="Times New Roman"/>
                <w:sz w:val="21"/>
              </w:rPr>
              <w:t>855,130.23</w:t>
            </w:r>
          </w:p>
        </w:tc>
        <w:tc>
          <w:tcPr>
            <w:tcW w:w="172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-2,178,685.80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spacing w:line="489" w:lineRule="auto" w:before="35"/>
        <w:ind w:left="141" w:right="8098" w:firstLine="0"/>
        <w:jc w:val="left"/>
        <w:rPr>
          <w:rFonts w:ascii="宋体" w:hAnsi="宋体" w:cs="宋体" w:eastAsia="宋体" w:hint="default"/>
          <w:sz w:val="21"/>
          <w:szCs w:val="21"/>
        </w:rPr>
      </w:pPr>
      <w:bookmarkStart w:name="6、其他" w:id="437"/>
      <w:bookmarkEnd w:id="43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九、在其他主体中的权益" w:id="438"/>
      <w:bookmarkEnd w:id="438"/>
      <w:r>
        <w:rPr>
          <w:rFonts w:ascii="宋体" w:hAnsi="宋体" w:cs="宋体" w:eastAsia="宋体" w:hint="default"/>
          <w:b/>
          <w:bCs/>
          <w:w w:val="99"/>
          <w:sz w:val="21"/>
          <w:szCs w:val="21"/>
        </w:rPr>
      </w:r>
      <w:r>
        <w:rPr>
          <w:rFonts w:ascii="宋体" w:hAnsi="宋体" w:cs="宋体" w:eastAsia="宋体" w:hint="default"/>
          <w:b/>
          <w:bCs/>
          <w:sz w:val="24"/>
          <w:szCs w:val="24"/>
        </w:rPr>
        <w:t>九、在其他主体中的权益</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在子公司中的权益" w:id="439"/>
      <w:bookmarkEnd w:id="439"/>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1086"/>
        <w:jc w:val="left"/>
        <w:rPr>
          <w:b w:val="0"/>
          <w:bCs w:val="0"/>
        </w:rPr>
      </w:pPr>
      <w:bookmarkStart w:name="（1）企业集团的构成" w:id="440"/>
      <w:bookmarkEnd w:id="44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1"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杭州思越科技有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杭州思创汇联科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杭州中瑞思创智 能科技有限公司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上扬无线射频科 技扬州有限公司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扬州市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both"/>
              <w:rPr>
                <w:rFonts w:ascii="宋体" w:hAnsi="宋体" w:cs="宋体" w:eastAsia="宋体" w:hint="default"/>
                <w:sz w:val="18"/>
                <w:szCs w:val="18"/>
              </w:rPr>
            </w:pPr>
            <w:r>
              <w:rPr>
                <w:rFonts w:ascii="宋体" w:hAnsi="宋体" w:cs="宋体" w:eastAsia="宋体" w:hint="default"/>
                <w:sz w:val="18"/>
                <w:szCs w:val="18"/>
              </w:rPr>
              <w:t>杭州中科思创射 频识别技术有限 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90.00%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思创超讯公司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70.01%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杭州中瑞思创物 联科技有限公司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广州理德物联网 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系统集成业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68.00%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浙江省华卫智慧 医疗研究院</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pacing w:val="-5"/>
                <w:sz w:val="18"/>
                <w:szCs w:val="18"/>
              </w:rPr>
              <w:t>中瑞思创（香港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国际有限公司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before="30"/>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30" w:right="0"/>
              <w:jc w:val="left"/>
              <w:rPr>
                <w:rFonts w:ascii="宋体" w:hAnsi="宋体" w:cs="宋体" w:eastAsia="宋体" w:hint="default"/>
                <w:sz w:val="18"/>
                <w:szCs w:val="18"/>
              </w:rPr>
            </w:pPr>
            <w:r>
              <w:rPr>
                <w:rFonts w:ascii="宋体" w:hAnsi="宋体" w:cs="宋体" w:eastAsia="宋体" w:hint="default"/>
                <w:sz w:val="18"/>
                <w:szCs w:val="18"/>
              </w:rPr>
              <w:t>香港</w:t>
            </w:r>
          </w:p>
          <w:p>
            <w:pPr>
              <w:pStyle w:val="TableParagraph"/>
              <w:spacing w:line="570" w:lineRule="exact"/>
              <w:ind w:right="-3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8.350pt;height:28.55pt;mso-position-horizontal-relative:char;mso-position-vertical-relative:line" coordorigin="0,0" coordsize="1367,571">
                  <v:group style="position:absolute;left:0;top:0;width:1367;height:165" coordorigin="0,0" coordsize="1367,165">
                    <v:shape style="position:absolute;left:0;top:0;width:1367;height:165" coordorigin="0,0" coordsize="1367,165" path="m0,165l1367,165,1367,0,0,0,0,165xe" filled="true" fillcolor="#ffffff" stroked="false">
                      <v:path arrowok="t"/>
                      <v:fill type="solid"/>
                    </v:shape>
                  </v:group>
                  <v:group style="position:absolute;left:15;top:165;width:2;height:391" coordorigin="15,165" coordsize="2,391">
                    <v:shape style="position:absolute;left:15;top:165;width:2;height:391" coordorigin="15,165" coordsize="0,391" path="m15,165l15,555e" filled="false" stroked="true" strokeweight="1.5pt" strokecolor="#ffffff">
                      <v:path arrowok="t"/>
                    </v:shape>
                  </v:group>
                  <v:group style="position:absolute;left:30;top:165;width:1307;height:391" coordorigin="30,165" coordsize="1307,391">
                    <v:shape style="position:absolute;left:30;top:165;width:1307;height:391" coordorigin="30,165" coordsize="1307,391" path="m30,555l1337,555,1337,165,30,165,30,555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02"/>
              <w:ind w:left="15" w:right="175"/>
              <w:jc w:val="left"/>
              <w:rPr>
                <w:rFonts w:ascii="Times New Roman" w:hAnsi="Times New Roman" w:cs="Times New Roman" w:eastAsia="Times New Roman" w:hint="default"/>
                <w:sz w:val="18"/>
                <w:szCs w:val="18"/>
              </w:rPr>
            </w:pPr>
            <w:r>
              <w:rPr>
                <w:rFonts w:ascii="Times New Roman"/>
                <w:sz w:val="18"/>
              </w:rPr>
              <w:t>Century</w:t>
            </w:r>
            <w:r>
              <w:rPr>
                <w:rFonts w:ascii="Times New Roman"/>
                <w:spacing w:val="12"/>
                <w:sz w:val="18"/>
              </w:rPr>
              <w:t> </w:t>
            </w:r>
            <w:r>
              <w:rPr>
                <w:rFonts w:ascii="Times New Roman"/>
                <w:sz w:val="18"/>
              </w:rPr>
              <w:t>Europe</w:t>
            </w:r>
            <w:r>
              <w:rPr>
                <w:rFonts w:ascii="Times New Roman"/>
                <w:sz w:val="18"/>
              </w:rPr>
              <w:t> </w:t>
            </w:r>
            <w:r>
              <w:rPr>
                <w:rFonts w:ascii="Times New Roman"/>
                <w:spacing w:val="5"/>
                <w:sz w:val="18"/>
              </w:rPr>
              <w:t>AB</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瑞典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瑞典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15" w:right="280"/>
              <w:jc w:val="left"/>
              <w:rPr>
                <w:rFonts w:ascii="Times New Roman" w:hAnsi="Times New Roman" w:cs="Times New Roman" w:eastAsia="Times New Roman" w:hint="default"/>
                <w:sz w:val="18"/>
                <w:szCs w:val="18"/>
              </w:rPr>
            </w:pPr>
            <w:r>
              <w:rPr>
                <w:rFonts w:ascii="Times New Roman"/>
                <w:sz w:val="18"/>
              </w:rPr>
              <w:t>Century</w:t>
            </w:r>
            <w:r>
              <w:rPr>
                <w:rFonts w:ascii="Times New Roman"/>
                <w:spacing w:val="19"/>
                <w:sz w:val="18"/>
              </w:rPr>
              <w:t> </w:t>
            </w:r>
            <w:r>
              <w:rPr>
                <w:rFonts w:ascii="Times New Roman"/>
                <w:spacing w:val="-4"/>
                <w:sz w:val="18"/>
              </w:rPr>
              <w:t>Retail</w:t>
            </w:r>
            <w:r>
              <w:rPr>
                <w:rFonts w:ascii="Times New Roman"/>
                <w:sz w:val="18"/>
              </w:rPr>
              <w:t> Europe</w:t>
            </w:r>
            <w:r>
              <w:rPr>
                <w:rFonts w:ascii="Times New Roman"/>
                <w:spacing w:val="3"/>
                <w:sz w:val="18"/>
              </w:rPr>
              <w:t> </w:t>
            </w:r>
            <w:r>
              <w:rPr>
                <w:rFonts w:ascii="Times New Roman"/>
                <w:spacing w:val="-10"/>
                <w:sz w:val="18"/>
              </w:rPr>
              <w:t>B.V.</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荷兰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101"/>
              <w:ind w:left="15" w:right="359"/>
              <w:jc w:val="left"/>
              <w:rPr>
                <w:rFonts w:ascii="Times New Roman" w:hAnsi="Times New Roman" w:cs="Times New Roman" w:eastAsia="Times New Roman" w:hint="default"/>
                <w:sz w:val="18"/>
                <w:szCs w:val="18"/>
              </w:rPr>
            </w:pPr>
            <w:r>
              <w:rPr>
                <w:rFonts w:ascii="Times New Roman"/>
                <w:sz w:val="18"/>
              </w:rPr>
              <w:t>Century</w:t>
            </w:r>
            <w:r>
              <w:rPr>
                <w:rFonts w:ascii="Times New Roman"/>
                <w:spacing w:val="18"/>
                <w:sz w:val="18"/>
              </w:rPr>
              <w:t> </w:t>
            </w:r>
            <w:r>
              <w:rPr>
                <w:rFonts w:ascii="Times New Roman"/>
                <w:spacing w:val="-3"/>
                <w:sz w:val="18"/>
              </w:rPr>
              <w:t>Link</w:t>
            </w:r>
            <w:r>
              <w:rPr>
                <w:rFonts w:ascii="Times New Roman"/>
                <w:sz w:val="18"/>
              </w:rPr>
              <w:t> </w:t>
            </w:r>
            <w:r>
              <w:rPr>
                <w:rFonts w:ascii="Times New Roman"/>
                <w:spacing w:val="-3"/>
                <w:sz w:val="18"/>
              </w:rPr>
              <w:t>America</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GL</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智利</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智利</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15" w:right="290"/>
              <w:jc w:val="left"/>
              <w:rPr>
                <w:rFonts w:ascii="Times New Roman" w:hAnsi="Times New Roman" w:cs="Times New Roman" w:eastAsia="Times New Roman" w:hint="default"/>
                <w:sz w:val="18"/>
                <w:szCs w:val="18"/>
              </w:rPr>
            </w:pPr>
            <w:r>
              <w:rPr>
                <w:rFonts w:ascii="Times New Roman"/>
                <w:spacing w:val="-5"/>
                <w:sz w:val="18"/>
              </w:rPr>
              <w:t>EWELL </w:t>
            </w:r>
            <w:r>
              <w:rPr>
                <w:rFonts w:ascii="Times New Roman"/>
                <w:sz w:val="18"/>
              </w:rPr>
              <w:t>HONGKONG</w:t>
            </w:r>
            <w:r>
              <w:rPr>
                <w:rFonts w:ascii="Times New Roman"/>
                <w:w w:val="99"/>
                <w:sz w:val="18"/>
              </w:rPr>
              <w:t> </w:t>
            </w:r>
            <w:r>
              <w:rPr>
                <w:rFonts w:ascii="Times New Roman"/>
                <w:sz w:val="18"/>
              </w:rPr>
              <w:t>LIMITED</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72.00%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48" w:lineRule="auto" w:before="102"/>
              <w:ind w:left="15" w:right="134"/>
              <w:jc w:val="left"/>
              <w:rPr>
                <w:rFonts w:ascii="Times New Roman" w:hAnsi="Times New Roman" w:cs="Times New Roman" w:eastAsia="Times New Roman" w:hint="default"/>
                <w:sz w:val="18"/>
                <w:szCs w:val="18"/>
              </w:rPr>
            </w:pPr>
            <w:r>
              <w:rPr>
                <w:rFonts w:ascii="Times New Roman"/>
                <w:spacing w:val="-4"/>
                <w:sz w:val="18"/>
              </w:rPr>
              <w:t>Sun </w:t>
            </w:r>
            <w:r>
              <w:rPr>
                <w:rFonts w:ascii="Times New Roman"/>
                <w:sz w:val="18"/>
              </w:rPr>
              <w:t>Pacific</w:t>
            </w:r>
            <w:r>
              <w:rPr>
                <w:rFonts w:ascii="Times New Roman"/>
                <w:spacing w:val="1"/>
                <w:sz w:val="18"/>
              </w:rPr>
              <w:t> </w:t>
            </w:r>
            <w:r>
              <w:rPr>
                <w:rFonts w:ascii="Times New Roman"/>
                <w:sz w:val="18"/>
              </w:rPr>
              <w:t>Link</w:t>
            </w:r>
            <w:r>
              <w:rPr>
                <w:rFonts w:ascii="Times New Roman"/>
                <w:sz w:val="18"/>
              </w:rPr>
              <w:t> </w:t>
            </w:r>
            <w:r>
              <w:rPr>
                <w:rFonts w:ascii="Times New Roman"/>
                <w:spacing w:val="-3"/>
                <w:sz w:val="18"/>
              </w:rPr>
              <w:t>Limited</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72.00%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杭州华洁医疗科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浙江医洁医疗科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3"/>
              <w:jc w:val="left"/>
              <w:rPr>
                <w:rFonts w:ascii="宋体" w:hAnsi="宋体" w:cs="宋体" w:eastAsia="宋体" w:hint="default"/>
                <w:sz w:val="18"/>
                <w:szCs w:val="18"/>
              </w:rPr>
            </w:pPr>
            <w:r>
              <w:rPr>
                <w:rFonts w:ascii="宋体" w:hAnsi="宋体" w:cs="宋体" w:eastAsia="宋体" w:hint="default"/>
                <w:sz w:val="18"/>
                <w:szCs w:val="18"/>
              </w:rPr>
              <w:t>杭州认知投资管 理有限公司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55.00%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杭州沃森诊所有</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杭州医惠医用织 物管理有限公司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杭州思创医惠孵 化器有限公司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医惠（苏州）科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95.00%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杭州简惠信息技 术有限公司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杭州智海医惠信 息科技有限公司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60.50%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杭州医惠物联网 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杭州医惠软件有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无锡医惠物联网 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浙江省中卫护理 信息管理研究院</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广州医惠信息科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57.30%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重庆医惠医疗科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重庆市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杭州联源智能科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75.00%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04"/>
              <w:jc w:val="left"/>
              <w:rPr>
                <w:rFonts w:ascii="宋体" w:hAnsi="宋体" w:cs="宋体" w:eastAsia="宋体" w:hint="default"/>
                <w:sz w:val="18"/>
                <w:szCs w:val="18"/>
              </w:rPr>
            </w:pPr>
            <w:r>
              <w:rPr>
                <w:rFonts w:ascii="宋体" w:hAnsi="宋体" w:cs="宋体" w:eastAsia="宋体" w:hint="default"/>
                <w:spacing w:val="-5"/>
                <w:sz w:val="18"/>
                <w:szCs w:val="18"/>
              </w:rPr>
              <w:t>医惠科技（南京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193" w:lineRule="exact" w:before="44"/>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3" w:lineRule="exact"/>
              <w:ind w:left="30" w:right="0"/>
              <w:jc w:val="left"/>
              <w:rPr>
                <w:rFonts w:ascii="宋体" w:hAnsi="宋体" w:cs="宋体" w:eastAsia="宋体" w:hint="default"/>
                <w:sz w:val="18"/>
                <w:szCs w:val="18"/>
              </w:rPr>
            </w:pPr>
            <w:r>
              <w:rPr>
                <w:rFonts w:ascii="宋体" w:hAnsi="宋体" w:cs="宋体" w:eastAsia="宋体" w:hint="default"/>
                <w:sz w:val="18"/>
                <w:szCs w:val="18"/>
              </w:rPr>
              <w:t>南京市</w:t>
            </w:r>
          </w:p>
          <w:p>
            <w:pPr>
              <w:pStyle w:val="TableParagraph"/>
              <w:spacing w:line="555" w:lineRule="exact"/>
              <w:ind w:right="-3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8.350pt;height:27.8pt;mso-position-horizontal-relative:char;mso-position-vertical-relative:line" coordorigin="0,0" coordsize="1367,556">
                  <v:group style="position:absolute;left:0;top:0;width:1367;height:150" coordorigin="0,0" coordsize="1367,150">
                    <v:shape style="position:absolute;left:0;top:0;width:1367;height:150" coordorigin="0,0" coordsize="1367,150" path="m0,150l1367,150,1367,0,0,0,0,150xe" filled="true" fillcolor="#ffffff" stroked="false">
                      <v:path arrowok="t"/>
                      <v:fill type="solid"/>
                    </v:shape>
                  </v:group>
                  <v:group style="position:absolute;left:15;top:150;width:2;height:391" coordorigin="15,150" coordsize="2,391">
                    <v:shape style="position:absolute;left:15;top:150;width:2;height:391" coordorigin="15,150" coordsize="0,391" path="m15,150l15,541e" filled="false" stroked="true" strokeweight="1.5pt" strokecolor="#ffffff">
                      <v:path arrowok="t"/>
                    </v:shape>
                  </v:group>
                  <v:group style="position:absolute;left:30;top:150;width:1307;height:391" coordorigin="30,150" coordsize="1307,391">
                    <v:shape style="position:absolute;left:30;top:150;width:1307;height:391" coordorigin="30,150" coordsize="1307,391" path="m30,541l1337,541,1337,150,30,150,30,541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无锡市仁医医疗 人工智能研究院</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上海惠沪信息技 术有限公司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研究和试验发展</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60.00%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pacing w:val="-5"/>
                <w:sz w:val="18"/>
                <w:szCs w:val="18"/>
              </w:rPr>
              <w:t>医惠科技（福建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00" w:lineRule="exact" w:before="30"/>
              <w:ind w:left="-12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30" w:right="0"/>
              <w:jc w:val="left"/>
              <w:rPr>
                <w:rFonts w:ascii="宋体" w:hAnsi="宋体" w:cs="宋体" w:eastAsia="宋体" w:hint="default"/>
                <w:sz w:val="18"/>
                <w:szCs w:val="18"/>
              </w:rPr>
            </w:pPr>
            <w:r>
              <w:rPr>
                <w:rFonts w:ascii="宋体" w:hAnsi="宋体" w:cs="宋体" w:eastAsia="宋体" w:hint="default"/>
                <w:sz w:val="18"/>
                <w:szCs w:val="18"/>
              </w:rPr>
              <w:t>福州市</w:t>
            </w:r>
          </w:p>
          <w:p>
            <w:pPr>
              <w:pStyle w:val="TableParagraph"/>
              <w:spacing w:line="570" w:lineRule="exact"/>
              <w:ind w:right="-3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8.350pt;height:28.55pt;mso-position-horizontal-relative:char;mso-position-vertical-relative:line" coordorigin="0,0" coordsize="1367,571">
                  <v:group style="position:absolute;left:0;top:0;width:1367;height:166" coordorigin="0,0" coordsize="1367,166">
                    <v:shape style="position:absolute;left:0;top:0;width:1367;height:166" coordorigin="0,0" coordsize="1367,166" path="m0,165l1367,165,1367,0,0,0,0,165xe" filled="true" fillcolor="#ffffff" stroked="false">
                      <v:path arrowok="t"/>
                      <v:fill type="solid"/>
                    </v:shape>
                  </v:group>
                  <v:group style="position:absolute;left:15;top:165;width:2;height:390" coordorigin="15,165" coordsize="2,390">
                    <v:shape style="position:absolute;left:15;top:165;width:2;height:390" coordorigin="15,165" coordsize="0,390" path="m15,165l15,555e" filled="false" stroked="true" strokeweight="1.5pt" strokecolor="#ffffff">
                      <v:path arrowok="t"/>
                    </v:shape>
                  </v:group>
                  <v:group style="position:absolute;left:30;top:165;width:1307;height:390" coordorigin="30,165" coordsize="1307,390">
                    <v:shape style="position:absolute;left:30;top:165;width:1307;height:390" coordorigin="30,165" coordsize="1307,390" path="m30,555l1337,555,1337,165,30,165,30,555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55.00%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杭州医惠织物智 能科技有限公司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55.00%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新昌医惠数字科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绍兴市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绍兴市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软件与信息服务</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6"/>
        <w:rPr>
          <w:rFonts w:ascii="Times New Roman" w:hAnsi="Times New Roman" w:cs="Times New Roman" w:eastAsia="Times New Roman" w:hint="default"/>
          <w:sz w:val="23"/>
          <w:szCs w:val="23"/>
        </w:rPr>
      </w:pPr>
    </w:p>
    <w:p>
      <w:pPr>
        <w:pStyle w:val="BodyText"/>
        <w:spacing w:line="360" w:lineRule="auto"/>
        <w:ind w:right="2829"/>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7" w:lineRule="auto" w:before="20"/>
        <w:ind w:right="7689"/>
        <w:jc w:val="left"/>
      </w:pPr>
      <w:r>
        <w:rPr/>
        <w:t>确定公司是代理人还是委托人的依据： 其他说明：</w:t>
      </w:r>
    </w:p>
    <w:p>
      <w:pPr>
        <w:spacing w:line="240" w:lineRule="auto" w:before="5"/>
        <w:rPr>
          <w:rFonts w:ascii="宋体" w:hAnsi="宋体" w:cs="宋体" w:eastAsia="宋体" w:hint="default"/>
          <w:sz w:val="21"/>
          <w:szCs w:val="21"/>
        </w:rPr>
      </w:pPr>
    </w:p>
    <w:p>
      <w:pPr>
        <w:pStyle w:val="Heading5"/>
        <w:spacing w:line="240" w:lineRule="auto"/>
        <w:ind w:right="1086"/>
        <w:jc w:val="left"/>
        <w:rPr>
          <w:b w:val="0"/>
          <w:bCs w:val="0"/>
        </w:rPr>
      </w:pPr>
      <w:bookmarkStart w:name="（2）重要的非全资子公司" w:id="441"/>
      <w:bookmarkEnd w:id="44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6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45"/>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GL</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49.00%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46" w:right="0"/>
              <w:jc w:val="left"/>
              <w:rPr>
                <w:rFonts w:ascii="Times New Roman" w:hAnsi="Times New Roman" w:cs="Times New Roman" w:eastAsia="Times New Roman" w:hint="default"/>
                <w:sz w:val="18"/>
                <w:szCs w:val="18"/>
              </w:rPr>
            </w:pPr>
            <w:r>
              <w:rPr>
                <w:rFonts w:ascii="Times New Roman"/>
                <w:sz w:val="18"/>
              </w:rPr>
              <w:t>1,327,269.83</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31" w:right="0"/>
              <w:jc w:val="left"/>
              <w:rPr>
                <w:rFonts w:ascii="Times New Roman" w:hAnsi="Times New Roman" w:cs="Times New Roman" w:eastAsia="Times New Roman" w:hint="default"/>
                <w:sz w:val="18"/>
                <w:szCs w:val="18"/>
              </w:rPr>
            </w:pPr>
            <w:r>
              <w:rPr>
                <w:rFonts w:ascii="Times New Roman"/>
                <w:sz w:val="18"/>
              </w:rPr>
              <w:t>1,821,734.87</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13,835,445.03</w:t>
            </w:r>
          </w:p>
        </w:tc>
      </w:tr>
    </w:tbl>
    <w:p>
      <w:pPr>
        <w:pStyle w:val="BodyText"/>
        <w:spacing w:line="367" w:lineRule="auto"/>
        <w:ind w:right="6429"/>
        <w:jc w:val="left"/>
      </w:pPr>
      <w:r>
        <w:rPr/>
        <w:t>子公司少数股东的持股比例不同于表决权比例的说明： 其他说明：</w:t>
      </w:r>
    </w:p>
    <w:p>
      <w:pPr>
        <w:spacing w:line="240" w:lineRule="auto" w:before="5"/>
        <w:rPr>
          <w:rFonts w:ascii="宋体" w:hAnsi="宋体" w:cs="宋体" w:eastAsia="宋体" w:hint="default"/>
          <w:sz w:val="21"/>
          <w:szCs w:val="21"/>
        </w:rPr>
      </w:pPr>
    </w:p>
    <w:p>
      <w:pPr>
        <w:pStyle w:val="Heading5"/>
        <w:spacing w:line="240" w:lineRule="auto"/>
        <w:ind w:right="1086"/>
        <w:jc w:val="left"/>
        <w:rPr>
          <w:b w:val="0"/>
          <w:bCs w:val="0"/>
        </w:rPr>
      </w:pPr>
      <w:bookmarkStart w:name="（3）重要非全资子公司的主要财务信息" w:id="442"/>
      <w:bookmarkEnd w:id="44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405"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07"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05"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GL</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48,365,1</w:t>
            </w:r>
          </w:p>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98.27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1,281,75</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6.87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49,646,9</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55.14</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21,411,3</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53.05</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21,411,3</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53.05</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42,440,8</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14.01</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400,612.</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87</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42,841,4</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26.88</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12,991,9</w:t>
            </w:r>
          </w:p>
          <w:p>
            <w:pPr>
              <w:pStyle w:val="TableParagraph"/>
              <w:spacing w:line="240" w:lineRule="auto" w:before="93"/>
              <w:ind w:left="300" w:right="0"/>
              <w:jc w:val="left"/>
              <w:rPr>
                <w:rFonts w:ascii="Times New Roman" w:hAnsi="Times New Roman" w:cs="Times New Roman" w:eastAsia="Times New Roman" w:hint="default"/>
                <w:sz w:val="18"/>
                <w:szCs w:val="18"/>
              </w:rPr>
            </w:pPr>
            <w:r>
              <w:rPr>
                <w:rFonts w:ascii="Times New Roman"/>
                <w:sz w:val="18"/>
              </w:rPr>
              <w:t>20.22</w:t>
            </w: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12,991,9</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20.22</w:t>
            </w:r>
          </w:p>
        </w:tc>
      </w:tr>
    </w:tbl>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390"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1"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06"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GL</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公司</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51,005,376.3</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9</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3" w:right="0"/>
              <w:jc w:val="center"/>
              <w:rPr>
                <w:rFonts w:ascii="Times New Roman" w:hAnsi="Times New Roman" w:cs="Times New Roman" w:eastAsia="Times New Roman" w:hint="default"/>
                <w:sz w:val="18"/>
                <w:szCs w:val="18"/>
              </w:rPr>
            </w:pPr>
            <w:r>
              <w:rPr>
                <w:rFonts w:ascii="Times New Roman"/>
                <w:sz w:val="18"/>
              </w:rPr>
              <w:t>2,708,713.94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2,103,921.70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8,064,170.34</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49,608,883.1</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6,516,042.90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3,855,767.04</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8,503,836.12</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使用企业集团资产和清偿企业集团债务的重大限制" w:id="443"/>
      <w:bookmarkEnd w:id="44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5）向纳入合并财务报表范围的结构化主体提供的财务支持或其他支持" w:id="444"/>
      <w:bookmarkEnd w:id="44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其他说明：</w:t>
      </w:r>
    </w:p>
    <w:p>
      <w:pPr>
        <w:spacing w:after="0" w:line="240" w:lineRule="auto"/>
        <w:jc w:val="left"/>
        <w:sectPr>
          <w:footerReference w:type="default" r:id="rId21"/>
          <w:pgSz w:w="11910" w:h="16850"/>
          <w:pgMar w:footer="981" w:header="866" w:top="112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2、在子公司的所有者权益份额发生变化且仍控制子公司的交易" w:id="445"/>
      <w:bookmarkEnd w:id="44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在子公司所有者权益份额发生变化的情况说明" w:id="446"/>
      <w:bookmarkEnd w:id="44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2132"/>
        <w:gridCol w:w="2133"/>
        <w:gridCol w:w="2133"/>
        <w:gridCol w:w="2140"/>
      </w:tblGrid>
      <w:tr>
        <w:trPr>
          <w:trHeight w:val="345"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21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left="631"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12"/>
              <w:jc w:val="center"/>
              <w:rPr>
                <w:rFonts w:ascii="宋体" w:hAnsi="宋体" w:cs="宋体" w:eastAsia="宋体" w:hint="default"/>
                <w:sz w:val="21"/>
                <w:szCs w:val="21"/>
              </w:rPr>
            </w:pPr>
            <w:r>
              <w:rPr>
                <w:rFonts w:ascii="宋体" w:hAnsi="宋体" w:cs="宋体" w:eastAsia="宋体" w:hint="default"/>
                <w:sz w:val="21"/>
                <w:szCs w:val="21"/>
              </w:rPr>
              <w:t>变动前持股比例</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55" w:lineRule="exact"/>
              <w:ind w:right="26"/>
              <w:jc w:val="center"/>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661"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10"/>
              <w:jc w:val="left"/>
              <w:rPr>
                <w:rFonts w:ascii="宋体" w:hAnsi="宋体" w:cs="宋体" w:eastAsia="宋体" w:hint="default"/>
                <w:sz w:val="21"/>
                <w:szCs w:val="21"/>
              </w:rPr>
            </w:pPr>
            <w:r>
              <w:rPr>
                <w:rFonts w:ascii="宋体" w:hAnsi="宋体" w:cs="宋体" w:eastAsia="宋体" w:hint="default"/>
                <w:sz w:val="21"/>
                <w:szCs w:val="21"/>
              </w:rPr>
              <w:t>杭州华洁医疗科技有限 公司</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538"/>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Times New Roman" w:hAnsi="Times New Roman" w:cs="Times New Roman" w:eastAsia="Times New Roman" w:hint="default"/>
                <w:sz w:val="21"/>
                <w:szCs w:val="21"/>
              </w:rPr>
            </w:pPr>
            <w:r>
              <w:rPr>
                <w:rFonts w:ascii="Times New Roman"/>
                <w:sz w:val="21"/>
              </w:rPr>
              <w:t>75.00</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28"/>
              <w:jc w:val="center"/>
              <w:rPr>
                <w:rFonts w:ascii="Times New Roman" w:hAnsi="Times New Roman" w:cs="Times New Roman" w:eastAsia="Times New Roman" w:hint="default"/>
                <w:sz w:val="21"/>
                <w:szCs w:val="21"/>
              </w:rPr>
            </w:pPr>
            <w:r>
              <w:rPr>
                <w:rFonts w:ascii="Times New Roman"/>
                <w:sz w:val="21"/>
              </w:rPr>
              <w:t>60.00</w:t>
            </w:r>
          </w:p>
        </w:tc>
      </w:tr>
      <w:tr>
        <w:trPr>
          <w:trHeight w:val="661"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ind w:right="10"/>
              <w:jc w:val="left"/>
              <w:rPr>
                <w:rFonts w:ascii="宋体" w:hAnsi="宋体" w:cs="宋体" w:eastAsia="宋体" w:hint="default"/>
                <w:sz w:val="21"/>
                <w:szCs w:val="21"/>
              </w:rPr>
            </w:pPr>
            <w:r>
              <w:rPr>
                <w:rFonts w:ascii="宋体" w:hAnsi="宋体" w:cs="宋体" w:eastAsia="宋体" w:hint="default"/>
                <w:sz w:val="21"/>
                <w:szCs w:val="21"/>
              </w:rPr>
              <w:t>浙江医洁医疗科技有限 公司</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538"/>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10</w:t>
            </w:r>
            <w:r>
              <w:rPr>
                <w:rFonts w:ascii="宋体" w:hAnsi="宋体" w:cs="宋体" w:eastAsia="宋体" w:hint="default"/>
                <w:sz w:val="21"/>
                <w:szCs w:val="21"/>
              </w:rPr>
              <w:t>月</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3"/>
              <w:jc w:val="center"/>
              <w:rPr>
                <w:rFonts w:ascii="Times New Roman" w:hAnsi="Times New Roman" w:cs="Times New Roman" w:eastAsia="Times New Roman" w:hint="default"/>
                <w:sz w:val="21"/>
                <w:szCs w:val="21"/>
              </w:rPr>
            </w:pPr>
            <w:r>
              <w:rPr>
                <w:rFonts w:ascii="Times New Roman"/>
                <w:sz w:val="21"/>
              </w:rPr>
              <w:t>75.00</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9"/>
              <w:ind w:right="28"/>
              <w:jc w:val="center"/>
              <w:rPr>
                <w:rFonts w:ascii="Times New Roman" w:hAnsi="Times New Roman" w:cs="Times New Roman" w:eastAsia="Times New Roman" w:hint="default"/>
                <w:sz w:val="21"/>
                <w:szCs w:val="21"/>
              </w:rPr>
            </w:pPr>
            <w:r>
              <w:rPr>
                <w:rFonts w:ascii="Times New Roman"/>
                <w:sz w:val="21"/>
              </w:rPr>
              <w:t>60.00</w:t>
            </w:r>
          </w:p>
        </w:tc>
      </w:tr>
      <w:tr>
        <w:trPr>
          <w:trHeight w:val="660"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广州理德物联网科技有</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84"/>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3</w:t>
            </w:r>
            <w:r>
              <w:rPr>
                <w:rFonts w:ascii="宋体" w:hAnsi="宋体" w:cs="宋体" w:eastAsia="宋体" w:hint="default"/>
                <w:sz w:val="21"/>
                <w:szCs w:val="21"/>
              </w:rPr>
              <w:t>月</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90.00%</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sz w:val="21"/>
              </w:rPr>
              <w:t>68.00%</w:t>
            </w:r>
          </w:p>
        </w:tc>
      </w:tr>
      <w:tr>
        <w:trPr>
          <w:trHeight w:val="661"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杭州认知投资管理有限</w:t>
            </w:r>
          </w:p>
          <w:p>
            <w:pPr>
              <w:pStyle w:val="TableParagraph"/>
              <w:spacing w:line="240" w:lineRule="auto" w:before="40"/>
              <w:ind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84"/>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7</w:t>
            </w:r>
            <w:r>
              <w:rPr>
                <w:rFonts w:ascii="宋体" w:hAnsi="宋体" w:cs="宋体" w:eastAsia="宋体" w:hint="default"/>
                <w:sz w:val="21"/>
                <w:szCs w:val="21"/>
              </w:rPr>
              <w:t>月</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55.00%</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sz w:val="21"/>
              </w:rPr>
              <w:t>75.00%</w:t>
            </w:r>
          </w:p>
        </w:tc>
      </w:tr>
      <w:tr>
        <w:trPr>
          <w:trHeight w:val="346"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55" w:lineRule="exact"/>
              <w:ind w:right="0"/>
              <w:jc w:val="left"/>
              <w:rPr>
                <w:rFonts w:ascii="宋体" w:hAnsi="宋体" w:cs="宋体" w:eastAsia="宋体" w:hint="default"/>
                <w:sz w:val="21"/>
                <w:szCs w:val="21"/>
              </w:rPr>
            </w:pPr>
            <w:r>
              <w:rPr>
                <w:rFonts w:ascii="宋体" w:hAnsi="宋体" w:cs="宋体" w:eastAsia="宋体" w:hint="default"/>
                <w:sz w:val="21"/>
                <w:szCs w:val="21"/>
              </w:rPr>
              <w:t>杭州沃森诊所有限公司</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584"/>
              <w:jc w:val="righ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p>
        </w:tc>
        <w:tc>
          <w:tcPr>
            <w:tcW w:w="2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8" w:right="0"/>
              <w:jc w:val="center"/>
              <w:rPr>
                <w:rFonts w:ascii="Times New Roman" w:hAnsi="Times New Roman" w:cs="Times New Roman" w:eastAsia="Times New Roman" w:hint="default"/>
                <w:sz w:val="21"/>
                <w:szCs w:val="21"/>
              </w:rPr>
            </w:pPr>
            <w:r>
              <w:rPr>
                <w:rFonts w:ascii="Times New Roman"/>
                <w:sz w:val="21"/>
              </w:rPr>
              <w:t>55.00%</w:t>
            </w:r>
          </w:p>
        </w:tc>
        <w:tc>
          <w:tcPr>
            <w:tcW w:w="214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4"/>
              <w:jc w:val="center"/>
              <w:rPr>
                <w:rFonts w:ascii="Times New Roman" w:hAnsi="Times New Roman" w:cs="Times New Roman" w:eastAsia="Times New Roman" w:hint="default"/>
                <w:sz w:val="21"/>
                <w:szCs w:val="21"/>
              </w:rPr>
            </w:pPr>
            <w:r>
              <w:rPr>
                <w:rFonts w:ascii="Times New Roman"/>
                <w:sz w:val="21"/>
              </w:rPr>
              <w:t>60.00%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p>
      <w:pPr>
        <w:pStyle w:val="Heading5"/>
        <w:spacing w:line="240" w:lineRule="auto" w:before="35"/>
        <w:ind w:right="1086"/>
        <w:jc w:val="left"/>
        <w:rPr>
          <w:b w:val="0"/>
          <w:bCs w:val="0"/>
        </w:rPr>
      </w:pPr>
      <w:bookmarkStart w:name="（2）交易对于少数股东权益及归属于母公司所有者权益的影响" w:id="447"/>
      <w:bookmarkEnd w:id="44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158" w:hRule="exact"/>
        </w:trPr>
        <w:tc>
          <w:tcPr>
            <w:tcW w:w="2373" w:type="dxa"/>
            <w:tcBorders>
              <w:top w:val="single" w:sz="6" w:space="0" w:color="000000"/>
              <w:left w:val="single" w:sz="6" w:space="0" w:color="000000"/>
              <w:bottom w:val="nil" w:sz="6" w:space="0" w:color="auto"/>
              <w:right w:val="single" w:sz="6" w:space="0" w:color="000000"/>
            </w:tcBorders>
            <w:shd w:val="clear" w:color="auto" w:fill="D2D2D2"/>
          </w:tcPr>
          <w:p>
            <w:pPr/>
          </w:p>
        </w:tc>
        <w:tc>
          <w:tcPr>
            <w:tcW w:w="2411"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1096" w:right="105" w:hanging="992"/>
              <w:jc w:val="left"/>
              <w:rPr>
                <w:rFonts w:ascii="宋体" w:hAnsi="宋体" w:cs="宋体" w:eastAsia="宋体" w:hint="default"/>
                <w:sz w:val="18"/>
                <w:szCs w:val="18"/>
              </w:rPr>
            </w:pPr>
            <w:r>
              <w:rPr>
                <w:rFonts w:ascii="宋体" w:hAnsi="宋体" w:cs="宋体" w:eastAsia="宋体" w:hint="default"/>
                <w:sz w:val="18"/>
                <w:szCs w:val="18"/>
              </w:rPr>
              <w:t>广州理德物联网科技有限公 司</w:t>
            </w: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2373" w:type="dxa"/>
            <w:tcBorders>
              <w:top w:val="nil" w:sz="6" w:space="0" w:color="auto"/>
              <w:left w:val="single" w:sz="6" w:space="0" w:color="000000"/>
              <w:bottom w:val="nil" w:sz="6" w:space="0" w:color="auto"/>
              <w:right w:val="single" w:sz="6" w:space="0" w:color="000000"/>
            </w:tcBorders>
            <w:shd w:val="clear" w:color="auto" w:fill="D2D2D2"/>
          </w:tcPr>
          <w:p>
            <w:pPr/>
          </w:p>
        </w:tc>
        <w:tc>
          <w:tcPr>
            <w:tcW w:w="241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27" w:right="0"/>
              <w:jc w:val="left"/>
              <w:rPr>
                <w:rFonts w:ascii="宋体" w:hAnsi="宋体" w:cs="宋体" w:eastAsia="宋体" w:hint="default"/>
                <w:sz w:val="18"/>
                <w:szCs w:val="18"/>
              </w:rPr>
            </w:pPr>
            <w:r>
              <w:rPr>
                <w:rFonts w:ascii="宋体" w:hAnsi="宋体" w:cs="宋体" w:eastAsia="宋体" w:hint="default"/>
                <w:sz w:val="18"/>
                <w:szCs w:val="18"/>
              </w:rPr>
              <w:t>杭州认知投资管理有限公司</w:t>
            </w:r>
          </w:p>
        </w:tc>
        <w:tc>
          <w:tcPr>
            <w:tcW w:w="2388" w:type="dxa"/>
            <w:vMerge/>
            <w:tcBorders>
              <w:left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杭州沃森诊所有限公司</w:t>
            </w:r>
          </w:p>
        </w:tc>
      </w:tr>
      <w:tr>
        <w:trPr>
          <w:trHeight w:val="173" w:hRule="exact"/>
        </w:trPr>
        <w:tc>
          <w:tcPr>
            <w:tcW w:w="2373" w:type="dxa"/>
            <w:tcBorders>
              <w:top w:val="nil" w:sz="6" w:space="0" w:color="auto"/>
              <w:left w:val="single" w:sz="6" w:space="0" w:color="000000"/>
              <w:bottom w:val="single" w:sz="6" w:space="0" w:color="000000"/>
              <w:right w:val="single" w:sz="6" w:space="0" w:color="000000"/>
            </w:tcBorders>
            <w:shd w:val="clear" w:color="auto" w:fill="D2D2D2"/>
          </w:tcPr>
          <w:p>
            <w:pPr/>
          </w:p>
        </w:tc>
        <w:tc>
          <w:tcPr>
            <w:tcW w:w="2411"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1,100,000.00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2"/>
              <w:jc w:val="left"/>
              <w:rPr>
                <w:rFonts w:ascii="宋体" w:hAnsi="宋体" w:cs="宋体" w:eastAsia="宋体" w:hint="default"/>
                <w:sz w:val="18"/>
                <w:szCs w:val="18"/>
              </w:rPr>
            </w:pPr>
            <w:r>
              <w:rPr>
                <w:rFonts w:ascii="宋体" w:hAnsi="宋体" w:cs="宋体" w:eastAsia="宋体" w:hint="default"/>
                <w:spacing w:val="-5"/>
                <w:sz w:val="18"/>
                <w:szCs w:val="18"/>
              </w:rPr>
              <w:t>减：按取得</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处置的股权比例计</w:t>
            </w:r>
            <w:r>
              <w:rPr>
                <w:rFonts w:ascii="宋体" w:hAnsi="宋体" w:cs="宋体" w:eastAsia="宋体" w:hint="default"/>
                <w:spacing w:val="-86"/>
                <w:sz w:val="18"/>
                <w:szCs w:val="18"/>
              </w:rPr>
              <w:t> </w:t>
            </w:r>
            <w:r>
              <w:rPr>
                <w:rFonts w:ascii="宋体" w:hAnsi="宋体" w:cs="宋体" w:eastAsia="宋体" w:hint="default"/>
                <w:sz w:val="18"/>
                <w:szCs w:val="18"/>
              </w:rPr>
              <w:t>算的子公司净资产份额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-134,578.05</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1,573,650.81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-382,395.42</w:t>
            </w:r>
            <w:r>
              <w:rPr>
                <w:rFonts w:ascii="Times New Roman"/>
                <w:sz w:val="18"/>
              </w:rPr>
            </w:r>
          </w:p>
        </w:tc>
      </w:tr>
      <w:tr>
        <w:trPr>
          <w:trHeight w:val="39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534,578.05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-473,650.81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382,395.42</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w w:val="95"/>
                <w:sz w:val="18"/>
              </w:rPr>
              <w:t>-534,578.05</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w w:val="95"/>
                <w:sz w:val="18"/>
              </w:rPr>
              <w:t>-473,650.81</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382,395.42</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在合营安排或联营企业中的权益" w:id="448"/>
      <w:bookmarkEnd w:id="44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重要的合营企业或联营企业" w:id="449"/>
      <w:bookmarkEnd w:id="44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15" w:right="44"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1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50"/>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瑞章公司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24.40%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丰廪基金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after="0" w:line="240" w:lineRule="auto"/>
        <w:jc w:val="left"/>
        <w:rPr>
          <w:rFonts w:ascii="宋体" w:hAnsi="宋体" w:cs="宋体" w:eastAsia="宋体" w:hint="default"/>
          <w:sz w:val="18"/>
          <w:szCs w:val="18"/>
        </w:rPr>
        <w:sectPr>
          <w:footerReference w:type="default" r:id="rId22"/>
          <w:pgSz w:w="11910" w:h="16850"/>
          <w:pgMar w:footer="981" w:header="866" w:top="1120" w:bottom="1180" w:left="1000" w:right="0"/>
          <w:pgNumType w:start="201"/>
        </w:sectPr>
      </w:pPr>
    </w:p>
    <w:p>
      <w:pPr>
        <w:spacing w:line="240" w:lineRule="auto" w:before="9"/>
        <w:rPr>
          <w:rFonts w:ascii="宋体" w:hAnsi="宋体" w:cs="宋体" w:eastAsia="宋体" w:hint="default"/>
          <w:b/>
          <w:bCs/>
          <w:sz w:val="20"/>
          <w:szCs w:val="20"/>
        </w:rPr>
      </w:pPr>
    </w:p>
    <w:p>
      <w:pPr>
        <w:pStyle w:val="BodyText"/>
        <w:spacing w:line="240" w:lineRule="auto"/>
        <w:ind w:right="1086"/>
        <w:jc w:val="left"/>
      </w:pPr>
      <w:r>
        <w:rPr/>
        <w:t>在合营企业或联营企业的持股比例不同于表决权比例的说明：</w:t>
      </w:r>
    </w:p>
    <w:p>
      <w:pPr>
        <w:pStyle w:val="BodyText"/>
        <w:spacing w:line="240" w:lineRule="auto" w:before="125"/>
        <w:ind w:right="1086"/>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w:t>
      </w:r>
    </w:p>
    <w:p>
      <w:pPr>
        <w:spacing w:line="240" w:lineRule="auto" w:before="0"/>
        <w:rPr>
          <w:rFonts w:ascii="宋体" w:hAnsi="宋体" w:cs="宋体" w:eastAsia="宋体" w:hint="default"/>
          <w:sz w:val="18"/>
          <w:szCs w:val="18"/>
        </w:rPr>
      </w:pPr>
    </w:p>
    <w:p>
      <w:pPr>
        <w:pStyle w:val="Heading5"/>
        <w:spacing w:line="240" w:lineRule="auto" w:before="125"/>
        <w:ind w:right="1086"/>
        <w:jc w:val="left"/>
        <w:rPr>
          <w:b w:val="0"/>
          <w:bCs w:val="0"/>
        </w:rPr>
      </w:pPr>
      <w:bookmarkStart w:name="（2）重要合营企业的主要财务信息" w:id="450"/>
      <w:bookmarkEnd w:id="45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1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瑞章公司</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丰廪基金</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重要联营企业的主要财务信息" w:id="451"/>
      <w:bookmarkEnd w:id="45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2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20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23"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瑞章公司</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丰廪基金</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瑞章公司</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丰廪基金</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109,492,755.87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302,090,484.89</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485,371.95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100,525,859.86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289,680,184.59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483,916.41</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18,104,650.56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449,222,860.51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82,459,460.00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42,255,469.30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432,518,327.76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79,459,460.00</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127,597,406.43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751,313,345.40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82,944,831.95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142,781,329.16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722,198,512.35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79,943,376.41</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12,531,619.72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304,520,308.64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268.50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24,666,499.11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264,208,593.75</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11,342,525.39</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2,054,460.00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12,531,619.72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315,862,834.03</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268.50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24,666,499.11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266,263,053.75</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-1,109,112.13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192,366,528.53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196,509,608.50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116,174,898.84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243,083,982.84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82,944,563.45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118,114,830.05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259,425,850.10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79,943,376.41</w:t>
            </w: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68"/>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23,234,979.77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59,312,491.82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79,977,825.38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23,622,966.01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63,299,907.43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79,977,350.56</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46,836,951.20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46,836,951.20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46,836,951.20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46,836,951.20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68"/>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70,071,930.97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59,312,491.82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79,977,825.38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70,459,917.21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63,299,907.43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79,977,350.56</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26,318,126.27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274,646,237.07</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59,600,341.76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323,363,121.08</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-1,939,931.21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-13,133,351.70</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1,187.04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178,754.08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673,850.23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-56,623.59</w:t>
            </w:r>
            <w:r>
              <w:rPr>
                <w:rFonts w:ascii="Times New Roman"/>
                <w:sz w:val="18"/>
              </w:rPr>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-1,939,931.21</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-16,341,867.26</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1,187.04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178,754.08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579,674.90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-56,623.59</w:t>
            </w:r>
            <w:r>
              <w:rPr>
                <w:rFonts w:ascii="Times New Roman"/>
                <w:sz w:val="18"/>
              </w:rPr>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5"/>
        <w:ind w:right="1086"/>
        <w:jc w:val="left"/>
        <w:rPr>
          <w:b w:val="0"/>
          <w:bCs w:val="0"/>
        </w:rPr>
      </w:pPr>
      <w:bookmarkStart w:name="（4）不重要的合营企业和联营企业的汇总财务信息" w:id="452"/>
      <w:bookmarkEnd w:id="45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after="0" w:line="240" w:lineRule="auto"/>
        <w:jc w:val="righ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3"/>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5）合营企业或联营企业向本公司转移资金的能力存在重大限制的说明" w:id="453"/>
      <w:bookmarkEnd w:id="45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6）合营企业或联营企业发生的超额亏损" w:id="454"/>
      <w:bookmarkEnd w:id="45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645" w:right="15" w:hanging="631"/>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7）与合营企业投资相关的未确认承诺" w:id="455"/>
      <w:bookmarkEnd w:id="45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3"/>
          <w:szCs w:val="23"/>
        </w:rPr>
      </w:pPr>
    </w:p>
    <w:p>
      <w:pPr>
        <w:pStyle w:val="Heading5"/>
        <w:spacing w:line="508" w:lineRule="auto"/>
        <w:ind w:right="6216"/>
        <w:jc w:val="left"/>
        <w:rPr>
          <w:b w:val="0"/>
          <w:bCs w:val="0"/>
        </w:rPr>
      </w:pPr>
      <w:bookmarkStart w:name="（8）与合营企业或联营企业投资相关的或有负债" w:id="456"/>
      <w:bookmarkEnd w:id="456"/>
      <w:r>
        <w:rPr>
          <w:b w:val="0"/>
          <w:bCs w:val="0"/>
        </w:rPr>
      </w:r>
      <w:r>
        <w:rPr/>
        <w:t>（</w:t>
      </w:r>
      <w:r>
        <w:rPr>
          <w:rFonts w:ascii="Times New Roman" w:hAnsi="Times New Roman" w:cs="Times New Roman" w:eastAsia="Times New Roman" w:hint="default"/>
        </w:rPr>
        <w:t>8</w:t>
      </w:r>
      <w:r>
        <w:rPr/>
        <w:t>）与合营企业或联营企业投资相关的或有负债</w:t>
      </w:r>
      <w:r>
        <w:rPr>
          <w:w w:val="99"/>
        </w:rPr>
        <w:t> </w:t>
      </w:r>
      <w:bookmarkStart w:name="4、重要的共同经营" w:id="457"/>
      <w:bookmarkEnd w:id="457"/>
      <w:r>
        <w:rPr>
          <w:w w:val="99"/>
        </w:rPr>
      </w: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5"/>
          <w:szCs w:val="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607"/>
        <w:gridCol w:w="1592"/>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51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391"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0" w:lineRule="auto" w:before="45"/>
        <w:ind w:right="5529"/>
        <w:jc w:val="left"/>
      </w:pPr>
      <w:r>
        <w:rPr/>
        <w:t>在共同经营中的持股比例或享有的份额不同于表决权比例的说明： 共同经营为单独主体的，分类为共同经营的依据：</w:t>
      </w:r>
    </w:p>
    <w:p>
      <w:pPr>
        <w:pStyle w:val="BodyText"/>
        <w:spacing w:line="240" w:lineRule="auto" w:before="42"/>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5、在未纳入合并财务报表范围的结构化主体中的权益" w:id="458"/>
      <w:bookmarkEnd w:id="45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6、其他" w:id="459"/>
      <w:bookmarkEnd w:id="459"/>
      <w:r>
        <w:rPr>
          <w:b w:val="0"/>
          <w:bCs w:val="0"/>
        </w:rPr>
      </w:r>
      <w:r>
        <w:rPr>
          <w:rFonts w:ascii="Times New Roman" w:hAnsi="Times New Roman" w:cs="Times New Roman" w:eastAsia="Times New Roman" w:hint="default"/>
        </w:rPr>
        <w:t>6</w:t>
      </w:r>
      <w:r>
        <w:rPr/>
        <w:t>、其他</w:t>
      </w:r>
      <w:r>
        <w:rPr>
          <w:b w:val="0"/>
          <w:bCs w:val="0"/>
        </w:rPr>
      </w:r>
    </w:p>
    <w:p>
      <w:pPr>
        <w:spacing w:line="240" w:lineRule="auto" w:before="0"/>
        <w:rPr>
          <w:rFonts w:ascii="宋体" w:hAnsi="宋体" w:cs="宋体" w:eastAsia="宋体" w:hint="default"/>
          <w:b/>
          <w:bCs/>
          <w:sz w:val="21"/>
          <w:szCs w:val="21"/>
        </w:rPr>
      </w:pPr>
    </w:p>
    <w:p>
      <w:pPr>
        <w:pStyle w:val="Heading2"/>
        <w:spacing w:line="240" w:lineRule="auto"/>
        <w:ind w:right="1086"/>
        <w:jc w:val="left"/>
        <w:rPr>
          <w:b w:val="0"/>
          <w:bCs w:val="0"/>
        </w:rPr>
      </w:pPr>
      <w:bookmarkStart w:name="十、与金融工具相关的风险" w:id="460"/>
      <w:bookmarkEnd w:id="460"/>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6"/>
        <w:spacing w:line="271" w:lineRule="auto"/>
        <w:ind w:right="1083" w:firstLine="420"/>
        <w:jc w:val="both"/>
      </w:pPr>
      <w:r>
        <w:rPr/>
        <w:t>本公司从事风险管理的目标是在风险和收益之间取得平衡，将风险对本公司经营业绩的负面影响降至 最低水平，使股东和其他权益投资者的利益最大化。基于该风险管理目标，本公司风险管理的基本策略是 确认和分析本公司面临的各种风险，建立适当的风险承受底线和进行风险管理，并及时可靠地对各种风险 进行监督，将风险控制在限定的范围内。</w:t>
      </w:r>
    </w:p>
    <w:p>
      <w:pPr>
        <w:pStyle w:val="Heading6"/>
        <w:spacing w:line="276" w:lineRule="auto" w:before="13"/>
        <w:ind w:right="1091" w:firstLine="420"/>
        <w:jc w:val="both"/>
      </w:pPr>
      <w:r>
        <w:rPr/>
        <w:t>本公司在日常活动中面临各种与金融工具相关的风险，主要包括信用风险、流动性风险及市场风险。 管理层已审议并批准管理这些风险的政策，概括如下。</w:t>
      </w:r>
    </w:p>
    <w:p>
      <w:pPr>
        <w:spacing w:after="0" w:line="276"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68" w:lineRule="auto" w:before="35"/>
        <w:ind w:left="561" w:right="276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信用风险</w:t>
      </w:r>
      <w:r>
        <w:rPr>
          <w:spacing w:val="-101"/>
        </w:rPr>
        <w:t> </w:t>
      </w:r>
      <w:r>
        <w:rPr/>
        <w:t>信用风险，是指金融工具的一方不能履行义务，造成另一方发生财务损失的风险。</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信用风险管理实务</w:t>
      </w:r>
    </w:p>
    <w:p>
      <w:pPr>
        <w:pStyle w:val="Heading6"/>
        <w:spacing w:line="272" w:lineRule="exact"/>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6"/>
        </w:rPr>
        <w:t> </w:t>
      </w:r>
      <w:r>
        <w:rPr/>
        <w:t>信用风险的评价方法</w:t>
      </w:r>
    </w:p>
    <w:p>
      <w:pPr>
        <w:pStyle w:val="Heading6"/>
        <w:spacing w:line="271" w:lineRule="auto" w:before="24"/>
        <w:ind w:right="1083" w:firstLine="420"/>
        <w:jc w:val="both"/>
      </w:pPr>
      <w:r>
        <w:rPr/>
        <w:t>公司在每个资产负债表日评估相关金融工具的信用风险自初始确认后是否已显著增加。在确定信用风 险自初始确认后是否显著增加时，公司考虑在无须付出不必要的额外成本或努力即可获得合理且有依据的 信息，包括基于历史数据的定性和定量分析、外部信用风险评级以及前瞻性信息。公司以单项金融工具或 者具有相似信用风险特征的金融工具组合为基础，通过比较金融工具在资产负债表日发生违约的风险与在 初始确认日发生违约的风险，以确定金融工具预计存续期内发生违约风险的变化情况。</w:t>
      </w:r>
    </w:p>
    <w:p>
      <w:pPr>
        <w:pStyle w:val="Heading6"/>
        <w:spacing w:line="240" w:lineRule="auto" w:before="13"/>
        <w:ind w:left="561" w:right="1086"/>
        <w:jc w:val="left"/>
      </w:pPr>
      <w:r>
        <w:rPr/>
        <w:t>当触发以下一个或多个定量、定性标准时，公司认为金融工具的信用风险已发生显著增加：</w:t>
      </w:r>
    </w:p>
    <w:p>
      <w:pPr>
        <w:pStyle w:val="Heading6"/>
        <w:spacing w:line="240" w:lineRule="auto" w:before="40"/>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定量标准主要为资产负债表日剩余存续期违约概率较初始确认时上升超过一定比例；</w:t>
      </w:r>
    </w:p>
    <w:p>
      <w:pPr>
        <w:pStyle w:val="Heading6"/>
        <w:spacing w:line="261" w:lineRule="auto" w:before="24"/>
        <w:ind w:right="1086"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spacing w:val="-3"/>
        </w:rPr>
        <w:t>定性标准主要为债务人经营或财务情况出现重大不利变化、现存的或预期的技术、市场、经济或法</w:t>
      </w:r>
      <w:r>
        <w:rPr>
          <w:w w:val="99"/>
        </w:rPr>
        <w:t> </w:t>
      </w:r>
      <w:r>
        <w:rPr/>
        <w:t>律环境变化并将对债务人对公司的还款能力产生重大不利影响等。</w:t>
      </w:r>
    </w:p>
    <w:p>
      <w:pPr>
        <w:pStyle w:val="Heading6"/>
        <w:spacing w:line="261" w:lineRule="auto" w:before="6"/>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违约和已发生信用减值资产的定义</w:t>
      </w:r>
      <w:r>
        <w:rPr>
          <w:spacing w:val="-102"/>
        </w:rPr>
        <w:t> </w:t>
      </w:r>
      <w:r>
        <w:rPr>
          <w:spacing w:val="-1"/>
        </w:rPr>
        <w:t>当金融工具符合以下一项或多项条件时，公司将该金融资产界定为已发生违约，其标准与已发生信用</w:t>
      </w:r>
    </w:p>
    <w:p>
      <w:pPr>
        <w:pStyle w:val="Heading6"/>
        <w:spacing w:line="240" w:lineRule="auto" w:before="21"/>
        <w:ind w:right="1086"/>
        <w:jc w:val="left"/>
      </w:pPr>
      <w:r>
        <w:rPr/>
        <w:t>减值的定义一致：</w:t>
      </w:r>
    </w:p>
    <w:p>
      <w:pPr>
        <w:pStyle w:val="Heading6"/>
        <w:spacing w:line="240" w:lineRule="auto" w:before="40"/>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债务人发生重大财务困难；</w:t>
      </w:r>
    </w:p>
    <w:p>
      <w:pPr>
        <w:pStyle w:val="Heading6"/>
        <w:spacing w:line="240" w:lineRule="auto" w:before="24"/>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债务人违反合同中对债务人的约束条款；</w:t>
      </w:r>
    </w:p>
    <w:p>
      <w:pPr>
        <w:pStyle w:val="Heading6"/>
        <w:spacing w:line="240" w:lineRule="auto" w:before="10"/>
        <w:ind w:left="561" w:right="1086"/>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2"/>
        </w:rPr>
        <w:t> </w:t>
      </w:r>
      <w:r>
        <w:rPr/>
        <w:t>债务人很可能破产或进行其他财务重组；</w:t>
      </w:r>
    </w:p>
    <w:p>
      <w:pPr>
        <w:pStyle w:val="Heading6"/>
        <w:spacing w:line="259" w:lineRule="auto" w:before="24"/>
        <w:ind w:right="1089" w:firstLine="42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8"/>
        </w:rPr>
        <w:t> </w:t>
      </w:r>
      <w:r>
        <w:rPr/>
        <w:t>债权人出于与债务人财务困难有关的经济或合同考虑，给予债务人在任何其他情况下都不会做出的</w:t>
      </w:r>
      <w:r>
        <w:rPr>
          <w:w w:val="99"/>
        </w:rPr>
        <w:t> </w:t>
      </w:r>
      <w:r>
        <w:rPr/>
        <w:t>让步。</w:t>
      </w:r>
    </w:p>
    <w:p>
      <w:pPr>
        <w:pStyle w:val="Heading6"/>
        <w:spacing w:line="259" w:lineRule="auto" w:before="23"/>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预期信用损失的计量 </w:t>
      </w:r>
      <w:r>
        <w:rPr>
          <w:spacing w:val="-3"/>
        </w:rPr>
        <w:t>预期信用损失计量的关键参数包括违约概率、违约损失率和违约风险敞口。公司考虑历史统计数据</w:t>
      </w:r>
      <w:r>
        <w:rPr>
          <w:rFonts w:ascii="Times New Roman" w:hAnsi="Times New Roman" w:cs="Times New Roman" w:eastAsia="Times New Roman" w:hint="default"/>
          <w:spacing w:val="-3"/>
        </w:rPr>
        <w:t>(</w:t>
      </w:r>
      <w:r>
        <w:rPr>
          <w:spacing w:val="-3"/>
        </w:rPr>
        <w:t>如</w:t>
      </w:r>
    </w:p>
    <w:p>
      <w:pPr>
        <w:pStyle w:val="Heading6"/>
        <w:spacing w:line="259" w:lineRule="auto"/>
        <w:ind w:right="1086"/>
        <w:jc w:val="left"/>
      </w:pPr>
      <w:r>
        <w:rPr>
          <w:spacing w:val="-3"/>
        </w:rPr>
        <w:t>交易对手评级、担保方式及抵质押物类别、还款方式等</w:t>
      </w:r>
      <w:r>
        <w:rPr>
          <w:rFonts w:ascii="Times New Roman" w:hAnsi="Times New Roman" w:cs="Times New Roman" w:eastAsia="Times New Roman" w:hint="default"/>
          <w:spacing w:val="-3"/>
        </w:rPr>
        <w:t>)</w:t>
      </w:r>
      <w:r>
        <w:rPr>
          <w:spacing w:val="-3"/>
        </w:rPr>
        <w:t>的定量分析及前瞻性信息，建立违约概率、违约损</w:t>
      </w:r>
      <w:r>
        <w:rPr>
          <w:spacing w:val="-72"/>
        </w:rPr>
        <w:t> </w:t>
      </w:r>
      <w:r>
        <w:rPr>
          <w:spacing w:val="-72"/>
        </w:rPr>
      </w:r>
      <w:r>
        <w:rPr/>
        <w:t>失率及违约风险敞口模型。</w:t>
      </w:r>
    </w:p>
    <w:p>
      <w:pPr>
        <w:pStyle w:val="Heading6"/>
        <w:spacing w:line="240" w:lineRule="auto" w:before="23"/>
        <w:ind w:left="561" w:right="0"/>
        <w:jc w:val="left"/>
      </w:pPr>
      <w:r>
        <w:rPr>
          <w:rFonts w:ascii="Times New Roman" w:hAnsi="Times New Roman" w:cs="Times New Roman" w:eastAsia="Times New Roman" w:hint="default"/>
        </w:rPr>
        <w:t>3. </w:t>
      </w:r>
      <w:r>
        <w:rPr>
          <w:rFonts w:ascii="Times New Roman" w:hAnsi="Times New Roman" w:cs="Times New Roman" w:eastAsia="Times New Roman" w:hint="default"/>
          <w:spacing w:val="27"/>
        </w:rPr>
        <w:t> </w:t>
      </w:r>
      <w:r>
        <w:rPr>
          <w:spacing w:val="-5"/>
        </w:rPr>
        <w:t>金融工具损失准备期初余额与期末余额调节表详见本财务报表附注五（一）</w:t>
      </w:r>
      <w:r>
        <w:rPr>
          <w:rFonts w:ascii="Times New Roman" w:hAnsi="Times New Roman" w:cs="Times New Roman" w:eastAsia="Times New Roman" w:hint="default"/>
          <w:spacing w:val="-5"/>
        </w:rPr>
        <w:t>3</w:t>
      </w:r>
      <w:r>
        <w:rPr>
          <w:spacing w:val="-5"/>
        </w:rPr>
        <w:t>、五（一）</w:t>
      </w:r>
      <w:r>
        <w:rPr>
          <w:rFonts w:ascii="Times New Roman" w:hAnsi="Times New Roman" w:cs="Times New Roman" w:eastAsia="Times New Roman" w:hint="default"/>
          <w:spacing w:val="-5"/>
        </w:rPr>
        <w:t>4</w:t>
      </w:r>
      <w:r>
        <w:rPr>
          <w:spacing w:val="-5"/>
        </w:rPr>
        <w:t>、五（一）</w:t>
      </w:r>
    </w:p>
    <w:p>
      <w:pPr>
        <w:pStyle w:val="Heading6"/>
        <w:spacing w:line="240" w:lineRule="auto" w:before="24"/>
        <w:ind w:right="1086"/>
        <w:jc w:val="left"/>
      </w:pPr>
      <w:r>
        <w:rPr>
          <w:rFonts w:ascii="Times New Roman" w:hAnsi="Times New Roman" w:cs="Times New Roman" w:eastAsia="Times New Roman" w:hint="default"/>
        </w:rPr>
        <w:t>5</w:t>
      </w:r>
      <w:r>
        <w:rPr/>
        <w:t>、五（一）</w:t>
      </w:r>
      <w:r>
        <w:rPr>
          <w:rFonts w:ascii="Times New Roman" w:hAnsi="Times New Roman" w:cs="Times New Roman" w:eastAsia="Times New Roman" w:hint="default"/>
        </w:rPr>
        <w:t>7</w:t>
      </w:r>
      <w:r>
        <w:rPr/>
        <w:t>之说明。</w:t>
      </w:r>
    </w:p>
    <w:p>
      <w:pPr>
        <w:pStyle w:val="Heading6"/>
        <w:spacing w:line="261" w:lineRule="auto" w:before="25"/>
        <w:ind w:left="561" w:right="994"/>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5"/>
        </w:rPr>
        <w:t> </w:t>
      </w:r>
      <w:r>
        <w:rPr/>
        <w:t>信用风险敞口及信用风险集中度 </w:t>
      </w:r>
      <w:r>
        <w:rPr>
          <w:spacing w:val="-3"/>
        </w:rPr>
        <w:t>本公司的信用风险主要来自货币资金和应收款项。为控制上述相关风险，本公司分别采取了以下措施。</w:t>
      </w:r>
      <w:r>
        <w:rPr>
          <w:spacing w:val="-90"/>
        </w:rPr>
        <w:t> </w:t>
      </w:r>
      <w:r>
        <w:rPr>
          <w:spacing w:val="-90"/>
        </w:rPr>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货币资金</w:t>
      </w:r>
      <w:r>
        <w:rPr>
          <w:spacing w:val="-102"/>
        </w:rPr>
        <w:t> </w:t>
      </w:r>
      <w:r>
        <w:rPr/>
        <w:t>本公司将银行存款和其他货币资金存放于信用评级较高的金融机构，故其信用风险较低。</w:t>
      </w:r>
    </w:p>
    <w:p>
      <w:pPr>
        <w:pStyle w:val="Heading6"/>
        <w:spacing w:line="261" w:lineRule="auto" w:before="22"/>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2"/>
        </w:rPr>
        <w:t> </w:t>
      </w:r>
      <w:r>
        <w:rPr/>
        <w:t>应收款项</w:t>
      </w:r>
      <w:r>
        <w:rPr>
          <w:spacing w:val="-102"/>
        </w:rPr>
        <w:t> </w:t>
      </w:r>
      <w:r>
        <w:rPr>
          <w:spacing w:val="-1"/>
        </w:rPr>
        <w:t>本公司定期对采用信用方式交易的客户进行信用评估。根据信用评估结果，本公司选择与经认可的且</w:t>
      </w:r>
    </w:p>
    <w:p>
      <w:pPr>
        <w:pStyle w:val="Heading6"/>
        <w:spacing w:line="276" w:lineRule="auto" w:before="6"/>
        <w:ind w:left="561" w:right="1086" w:hanging="421"/>
        <w:jc w:val="left"/>
      </w:pPr>
      <w:r>
        <w:rPr/>
        <w:t>信用良好的客户进行交易，并对其应收款项余额进行监控，以确保本公司不会面临重大坏账风险。 </w:t>
      </w:r>
      <w:r>
        <w:rPr>
          <w:spacing w:val="-1"/>
        </w:rPr>
        <w:t>由于本公司的应收账款风险点分布于多个合作方和多个客户，截至</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w:t>
      </w:r>
    </w:p>
    <w:p>
      <w:pPr>
        <w:pStyle w:val="Heading6"/>
        <w:spacing w:line="261" w:lineRule="auto"/>
        <w:ind w:left="561" w:right="1086" w:hanging="421"/>
        <w:jc w:val="left"/>
      </w:pPr>
      <w:r>
        <w:rPr/>
        <w:t>的</w:t>
      </w:r>
      <w:r>
        <w:rPr>
          <w:rFonts w:ascii="Times New Roman" w:hAnsi="Times New Roman" w:cs="Times New Roman" w:eastAsia="Times New Roman" w:hint="default"/>
        </w:rPr>
        <w:t>11.08%(2018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16.82%)</w:t>
      </w:r>
      <w:r>
        <w:rPr/>
        <w:t>源于余额前五名客户，本公司不存在重大的信用集中风险。</w:t>
      </w:r>
      <w:r>
        <w:rPr>
          <w:spacing w:val="-87"/>
        </w:rPr>
        <w:t> </w:t>
      </w:r>
      <w:r>
        <w:rPr/>
        <w:t>本公司所承受的最大信用风险敞口为资产负债表中每项金融资产的账面价值。</w:t>
      </w:r>
    </w:p>
    <w:p>
      <w:pPr>
        <w:pStyle w:val="Heading6"/>
        <w:spacing w:line="247" w:lineRule="auto" w:before="21"/>
        <w:ind w:left="561" w:right="108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流动性风险</w:t>
      </w:r>
      <w:r>
        <w:rPr>
          <w:spacing w:val="-101"/>
        </w:rPr>
        <w:t> </w:t>
      </w:r>
      <w:r>
        <w:rPr>
          <w:spacing w:val="4"/>
        </w:rPr>
        <w:t>流动性风险，是指本公司在履行以交付现金或其他金融资产的方式结算的义务时发生资金短缺的风</w:t>
      </w:r>
    </w:p>
    <w:p>
      <w:pPr>
        <w:pStyle w:val="Heading6"/>
        <w:spacing w:line="276" w:lineRule="auto" w:before="34"/>
        <w:ind w:right="1089"/>
        <w:jc w:val="left"/>
      </w:pPr>
      <w:r>
        <w:rPr/>
        <w:t>险。流动性风险可能源于无法尽快以公允价值售出金融资产；或者源于对方无法偿还其合同债务；或者源 于提前到期的债务；或者源于无法产生预期的现金流量。</w:t>
      </w:r>
    </w:p>
    <w:p>
      <w:pPr>
        <w:pStyle w:val="Heading6"/>
        <w:spacing w:line="268" w:lineRule="auto" w:before="9"/>
        <w:ind w:right="1083" w:firstLine="420"/>
        <w:jc w:val="both"/>
      </w:pPr>
      <w:r>
        <w:rPr/>
        <w:t>为控制该项风险，本公司综合运用票据结算、银行借款等多种融资手段，并采取长、短期融资方式适 当结合，优化融资结构的方法，保持融资持续性与灵活性之间的平衡。本公司已从多家商业银行取得银行 授信额度以满足营运资金需求和资本开支。</w:t>
      </w:r>
    </w:p>
    <w:p>
      <w:pPr>
        <w:spacing w:after="0" w:line="268" w:lineRule="auto"/>
        <w:jc w:val="both"/>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40" w:lineRule="auto" w:before="35"/>
        <w:ind w:left="561" w:right="1086"/>
        <w:jc w:val="left"/>
      </w:pPr>
      <w:r>
        <w:rPr/>
        <w:t>金融负债按剩余到期日分类</w:t>
      </w:r>
    </w:p>
    <w:p>
      <w:pPr>
        <w:spacing w:line="240" w:lineRule="auto" w:before="8"/>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1697"/>
        <w:gridCol w:w="1667"/>
        <w:gridCol w:w="1652"/>
        <w:gridCol w:w="1487"/>
        <w:gridCol w:w="1472"/>
        <w:gridCol w:w="1389"/>
      </w:tblGrid>
      <w:tr>
        <w:trPr>
          <w:trHeight w:val="345" w:hRule="exact"/>
        </w:trPr>
        <w:tc>
          <w:tcPr>
            <w:tcW w:w="1697" w:type="dxa"/>
            <w:vMerge w:val="restart"/>
            <w:tcBorders>
              <w:top w:val="single" w:sz="6" w:space="0" w:color="000000"/>
              <w:left w:val="single" w:sz="6" w:space="0" w:color="000000"/>
              <w:right w:val="single" w:sz="6" w:space="0" w:color="000000"/>
            </w:tcBorders>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目</w:t>
            </w:r>
          </w:p>
        </w:tc>
        <w:tc>
          <w:tcPr>
            <w:tcW w:w="7667" w:type="dxa"/>
            <w:gridSpan w:val="5"/>
            <w:tcBorders>
              <w:top w:val="single" w:sz="6" w:space="0" w:color="000000"/>
              <w:left w:val="single" w:sz="6" w:space="0" w:color="000000"/>
              <w:bottom w:val="single" w:sz="6"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5" w:hRule="exact"/>
        </w:trPr>
        <w:tc>
          <w:tcPr>
            <w:tcW w:w="1697" w:type="dxa"/>
            <w:vMerge/>
            <w:tcBorders>
              <w:left w:val="single" w:sz="6" w:space="0" w:color="000000"/>
              <w:bottom w:val="single" w:sz="6" w:space="0" w:color="000000"/>
              <w:right w:val="single" w:sz="6" w:space="0" w:color="000000"/>
            </w:tcBorders>
          </w:tcPr>
          <w:p>
            <w:pP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4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80"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4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9"/>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883,400,997.84</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912,919,165.70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622,005,163.71</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249,059,426.86</w:t>
            </w:r>
          </w:p>
        </w:tc>
        <w:tc>
          <w:tcPr>
            <w:tcW w:w="13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2"/>
              <w:ind w:left="330" w:right="0"/>
              <w:jc w:val="left"/>
              <w:rPr>
                <w:rFonts w:ascii="Times New Roman" w:hAnsi="Times New Roman" w:cs="Times New Roman" w:eastAsia="Times New Roman" w:hint="default"/>
                <w:sz w:val="18"/>
                <w:szCs w:val="18"/>
              </w:rPr>
            </w:pPr>
            <w:r>
              <w:rPr>
                <w:rFonts w:ascii="Times New Roman"/>
                <w:sz w:val="18"/>
              </w:rPr>
              <w:t>41,854,575.13</w:t>
            </w:r>
          </w:p>
        </w:tc>
      </w:tr>
      <w:tr>
        <w:trPr>
          <w:trHeight w:val="34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667" w:type="dxa"/>
            <w:tcBorders>
              <w:top w:val="single" w:sz="6" w:space="0" w:color="000000"/>
              <w:left w:val="single" w:sz="6" w:space="0" w:color="000000"/>
              <w:bottom w:val="single" w:sz="6" w:space="0" w:color="000000"/>
              <w:right w:val="single" w:sz="6" w:space="0" w:color="000000"/>
            </w:tcBorders>
          </w:tcPr>
          <w:p>
            <w:pPr/>
          </w:p>
        </w:tc>
        <w:tc>
          <w:tcPr>
            <w:tcW w:w="16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36,279,069.18</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36,279,069.18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36,279,069.18</w:t>
            </w:r>
          </w:p>
        </w:tc>
        <w:tc>
          <w:tcPr>
            <w:tcW w:w="1472"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nil" w:sz="6" w:space="0" w:color="auto"/>
            </w:tcBorders>
          </w:tcPr>
          <w:p>
            <w:pPr/>
          </w:p>
        </w:tc>
      </w:tr>
      <w:tr>
        <w:trPr>
          <w:trHeight w:val="360"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178,137,250.40</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178,137,250.40</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178,137,250.40</w:t>
            </w:r>
          </w:p>
        </w:tc>
        <w:tc>
          <w:tcPr>
            <w:tcW w:w="1472"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32,644,780.71</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32,644,780.71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32,644,780.71</w:t>
            </w:r>
          </w:p>
        </w:tc>
        <w:tc>
          <w:tcPr>
            <w:tcW w:w="1472" w:type="dxa"/>
            <w:tcBorders>
              <w:top w:val="single" w:sz="6" w:space="0" w:color="000000"/>
              <w:left w:val="single" w:sz="6" w:space="0" w:color="000000"/>
              <w:bottom w:val="single" w:sz="6" w:space="0" w:color="000000"/>
              <w:right w:val="single" w:sz="6" w:space="0" w:color="000000"/>
            </w:tcBorders>
          </w:tcPr>
          <w:p>
            <w:pPr/>
          </w:p>
        </w:tc>
        <w:tc>
          <w:tcPr>
            <w:tcW w:w="1389"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60"/>
                <w:sz w:val="18"/>
                <w:szCs w:val="18"/>
              </w:rPr>
              <w:t> </w:t>
            </w:r>
            <w:r>
              <w:rPr>
                <w:rFonts w:ascii="宋体" w:hAnsi="宋体" w:cs="宋体" w:eastAsia="宋体" w:hint="default"/>
                <w:sz w:val="18"/>
                <w:szCs w:val="18"/>
              </w:rPr>
              <w:t>计</w:t>
            </w:r>
          </w:p>
        </w:tc>
        <w:tc>
          <w:tcPr>
            <w:tcW w:w="16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1,130,462,098.13</w:t>
            </w:r>
          </w:p>
        </w:tc>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1,159,980,265.99</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869,066,264.00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249,059,426.86</w:t>
            </w:r>
          </w:p>
        </w:tc>
        <w:tc>
          <w:tcPr>
            <w:tcW w:w="138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57"/>
              <w:ind w:left="330" w:right="0"/>
              <w:jc w:val="left"/>
              <w:rPr>
                <w:rFonts w:ascii="Times New Roman" w:hAnsi="Times New Roman" w:cs="Times New Roman" w:eastAsia="Times New Roman" w:hint="default"/>
                <w:sz w:val="18"/>
                <w:szCs w:val="18"/>
              </w:rPr>
            </w:pPr>
            <w:r>
              <w:rPr>
                <w:rFonts w:ascii="Times New Roman"/>
                <w:sz w:val="18"/>
              </w:rPr>
              <w:t>41,854,575.13</w:t>
            </w:r>
          </w:p>
        </w:tc>
      </w:tr>
    </w:tbl>
    <w:p>
      <w:pPr>
        <w:pStyle w:val="Heading6"/>
        <w:spacing w:line="270" w:lineRule="exact"/>
        <w:ind w:left="561" w:right="1086"/>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1697"/>
        <w:gridCol w:w="1712"/>
        <w:gridCol w:w="1847"/>
        <w:gridCol w:w="1487"/>
        <w:gridCol w:w="1472"/>
        <w:gridCol w:w="909"/>
      </w:tblGrid>
      <w:tr>
        <w:trPr>
          <w:trHeight w:val="345" w:hRule="exact"/>
        </w:trPr>
        <w:tc>
          <w:tcPr>
            <w:tcW w:w="1697" w:type="dxa"/>
            <w:vMerge w:val="restart"/>
            <w:tcBorders>
              <w:top w:val="single" w:sz="6" w:space="0" w:color="000000"/>
              <w:left w:val="single" w:sz="6" w:space="0" w:color="000000"/>
              <w:right w:val="single" w:sz="6" w:space="0" w:color="000000"/>
            </w:tcBorders>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60"/>
                <w:sz w:val="18"/>
                <w:szCs w:val="18"/>
              </w:rPr>
              <w:t> </w:t>
            </w:r>
            <w:r>
              <w:rPr>
                <w:rFonts w:ascii="宋体" w:hAnsi="宋体" w:cs="宋体" w:eastAsia="宋体" w:hint="default"/>
                <w:sz w:val="18"/>
                <w:szCs w:val="18"/>
              </w:rPr>
              <w:t>目</w:t>
            </w:r>
          </w:p>
        </w:tc>
        <w:tc>
          <w:tcPr>
            <w:tcW w:w="7427" w:type="dxa"/>
            <w:gridSpan w:val="5"/>
            <w:tcBorders>
              <w:top w:val="single" w:sz="6" w:space="0" w:color="000000"/>
              <w:left w:val="single" w:sz="6" w:space="0" w:color="000000"/>
              <w:bottom w:val="single" w:sz="6" w:space="0" w:color="000000"/>
              <w:right w:val="nil" w:sz="6" w:space="0" w:color="auto"/>
            </w:tcBorders>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6" w:hRule="exact"/>
        </w:trPr>
        <w:tc>
          <w:tcPr>
            <w:tcW w:w="1697" w:type="dxa"/>
            <w:vMerge/>
            <w:tcBorders>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4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909"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15"/>
              <w:ind w:left="1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859,316,785.93</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882,916,328.71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676,840,268.88</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206,076,059.83</w:t>
            </w:r>
          </w:p>
        </w:tc>
        <w:tc>
          <w:tcPr>
            <w:tcW w:w="909" w:type="dxa"/>
            <w:tcBorders>
              <w:top w:val="single" w:sz="6" w:space="0" w:color="000000"/>
              <w:left w:val="single" w:sz="6" w:space="0" w:color="000000"/>
              <w:bottom w:val="single" w:sz="6" w:space="0" w:color="000000"/>
              <w:right w:val="nil" w:sz="6" w:space="0" w:color="auto"/>
            </w:tcBorders>
          </w:tcPr>
          <w:p>
            <w:pPr/>
          </w:p>
        </w:tc>
      </w:tr>
      <w:tr>
        <w:trPr>
          <w:trHeight w:val="346"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4,293,047.58</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4,293,047.58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4,293,047.58</w:t>
            </w:r>
          </w:p>
        </w:tc>
        <w:tc>
          <w:tcPr>
            <w:tcW w:w="1472" w:type="dxa"/>
            <w:tcBorders>
              <w:top w:val="single" w:sz="6" w:space="0" w:color="000000"/>
              <w:left w:val="single" w:sz="6" w:space="0" w:color="000000"/>
              <w:bottom w:val="single" w:sz="6" w:space="0" w:color="000000"/>
              <w:right w:val="single" w:sz="6" w:space="0" w:color="000000"/>
            </w:tcBorders>
          </w:tcPr>
          <w:p>
            <w:pPr/>
          </w:p>
        </w:tc>
        <w:tc>
          <w:tcPr>
            <w:tcW w:w="909"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22,396,727.46</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22,396,727.46</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22,396,727.46</w:t>
            </w:r>
          </w:p>
        </w:tc>
        <w:tc>
          <w:tcPr>
            <w:tcW w:w="1472" w:type="dxa"/>
            <w:tcBorders>
              <w:top w:val="single" w:sz="6" w:space="0" w:color="000000"/>
              <w:left w:val="single" w:sz="6" w:space="0" w:color="000000"/>
              <w:bottom w:val="single" w:sz="6" w:space="0" w:color="000000"/>
              <w:right w:val="single" w:sz="6" w:space="0" w:color="000000"/>
            </w:tcBorders>
          </w:tcPr>
          <w:p>
            <w:pPr/>
          </w:p>
        </w:tc>
        <w:tc>
          <w:tcPr>
            <w:tcW w:w="909"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131,560,783.91</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131,560,783.91</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131,560,783.91</w:t>
            </w:r>
          </w:p>
        </w:tc>
        <w:tc>
          <w:tcPr>
            <w:tcW w:w="1472" w:type="dxa"/>
            <w:tcBorders>
              <w:top w:val="single" w:sz="6" w:space="0" w:color="000000"/>
              <w:left w:val="single" w:sz="6" w:space="0" w:color="000000"/>
              <w:bottom w:val="single" w:sz="6" w:space="0" w:color="000000"/>
              <w:right w:val="single" w:sz="6" w:space="0" w:color="000000"/>
            </w:tcBorders>
          </w:tcPr>
          <w:p>
            <w:pPr/>
          </w:p>
        </w:tc>
        <w:tc>
          <w:tcPr>
            <w:tcW w:w="909" w:type="dxa"/>
            <w:tcBorders>
              <w:top w:val="single" w:sz="6" w:space="0" w:color="000000"/>
              <w:left w:val="single" w:sz="6" w:space="0" w:color="000000"/>
              <w:bottom w:val="single" w:sz="6" w:space="0" w:color="000000"/>
              <w:right w:val="nil" w:sz="6" w:space="0" w:color="auto"/>
            </w:tcBorders>
          </w:tcPr>
          <w:p>
            <w:pPr/>
          </w:p>
        </w:tc>
      </w:tr>
      <w:tr>
        <w:trPr>
          <w:trHeight w:val="361"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22,328,366.32</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22,328,366.32</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22,328,366.32</w:t>
            </w:r>
          </w:p>
        </w:tc>
        <w:tc>
          <w:tcPr>
            <w:tcW w:w="1472" w:type="dxa"/>
            <w:tcBorders>
              <w:top w:val="single" w:sz="6" w:space="0" w:color="000000"/>
              <w:left w:val="single" w:sz="6" w:space="0" w:color="000000"/>
              <w:bottom w:val="single" w:sz="6" w:space="0" w:color="000000"/>
              <w:right w:val="single" w:sz="6" w:space="0" w:color="000000"/>
            </w:tcBorders>
          </w:tcPr>
          <w:p>
            <w:pPr/>
          </w:p>
        </w:tc>
        <w:tc>
          <w:tcPr>
            <w:tcW w:w="909" w:type="dxa"/>
            <w:tcBorders>
              <w:top w:val="single" w:sz="6" w:space="0" w:color="000000"/>
              <w:left w:val="single" w:sz="6" w:space="0" w:color="000000"/>
              <w:bottom w:val="single" w:sz="6" w:space="0" w:color="000000"/>
              <w:right w:val="nil" w:sz="6" w:space="0" w:color="auto"/>
            </w:tcBorders>
          </w:tcPr>
          <w:p>
            <w:pPr/>
          </w:p>
        </w:tc>
      </w:tr>
      <w:tr>
        <w:trPr>
          <w:trHeight w:val="345" w:hRule="exact"/>
        </w:trPr>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80"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60"/>
                <w:sz w:val="18"/>
                <w:szCs w:val="18"/>
              </w:rPr>
              <w:t> </w:t>
            </w:r>
            <w:r>
              <w:rPr>
                <w:rFonts w:ascii="宋体" w:hAnsi="宋体" w:cs="宋体" w:eastAsia="宋体" w:hint="default"/>
                <w:sz w:val="18"/>
                <w:szCs w:val="18"/>
              </w:rPr>
              <w:t>计</w:t>
            </w: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1,039,895,711.20</w:t>
            </w:r>
          </w:p>
        </w:tc>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1,063,495,253.98</w:t>
            </w: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857,419,194.15</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206,076,059.83</w:t>
            </w:r>
          </w:p>
        </w:tc>
        <w:tc>
          <w:tcPr>
            <w:tcW w:w="909" w:type="dxa"/>
            <w:tcBorders>
              <w:top w:val="single" w:sz="6" w:space="0" w:color="000000"/>
              <w:left w:val="single" w:sz="6" w:space="0" w:color="000000"/>
              <w:bottom w:val="single" w:sz="6" w:space="0" w:color="000000"/>
              <w:right w:val="nil" w:sz="6" w:space="0" w:color="auto"/>
            </w:tcBorders>
          </w:tcPr>
          <w:p>
            <w:pPr/>
          </w:p>
        </w:tc>
      </w:tr>
    </w:tbl>
    <w:p>
      <w:pPr>
        <w:pStyle w:val="Heading6"/>
        <w:spacing w:line="271" w:lineRule="exact"/>
        <w:ind w:left="561" w:right="1086"/>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市场风险</w:t>
      </w:r>
    </w:p>
    <w:p>
      <w:pPr>
        <w:pStyle w:val="Heading6"/>
        <w:spacing w:line="261" w:lineRule="auto" w:before="24"/>
        <w:ind w:right="1086" w:firstLine="420"/>
        <w:jc w:val="left"/>
      </w:pPr>
      <w:r>
        <w:rPr>
          <w:spacing w:val="-1"/>
        </w:rPr>
        <w:t>市场风险，是指金融工具的公允价值或未来现金流量因市场价格变动而发生波动的风险。市场风险主</w:t>
      </w:r>
      <w:r>
        <w:rPr/>
        <w:t> 要包括利率风险和外汇风险。</w:t>
      </w:r>
    </w:p>
    <w:p>
      <w:pPr>
        <w:pStyle w:val="Heading6"/>
        <w:spacing w:line="240" w:lineRule="auto" w:before="22"/>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利率风险</w:t>
      </w:r>
    </w:p>
    <w:p>
      <w:pPr>
        <w:pStyle w:val="Heading4"/>
        <w:spacing w:line="264" w:lineRule="auto" w:before="12"/>
        <w:ind w:right="1086" w:firstLine="420"/>
        <w:jc w:val="left"/>
        <w:rPr>
          <w:i w:val="0"/>
        </w:rPr>
      </w:pPr>
      <w:r>
        <w:rPr>
          <w:spacing w:val="-1"/>
          <w:w w:val="95"/>
        </w:rPr>
        <w:t>利率风险，是指金融工具的公允价值或未来现金流量因市场利率变动而发生波动的风险。本公司不存</w:t>
      </w:r>
      <w:r>
        <w:rPr>
          <w:w w:val="95"/>
        </w:rPr>
        <w:t> </w:t>
      </w:r>
      <w:r>
        <w:rPr/>
        <w:t>在重大市场利率变动的风险。</w:t>
      </w:r>
      <w:r>
        <w:rPr>
          <w:i w:val="0"/>
        </w:rPr>
      </w:r>
    </w:p>
    <w:p>
      <w:pPr>
        <w:pStyle w:val="Heading6"/>
        <w:spacing w:line="247" w:lineRule="auto" w:before="16"/>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外汇风险 </w:t>
      </w:r>
      <w:r>
        <w:rPr>
          <w:spacing w:val="-1"/>
        </w:rPr>
        <w:t>外汇风险，是指金融工具的公允价值或未来现金流量因外汇汇率变动而发生波动的风险。本公司面临</w:t>
      </w:r>
    </w:p>
    <w:p>
      <w:pPr>
        <w:pStyle w:val="Heading6"/>
        <w:spacing w:line="276" w:lineRule="auto" w:before="34"/>
        <w:ind w:right="1086"/>
        <w:jc w:val="left"/>
      </w:pPr>
      <w:r>
        <w:rPr>
          <w:spacing w:val="-1"/>
        </w:rPr>
        <w:t>的汇率变动的风险主要与本公司外币货币性资产和负债有关。对于外币资产和负债，如果出现短期的失衡</w:t>
      </w:r>
      <w:r>
        <w:rPr>
          <w:spacing w:val="-91"/>
        </w:rPr>
        <w:t> </w:t>
      </w:r>
      <w:r>
        <w:rPr>
          <w:spacing w:val="-91"/>
        </w:rPr>
      </w:r>
      <w:r>
        <w:rPr/>
        <w:t>情况，本公司会在必要时按市场汇率买卖外币，以确保将净风险敞口维持在可接受的水平。</w:t>
      </w:r>
    </w:p>
    <w:p>
      <w:pPr>
        <w:pStyle w:val="Heading6"/>
        <w:spacing w:line="240" w:lineRule="auto" w:before="8"/>
        <w:ind w:left="561" w:right="1086"/>
        <w:jc w:val="left"/>
      </w:pPr>
      <w:r>
        <w:rPr/>
        <w:t>本公司期末外币货币性资产和负债情况详见本财务报表附注五</w:t>
      </w:r>
      <w:r>
        <w:rPr>
          <w:rFonts w:ascii="Times New Roman" w:hAnsi="Times New Roman" w:cs="Times New Roman" w:eastAsia="Times New Roman" w:hint="default"/>
        </w:rPr>
        <w:t>(</w:t>
      </w:r>
      <w:r>
        <w:rPr/>
        <w:t>四</w:t>
      </w:r>
      <w:r>
        <w:rPr>
          <w:rFonts w:ascii="Times New Roman" w:hAnsi="Times New Roman" w:cs="Times New Roman" w:eastAsia="Times New Roman" w:hint="default"/>
        </w:rPr>
        <w:t>)2</w:t>
      </w:r>
      <w:r>
        <w:rPr/>
        <w:t>之说明。</w:t>
      </w:r>
    </w:p>
    <w:p>
      <w:pPr>
        <w:spacing w:line="240" w:lineRule="auto" w:before="4"/>
        <w:rPr>
          <w:rFonts w:ascii="宋体" w:hAnsi="宋体" w:cs="宋体" w:eastAsia="宋体" w:hint="default"/>
          <w:sz w:val="23"/>
          <w:szCs w:val="23"/>
        </w:rPr>
      </w:pPr>
    </w:p>
    <w:p>
      <w:pPr>
        <w:pStyle w:val="Heading2"/>
        <w:spacing w:line="240" w:lineRule="auto"/>
        <w:ind w:right="1086"/>
        <w:jc w:val="left"/>
        <w:rPr>
          <w:b w:val="0"/>
          <w:bCs w:val="0"/>
        </w:rPr>
      </w:pPr>
      <w:bookmarkStart w:name="十一、公允价值的披露" w:id="461"/>
      <w:bookmarkEnd w:id="46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1086"/>
        <w:jc w:val="left"/>
        <w:rPr>
          <w:b w:val="0"/>
          <w:bCs w:val="0"/>
        </w:rPr>
      </w:pPr>
      <w:bookmarkStart w:name="1、以公允价值计量的资产和负债的期末公允价值" w:id="462"/>
      <w:bookmarkEnd w:id="46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405"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7584"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58" w:hRule="exact"/>
        </w:trPr>
        <w:tc>
          <w:tcPr>
            <w:tcW w:w="1990" w:type="dxa"/>
            <w:vMerge/>
            <w:tcBorders>
              <w:left w:val="single" w:sz="6" w:space="0" w:color="000000"/>
              <w:right w:val="single" w:sz="6" w:space="0" w:color="000000"/>
            </w:tcBorders>
            <w:shd w:val="clear" w:color="auto" w:fill="D2D2D2"/>
          </w:tcPr>
          <w:p>
            <w:pPr/>
          </w:p>
        </w:tc>
        <w:tc>
          <w:tcPr>
            <w:tcW w:w="1832"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811" w:right="106"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90" w:type="dxa"/>
            <w:vMerge/>
            <w:tcBorders>
              <w:left w:val="single" w:sz="6" w:space="0" w:color="000000"/>
              <w:right w:val="single" w:sz="6" w:space="0" w:color="000000"/>
            </w:tcBorders>
            <w:shd w:val="clear" w:color="auto" w:fill="D2D2D2"/>
          </w:tcPr>
          <w:p>
            <w:pPr/>
          </w:p>
        </w:tc>
        <w:tc>
          <w:tcPr>
            <w:tcW w:w="1832" w:type="dxa"/>
            <w:vMerge/>
            <w:tcBorders>
              <w:left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45"/>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58"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vMerge/>
            <w:tcBorders>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pacing w:val="-5"/>
                <w:sz w:val="18"/>
                <w:szCs w:val="18"/>
              </w:rPr>
              <w:t>一、持续的公允价值计量</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841" w:right="0"/>
              <w:jc w:val="left"/>
              <w:rPr>
                <w:rFonts w:ascii="Times New Roman" w:hAnsi="Times New Roman" w:cs="Times New Roman" w:eastAsia="Times New Roman" w:hint="default"/>
                <w:sz w:val="18"/>
                <w:szCs w:val="18"/>
              </w:rPr>
            </w:pPr>
            <w:r>
              <w:rPr>
                <w:rFonts w:ascii="Times New Roman"/>
                <w:sz w:val="18"/>
              </w:rPr>
              <w:t>--</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48" w:right="0"/>
              <w:jc w:val="left"/>
              <w:rPr>
                <w:rFonts w:ascii="Times New Roman" w:hAnsi="Times New Roman" w:cs="Times New Roman" w:eastAsia="Times New Roman" w:hint="default"/>
                <w:sz w:val="18"/>
                <w:szCs w:val="18"/>
              </w:rPr>
            </w:pPr>
            <w:r>
              <w:rPr>
                <w:rFonts w:ascii="Times New Roman"/>
                <w:sz w:val="18"/>
              </w:rPr>
              <w:t>9,740,100.68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9,000,000.00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18,740,100.68</w:t>
            </w: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848" w:right="0"/>
              <w:jc w:val="left"/>
              <w:rPr>
                <w:rFonts w:ascii="Times New Roman" w:hAnsi="Times New Roman" w:cs="Times New Roman" w:eastAsia="Times New Roman" w:hint="default"/>
                <w:sz w:val="18"/>
                <w:szCs w:val="18"/>
              </w:rPr>
            </w:pPr>
            <w:r>
              <w:rPr>
                <w:rFonts w:ascii="Times New Roman"/>
                <w:sz w:val="18"/>
              </w:rPr>
              <w:t>9,740,100.68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9,740,100.68</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9,000,000.00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9,000,000.00</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应收款项融资</w:t>
            </w:r>
          </w:p>
        </w:tc>
        <w:tc>
          <w:tcPr>
            <w:tcW w:w="183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1,031,468.48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1,031,468.48</w:t>
            </w:r>
          </w:p>
        </w:tc>
      </w:tr>
      <w:tr>
        <w:trPr>
          <w:trHeight w:val="390"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其他非流动金融资产</w:t>
            </w:r>
          </w:p>
        </w:tc>
        <w:tc>
          <w:tcPr>
            <w:tcW w:w="183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134,293,265.00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134,293,265.00</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其中：权益工具投资</w:t>
            </w:r>
          </w:p>
        </w:tc>
        <w:tc>
          <w:tcPr>
            <w:tcW w:w="183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134,293,265.00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134,293,265.00</w:t>
            </w:r>
          </w:p>
        </w:tc>
      </w:tr>
      <w:tr>
        <w:trPr>
          <w:trHeight w:val="7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9,740,100.68</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144,324,733.48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154,064,834.16</w:t>
            </w:r>
          </w:p>
        </w:tc>
      </w:tr>
      <w:tr>
        <w:trPr>
          <w:trHeight w:val="158"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量</w:t>
            </w:r>
          </w:p>
        </w:tc>
        <w:tc>
          <w:tcPr>
            <w:tcW w:w="183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3" w:type="dxa"/>
            <w:tcBorders>
              <w:top w:val="single" w:sz="6" w:space="0" w:color="000000"/>
              <w:left w:val="single" w:sz="6" w:space="0" w:color="000000"/>
              <w:bottom w:val="nil" w:sz="6" w:space="0" w:color="auto"/>
              <w:right w:val="single" w:sz="6" w:space="0" w:color="000000"/>
            </w:tcBorders>
            <w:shd w:val="clear" w:color="auto" w:fill="D2D2D2"/>
          </w:tcPr>
          <w:p>
            <w:pPr/>
          </w:p>
        </w:tc>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1997" w:type="dxa"/>
            <w:vMerge/>
            <w:tcBorders>
              <w:left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841" w:right="0"/>
              <w:jc w:val="left"/>
              <w:rPr>
                <w:rFonts w:ascii="Times New Roman" w:hAnsi="Times New Roman" w:cs="Times New Roman" w:eastAsia="Times New Roman" w:hint="default"/>
                <w:sz w:val="18"/>
                <w:szCs w:val="18"/>
              </w:rPr>
            </w:pPr>
            <w:r>
              <w:rPr>
                <w:rFonts w:ascii="Times New Roman"/>
                <w:sz w:val="18"/>
              </w:rPr>
              <w:t>--</w:t>
            </w:r>
          </w:p>
        </w:tc>
        <w:tc>
          <w:tcPr>
            <w:tcW w:w="192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3"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spacing w:line="496" w:lineRule="auto" w:before="35"/>
        <w:ind w:left="561" w:right="3819" w:hanging="421"/>
        <w:jc w:val="left"/>
        <w:rPr>
          <w:rFonts w:ascii="宋体" w:hAnsi="宋体" w:cs="宋体" w:eastAsia="宋体" w:hint="default"/>
          <w:sz w:val="21"/>
          <w:szCs w:val="21"/>
        </w:rPr>
      </w:pPr>
      <w:bookmarkStart w:name="2、持续和非持续第一层次公允价值计量项目市价的确定依据" w:id="463"/>
      <w:bookmarkEnd w:id="463"/>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spacing w:val="-98"/>
          <w:sz w:val="21"/>
          <w:szCs w:val="21"/>
        </w:rPr>
        <w:t> </w:t>
      </w:r>
      <w:r>
        <w:rPr>
          <w:rFonts w:ascii="宋体" w:hAnsi="宋体" w:cs="宋体" w:eastAsia="宋体" w:hint="default"/>
          <w:b/>
          <w:bCs/>
          <w:spacing w:val="-98"/>
          <w:sz w:val="21"/>
          <w:szCs w:val="21"/>
        </w:rPr>
      </w:r>
      <w:r>
        <w:rPr>
          <w:rFonts w:ascii="宋体" w:hAnsi="宋体" w:cs="宋体" w:eastAsia="宋体" w:hint="default"/>
          <w:sz w:val="21"/>
          <w:szCs w:val="21"/>
        </w:rPr>
        <w:t>本公司持有基金，以公开市场报价作为公允价值的合理估计进行计量。</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5"/>
        <w:spacing w:line="240" w:lineRule="auto"/>
        <w:ind w:right="1086"/>
        <w:jc w:val="left"/>
        <w:rPr>
          <w:b w:val="0"/>
          <w:bCs w:val="0"/>
        </w:rPr>
      </w:pPr>
      <w:bookmarkStart w:name="3、持续和非持续第二层次公允价值计量项目，采用的估值技术和重要参数的定性及定量信" w:id="464"/>
      <w:bookmarkEnd w:id="46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4、持续和非持续第三层次公允价值计量项目，采用的估值技术和重要参数的定性及定量信" w:id="465"/>
      <w:bookmarkEnd w:id="46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5、持续的第三层次公允价值计量项目，期初与期末账面价值间的调节信息及不可观察参数" w:id="466"/>
      <w:bookmarkEnd w:id="46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left="561" w:right="108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5"/>
        </w:rPr>
        <w:t> </w:t>
      </w:r>
      <w:r>
        <w:rPr/>
        <w:t>对于持有的结构性存款，采用购买成本确定其公允价值。</w:t>
      </w:r>
    </w:p>
    <w:p>
      <w:pPr>
        <w:pStyle w:val="Heading6"/>
        <w:spacing w:line="240" w:lineRule="auto" w:before="24"/>
        <w:ind w:left="561" w:right="108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t>对于持有的应收票据，采用票面金额确定其公允价值。</w:t>
      </w:r>
    </w:p>
    <w:p>
      <w:pPr>
        <w:pStyle w:val="Heading6"/>
        <w:spacing w:line="259" w:lineRule="auto" w:before="25"/>
        <w:ind w:right="1082"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对于持有的权益工具投资，被投资企业经营环境和经营情况、财务状况未发生重大变化，所以采用 购买成本等合理方法作为公允价值的合理估计进行计量。</w:t>
      </w:r>
    </w:p>
    <w:p>
      <w:pPr>
        <w:spacing w:line="240" w:lineRule="auto" w:before="10"/>
        <w:rPr>
          <w:rFonts w:ascii="宋体" w:hAnsi="宋体" w:cs="宋体" w:eastAsia="宋体" w:hint="default"/>
          <w:sz w:val="24"/>
          <w:szCs w:val="24"/>
        </w:rPr>
      </w:pPr>
    </w:p>
    <w:p>
      <w:pPr>
        <w:pStyle w:val="Heading5"/>
        <w:spacing w:line="240" w:lineRule="auto"/>
        <w:ind w:right="1086"/>
        <w:jc w:val="left"/>
        <w:rPr>
          <w:b w:val="0"/>
          <w:bCs w:val="0"/>
        </w:rPr>
      </w:pPr>
      <w:bookmarkStart w:name="6、持续的公允价值计量项目，本期内发生各层级之间转换的，转换的原因及确定转换时点" w:id="467"/>
      <w:bookmarkEnd w:id="46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7、本期内发生的估值技术变更及变更原因" w:id="468"/>
      <w:bookmarkEnd w:id="46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8、不以公允价值计量的金融资产和金融负债的公允价值情况" w:id="469"/>
      <w:bookmarkEnd w:id="46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1"/>
        <w:rPr>
          <w:rFonts w:ascii="宋体" w:hAnsi="宋体" w:cs="宋体" w:eastAsia="宋体" w:hint="default"/>
          <w:b/>
          <w:bCs/>
          <w:sz w:val="24"/>
          <w:szCs w:val="24"/>
        </w:rPr>
      </w:pPr>
    </w:p>
    <w:p>
      <w:pPr>
        <w:spacing w:line="487" w:lineRule="auto" w:before="0"/>
        <w:ind w:left="141" w:right="8098" w:firstLine="0"/>
        <w:jc w:val="left"/>
        <w:rPr>
          <w:rFonts w:ascii="宋体" w:hAnsi="宋体" w:cs="宋体" w:eastAsia="宋体" w:hint="default"/>
          <w:sz w:val="21"/>
          <w:szCs w:val="21"/>
        </w:rPr>
      </w:pPr>
      <w:bookmarkStart w:name="9、其他" w:id="470"/>
      <w:bookmarkEnd w:id="470"/>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二、关联方及关联交易" w:id="471"/>
      <w:bookmarkEnd w:id="471"/>
      <w:r>
        <w:rPr>
          <w:rFonts w:ascii="宋体" w:hAnsi="宋体" w:cs="宋体" w:eastAsia="宋体" w:hint="default"/>
          <w:b/>
          <w:bCs/>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spacing w:val="-117"/>
          <w:sz w:val="24"/>
          <w:szCs w:val="24"/>
        </w:rPr>
        <w:t> </w:t>
      </w:r>
      <w:r>
        <w:rPr>
          <w:rFonts w:ascii="宋体" w:hAnsi="宋体" w:cs="宋体" w:eastAsia="宋体" w:hint="default"/>
          <w:b/>
          <w:bCs/>
          <w:spacing w:val="-117"/>
          <w:sz w:val="24"/>
          <w:szCs w:val="24"/>
        </w:rPr>
      </w:r>
      <w:bookmarkStart w:name="1、本企业的母公司情况" w:id="472"/>
      <w:bookmarkEnd w:id="472"/>
      <w:r>
        <w:rPr>
          <w:rFonts w:ascii="宋体" w:hAnsi="宋体" w:cs="宋体" w:eastAsia="宋体" w:hint="default"/>
          <w:b/>
          <w:bCs/>
          <w:spacing w:val="-117"/>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60" w:lineRule="auto" w:before="45"/>
        <w:ind w:right="8589"/>
        <w:jc w:val="left"/>
      </w:pPr>
      <w:r>
        <w:rPr/>
        <w:t>本企业的母公司情况的说明 本企业最终控制方是。 其他说明：</w:t>
      </w:r>
    </w:p>
    <w:p>
      <w:pPr>
        <w:spacing w:after="0" w:line="360" w:lineRule="auto"/>
        <w:jc w:val="left"/>
        <w:sectPr>
          <w:pgSz w:w="11910" w:h="16850"/>
          <w:pgMar w:header="866" w:footer="981" w:top="1120" w:bottom="1180" w:left="1000" w:right="0"/>
        </w:sectPr>
      </w:pPr>
    </w:p>
    <w:p>
      <w:pPr>
        <w:spacing w:line="240" w:lineRule="auto" w:before="11"/>
        <w:rPr>
          <w:rFonts w:ascii="宋体" w:hAnsi="宋体" w:cs="宋体" w:eastAsia="宋体" w:hint="default"/>
          <w:sz w:val="19"/>
          <w:szCs w:val="19"/>
        </w:rPr>
      </w:pPr>
    </w:p>
    <w:p>
      <w:pPr>
        <w:pStyle w:val="Heading6"/>
        <w:spacing w:line="266" w:lineRule="auto" w:before="35"/>
        <w:ind w:right="1088" w:firstLine="420"/>
        <w:jc w:val="both"/>
      </w:pPr>
      <w:r>
        <w:rPr/>
        <w:t>本公司原实际控制人为路楠，根据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月《关于控股股东、实际控制人一致行动关系解除暨公司 无控股股东及实际控制人的公告》，股东路楠和方振淳、西藏瑞华资本管理有限公司、浙江鲲鹏资产管理 有限公司解除一致行动关系；股东路楠与杭州博泰投资管理有限公司之间基于股权关系继续保持一致行动 关系，本次解除一致行动关系后，公司不存在控股股东。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Heading5"/>
        <w:spacing w:line="240" w:lineRule="auto"/>
        <w:ind w:right="1086"/>
        <w:jc w:val="left"/>
        <w:rPr>
          <w:b w:val="0"/>
          <w:bCs w:val="0"/>
        </w:rPr>
      </w:pPr>
      <w:bookmarkStart w:name="2、本企业的子公司情况" w:id="473"/>
      <w:bookmarkEnd w:id="47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本企业子公司的情况详见附注在其他主体中的权益之说明</w:t>
      </w:r>
      <w:r>
        <w:rPr>
          <w:spacing w:val="-90"/>
        </w:rPr>
        <w:t>。</w:t>
      </w:r>
      <w:r>
        <w:rPr/>
        <w:t>。</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本企业合营和联营企业情况" w:id="474"/>
      <w:bookmarkEnd w:id="47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3"/>
        <w:rPr>
          <w:rFonts w:ascii="宋体" w:hAnsi="宋体" w:cs="宋体" w:eastAsia="宋体" w:hint="default"/>
          <w:b/>
          <w:bCs/>
          <w:sz w:val="25"/>
          <w:szCs w:val="25"/>
        </w:rPr>
      </w:pPr>
    </w:p>
    <w:p>
      <w:pPr>
        <w:pStyle w:val="BodyText"/>
        <w:spacing w:line="352" w:lineRule="auto" w:before="0"/>
        <w:ind w:right="2289"/>
        <w:jc w:val="left"/>
      </w:pPr>
      <w:r>
        <w:rPr/>
        <w:t>本企业重要的合营或联营企业详见附注在其他主体中的权益之说明。 本期与本公司发生关联方交易，或前期与本公司发生关联方交易形成余额的其他合营或联营企业情况如下：</w:t>
      </w:r>
    </w:p>
    <w:p>
      <w:pPr>
        <w:spacing w:line="240" w:lineRule="auto" w:before="1"/>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广州市天威电子科技有限公司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深圳智慧医学科技有限公司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本公司之联营企业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杭州创辉医疗电子设备有限公司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广东百慧信息技术有限公司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医惠科技（广东）有限公司全资子公司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医惠科技（沈阳）有限公司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武汉医惠健康科技有限公司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上海互软医康信息技术有限公司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浙江华惠医疗科技有限公司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上海共阅信息技术有限公司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子公司之联营企业</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其他关联方情况" w:id="475"/>
      <w:bookmarkEnd w:id="47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本公司之参股企业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杭州国家软件产业基地有限公司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苏州智康信息科技股份有限公司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大连乾函科技有限公司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子公司之参股企业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本公司之参股企业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杭州智汇健康管理有限公司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关键管理人员施加重大影响的企业</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杭州伯仲信息科技有限公司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关键管理人员施加重大影响的企业</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本公司之股东、董事长、法定代表人</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本公司之监事</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本公司之董事、高级管理人员</w:t>
            </w:r>
          </w:p>
        </w:tc>
      </w:tr>
    </w:tbl>
    <w:p>
      <w:pPr>
        <w:pStyle w:val="BodyText"/>
        <w:spacing w:line="240" w:lineRule="auto"/>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1086"/>
        <w:jc w:val="left"/>
        <w:rPr>
          <w:b w:val="0"/>
          <w:bCs w:val="0"/>
        </w:rPr>
      </w:pPr>
      <w:bookmarkStart w:name="5、关联交易情况" w:id="476"/>
      <w:bookmarkEnd w:id="47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购销商品、提供和接受劳务的关联交易" w:id="477"/>
      <w:bookmarkEnd w:id="47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086"/>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4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上海泽信软件有限 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16,853,097.94</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10,414,262.48</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上海泽信软件有限 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425,939.66</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855,821.85</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医惠科技（广东）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9,058,585.33</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1,963,572.84</w:t>
            </w: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广东百慧信息技术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313,274.34</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医惠科技（沈阳）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5,636,703.38</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杭州健海科技有限 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4,329,057.62</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4,626,282.39</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浙江华惠医疗科技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洗涤费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3,640,464.36</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634,949.81</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杭州连帆科技有限 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3,234,042.15</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4,682,576.76</w:t>
            </w: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杭州连帆科技有限 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698,113.19</w:t>
            </w: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上海互软医康信息 技术有限公司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3,192,303.68</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4,258,585.18</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上海医浦信息科技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3,059,412.17</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1,633,078.05</w:t>
            </w:r>
          </w:p>
        </w:tc>
      </w:tr>
      <w:tr>
        <w:trPr>
          <w:trHeight w:val="70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杭州云在信息科技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3,018,434.98</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4,616,292.66</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杭州睿杰信息技术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2,627,079.70</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上海共阅信息技术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1,684,979.24</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上海共阅信息技术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312,458.70</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杭州伯仲信息科技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375,924.29</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杭州伯仲信息科技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1,590,291.29</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杭州伯仲信息科技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广告宣传</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27,184.47</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杭州盈网科技有限 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1,732,811.41</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1,492,195.85</w:t>
            </w:r>
          </w:p>
        </w:tc>
      </w:tr>
      <w:tr>
        <w:trPr>
          <w:trHeight w:val="72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杭州盈网科技有限 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4,528,301.76</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杭州认知网络科技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148,121.29</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5"/>
              <w:jc w:val="left"/>
              <w:rPr>
                <w:rFonts w:ascii="宋体" w:hAnsi="宋体" w:cs="宋体" w:eastAsia="宋体" w:hint="default"/>
                <w:sz w:val="18"/>
                <w:szCs w:val="18"/>
              </w:rPr>
            </w:pPr>
            <w:r>
              <w:rPr>
                <w:rFonts w:ascii="宋体" w:hAnsi="宋体" w:cs="宋体" w:eastAsia="宋体" w:hint="default"/>
                <w:sz w:val="18"/>
                <w:szCs w:val="18"/>
              </w:rPr>
              <w:t>苏州智康信息科技 股份有限公司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1,192,374.16</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982,785.62</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杭州国家软件产业 基地有限公司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896,226.44</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1,792,452.88</w:t>
            </w:r>
          </w:p>
        </w:tc>
      </w:tr>
      <w:tr>
        <w:trPr>
          <w:trHeight w:val="70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武汉医惠健康科技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161,883.32</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795,921.26</w:t>
            </w: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深圳智慧医学科技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145,631.06</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广州市天威电子科 技有限公司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517.24</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69,146.61</w:t>
            </w:r>
          </w:p>
        </w:tc>
      </w:tr>
      <w:tr>
        <w:trPr>
          <w:trHeight w:val="705"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5"/>
              <w:jc w:val="left"/>
              <w:rPr>
                <w:rFonts w:ascii="宋体" w:hAnsi="宋体" w:cs="宋体" w:eastAsia="宋体" w:hint="default"/>
                <w:sz w:val="18"/>
                <w:szCs w:val="18"/>
              </w:rPr>
            </w:pPr>
            <w:r>
              <w:rPr>
                <w:rFonts w:ascii="宋体" w:hAnsi="宋体" w:cs="宋体" w:eastAsia="宋体" w:hint="default"/>
                <w:sz w:val="18"/>
                <w:szCs w:val="18"/>
              </w:rPr>
              <w:t>广州市天威电子科 技有限公司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3,396.24</w:t>
            </w: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5"/>
              <w:jc w:val="left"/>
              <w:rPr>
                <w:rFonts w:ascii="宋体" w:hAnsi="宋体" w:cs="宋体" w:eastAsia="宋体" w:hint="default"/>
                <w:sz w:val="18"/>
                <w:szCs w:val="18"/>
              </w:rPr>
            </w:pPr>
            <w:r>
              <w:rPr>
                <w:rFonts w:ascii="宋体" w:hAnsi="宋体" w:cs="宋体" w:eastAsia="宋体" w:hint="default"/>
                <w:sz w:val="18"/>
                <w:szCs w:val="18"/>
              </w:rPr>
              <w:t>天津医康互联科技 有限公司</w:t>
            </w:r>
          </w:p>
        </w:tc>
        <w:tc>
          <w:tcPr>
            <w:tcW w:w="14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软硬件采购成本</w:t>
            </w:r>
          </w:p>
        </w:tc>
        <w:tc>
          <w:tcPr>
            <w:tcW w:w="145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1,840,581.87</w:t>
            </w:r>
          </w:p>
        </w:tc>
      </w:tr>
    </w:tbl>
    <w:p>
      <w:pPr>
        <w:pStyle w:val="BodyText"/>
        <w:spacing w:line="240" w:lineRule="auto" w:before="60"/>
        <w:ind w:right="1086"/>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96"/>
        <w:ind w:left="0" w:right="1109"/>
        <w:jc w:val="right"/>
      </w:pPr>
      <w:r>
        <w:rPr/>
        <w:t>单位： 元</w:t>
      </w:r>
    </w:p>
    <w:p>
      <w:pPr>
        <w:spacing w:after="0" w:line="240" w:lineRule="auto"/>
        <w:jc w:val="righ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405"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医惠科技（广东）有限公司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11,879,711.48</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4,367,432.95</w:t>
            </w: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医惠科技（沈阳）有限公司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1,862,717.42</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313,045.61</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612,289.20</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942,086.38</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244,763.96</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37,889.29</w:t>
            </w:r>
          </w:p>
        </w:tc>
      </w:tr>
      <w:tr>
        <w:trPr>
          <w:trHeight w:val="7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苏州智康信息科技股份有限公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132,743.36</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217,752.12</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472,217.24</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212,389.37</w:t>
            </w:r>
          </w:p>
        </w:tc>
        <w:tc>
          <w:tcPr>
            <w:tcW w:w="2658"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1"/>
              <w:jc w:val="left"/>
              <w:rPr>
                <w:rFonts w:ascii="宋体" w:hAnsi="宋体" w:cs="宋体" w:eastAsia="宋体" w:hint="default"/>
                <w:sz w:val="18"/>
                <w:szCs w:val="18"/>
              </w:rPr>
            </w:pPr>
            <w:r>
              <w:rPr>
                <w:rFonts w:ascii="宋体" w:hAnsi="宋体" w:cs="宋体" w:eastAsia="宋体" w:hint="default"/>
                <w:sz w:val="18"/>
                <w:szCs w:val="18"/>
              </w:rPr>
              <w:t>杭州国家软件产业基地有限公 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512,820.51</w:t>
            </w: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大连乾函科技有限公司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36,594.82</w:t>
            </w:r>
          </w:p>
        </w:tc>
      </w:tr>
      <w:tr>
        <w:trPr>
          <w:trHeight w:val="405"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软硬件销售收入</w:t>
            </w:r>
          </w:p>
        </w:tc>
        <w:tc>
          <w:tcPr>
            <w:tcW w:w="2268"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258.62</w:t>
            </w:r>
          </w:p>
        </w:tc>
      </w:tr>
    </w:tbl>
    <w:p>
      <w:pPr>
        <w:pStyle w:val="BodyText"/>
        <w:spacing w:line="240" w:lineRule="auto" w:before="45"/>
        <w:ind w:right="1086"/>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2）关联受托管理/承包及委托管理/出包情况" w:id="478"/>
      <w:bookmarkEnd w:id="47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right="1086"/>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96"/>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585" w:right="29" w:hanging="55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210" w:right="28" w:hanging="195"/>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05" w:right="59" w:hanging="76"/>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21" w:lineRule="auto"/>
        <w:jc w:val="left"/>
        <w:rPr>
          <w:rFonts w:ascii="宋体" w:hAnsi="宋体" w:cs="宋体" w:eastAsia="宋体" w:hint="default"/>
          <w:sz w:val="18"/>
          <w:szCs w:val="18"/>
        </w:rPr>
        <w:sectPr>
          <w:pgSz w:w="11910" w:h="16850"/>
          <w:pgMar w:header="866" w:footer="981" w:top="1120" w:bottom="1180" w:left="1000" w:right="0"/>
        </w:sectPr>
      </w:pPr>
    </w:p>
    <w:p>
      <w:pPr>
        <w:pStyle w:val="BodyText"/>
        <w:spacing w:line="348" w:lineRule="auto" w:before="59"/>
        <w:ind w:right="-9"/>
        <w:jc w:val="left"/>
      </w:pPr>
      <w:r>
        <w:rPr/>
        <w:t>关联托管</w:t>
      </w:r>
      <w:r>
        <w:rPr>
          <w:rFonts w:ascii="Times New Roman" w:hAnsi="Times New Roman" w:cs="Times New Roman" w:eastAsia="Times New Roman" w:hint="default"/>
        </w:rPr>
        <w:t>/</w:t>
      </w:r>
      <w:r>
        <w:rPr/>
        <w:t>承包情况说明 </w:t>
      </w:r>
      <w:r>
        <w:rPr>
          <w:spacing w:val="-1"/>
        </w:rPr>
        <w:t>本公司委托管理</w:t>
      </w:r>
      <w:r>
        <w:rPr>
          <w:rFonts w:ascii="Times New Roman" w:hAnsi="Times New Roman" w:cs="Times New Roman" w:eastAsia="Times New Roman" w:hint="default"/>
          <w:spacing w:val="-1"/>
        </w:rPr>
        <w:t>/</w:t>
      </w:r>
      <w:r>
        <w:rPr>
          <w:spacing w:val="-1"/>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2529" w:space="6318"/>
            <w:col w:w="2063"/>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570" w:right="30" w:hanging="55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585" w:right="15" w:hanging="55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585" w:right="29" w:hanging="55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390" w:right="29" w:hanging="37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285" w:right="59" w:hanging="256"/>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60"/>
        <w:ind w:right="1086"/>
        <w:jc w:val="left"/>
      </w:pPr>
      <w:r>
        <w:rPr/>
        <w:t>关联管理</w:t>
      </w:r>
      <w:r>
        <w:rPr>
          <w:rFonts w:ascii="Times New Roman" w:hAnsi="Times New Roman" w:cs="Times New Roman" w:eastAsia="Times New Roman" w:hint="default"/>
        </w:rPr>
        <w:t>/</w:t>
      </w:r>
      <w:r>
        <w:rPr/>
        <w:t>出包情况说明</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3）关联租赁情况" w:id="479"/>
      <w:bookmarkEnd w:id="47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right="1086"/>
        <w:jc w:val="left"/>
      </w:pPr>
      <w:r>
        <w:rPr/>
        <w:t>本公司作为出租方：</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812,821.38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960,596.16</w:t>
            </w: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6"/>
              <w:jc w:val="left"/>
              <w:rPr>
                <w:rFonts w:ascii="宋体" w:hAnsi="宋体" w:cs="宋体" w:eastAsia="宋体" w:hint="default"/>
                <w:sz w:val="18"/>
                <w:szCs w:val="18"/>
              </w:rPr>
            </w:pPr>
            <w:r>
              <w:rPr>
                <w:rFonts w:ascii="宋体" w:hAnsi="宋体" w:cs="宋体" w:eastAsia="宋体" w:hint="default"/>
                <w:sz w:val="18"/>
                <w:szCs w:val="18"/>
              </w:rPr>
              <w:t>苏州智康信息科技股份有限 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95,238.10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47,619.04</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75,102.17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83,858.37</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96"/>
              <w:jc w:val="left"/>
              <w:rPr>
                <w:rFonts w:ascii="宋体" w:hAnsi="宋体" w:cs="宋体" w:eastAsia="宋体" w:hint="default"/>
                <w:sz w:val="18"/>
                <w:szCs w:val="18"/>
              </w:rPr>
            </w:pPr>
            <w:r>
              <w:rPr>
                <w:rFonts w:ascii="宋体" w:hAnsi="宋体" w:cs="宋体" w:eastAsia="宋体" w:hint="default"/>
                <w:sz w:val="18"/>
                <w:szCs w:val="18"/>
              </w:rPr>
              <w:t>杭州创辉医疗电子设备有限 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89,281.38</w:t>
            </w:r>
          </w:p>
        </w:tc>
      </w:tr>
    </w:tbl>
    <w:p>
      <w:pPr>
        <w:pStyle w:val="BodyText"/>
        <w:spacing w:line="240" w:lineRule="auto"/>
        <w:ind w:right="1086"/>
        <w:jc w:val="left"/>
      </w:pPr>
      <w:r>
        <w:rPr/>
        <w:t>本公司作为承租方：</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96"/>
              <w:jc w:val="left"/>
              <w:rPr>
                <w:rFonts w:ascii="宋体" w:hAnsi="宋体" w:cs="宋体" w:eastAsia="宋体" w:hint="default"/>
                <w:sz w:val="18"/>
                <w:szCs w:val="18"/>
              </w:rPr>
            </w:pPr>
            <w:r>
              <w:rPr>
                <w:rFonts w:ascii="宋体" w:hAnsi="宋体" w:cs="宋体" w:eastAsia="宋体" w:hint="default"/>
                <w:sz w:val="18"/>
                <w:szCs w:val="18"/>
              </w:rPr>
              <w:t>上海互软医康信息技术有限 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36,471.42</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1,364,749.12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58,806.60</w:t>
            </w:r>
          </w:p>
        </w:tc>
      </w:tr>
    </w:tbl>
    <w:p>
      <w:pPr>
        <w:pStyle w:val="BodyText"/>
        <w:spacing w:line="240" w:lineRule="auto"/>
        <w:ind w:right="1086"/>
        <w:jc w:val="left"/>
      </w:pPr>
      <w:r>
        <w:rPr/>
        <w:t>关联租赁情况说明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4）关联担保情况" w:id="480"/>
      <w:bookmarkEnd w:id="48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本公司作为担保方</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ind w:right="1086"/>
        <w:jc w:val="left"/>
      </w:pPr>
      <w:r>
        <w:rPr/>
        <w:t>本公司作为被担保方</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1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45"/>
        <w:ind w:right="1086"/>
        <w:jc w:val="left"/>
      </w:pPr>
      <w:r>
        <w:rPr/>
        <w:t>关联担保情况说明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5）关联方资金拆借" w:id="481"/>
      <w:bookmarkEnd w:id="48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391"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6）关联方资产转让、债务重组情况" w:id="482"/>
      <w:bookmarkEnd w:id="48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6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5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7）关键管理人员报酬" w:id="483"/>
      <w:bookmarkEnd w:id="48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3,529,840.00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3,762,700.00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508" w:lineRule="auto" w:before="35"/>
        <w:ind w:right="8535"/>
        <w:jc w:val="left"/>
        <w:rPr>
          <w:b w:val="0"/>
          <w:bCs w:val="0"/>
        </w:rPr>
      </w:pPr>
      <w:bookmarkStart w:name="（8）其他关联交易" w:id="484"/>
      <w:bookmarkEnd w:id="484"/>
      <w:r>
        <w:rPr>
          <w:b w:val="0"/>
          <w:bCs w:val="0"/>
        </w:rPr>
      </w:r>
      <w:r>
        <w:rPr/>
        <w:t>（</w:t>
      </w:r>
      <w:r>
        <w:rPr>
          <w:rFonts w:ascii="Times New Roman" w:hAnsi="Times New Roman" w:cs="Times New Roman" w:eastAsia="Times New Roman" w:hint="default"/>
        </w:rPr>
        <w:t>8</w:t>
      </w:r>
      <w:r>
        <w:rPr/>
        <w:t>）其他关联交易</w:t>
      </w:r>
      <w:r>
        <w:rPr>
          <w:w w:val="99"/>
        </w:rPr>
        <w:t> </w:t>
      </w:r>
      <w:bookmarkStart w:name="6、关联方应收应付款项" w:id="485"/>
      <w:bookmarkEnd w:id="485"/>
      <w:r>
        <w:rPr>
          <w:w w:val="99"/>
        </w:rPr>
      </w:r>
      <w:r>
        <w:rPr>
          <w:rFonts w:ascii="Times New Roman" w:hAnsi="Times New Roman" w:cs="Times New Roman" w:eastAsia="Times New Roman" w:hint="default"/>
        </w:rPr>
        <w:t>6</w:t>
      </w:r>
      <w:r>
        <w:rPr/>
        <w:t>、关联方应收应付款项</w:t>
      </w:r>
      <w:r>
        <w:rPr>
          <w:b w:val="0"/>
          <w:bCs w:val="0"/>
        </w:rPr>
      </w:r>
    </w:p>
    <w:p>
      <w:pPr>
        <w:pStyle w:val="Heading5"/>
        <w:spacing w:line="240" w:lineRule="auto" w:before="64"/>
        <w:ind w:right="1086"/>
        <w:jc w:val="left"/>
        <w:rPr>
          <w:b w:val="0"/>
          <w:bCs w:val="0"/>
        </w:rPr>
      </w:pPr>
      <w:bookmarkStart w:name="（1）应收项目" w:id="486"/>
      <w:bookmarkEnd w:id="48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杭州盈网科技有限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442,534.00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59,348.30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199,514.00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16,998.10</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杭州健海科技有限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1,004,862.00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50,243.10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上海泽信软件有限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31"/>
              <w:jc w:val="left"/>
              <w:rPr>
                <w:rFonts w:ascii="宋体" w:hAnsi="宋体" w:cs="宋体" w:eastAsia="宋体" w:hint="default"/>
                <w:sz w:val="18"/>
                <w:szCs w:val="18"/>
              </w:rPr>
            </w:pPr>
            <w:r>
              <w:rPr>
                <w:rFonts w:ascii="宋体" w:hAnsi="宋体" w:cs="宋体" w:eastAsia="宋体" w:hint="default"/>
                <w:spacing w:val="-10"/>
                <w:sz w:val="18"/>
                <w:szCs w:val="18"/>
              </w:rPr>
              <w:t>医惠科技（广东）有</w:t>
            </w:r>
            <w:r>
              <w:rPr>
                <w:rFonts w:ascii="宋体" w:hAnsi="宋体" w:cs="宋体" w:eastAsia="宋体" w:hint="default"/>
                <w:sz w:val="18"/>
                <w:szCs w:val="18"/>
              </w:rPr>
              <w:t> 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19,146,905.00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1,290,145.25</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5,382,000.00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285,025.00</w:t>
            </w: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31"/>
              <w:jc w:val="left"/>
              <w:rPr>
                <w:rFonts w:ascii="宋体" w:hAnsi="宋体" w:cs="宋体" w:eastAsia="宋体" w:hint="default"/>
                <w:sz w:val="18"/>
                <w:szCs w:val="18"/>
              </w:rPr>
            </w:pPr>
            <w:r>
              <w:rPr>
                <w:rFonts w:ascii="宋体" w:hAnsi="宋体" w:cs="宋体" w:eastAsia="宋体" w:hint="default"/>
                <w:spacing w:val="-10"/>
                <w:sz w:val="18"/>
                <w:szCs w:val="18"/>
              </w:rPr>
              <w:t>医惠科技（沈阳）有</w:t>
            </w:r>
            <w:r>
              <w:rPr>
                <w:rFonts w:ascii="宋体" w:hAnsi="宋体" w:cs="宋体" w:eastAsia="宋体" w:hint="default"/>
                <w:sz w:val="18"/>
                <w:szCs w:val="18"/>
              </w:rPr>
              <w:t> 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1,326,576.00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66,328.80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1,871,576.00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187,157.60</w:t>
            </w: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杭州云在信息科技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3,681.00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184.05</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杭州睿杰信息技术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苏州智康信息科技 股份有限公司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47,500.00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150,000.00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12,500.00</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杭州连帆科技有限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483,000.00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36,209.50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321,200.00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16,060.00</w:t>
            </w: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杭州伯仲信息科技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44,000.00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杭州国家软件产业 基地有限公司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100,000.00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5,000.00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23,435,558.00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1,582,159.00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8,024,290.00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杭州琅玕科技有限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960,000.00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杭州盈网科技有限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1,387,688.04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13,579,986.57</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30" w:right="31"/>
              <w:jc w:val="left"/>
              <w:rPr>
                <w:rFonts w:ascii="宋体" w:hAnsi="宋体" w:cs="宋体" w:eastAsia="宋体" w:hint="default"/>
                <w:sz w:val="18"/>
                <w:szCs w:val="18"/>
              </w:rPr>
            </w:pPr>
            <w:r>
              <w:rPr>
                <w:rFonts w:ascii="宋体" w:hAnsi="宋体" w:cs="宋体" w:eastAsia="宋体" w:hint="default"/>
                <w:spacing w:val="-10"/>
                <w:sz w:val="18"/>
                <w:szCs w:val="18"/>
              </w:rPr>
              <w:t>医惠科技（广东）有</w:t>
            </w:r>
            <w:r>
              <w:rPr>
                <w:rFonts w:ascii="宋体" w:hAnsi="宋体" w:cs="宋体" w:eastAsia="宋体" w:hint="default"/>
                <w:sz w:val="18"/>
                <w:szCs w:val="18"/>
              </w:rPr>
              <w:t> 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6,975,981.54</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武汉医惠健康科技</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123,322.24</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6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北京医势科技有限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苏州智康信息科技 股份有限公司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4,720,000.00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757,241.38</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杭州连帆科技有限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232,390.80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311,515.74</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杭州认知网络科技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6,365,364.40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609,400.00</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21"/>
              <w:jc w:val="left"/>
              <w:rPr>
                <w:rFonts w:ascii="宋体" w:hAnsi="宋体" w:cs="宋体" w:eastAsia="宋体" w:hint="default"/>
                <w:sz w:val="18"/>
                <w:szCs w:val="18"/>
              </w:rPr>
            </w:pPr>
            <w:r>
              <w:rPr>
                <w:rFonts w:ascii="宋体" w:hAnsi="宋体" w:cs="宋体" w:eastAsia="宋体" w:hint="default"/>
                <w:sz w:val="18"/>
                <w:szCs w:val="18"/>
              </w:rPr>
              <w:t>广州市天威电子科 技有限公司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2,282.76</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浙江华惠医疗科技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16,415.09</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杭州智汇健康管理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6,850,000.00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杭州伯仲信息科技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9,189,837.86</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30,085,018.43</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22,236,407.99</w:t>
            </w: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杭州创辉医疗电子 设备有限公司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68,398.12</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3,419.91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75,695.36</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3,784.77</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31"/>
              <w:jc w:val="left"/>
              <w:rPr>
                <w:rFonts w:ascii="宋体" w:hAnsi="宋体" w:cs="宋体" w:eastAsia="宋体" w:hint="default"/>
                <w:sz w:val="18"/>
                <w:szCs w:val="18"/>
              </w:rPr>
            </w:pPr>
            <w:r>
              <w:rPr>
                <w:rFonts w:ascii="宋体" w:hAnsi="宋体" w:cs="宋体" w:eastAsia="宋体" w:hint="default"/>
                <w:spacing w:val="-10"/>
                <w:sz w:val="18"/>
                <w:szCs w:val="18"/>
              </w:rPr>
              <w:t>医惠科技（广东）有</w:t>
            </w:r>
            <w:r>
              <w:rPr>
                <w:rFonts w:ascii="宋体" w:hAnsi="宋体" w:cs="宋体" w:eastAsia="宋体" w:hint="default"/>
                <w:sz w:val="18"/>
                <w:szCs w:val="18"/>
              </w:rPr>
              <w:t> 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8,338,831.51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773,634.67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35,000.00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1,750.00</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广东百慧信息技术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3,580,000.00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179,000.00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上海互软医康信息 技术有限公司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1,850.00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杭州思慧软件有限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110,000.00</w:t>
            </w: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30" w:right="119"/>
              <w:jc w:val="left"/>
              <w:rPr>
                <w:rFonts w:ascii="宋体" w:hAnsi="宋体" w:cs="宋体" w:eastAsia="宋体" w:hint="default"/>
                <w:sz w:val="18"/>
                <w:szCs w:val="18"/>
              </w:rPr>
            </w:pPr>
            <w:r>
              <w:rPr>
                <w:rFonts w:ascii="宋体" w:hAnsi="宋体" w:cs="宋体" w:eastAsia="宋体" w:hint="default"/>
                <w:sz w:val="18"/>
                <w:szCs w:val="18"/>
              </w:rPr>
              <w:t>苏州智康信息科技 股份有限公司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4,200,000.00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210,000.00</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杭州连帆科技有限 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633,600.00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58,210.00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1,097,000.00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54,850.00</w:t>
            </w: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21"/>
              <w:jc w:val="left"/>
              <w:rPr>
                <w:rFonts w:ascii="宋体" w:hAnsi="宋体" w:cs="宋体" w:eastAsia="宋体" w:hint="default"/>
                <w:sz w:val="18"/>
                <w:szCs w:val="18"/>
              </w:rPr>
            </w:pPr>
            <w:r>
              <w:rPr>
                <w:rFonts w:ascii="宋体" w:hAnsi="宋体" w:cs="宋体" w:eastAsia="宋体" w:hint="default"/>
                <w:sz w:val="18"/>
                <w:szCs w:val="18"/>
              </w:rPr>
              <w:t>杭州认知网络科技 有限公司</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1,211,276.10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60,563.81</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17,312.65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865.63</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21"/>
              <w:jc w:val="left"/>
              <w:rPr>
                <w:rFonts w:ascii="宋体" w:hAnsi="宋体" w:cs="宋体" w:eastAsia="宋体" w:hint="default"/>
                <w:sz w:val="18"/>
                <w:szCs w:val="18"/>
              </w:rPr>
            </w:pPr>
            <w:r>
              <w:rPr>
                <w:rFonts w:ascii="宋体" w:hAnsi="宋体" w:cs="宋体" w:eastAsia="宋体" w:hint="default"/>
                <w:sz w:val="18"/>
                <w:szCs w:val="18"/>
              </w:rPr>
              <w:t>杭州健海科技有限 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1,150,000.00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115,000.00</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21"/>
              <w:jc w:val="left"/>
              <w:rPr>
                <w:rFonts w:ascii="宋体" w:hAnsi="宋体" w:cs="宋体" w:eastAsia="宋体" w:hint="default"/>
                <w:sz w:val="18"/>
                <w:szCs w:val="18"/>
              </w:rPr>
            </w:pPr>
            <w:r>
              <w:rPr>
                <w:rFonts w:ascii="宋体" w:hAnsi="宋体" w:cs="宋体" w:eastAsia="宋体" w:hint="default"/>
                <w:sz w:val="18"/>
                <w:szCs w:val="18"/>
              </w:rPr>
              <w:t>杭州盈网科技有限 公司</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1,500,000.00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75,000.00</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周燕儿</w:t>
            </w: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13,754.24</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687.71</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525" w:right="0"/>
              <w:jc w:val="left"/>
              <w:rPr>
                <w:rFonts w:ascii="Times New Roman" w:hAnsi="Times New Roman" w:cs="Times New Roman" w:eastAsia="Times New Roman" w:hint="default"/>
                <w:sz w:val="18"/>
                <w:szCs w:val="18"/>
              </w:rPr>
            </w:pPr>
            <w:r>
              <w:rPr>
                <w:rFonts w:ascii="Times New Roman"/>
                <w:sz w:val="18"/>
              </w:rPr>
              <w:t>16,169,105.73</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15" w:right="0"/>
              <w:jc w:val="left"/>
              <w:rPr>
                <w:rFonts w:ascii="Times New Roman" w:hAnsi="Times New Roman" w:cs="Times New Roman" w:eastAsia="Times New Roman" w:hint="default"/>
                <w:sz w:val="18"/>
                <w:szCs w:val="18"/>
              </w:rPr>
            </w:pPr>
            <w:r>
              <w:rPr>
                <w:rFonts w:ascii="Times New Roman"/>
                <w:sz w:val="18"/>
              </w:rPr>
              <w:t>1,306,678.39</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8,088,762.25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461,938.11</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1086"/>
        <w:jc w:val="left"/>
        <w:rPr>
          <w:b w:val="0"/>
          <w:bCs w:val="0"/>
        </w:rPr>
      </w:pPr>
      <w:bookmarkStart w:name="（2）应付项目" w:id="487"/>
      <w:bookmarkEnd w:id="48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97"/>
              <w:jc w:val="left"/>
              <w:rPr>
                <w:rFonts w:ascii="宋体" w:hAnsi="宋体" w:cs="宋体" w:eastAsia="宋体" w:hint="default"/>
                <w:sz w:val="18"/>
                <w:szCs w:val="18"/>
              </w:rPr>
            </w:pPr>
            <w:r>
              <w:rPr>
                <w:rFonts w:ascii="宋体" w:hAnsi="宋体" w:cs="宋体" w:eastAsia="宋体" w:hint="default"/>
                <w:sz w:val="18"/>
                <w:szCs w:val="18"/>
              </w:rPr>
              <w:t>广州市天威电子科技有限公 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384.63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11,574.69</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杭州盈网科技有限公司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264,342.23</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2,553,858.00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350,500.00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天津医康互联科技有限公司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200,000.00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5"/>
              <w:ind w:left="30" w:right="195"/>
              <w:jc w:val="left"/>
              <w:rPr>
                <w:rFonts w:ascii="宋体" w:hAnsi="宋体" w:cs="宋体" w:eastAsia="宋体" w:hint="default"/>
                <w:sz w:val="18"/>
                <w:szCs w:val="18"/>
              </w:rPr>
            </w:pPr>
            <w:r>
              <w:rPr>
                <w:rFonts w:ascii="宋体" w:hAnsi="宋体" w:cs="宋体" w:eastAsia="宋体" w:hint="default"/>
                <w:sz w:val="18"/>
                <w:szCs w:val="18"/>
              </w:rPr>
              <w:t>杭州创辉医疗电子设备有限 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75,000.00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医惠科技（沈阳）有限公司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374,675.00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2,185,955.82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2,171,177.73</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杭州睿杰信息技术有限公司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741,651.73</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97"/>
              <w:jc w:val="left"/>
              <w:rPr>
                <w:rFonts w:ascii="宋体" w:hAnsi="宋体" w:cs="宋体" w:eastAsia="宋体" w:hint="default"/>
                <w:sz w:val="18"/>
                <w:szCs w:val="18"/>
              </w:rPr>
            </w:pPr>
            <w:r>
              <w:rPr>
                <w:rFonts w:ascii="宋体" w:hAnsi="宋体" w:cs="宋体" w:eastAsia="宋体" w:hint="default"/>
                <w:sz w:val="18"/>
                <w:szCs w:val="18"/>
              </w:rPr>
              <w:t>上海互软医康信息技术有限 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359,268.00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1,162,455.86</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杭州思慧软件有限公司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608,039.00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97"/>
              <w:jc w:val="left"/>
              <w:rPr>
                <w:rFonts w:ascii="宋体" w:hAnsi="宋体" w:cs="宋体" w:eastAsia="宋体" w:hint="default"/>
                <w:sz w:val="18"/>
                <w:szCs w:val="18"/>
              </w:rPr>
            </w:pPr>
            <w:r>
              <w:rPr>
                <w:rFonts w:ascii="宋体" w:hAnsi="宋体" w:cs="宋体" w:eastAsia="宋体" w:hint="default"/>
                <w:sz w:val="18"/>
                <w:szCs w:val="18"/>
              </w:rPr>
              <w:t>苏州智康信息科技股份有限 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24,600.01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174,233.87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509,135.00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上海医浦信息科技有限公司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1,788,927.26</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446,200.00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上海泽信软件有限公司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1,808,846.70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893,660.00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武汉医惠健康科技有限公司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35,565.00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浙江华惠医疗科技有限公司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495,494.58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354,771.43</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11,505,276.83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6,135,039.71</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杭州连帆科技有限公司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3,318.97</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12,320.00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大连乾函科技有限公司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2,714.31</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104,523.00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6,033.28</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116,843.00</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97"/>
              <w:jc w:val="left"/>
              <w:rPr>
                <w:rFonts w:ascii="宋体" w:hAnsi="宋体" w:cs="宋体" w:eastAsia="宋体" w:hint="default"/>
                <w:sz w:val="18"/>
                <w:szCs w:val="18"/>
              </w:rPr>
            </w:pPr>
            <w:r>
              <w:rPr>
                <w:rFonts w:ascii="宋体" w:hAnsi="宋体" w:cs="宋体" w:eastAsia="宋体" w:hint="default"/>
                <w:sz w:val="18"/>
                <w:szCs w:val="18"/>
              </w:rPr>
              <w:t>上海互软医康信息技术有限 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230,613.60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杭州认知网络科技有限公司</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1,178,855.40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604,544.00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章笠中</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2,740.10</w:t>
            </w: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杭州健海科技有限公司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39,885.01</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杭州云在信息科技有限公司</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7,487.84</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汪骏</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130,000.00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11" w:right="0"/>
              <w:jc w:val="left"/>
              <w:rPr>
                <w:rFonts w:ascii="Times New Roman" w:hAnsi="Times New Roman" w:cs="Times New Roman" w:eastAsia="Times New Roman" w:hint="default"/>
                <w:sz w:val="18"/>
                <w:szCs w:val="18"/>
              </w:rPr>
            </w:pPr>
            <w:r>
              <w:rPr>
                <w:rFonts w:ascii="Times New Roman"/>
                <w:sz w:val="18"/>
              </w:rPr>
              <w:t>1,412,209.10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781,916.85</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7、关联方承诺" w:id="488"/>
      <w:bookmarkEnd w:id="48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3"/>
          <w:szCs w:val="23"/>
        </w:rPr>
      </w:pPr>
    </w:p>
    <w:p>
      <w:pPr>
        <w:pStyle w:val="Heading6"/>
        <w:spacing w:line="240" w:lineRule="auto"/>
        <w:ind w:left="561" w:right="1086"/>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截至资产负债表日，本公司不存在需要披露的重要承诺事项。</w:t>
      </w:r>
    </w:p>
    <w:p>
      <w:pPr>
        <w:pStyle w:val="Heading6"/>
        <w:spacing w:line="240" w:lineRule="auto" w:before="25"/>
        <w:ind w:left="561" w:right="1086"/>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截至资产负债表日，本公司不存在需要披露的重要或有事项。</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spacing w:line="487" w:lineRule="auto" w:before="0"/>
        <w:ind w:left="141" w:right="8746" w:firstLine="0"/>
        <w:jc w:val="left"/>
        <w:rPr>
          <w:rFonts w:ascii="宋体" w:hAnsi="宋体" w:cs="宋体" w:eastAsia="宋体" w:hint="default"/>
          <w:sz w:val="21"/>
          <w:szCs w:val="21"/>
        </w:rPr>
      </w:pPr>
      <w:bookmarkStart w:name="8、其他" w:id="489"/>
      <w:bookmarkEnd w:id="48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三、股份支付" w:id="490"/>
      <w:bookmarkEnd w:id="490"/>
      <w:r>
        <w:rPr>
          <w:rFonts w:ascii="宋体" w:hAnsi="宋体" w:cs="宋体" w:eastAsia="宋体" w:hint="default"/>
          <w:b/>
          <w:bCs/>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1"/>
      <w:bookmarkEnd w:id="49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5"/>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2、以权益结算的股份支付情况" w:id="492"/>
      <w:bookmarkEnd w:id="49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1086"/>
        <w:jc w:val="left"/>
        <w:rPr>
          <w:b w:val="0"/>
          <w:bCs w:val="0"/>
        </w:rPr>
      </w:pPr>
      <w:bookmarkStart w:name="3、以现金结算的股份支付情况" w:id="493"/>
      <w:bookmarkEnd w:id="49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1086"/>
        <w:jc w:val="left"/>
        <w:rPr>
          <w:b w:val="0"/>
          <w:bCs w:val="0"/>
        </w:rPr>
      </w:pPr>
      <w:bookmarkStart w:name="4、股份支付的修改、终止情况" w:id="494"/>
      <w:bookmarkEnd w:id="494"/>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3"/>
          <w:szCs w:val="23"/>
        </w:rPr>
      </w:pPr>
    </w:p>
    <w:p>
      <w:pPr>
        <w:spacing w:line="496" w:lineRule="auto" w:before="0"/>
        <w:ind w:left="141" w:right="8339" w:firstLine="0"/>
        <w:jc w:val="left"/>
        <w:rPr>
          <w:rFonts w:ascii="宋体" w:hAnsi="宋体" w:cs="宋体" w:eastAsia="宋体" w:hint="default"/>
          <w:sz w:val="18"/>
          <w:szCs w:val="18"/>
        </w:rPr>
      </w:pPr>
      <w:bookmarkStart w:name="5、其他" w:id="495"/>
      <w:bookmarkEnd w:id="49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四、承诺及或有事项" w:id="496"/>
      <w:bookmarkEnd w:id="496"/>
      <w:r>
        <w:rPr>
          <w:rFonts w:ascii="宋体" w:hAnsi="宋体" w:cs="宋体" w:eastAsia="宋体" w:hint="default"/>
          <w:b/>
          <w:bCs/>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spacing w:val="-116"/>
          <w:sz w:val="24"/>
          <w:szCs w:val="24"/>
        </w:rPr>
        <w:t> </w:t>
      </w:r>
      <w:r>
        <w:rPr>
          <w:rFonts w:ascii="宋体" w:hAnsi="宋体" w:cs="宋体" w:eastAsia="宋体" w:hint="default"/>
          <w:b/>
          <w:bCs/>
          <w:spacing w:val="-116"/>
          <w:sz w:val="24"/>
          <w:szCs w:val="24"/>
        </w:rPr>
      </w:r>
      <w:bookmarkStart w:name="1、重要承诺事项" w:id="497"/>
      <w:bookmarkEnd w:id="497"/>
      <w:r>
        <w:rPr>
          <w:rFonts w:ascii="宋体" w:hAnsi="宋体" w:cs="宋体" w:eastAsia="宋体" w:hint="default"/>
          <w:b/>
          <w:bCs/>
          <w:spacing w:val="-116"/>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spacing w:line="240" w:lineRule="auto" w:before="12"/>
        <w:rPr>
          <w:rFonts w:ascii="宋体" w:hAnsi="宋体" w:cs="宋体" w:eastAsia="宋体" w:hint="default"/>
          <w:sz w:val="13"/>
          <w:szCs w:val="13"/>
        </w:rPr>
      </w:pPr>
    </w:p>
    <w:p>
      <w:pPr>
        <w:pStyle w:val="Heading5"/>
        <w:spacing w:line="240" w:lineRule="auto"/>
        <w:ind w:right="1086"/>
        <w:jc w:val="left"/>
        <w:rPr>
          <w:b w:val="0"/>
          <w:bCs w:val="0"/>
        </w:rPr>
      </w:pPr>
      <w:bookmarkStart w:name="2、或有事项" w:id="498"/>
      <w:bookmarkEnd w:id="49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资产负债表日存在的重要或有事项" w:id="499"/>
      <w:bookmarkEnd w:id="499"/>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2）公司没有需要披露的重要或有事项，也应予以说明" w:id="500"/>
      <w:bookmarkEnd w:id="50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公司不存在需要披露的重要或有事项。</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spacing w:line="482" w:lineRule="auto" w:before="35"/>
        <w:ind w:left="141" w:right="7857" w:firstLine="0"/>
        <w:jc w:val="left"/>
        <w:rPr>
          <w:rFonts w:ascii="宋体" w:hAnsi="宋体" w:cs="宋体" w:eastAsia="宋体" w:hint="default"/>
          <w:sz w:val="21"/>
          <w:szCs w:val="21"/>
        </w:rPr>
      </w:pPr>
      <w:bookmarkStart w:name="3、其他" w:id="501"/>
      <w:bookmarkEnd w:id="50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十五、资产负债表日后事项" w:id="502"/>
      <w:bookmarkEnd w:id="502"/>
      <w:r>
        <w:rPr>
          <w:rFonts w:ascii="宋体" w:hAnsi="宋体" w:cs="宋体" w:eastAsia="宋体" w:hint="default"/>
          <w:b/>
          <w:bCs/>
          <w:w w:val="99"/>
          <w:sz w:val="21"/>
          <w:szCs w:val="21"/>
        </w:rPr>
      </w:r>
      <w:r>
        <w:rPr>
          <w:rFonts w:ascii="宋体" w:hAnsi="宋体" w:cs="宋体" w:eastAsia="宋体" w:hint="default"/>
          <w:b/>
          <w:bCs/>
          <w:sz w:val="24"/>
          <w:szCs w:val="24"/>
        </w:rPr>
        <w:t>十五、资产负债表日后事项</w:t>
      </w:r>
      <w:r>
        <w:rPr>
          <w:rFonts w:ascii="宋体" w:hAnsi="宋体" w:cs="宋体" w:eastAsia="宋体" w:hint="default"/>
          <w:b/>
          <w:bCs/>
          <w:spacing w:val="-118"/>
          <w:sz w:val="24"/>
          <w:szCs w:val="24"/>
        </w:rPr>
        <w:t> </w:t>
      </w:r>
      <w:r>
        <w:rPr>
          <w:rFonts w:ascii="宋体" w:hAnsi="宋体" w:cs="宋体" w:eastAsia="宋体" w:hint="default"/>
          <w:b/>
          <w:bCs/>
          <w:spacing w:val="-118"/>
          <w:sz w:val="24"/>
          <w:szCs w:val="24"/>
        </w:rPr>
      </w:r>
      <w:bookmarkStart w:name="1、重要的非调整事项" w:id="503"/>
      <w:bookmarkEnd w:id="503"/>
      <w:r>
        <w:rPr>
          <w:rFonts w:ascii="宋体" w:hAnsi="宋体" w:cs="宋体" w:eastAsia="宋体" w:hint="default"/>
          <w:b/>
          <w:bCs/>
          <w:spacing w:val="-118"/>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9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内容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20" w:right="105"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利润分配情况" w:id="504"/>
      <w:bookmarkEnd w:id="50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1"/>
        <w:rPr>
          <w:rFonts w:ascii="宋体" w:hAnsi="宋体" w:cs="宋体" w:eastAsia="宋体" w:hint="default"/>
          <w:sz w:val="27"/>
          <w:szCs w:val="27"/>
        </w:rPr>
      </w:pPr>
    </w:p>
    <w:p>
      <w:pPr>
        <w:pStyle w:val="Heading5"/>
        <w:spacing w:line="240" w:lineRule="auto" w:before="35"/>
        <w:ind w:right="1086"/>
        <w:jc w:val="left"/>
        <w:rPr>
          <w:b w:val="0"/>
          <w:bCs w:val="0"/>
        </w:rPr>
      </w:pPr>
      <w:bookmarkStart w:name="3、销售退回" w:id="505"/>
      <w:bookmarkEnd w:id="50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4、其他资产负债表日后事项说明" w:id="506"/>
      <w:bookmarkEnd w:id="506"/>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3"/>
        <w:rPr>
          <w:rFonts w:ascii="宋体" w:hAnsi="宋体" w:cs="宋体" w:eastAsia="宋体" w:hint="default"/>
          <w:b/>
          <w:bCs/>
          <w:sz w:val="25"/>
          <w:szCs w:val="25"/>
        </w:rPr>
      </w:pPr>
    </w:p>
    <w:p>
      <w:pPr>
        <w:spacing w:line="915" w:lineRule="exact"/>
        <w:ind w:left="141"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482.85pt;height:45.8pt;mso-position-horizontal-relative:char;mso-position-vertical-relative:line" coordorigin="0,0" coordsize="9657,916">
            <v:group style="position:absolute;left:0;top:0;width:9657;height:300" coordorigin="0,0" coordsize="9657,300">
              <v:shape style="position:absolute;left:0;top:0;width:9657;height:300" coordorigin="0,0" coordsize="9657,300" path="m0,300l9657,300,9657,0,0,0,0,300xe" filled="true" fillcolor="#000000" stroked="false">
                <v:path arrowok="t"/>
                <v:fill type="solid"/>
              </v:shape>
            </v:group>
            <v:group style="position:absolute;left:0;top:315;width:9657;height:286" coordorigin="0,315" coordsize="9657,286">
              <v:shape style="position:absolute;left:0;top:315;width:9657;height:286" coordorigin="0,315" coordsize="9657,286" path="m0,600l9657,600,9657,315,0,315,0,600xe" filled="true" fillcolor="#000000" stroked="false">
                <v:path arrowok="t"/>
                <v:fill type="solid"/>
              </v:shape>
            </v:group>
            <v:group style="position:absolute;left:0;top:615;width:4581;height:300" coordorigin="0,615" coordsize="4581,300">
              <v:shape style="position:absolute;left:0;top:615;width:4581;height:300" coordorigin="0,615" coordsize="4581,300" path="m0,915l4581,915,4581,615,0,615,0,915xe" filled="true" fillcolor="#000000" stroked="false">
                <v:path arrowok="t"/>
                <v:fill type="solid"/>
              </v:shape>
            </v:group>
          </v:group>
        </w:pict>
      </w:r>
      <w:r>
        <w:rPr>
          <w:rFonts w:ascii="宋体" w:hAnsi="宋体" w:cs="宋体" w:eastAsia="宋体" w:hint="default"/>
          <w:position w:val="-17"/>
          <w:sz w:val="20"/>
          <w:szCs w:val="20"/>
        </w:rPr>
      </w:r>
    </w:p>
    <w:p>
      <w:pPr>
        <w:pStyle w:val="Heading6"/>
        <w:tabs>
          <w:tab w:pos="9798" w:val="left" w:leader="none"/>
        </w:tabs>
        <w:spacing w:line="240" w:lineRule="auto" w:before="44"/>
        <w:ind w:right="1086"/>
        <w:jc w:val="left"/>
        <w:rPr>
          <w:rFonts w:ascii="Times New Roman" w:hAnsi="Times New Roman" w:cs="Times New Roman" w:eastAsia="Times New Roman" w:hint="default"/>
        </w:rPr>
      </w:pPr>
      <w:r>
        <w:rPr>
          <w:rFonts w:ascii="Times New Roman"/>
          <w:w w:val="99"/>
        </w:rPr>
      </w:r>
      <w:r>
        <w:rPr>
          <w:rFonts w:ascii="Times New Roman"/>
          <w:shd w:fill="000000" w:color="auto" w:val="clear"/>
        </w:rPr>
        <w:t>(</w:t>
        <w:tab/>
      </w:r>
      <w:r>
        <w:rPr>
          <w:rFonts w:ascii="Times New Roman"/>
        </w:rPr>
      </w:r>
    </w:p>
    <w:p>
      <w:pPr>
        <w:spacing w:line="240" w:lineRule="auto" w:before="10"/>
        <w:rPr>
          <w:rFonts w:ascii="Times New Roman" w:hAnsi="Times New Roman" w:cs="Times New Roman" w:eastAsia="Times New Roman" w:hint="default"/>
          <w:sz w:val="3"/>
          <w:szCs w:val="3"/>
        </w:rPr>
      </w:pPr>
    </w:p>
    <w:p>
      <w:pPr>
        <w:spacing w:line="1861" w:lineRule="exact"/>
        <w:ind w:left="1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482.85pt;height:93.1pt;mso-position-horizontal-relative:char;mso-position-vertical-relative:line" coordorigin="0,0" coordsize="9657,1862">
            <v:group style="position:absolute;left:0;top:0;width:9657;height:300" coordorigin="0,0" coordsize="9657,300">
              <v:shape style="position:absolute;left:0;top:0;width:9657;height:300" coordorigin="0,0" coordsize="9657,300" path="m0,300l9657,300,9657,0,0,0,0,300xe" filled="true" fillcolor="#000000" stroked="false">
                <v:path arrowok="t"/>
                <v:fill type="solid"/>
              </v:shape>
            </v:group>
            <v:group style="position:absolute;left:0;top:315;width:9657;height:301" coordorigin="0,315" coordsize="9657,301">
              <v:shape style="position:absolute;left:0;top:315;width:9657;height:301" coordorigin="0,315" coordsize="9657,301" path="m0,616l9657,616,9657,315,0,315,0,616xe" filled="true" fillcolor="#000000" stroked="false">
                <v:path arrowok="t"/>
                <v:fill type="solid"/>
              </v:shape>
            </v:group>
            <v:group style="position:absolute;left:0;top:631;width:6954;height:285" coordorigin="0,631" coordsize="6954,285">
              <v:shape style="position:absolute;left:0;top:631;width:6954;height:285" coordorigin="0,631" coordsize="6954,285" path="m0,916l6953,916,6953,631,0,631,0,916xe" filled="true" fillcolor="#000000" stroked="false">
                <v:path arrowok="t"/>
                <v:fill type="solid"/>
              </v:shape>
            </v:group>
            <v:group style="position:absolute;left:0;top:931;width:9657;height:301" coordorigin="0,931" coordsize="9657,301">
              <v:shape style="position:absolute;left:0;top:931;width:9657;height:301" coordorigin="0,931" coordsize="9657,301" path="m0,1231l9657,1231,9657,931,0,931,0,1231xe" filled="true" fillcolor="#000000" stroked="false">
                <v:path arrowok="t"/>
                <v:fill type="solid"/>
              </v:shape>
            </v:group>
            <v:group style="position:absolute;left:0;top:1246;width:9657;height:300" coordorigin="0,1246" coordsize="9657,300">
              <v:shape style="position:absolute;left:0;top:1246;width:9657;height:300" coordorigin="0,1246" coordsize="9657,300" path="m0,1546l9657,1546,9657,1246,0,1246,0,1546xe" filled="true" fillcolor="#000000" stroked="false">
                <v:path arrowok="t"/>
                <v:fill type="solid"/>
              </v:shape>
            </v:group>
            <v:group style="position:absolute;left:0;top:1561;width:5903;height:301" coordorigin="0,1561" coordsize="5903,301">
              <v:shape style="position:absolute;left:0;top:1561;width:5903;height:301" coordorigin="0,1561" coordsize="5903,301" path="m0,1862l5903,1862,5903,1561,0,1561,0,1862xe" filled="true" fillcolor="#000000" stroked="false">
                <v:path arrowok="t"/>
                <v:fill type="solid"/>
              </v:shape>
            </v:group>
          </v:group>
        </w:pict>
      </w:r>
      <w:r>
        <w:rPr>
          <w:rFonts w:ascii="Times New Roman" w:hAnsi="Times New Roman" w:cs="Times New Roman" w:eastAsia="Times New Roman" w:hint="default"/>
          <w:position w:val="-36"/>
          <w:sz w:val="20"/>
          <w:szCs w:val="20"/>
        </w:rPr>
      </w:r>
    </w:p>
    <w:p>
      <w:pPr>
        <w:pStyle w:val="Heading6"/>
        <w:tabs>
          <w:tab w:pos="9798" w:val="left" w:leader="none"/>
        </w:tabs>
        <w:spacing w:line="240" w:lineRule="auto" w:before="44"/>
        <w:ind w:right="1086"/>
        <w:jc w:val="left"/>
        <w:rPr>
          <w:rFonts w:ascii="Times New Roman" w:hAnsi="Times New Roman" w:cs="Times New Roman" w:eastAsia="Times New Roman" w:hint="default"/>
        </w:rPr>
      </w:pPr>
      <w:r>
        <w:rPr>
          <w:rFonts w:ascii="Times New Roman"/>
          <w:w w:val="99"/>
        </w:rPr>
      </w:r>
      <w:r>
        <w:rPr>
          <w:rFonts w:ascii="Times New Roman"/>
          <w:shd w:fill="000000" w:color="auto" w:val="clear"/>
        </w:rPr>
        <w:t>(</w:t>
        <w:tab/>
      </w:r>
      <w:r>
        <w:rPr>
          <w:rFonts w:ascii="Times New Roman"/>
        </w:rPr>
      </w:r>
    </w:p>
    <w:p>
      <w:pPr>
        <w:spacing w:line="240" w:lineRule="auto" w:before="11"/>
        <w:rPr>
          <w:rFonts w:ascii="Times New Roman" w:hAnsi="Times New Roman" w:cs="Times New Roman" w:eastAsia="Times New Roman" w:hint="default"/>
          <w:sz w:val="3"/>
          <w:szCs w:val="3"/>
        </w:rPr>
      </w:pPr>
    </w:p>
    <w:p>
      <w:pPr>
        <w:spacing w:line="600" w:lineRule="exact"/>
        <w:ind w:left="1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82.85pt;height:30.05pt;mso-position-horizontal-relative:char;mso-position-vertical-relative:line" coordorigin="0,0" coordsize="9657,601">
            <v:group style="position:absolute;left:0;top:0;width:9657;height:285" coordorigin="0,0" coordsize="9657,285">
              <v:shape style="position:absolute;left:0;top:0;width:9657;height:285" coordorigin="0,0" coordsize="9657,285" path="m0,285l9657,285,9657,0,0,0,0,285xe" filled="true" fillcolor="#000000" stroked="false">
                <v:path arrowok="t"/>
                <v:fill type="solid"/>
              </v:shape>
            </v:group>
            <v:group style="position:absolute;left:0;top:300;width:4536;height:301" coordorigin="0,300" coordsize="4536,301">
              <v:shape style="position:absolute;left:0;top:300;width:4536;height:301" coordorigin="0,300" coordsize="4536,301" path="m0,600l4536,600,4536,300,0,300,0,600xe" filled="true" fillcolor="#000000" stroked="false">
                <v:path arrowok="t"/>
                <v:fill type="solid"/>
              </v:shape>
            </v:group>
          </v:group>
        </w:pict>
      </w:r>
      <w:r>
        <w:rPr>
          <w:rFonts w:ascii="Times New Roman" w:hAnsi="Times New Roman" w:cs="Times New Roman" w:eastAsia="Times New Roman" w:hint="default"/>
          <w:position w:val="-11"/>
          <w:sz w:val="20"/>
          <w:szCs w:val="20"/>
        </w:rPr>
      </w:r>
    </w:p>
    <w:p>
      <w:pPr>
        <w:pStyle w:val="Heading6"/>
        <w:tabs>
          <w:tab w:pos="9798" w:val="left" w:leader="none"/>
        </w:tabs>
        <w:spacing w:line="240" w:lineRule="auto" w:before="44"/>
        <w:ind w:right="1086"/>
        <w:jc w:val="left"/>
        <w:rPr>
          <w:rFonts w:ascii="Times New Roman" w:hAnsi="Times New Roman" w:cs="Times New Roman" w:eastAsia="Times New Roman" w:hint="default"/>
        </w:rPr>
      </w:pPr>
      <w:r>
        <w:rPr>
          <w:rFonts w:ascii="Times New Roman"/>
          <w:w w:val="99"/>
        </w:rPr>
      </w:r>
      <w:r>
        <w:rPr>
          <w:rFonts w:ascii="Times New Roman"/>
          <w:shd w:fill="000000" w:color="auto" w:val="clear"/>
        </w:rPr>
        <w:t>(</w:t>
        <w:tab/>
      </w:r>
      <w:r>
        <w:rPr>
          <w:rFonts w:ascii="Times New Roman"/>
        </w:rPr>
      </w:r>
    </w:p>
    <w:p>
      <w:pPr>
        <w:spacing w:line="240" w:lineRule="auto" w:before="10"/>
        <w:rPr>
          <w:rFonts w:ascii="Times New Roman" w:hAnsi="Times New Roman" w:cs="Times New Roman" w:eastAsia="Times New Roman" w:hint="default"/>
          <w:sz w:val="3"/>
          <w:szCs w:val="3"/>
        </w:rPr>
      </w:pPr>
    </w:p>
    <w:p>
      <w:pPr>
        <w:spacing w:line="1230" w:lineRule="exact"/>
        <w:ind w:left="141"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4"/>
          <w:sz w:val="20"/>
          <w:szCs w:val="20"/>
        </w:rPr>
        <w:pict>
          <v:group style="width:482.85pt;height:61.55pt;mso-position-horizontal-relative:char;mso-position-vertical-relative:line" coordorigin="0,0" coordsize="9657,1231">
            <v:group style="position:absolute;left:0;top:0;width:9657;height:301" coordorigin="0,0" coordsize="9657,301">
              <v:shape style="position:absolute;left:0;top:0;width:9657;height:301" coordorigin="0,0" coordsize="9657,301" path="m0,301l9657,301,9657,0,0,0,0,301xe" filled="true" fillcolor="#000000" stroked="false">
                <v:path arrowok="t"/>
                <v:fill type="solid"/>
              </v:shape>
            </v:group>
            <v:group style="position:absolute;left:0;top:315;width:9657;height:300" coordorigin="0,315" coordsize="9657,300">
              <v:shape style="position:absolute;left:0;top:315;width:9657;height:300" coordorigin="0,315" coordsize="9657,300" path="m0,615l9657,615,9657,315,0,315,0,615xe" filled="true" fillcolor="#000000" stroked="false">
                <v:path arrowok="t"/>
                <v:fill type="solid"/>
              </v:shape>
            </v:group>
            <v:group style="position:absolute;left:0;top:630;width:9657;height:286" coordorigin="0,630" coordsize="9657,286">
              <v:shape style="position:absolute;left:0;top:630;width:9657;height:286" coordorigin="0,630" coordsize="9657,286" path="m0,916l9657,916,9657,630,0,630,0,916xe" filled="true" fillcolor="#000000" stroked="false">
                <v:path arrowok="t"/>
                <v:fill type="solid"/>
              </v:shape>
            </v:group>
            <v:group style="position:absolute;left:0;top:931;width:421;height:300" coordorigin="0,931" coordsize="421,300">
              <v:shape style="position:absolute;left:0;top:931;width:421;height:300" coordorigin="0,931" coordsize="421,300" path="m0,1231l420,1231,420,931,0,931,0,1231xe" filled="true" fillcolor="#000000" stroked="false">
                <v:path arrowok="t"/>
                <v:fill type="solid"/>
              </v:shape>
            </v:group>
          </v:group>
        </w:pict>
      </w:r>
      <w:r>
        <w:rPr>
          <w:rFonts w:ascii="Times New Roman" w:hAnsi="Times New Roman" w:cs="Times New Roman" w:eastAsia="Times New Roman" w:hint="default"/>
          <w:position w:val="-24"/>
          <w:sz w:val="20"/>
          <w:szCs w:val="20"/>
        </w:rPr>
      </w:r>
    </w:p>
    <w:p>
      <w:pPr>
        <w:spacing w:after="0" w:line="1230" w:lineRule="exact"/>
        <w:rPr>
          <w:rFonts w:ascii="Times New Roman" w:hAnsi="Times New Roman" w:cs="Times New Roman" w:eastAsia="Times New Roman" w:hint="default"/>
          <w:sz w:val="20"/>
          <w:szCs w:val="20"/>
        </w:rPr>
        <w:sectPr>
          <w:pgSz w:w="11910" w:h="16850"/>
          <w:pgMar w:header="866" w:footer="981" w:top="1120" w:bottom="1180" w:left="1000" w:right="0"/>
        </w:sectPr>
      </w:pPr>
    </w:p>
    <w:p>
      <w:pPr>
        <w:spacing w:line="240" w:lineRule="auto" w:before="8"/>
        <w:rPr>
          <w:rFonts w:ascii="Times New Roman" w:hAnsi="Times New Roman" w:cs="Times New Roman" w:eastAsia="Times New Roman" w:hint="default"/>
          <w:sz w:val="21"/>
          <w:szCs w:val="21"/>
        </w:rPr>
      </w:pPr>
    </w:p>
    <w:p>
      <w:pPr>
        <w:pStyle w:val="Heading2"/>
        <w:spacing w:line="240" w:lineRule="auto" w:before="26"/>
        <w:ind w:right="1086"/>
        <w:jc w:val="left"/>
        <w:rPr>
          <w:b w:val="0"/>
          <w:bCs w:val="0"/>
        </w:rPr>
      </w:pPr>
      <w:bookmarkStart w:name="十六、其他重要事项" w:id="507"/>
      <w:bookmarkEnd w:id="507"/>
      <w:r>
        <w:rPr>
          <w:b w:val="0"/>
          <w:bCs w:val="0"/>
        </w:rPr>
      </w:r>
      <w:r>
        <w:rPr/>
        <w:t>十六、其他重要事项</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1086"/>
        <w:jc w:val="left"/>
        <w:rPr>
          <w:b w:val="0"/>
          <w:bCs w:val="0"/>
        </w:rPr>
      </w:pPr>
      <w:bookmarkStart w:name="1、前期会计差错更正" w:id="508"/>
      <w:bookmarkEnd w:id="508"/>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追溯重述法" w:id="509"/>
      <w:bookmarkEnd w:id="50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06"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未来适用法" w:id="510"/>
      <w:bookmarkEnd w:id="51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11"/>
        <w:rPr>
          <w:rFonts w:ascii="宋体" w:hAnsi="宋体" w:cs="宋体" w:eastAsia="宋体" w:hint="default"/>
          <w:b/>
          <w:bCs/>
          <w:sz w:val="19"/>
          <w:szCs w:val="19"/>
        </w:rPr>
      </w:pPr>
    </w:p>
    <w:p>
      <w:pPr>
        <w:pStyle w:val="Heading5"/>
        <w:spacing w:line="240" w:lineRule="auto" w:before="35"/>
        <w:ind w:right="1086"/>
        <w:jc w:val="left"/>
        <w:rPr>
          <w:b w:val="0"/>
          <w:bCs w:val="0"/>
        </w:rPr>
      </w:pPr>
      <w:bookmarkStart w:name="2、债务重组" w:id="511"/>
      <w:bookmarkEnd w:id="51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3、资产置换" w:id="512"/>
      <w:bookmarkEnd w:id="51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非货币性资产交换" w:id="513"/>
      <w:bookmarkEnd w:id="51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9"/>
        <w:rPr>
          <w:rFonts w:ascii="宋体" w:hAnsi="宋体" w:cs="宋体" w:eastAsia="宋体" w:hint="default"/>
          <w:b/>
          <w:bCs/>
          <w:sz w:val="23"/>
          <w:szCs w:val="23"/>
        </w:rPr>
      </w:pPr>
    </w:p>
    <w:p>
      <w:pPr>
        <w:pStyle w:val="Heading5"/>
        <w:spacing w:line="508" w:lineRule="auto"/>
        <w:ind w:right="8769"/>
        <w:jc w:val="left"/>
        <w:rPr>
          <w:b w:val="0"/>
          <w:bCs w:val="0"/>
        </w:rPr>
      </w:pPr>
      <w:bookmarkStart w:name="（2）其他资产置换" w:id="514"/>
      <w:bookmarkEnd w:id="514"/>
      <w:r>
        <w:rPr>
          <w:b w:val="0"/>
          <w:bCs w:val="0"/>
        </w:rPr>
      </w:r>
      <w:r>
        <w:rPr>
          <w:w w:val="95"/>
        </w:rPr>
        <w:t>（</w:t>
      </w:r>
      <w:r>
        <w:rPr>
          <w:rFonts w:ascii="Times New Roman" w:hAnsi="Times New Roman" w:cs="Times New Roman" w:eastAsia="Times New Roman" w:hint="default"/>
          <w:w w:val="95"/>
        </w:rPr>
        <w:t>2</w:t>
      </w:r>
      <w:r>
        <w:rPr>
          <w:w w:val="95"/>
        </w:rPr>
        <w:t>）其他资产置换</w:t>
      </w:r>
      <w:r>
        <w:rPr>
          <w:spacing w:val="-18"/>
          <w:w w:val="95"/>
        </w:rPr>
        <w:t> </w:t>
      </w:r>
      <w:bookmarkStart w:name="4、年金计划" w:id="515"/>
      <w:bookmarkEnd w:id="515"/>
      <w:r>
        <w:rPr>
          <w:spacing w:val="-18"/>
          <w:w w:val="95"/>
        </w:rPr>
      </w:r>
      <w:r>
        <w:rPr>
          <w:rFonts w:ascii="Times New Roman" w:hAnsi="Times New Roman" w:cs="Times New Roman" w:eastAsia="Times New Roman" w:hint="default"/>
        </w:rPr>
        <w:t>4</w:t>
      </w:r>
      <w:r>
        <w:rPr/>
        <w:t>、年金计划</w:t>
      </w:r>
      <w:r>
        <w:rPr>
          <w:b w:val="0"/>
          <w:bCs w:val="0"/>
        </w:rPr>
      </w:r>
    </w:p>
    <w:p>
      <w:pPr>
        <w:pStyle w:val="Heading5"/>
        <w:spacing w:line="240" w:lineRule="auto" w:before="64"/>
        <w:ind w:right="1086"/>
        <w:jc w:val="left"/>
        <w:rPr>
          <w:b w:val="0"/>
          <w:bCs w:val="0"/>
        </w:rPr>
      </w:pPr>
      <w:bookmarkStart w:name="5、终止经营" w:id="516"/>
      <w:bookmarkEnd w:id="51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0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29"/>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6、分部信息" w:id="517"/>
      <w:bookmarkEnd w:id="51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1086"/>
        <w:jc w:val="left"/>
        <w:rPr>
          <w:b w:val="0"/>
          <w:bCs w:val="0"/>
        </w:rPr>
      </w:pPr>
      <w:bookmarkStart w:name="（1）报告分部的确定依据与会计政策" w:id="518"/>
      <w:bookmarkEnd w:id="51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3"/>
          <w:szCs w:val="23"/>
        </w:rPr>
      </w:pPr>
    </w:p>
    <w:p>
      <w:pPr>
        <w:pStyle w:val="Heading6"/>
        <w:spacing w:line="276" w:lineRule="auto"/>
        <w:ind w:left="561" w:right="0"/>
        <w:jc w:val="left"/>
      </w:pPr>
      <w:r>
        <w:rPr/>
        <w:t>公司以内部组织结构、管理要求、内部报告制度等为依据确定报告分部。 本公司以地区分部为基础确定报告分部，主营业务收入、主营业务成本按最终实现销售地进行划分，</w:t>
      </w:r>
    </w:p>
    <w:p>
      <w:pPr>
        <w:pStyle w:val="Heading6"/>
        <w:spacing w:line="269" w:lineRule="exact"/>
        <w:ind w:right="1086"/>
        <w:jc w:val="left"/>
      </w:pPr>
      <w:r>
        <w:rPr/>
        <w:t>资产和负债按经营实体所在地进行划分。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7"/>
        <w:ind w:right="1086"/>
        <w:jc w:val="left"/>
        <w:rPr>
          <w:b w:val="0"/>
          <w:bCs w:val="0"/>
        </w:rPr>
      </w:pPr>
      <w:bookmarkStart w:name="（2）报告分部的财务信息" w:id="519"/>
      <w:bookmarkEnd w:id="51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after="0" w:line="240" w:lineRule="auto"/>
        <w:jc w:val="right"/>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1"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9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1,053,123,570.44</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66" w:right="0"/>
              <w:jc w:val="left"/>
              <w:rPr>
                <w:rFonts w:ascii="Times New Roman" w:hAnsi="Times New Roman" w:cs="Times New Roman" w:eastAsia="Times New Roman" w:hint="default"/>
                <w:sz w:val="18"/>
                <w:szCs w:val="18"/>
              </w:rPr>
            </w:pPr>
            <w:r>
              <w:rPr>
                <w:rFonts w:ascii="Times New Roman"/>
                <w:sz w:val="18"/>
              </w:rPr>
              <w:t>498,422,160.86</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39,722,967.93</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1,511,822,763.37</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532,340,155.27</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66" w:right="0"/>
              <w:jc w:val="left"/>
              <w:rPr>
                <w:rFonts w:ascii="Times New Roman" w:hAnsi="Times New Roman" w:cs="Times New Roman" w:eastAsia="Times New Roman" w:hint="default"/>
                <w:sz w:val="18"/>
                <w:szCs w:val="18"/>
              </w:rPr>
            </w:pPr>
            <w:r>
              <w:rPr>
                <w:rFonts w:ascii="Times New Roman"/>
                <w:sz w:val="18"/>
              </w:rPr>
              <w:t>385,139,702.28</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39,980,974.41</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877,498,883.14</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4,291,786,978.75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161,052,612.35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228,222,839.19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4,224,616,751.91</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1,270,532,363.41</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66" w:right="0"/>
              <w:jc w:val="left"/>
              <w:rPr>
                <w:rFonts w:ascii="Times New Roman" w:hAnsi="Times New Roman" w:cs="Times New Roman" w:eastAsia="Times New Roman" w:hint="default"/>
                <w:sz w:val="18"/>
                <w:szCs w:val="18"/>
              </w:rPr>
            </w:pPr>
            <w:r>
              <w:rPr>
                <w:rFonts w:ascii="Times New Roman"/>
                <w:sz w:val="18"/>
              </w:rPr>
              <w:t>266,141,421.31</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256,183,357.19</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1,280,490,427.53</w:t>
            </w:r>
          </w:p>
        </w:tc>
      </w:tr>
    </w:tbl>
    <w:p>
      <w:pPr>
        <w:spacing w:line="240" w:lineRule="auto" w:before="11"/>
        <w:rPr>
          <w:rFonts w:ascii="宋体" w:hAnsi="宋体" w:cs="宋体" w:eastAsia="宋体" w:hint="default"/>
          <w:sz w:val="19"/>
          <w:szCs w:val="19"/>
        </w:rPr>
      </w:pPr>
    </w:p>
    <w:p>
      <w:pPr>
        <w:pStyle w:val="Heading5"/>
        <w:spacing w:line="240" w:lineRule="auto" w:before="35"/>
        <w:ind w:right="0"/>
        <w:jc w:val="both"/>
        <w:rPr>
          <w:b w:val="0"/>
          <w:bCs w:val="0"/>
        </w:rPr>
      </w:pPr>
      <w:bookmarkStart w:name="（3）公司无报告分部的，或者不能披露各报告分部的资产总额和负债总额的，应说明原因" w:id="520"/>
      <w:bookmarkEnd w:id="52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11"/>
        <w:rPr>
          <w:rFonts w:ascii="宋体" w:hAnsi="宋体" w:cs="宋体" w:eastAsia="宋体" w:hint="default"/>
          <w:b/>
          <w:bCs/>
          <w:sz w:val="24"/>
          <w:szCs w:val="24"/>
        </w:rPr>
      </w:pPr>
    </w:p>
    <w:p>
      <w:pPr>
        <w:pStyle w:val="Heading5"/>
        <w:spacing w:line="496" w:lineRule="auto"/>
        <w:ind w:right="6427"/>
        <w:jc w:val="left"/>
        <w:rPr>
          <w:b w:val="0"/>
          <w:bCs w:val="0"/>
        </w:rPr>
      </w:pPr>
      <w:bookmarkStart w:name="（4）其他说明" w:id="521"/>
      <w:bookmarkEnd w:id="521"/>
      <w:r>
        <w:rPr>
          <w:b w:val="0"/>
          <w:bCs w:val="0"/>
        </w:rPr>
      </w:r>
      <w:r>
        <w:rPr/>
        <w:t>（</w:t>
      </w:r>
      <w:r>
        <w:rPr>
          <w:rFonts w:ascii="Times New Roman" w:hAnsi="Times New Roman" w:cs="Times New Roman" w:eastAsia="Times New Roman" w:hint="default"/>
        </w:rPr>
        <w:t>4</w:t>
      </w:r>
      <w:r>
        <w:rPr/>
        <w:t>）其他说明</w:t>
      </w:r>
      <w:r>
        <w:rPr>
          <w:w w:val="99"/>
        </w:rPr>
        <w:t> </w:t>
      </w:r>
      <w:bookmarkStart w:name="7、其他对投资者决策有影响的重要交易和事项" w:id="522"/>
      <w:bookmarkEnd w:id="522"/>
      <w:r>
        <w:rPr>
          <w:w w:val="99"/>
        </w:rPr>
      </w:r>
      <w:r>
        <w:rPr>
          <w:rFonts w:ascii="Times New Roman" w:hAnsi="Times New Roman" w:cs="Times New Roman" w:eastAsia="Times New Roman" w:hint="default"/>
        </w:rPr>
        <w:t>7</w:t>
      </w:r>
      <w:r>
        <w:rPr/>
        <w:t>、其他对投资者决策有影响的重要交易和事项</w:t>
      </w:r>
      <w:r>
        <w:rPr>
          <w:b w:val="0"/>
          <w:bCs w:val="0"/>
        </w:rPr>
      </w:r>
    </w:p>
    <w:p>
      <w:pPr>
        <w:pStyle w:val="Heading5"/>
        <w:spacing w:line="240" w:lineRule="auto" w:before="76"/>
        <w:ind w:right="0"/>
        <w:jc w:val="both"/>
        <w:rPr>
          <w:b w:val="0"/>
          <w:bCs w:val="0"/>
        </w:rPr>
      </w:pPr>
      <w:bookmarkStart w:name="8、其他" w:id="523"/>
      <w:bookmarkEnd w:id="523"/>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3"/>
          <w:szCs w:val="23"/>
        </w:rPr>
      </w:pPr>
    </w:p>
    <w:p>
      <w:pPr>
        <w:pStyle w:val="Heading6"/>
        <w:spacing w:line="259" w:lineRule="auto"/>
        <w:ind w:left="561" w:right="1086"/>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日，本公司开立的尚在有效期内的信用证余额为人民币</w:t>
      </w:r>
      <w:r>
        <w:rPr>
          <w:rFonts w:ascii="Times New Roman" w:hAnsi="Times New Roman" w:cs="Times New Roman" w:eastAsia="Times New Roman" w:hint="default"/>
        </w:rPr>
        <w:t>7,765,480.00</w:t>
      </w:r>
      <w:r>
        <w:rPr/>
        <w:t>元。</w:t>
      </w:r>
      <w:r>
        <w:rPr>
          <w:spacing w:val="-89"/>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日，本公司开立的尚在有效期内的保函余额为美元</w:t>
      </w:r>
      <w:r>
        <w:rPr>
          <w:rFonts w:ascii="Times New Roman" w:hAnsi="Times New Roman" w:cs="Times New Roman" w:eastAsia="Times New Roman" w:hint="default"/>
        </w:rPr>
        <w:t>650</w:t>
      </w:r>
      <w:r>
        <w:rPr/>
        <w:t>万元，欧元</w:t>
      </w:r>
      <w:r>
        <w:rPr>
          <w:rFonts w:ascii="Times New Roman" w:hAnsi="Times New Roman" w:cs="Times New Roman" w:eastAsia="Times New Roman" w:hint="default"/>
        </w:rPr>
        <w:t>585</w:t>
      </w:r>
      <w:r>
        <w:rPr/>
        <w:t>万元。 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日杭州市滨江区人民法院下达的《民事判决书》（〔</w:t>
      </w:r>
      <w:r>
        <w:rPr>
          <w:rFonts w:ascii="Times New Roman" w:hAnsi="Times New Roman" w:cs="Times New Roman" w:eastAsia="Times New Roman" w:hint="default"/>
        </w:rPr>
        <w:t>2019</w:t>
      </w:r>
      <w:r>
        <w:rPr/>
        <w:t>〕浙</w:t>
      </w:r>
      <w:r>
        <w:rPr>
          <w:rFonts w:ascii="Times New Roman" w:hAnsi="Times New Roman" w:cs="Times New Roman" w:eastAsia="Times New Roman" w:hint="default"/>
        </w:rPr>
        <w:t>0108</w:t>
      </w:r>
      <w:r>
        <w:rPr/>
        <w:t>民初</w:t>
      </w:r>
      <w:r>
        <w:rPr>
          <w:rFonts w:ascii="Times New Roman" w:hAnsi="Times New Roman" w:cs="Times New Roman" w:eastAsia="Times New Roman" w:hint="default"/>
        </w:rPr>
        <w:t>423</w:t>
      </w:r>
      <w:r>
        <w:rPr/>
        <w:t>号），子</w:t>
      </w:r>
    </w:p>
    <w:p>
      <w:pPr>
        <w:pStyle w:val="Heading6"/>
        <w:spacing w:line="264" w:lineRule="auto" w:before="6"/>
        <w:ind w:right="1107"/>
        <w:jc w:val="both"/>
      </w:pPr>
      <w:r>
        <w:rPr/>
        <w:t>公司医惠科技公司于判决生效之日起十日内支付原告杭州冠道机械设备制造有限公司股权回购款</w:t>
      </w:r>
      <w:r>
        <w:rPr>
          <w:rFonts w:ascii="Times New Roman" w:hAnsi="Times New Roman" w:cs="Times New Roman" w:eastAsia="Times New Roman" w:hint="default"/>
        </w:rPr>
        <w:t>600</w:t>
      </w:r>
      <w:r>
        <w:rPr/>
        <w:t>万元</w:t>
      </w:r>
      <w:r>
        <w:rPr>
          <w:spacing w:val="-36"/>
        </w:rPr>
        <w:t> </w:t>
      </w:r>
      <w:r>
        <w:rPr>
          <w:rFonts w:ascii="Times New Roman" w:hAnsi="Times New Roman" w:cs="Times New Roman" w:eastAsia="Times New Roman" w:hint="default"/>
          <w:spacing w:val="-1"/>
        </w:rPr>
        <w:t>(</w:t>
      </w:r>
      <w:r>
        <w:rPr>
          <w:spacing w:val="-1"/>
        </w:rPr>
        <w:t>对应杭州智海医惠信息科技有限公司</w:t>
      </w:r>
      <w:r>
        <w:rPr>
          <w:rFonts w:ascii="Times New Roman" w:hAnsi="Times New Roman" w:cs="Times New Roman" w:eastAsia="Times New Roman" w:hint="default"/>
          <w:spacing w:val="-1"/>
        </w:rPr>
        <w:t>30%</w:t>
      </w:r>
      <w:r>
        <w:rPr>
          <w:spacing w:val="-1"/>
        </w:rPr>
        <w:t>股权</w:t>
      </w:r>
      <w:r>
        <w:rPr>
          <w:rFonts w:ascii="Times New Roman" w:hAnsi="Times New Roman" w:cs="Times New Roman" w:eastAsia="Times New Roman" w:hint="default"/>
          <w:spacing w:val="-1"/>
        </w:rPr>
        <w:t>300</w:t>
      </w:r>
      <w:r>
        <w:rPr>
          <w:spacing w:val="-1"/>
        </w:rPr>
        <w:t>万元</w:t>
      </w:r>
      <w:r>
        <w:rPr>
          <w:rFonts w:ascii="Times New Roman" w:hAnsi="Times New Roman" w:cs="Times New Roman" w:eastAsia="Times New Roman" w:hint="default"/>
          <w:spacing w:val="-1"/>
        </w:rPr>
        <w:t>)</w:t>
      </w:r>
      <w:r>
        <w:rPr>
          <w:spacing w:val="-1"/>
        </w:rPr>
        <w:t>，并支付利息损失（</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7</w:t>
      </w:r>
      <w:r>
        <w:rPr>
          <w:spacing w:val="-1"/>
        </w:rPr>
        <w:t>日至实际付清为止</w:t>
      </w:r>
      <w:r>
        <w:rPr>
          <w:spacing w:val="-72"/>
        </w:rPr>
        <w:t> </w:t>
      </w:r>
      <w:r>
        <w:rPr/>
        <w:t>按照年利率</w:t>
      </w:r>
      <w:r>
        <w:rPr>
          <w:rFonts w:ascii="Times New Roman" w:hAnsi="Times New Roman" w:cs="Times New Roman" w:eastAsia="Times New Roman" w:hint="default"/>
        </w:rPr>
        <w:t>15%</w:t>
      </w:r>
      <w:r>
        <w:rPr/>
        <w:t>计算），子公司医惠科技公司已于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日支付股权回购款</w:t>
      </w:r>
      <w:r>
        <w:rPr>
          <w:rFonts w:ascii="Times New Roman" w:hAnsi="Times New Roman" w:cs="Times New Roman" w:eastAsia="Times New Roman" w:hint="default"/>
        </w:rPr>
        <w:t>600</w:t>
      </w:r>
      <w:r>
        <w:rPr/>
        <w:t>万元及利息损失</w:t>
      </w:r>
      <w:r>
        <w:rPr>
          <w:rFonts w:ascii="Times New Roman" w:hAnsi="Times New Roman" w:cs="Times New Roman" w:eastAsia="Times New Roman" w:hint="default"/>
        </w:rPr>
        <w:t>844 </w:t>
      </w:r>
      <w:r>
        <w:rPr>
          <w:spacing w:val="-1"/>
        </w:rPr>
        <w:t>万元。由于杭州冠道机械设备制造有限公司不配合子公司医惠科技公司办理股权变更手续，由于杭州冠道</w:t>
      </w:r>
      <w:r>
        <w:rPr>
          <w:spacing w:val="-89"/>
        </w:rPr>
        <w:t> </w:t>
      </w:r>
      <w:r>
        <w:rPr>
          <w:spacing w:val="-89"/>
        </w:rPr>
      </w:r>
      <w:r>
        <w:rPr>
          <w:spacing w:val="-1"/>
        </w:rPr>
        <w:t>机械设备制造有限公司不配合子公司医惠科技公司办理股权变更手续，截至本财务报表报出日，股权交割</w:t>
      </w:r>
      <w:r>
        <w:rPr>
          <w:spacing w:val="-91"/>
        </w:rPr>
        <w:t> </w:t>
      </w:r>
      <w:r>
        <w:rPr>
          <w:spacing w:val="-91"/>
        </w:rPr>
      </w:r>
      <w:r>
        <w:rPr/>
        <w:t>尚未完成，本公司将该股权款</w:t>
      </w:r>
      <w:r>
        <w:rPr>
          <w:rFonts w:ascii="Times New Roman" w:hAnsi="Times New Roman" w:cs="Times New Roman" w:eastAsia="Times New Roman" w:hint="default"/>
        </w:rPr>
        <w:t>1,444</w:t>
      </w:r>
      <w:r>
        <w:rPr/>
        <w:t>万元计入其他非流动资产。</w:t>
      </w:r>
    </w:p>
    <w:p>
      <w:pPr>
        <w:pStyle w:val="Heading6"/>
        <w:spacing w:line="277" w:lineRule="exact"/>
        <w:ind w:right="1086" w:firstLine="420"/>
        <w:jc w:val="left"/>
      </w:pPr>
      <w:r>
        <w:rPr/>
        <w:t>根据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月股东章笠中和杭州思创医惠集团有限公司出具的承诺，如因该纠纷给子公司医惠科技</w:t>
      </w:r>
    </w:p>
    <w:p>
      <w:pPr>
        <w:pStyle w:val="Heading6"/>
        <w:spacing w:line="268" w:lineRule="auto" w:before="24"/>
        <w:ind w:right="1083"/>
        <w:jc w:val="both"/>
      </w:pPr>
      <w:r>
        <w:rPr/>
        <w:t>公司带来任何支出，包括但不限于原始本金、利息、违约金、赔偿金或其他损失，概由股东章笠中和杭州 思创医惠集团有限公司连带承担，确保本公司及其股东利益不致遭受损害。子公司医惠科技公司已于</w:t>
      </w:r>
      <w:r>
        <w:rPr>
          <w:rFonts w:ascii="Times New Roman" w:hAnsi="Times New Roman" w:cs="Times New Roman" w:eastAsia="Times New Roman" w:hint="default"/>
        </w:rPr>
        <w:t>2020 </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日收到杭州思创医惠集团有限公司转入的款项</w:t>
      </w:r>
      <w:r>
        <w:rPr>
          <w:rFonts w:ascii="Times New Roman" w:hAnsi="Times New Roman" w:cs="Times New Roman" w:eastAsia="Times New Roman" w:hint="default"/>
        </w:rPr>
        <w:t>1,444</w:t>
      </w:r>
      <w:r>
        <w:rPr/>
        <w:t>万元。</w:t>
      </w:r>
    </w:p>
    <w:p>
      <w:pPr>
        <w:pStyle w:val="Heading6"/>
        <w:spacing w:line="254" w:lineRule="auto" w:before="41"/>
        <w:ind w:right="0" w:firstLine="18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月，股东章笠中与杭州银江智慧医疗科技集团有限公司签订《关于章笠中先生与银江智慧医疗集</w:t>
      </w:r>
      <w:r>
        <w:rPr/>
        <w:t> 团的战略合作协议》，双方达成战略合作协议</w:t>
      </w:r>
      <w:r>
        <w:rPr>
          <w:rFonts w:ascii="Times New Roman" w:hAnsi="Times New Roman" w:cs="Times New Roman" w:eastAsia="Times New Roman" w:hint="default"/>
        </w:rPr>
        <w:t>,</w:t>
      </w:r>
      <w:r>
        <w:rPr/>
        <w:t>由股东章笠中向杭州银江智慧医疗科技集团有限公司支付战 略合作费，但此后双方就是否履行协议、是否需要支付合作款产生纠纷，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日杭州银江智慧医 </w:t>
      </w:r>
      <w:r>
        <w:rPr>
          <w:spacing w:val="-3"/>
        </w:rPr>
        <w:t>疗科技集团有限公司以股东章笠中作为被告，于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29</w:t>
      </w:r>
      <w:r>
        <w:rPr>
          <w:spacing w:val="-3"/>
        </w:rPr>
        <w:t>日向杭州市上城区人民法院提起诉讼，同时，</w:t>
      </w:r>
      <w:r>
        <w:rPr>
          <w:spacing w:val="-77"/>
        </w:rPr>
        <w:t> </w:t>
      </w:r>
      <w:r>
        <w:rPr>
          <w:spacing w:val="-77"/>
        </w:rPr>
      </w:r>
      <w:r>
        <w:rPr>
          <w:spacing w:val="-3"/>
        </w:rPr>
        <w:t>杭州银江智慧医疗科技集团有限公司向法院提交了保全申请，冻结了股东章笠中的部分个人资产，包括</w:t>
      </w:r>
      <w:r>
        <w:rPr>
          <w:rFonts w:ascii="Times New Roman" w:hAnsi="Times New Roman" w:cs="Times New Roman" w:eastAsia="Times New Roman" w:hint="default"/>
          <w:spacing w:val="-3"/>
        </w:rPr>
        <w:t>200</w:t>
      </w:r>
      <w:r>
        <w:rPr>
          <w:rFonts w:ascii="Times New Roman" w:hAnsi="Times New Roman" w:cs="Times New Roman" w:eastAsia="Times New Roman" w:hint="default"/>
          <w:spacing w:val="-39"/>
        </w:rPr>
        <w:t> </w:t>
      </w:r>
      <w:r>
        <w:rPr/>
        <w:t>万股权。截至本财务报表报出日，该诉讼尚在审理中。</w:t>
      </w:r>
    </w:p>
    <w:p>
      <w:pPr>
        <w:spacing w:line="240" w:lineRule="auto" w:before="9"/>
        <w:rPr>
          <w:rFonts w:ascii="宋体" w:hAnsi="宋体" w:cs="宋体" w:eastAsia="宋体" w:hint="default"/>
          <w:sz w:val="24"/>
          <w:szCs w:val="24"/>
        </w:rPr>
      </w:pPr>
    </w:p>
    <w:p>
      <w:pPr>
        <w:pStyle w:val="Heading2"/>
        <w:spacing w:line="240" w:lineRule="auto"/>
        <w:ind w:right="0"/>
        <w:jc w:val="both"/>
        <w:rPr>
          <w:b w:val="0"/>
          <w:bCs w:val="0"/>
        </w:rPr>
      </w:pPr>
      <w:bookmarkStart w:name="十七、母公司财务报表主要项目注释" w:id="524"/>
      <w:bookmarkEnd w:id="524"/>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应收账款" w:id="525"/>
      <w:bookmarkEnd w:id="52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both"/>
        <w:rPr>
          <w:b w:val="0"/>
          <w:bCs w:val="0"/>
        </w:rPr>
      </w:pPr>
      <w:bookmarkStart w:name="（1）应收账款分类披露" w:id="526"/>
      <w:bookmarkEnd w:id="52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3845"/>
        <w:gridCol w:w="4100"/>
      </w:tblGrid>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30"/>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8"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4,179,45</w:t>
            </w:r>
          </w:p>
          <w:p>
            <w:pPr>
              <w:pStyle w:val="TableParagraph"/>
              <w:spacing w:line="240" w:lineRule="auto" w:before="108"/>
              <w:ind w:left="397" w:right="0"/>
              <w:jc w:val="left"/>
              <w:rPr>
                <w:rFonts w:ascii="Times New Roman" w:hAnsi="Times New Roman" w:cs="Times New Roman" w:eastAsia="Times New Roman" w:hint="default"/>
                <w:sz w:val="18"/>
                <w:szCs w:val="18"/>
              </w:rPr>
            </w:pPr>
            <w:r>
              <w:rPr>
                <w:rFonts w:ascii="Times New Roman"/>
                <w:sz w:val="18"/>
              </w:rPr>
              <w:t>7.45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3.43%</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4,179,45</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7.45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4,028,786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2.84%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4,028,786</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.96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left="51" w:right="0"/>
              <w:jc w:val="center"/>
              <w:rPr>
                <w:rFonts w:ascii="Times New Roman" w:hAnsi="Times New Roman" w:cs="Times New Roman" w:eastAsia="Times New Roman" w:hint="default"/>
                <w:sz w:val="18"/>
                <w:szCs w:val="18"/>
              </w:rPr>
            </w:pPr>
            <w:r>
              <w:rPr>
                <w:rFonts w:ascii="Times New Roman"/>
                <w:sz w:val="18"/>
              </w:rPr>
              <w:t>117,653,</w:t>
            </w:r>
          </w:p>
          <w:p>
            <w:pPr>
              <w:pStyle w:val="TableParagraph"/>
              <w:spacing w:line="240" w:lineRule="auto" w:before="108"/>
              <w:ind w:left="187" w:right="0"/>
              <w:jc w:val="center"/>
              <w:rPr>
                <w:rFonts w:ascii="Times New Roman" w:hAnsi="Times New Roman" w:cs="Times New Roman" w:eastAsia="Times New Roman" w:hint="default"/>
                <w:sz w:val="18"/>
                <w:szCs w:val="18"/>
              </w:rPr>
            </w:pPr>
            <w:r>
              <w:rPr>
                <w:rFonts w:ascii="Times New Roman"/>
                <w:sz w:val="18"/>
              </w:rPr>
              <w:t>535.41</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96.57%</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89" w:right="0"/>
              <w:jc w:val="left"/>
              <w:rPr>
                <w:rFonts w:ascii="Times New Roman" w:hAnsi="Times New Roman" w:cs="Times New Roman" w:eastAsia="Times New Roman" w:hint="default"/>
                <w:sz w:val="18"/>
                <w:szCs w:val="18"/>
              </w:rPr>
            </w:pPr>
            <w:r>
              <w:rPr>
                <w:rFonts w:ascii="Times New Roman"/>
                <w:sz w:val="18"/>
              </w:rPr>
              <w:t>9,963,71</w:t>
            </w:r>
          </w:p>
          <w:p>
            <w:pPr>
              <w:pStyle w:val="TableParagraph"/>
              <w:spacing w:line="240" w:lineRule="auto" w:before="108"/>
              <w:ind w:left="405" w:right="0"/>
              <w:jc w:val="left"/>
              <w:rPr>
                <w:rFonts w:ascii="Times New Roman" w:hAnsi="Times New Roman" w:cs="Times New Roman" w:eastAsia="Times New Roman" w:hint="default"/>
                <w:sz w:val="18"/>
                <w:szCs w:val="18"/>
              </w:rPr>
            </w:pPr>
            <w:r>
              <w:rPr>
                <w:rFonts w:ascii="Times New Roman"/>
                <w:sz w:val="18"/>
              </w:rPr>
              <w:t>1.95</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8.47%</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107,689,8</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23.46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137,886,1</w:t>
            </w:r>
          </w:p>
          <w:p>
            <w:pPr>
              <w:pStyle w:val="TableParagraph"/>
              <w:spacing w:line="240" w:lineRule="auto" w:before="108"/>
              <w:ind w:left="329" w:right="0"/>
              <w:jc w:val="left"/>
              <w:rPr>
                <w:rFonts w:ascii="Times New Roman" w:hAnsi="Times New Roman" w:cs="Times New Roman" w:eastAsia="Times New Roman" w:hint="default"/>
                <w:sz w:val="18"/>
                <w:szCs w:val="18"/>
              </w:rPr>
            </w:pPr>
            <w:r>
              <w:rPr>
                <w:rFonts w:ascii="Times New Roman"/>
                <w:sz w:val="18"/>
              </w:rPr>
              <w:t>55.07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97.16%</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14,692,40</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9.95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10.66%</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123,193,74</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5.12</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51" w:right="0"/>
              <w:jc w:val="center"/>
              <w:rPr>
                <w:rFonts w:ascii="Times New Roman" w:hAnsi="Times New Roman" w:cs="Times New Roman" w:eastAsia="Times New Roman" w:hint="default"/>
                <w:sz w:val="18"/>
                <w:szCs w:val="18"/>
              </w:rPr>
            </w:pPr>
            <w:r>
              <w:rPr>
                <w:rFonts w:ascii="Times New Roman"/>
                <w:sz w:val="18"/>
              </w:rPr>
              <w:t>121,832,</w:t>
            </w:r>
          </w:p>
          <w:p>
            <w:pPr>
              <w:pStyle w:val="TableParagraph"/>
              <w:spacing w:line="240" w:lineRule="auto" w:before="93"/>
              <w:ind w:left="187" w:right="0"/>
              <w:jc w:val="center"/>
              <w:rPr>
                <w:rFonts w:ascii="Times New Roman" w:hAnsi="Times New Roman" w:cs="Times New Roman" w:eastAsia="Times New Roman" w:hint="default"/>
                <w:sz w:val="18"/>
                <w:szCs w:val="18"/>
              </w:rPr>
            </w:pPr>
            <w:r>
              <w:rPr>
                <w:rFonts w:ascii="Times New Roman"/>
                <w:sz w:val="18"/>
              </w:rPr>
              <w:t>992.86</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9" w:right="0"/>
              <w:jc w:val="left"/>
              <w:rPr>
                <w:rFonts w:ascii="Times New Roman" w:hAnsi="Times New Roman" w:cs="Times New Roman" w:eastAsia="Times New Roman" w:hint="default"/>
                <w:sz w:val="18"/>
                <w:szCs w:val="18"/>
              </w:rPr>
            </w:pPr>
            <w:r>
              <w:rPr>
                <w:rFonts w:ascii="Times New Roman"/>
                <w:sz w:val="18"/>
              </w:rPr>
              <w:t>14,143,1</w:t>
            </w:r>
          </w:p>
          <w:p>
            <w:pPr>
              <w:pStyle w:val="TableParagraph"/>
              <w:spacing w:line="240" w:lineRule="auto" w:before="93"/>
              <w:ind w:left="315" w:right="0"/>
              <w:jc w:val="left"/>
              <w:rPr>
                <w:rFonts w:ascii="Times New Roman" w:hAnsi="Times New Roman" w:cs="Times New Roman" w:eastAsia="Times New Roman" w:hint="default"/>
                <w:sz w:val="18"/>
                <w:szCs w:val="18"/>
              </w:rPr>
            </w:pPr>
            <w:r>
              <w:rPr>
                <w:rFonts w:ascii="Times New Roman"/>
                <w:sz w:val="18"/>
              </w:rPr>
              <w:t>69.40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107,689,8</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23.46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141,914,9</w:t>
            </w:r>
          </w:p>
          <w:p>
            <w:pPr>
              <w:pStyle w:val="TableParagraph"/>
              <w:spacing w:line="240" w:lineRule="auto" w:before="93"/>
              <w:ind w:left="329" w:right="0"/>
              <w:jc w:val="left"/>
              <w:rPr>
                <w:rFonts w:ascii="Times New Roman" w:hAnsi="Times New Roman" w:cs="Times New Roman" w:eastAsia="Times New Roman" w:hint="default"/>
                <w:sz w:val="18"/>
                <w:szCs w:val="18"/>
              </w:rPr>
            </w:pPr>
            <w:r>
              <w:rPr>
                <w:rFonts w:ascii="Times New Roman"/>
                <w:sz w:val="18"/>
              </w:rPr>
              <w:t>42.03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18,721,19</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6.91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13.19%</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123,193,74</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5.12</w:t>
            </w:r>
          </w:p>
        </w:tc>
      </w:tr>
    </w:tbl>
    <w:p>
      <w:pPr>
        <w:pStyle w:val="BodyText"/>
        <w:spacing w:line="240" w:lineRule="auto" w:before="59"/>
        <w:ind w:right="1086"/>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4,179,457.45</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33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357" w:lineRule="auto"/>
              <w:ind w:left="15" w:right="551"/>
              <w:jc w:val="left"/>
              <w:rPr>
                <w:rFonts w:ascii="Times New Roman" w:hAnsi="Times New Roman" w:cs="Times New Roman" w:eastAsia="Times New Roman" w:hint="default"/>
                <w:sz w:val="18"/>
                <w:szCs w:val="18"/>
              </w:rPr>
            </w:pPr>
            <w:r>
              <w:rPr>
                <w:rFonts w:ascii="Times New Roman"/>
                <w:sz w:val="18"/>
              </w:rPr>
              <w:t>UNIVERSAL </w:t>
            </w:r>
            <w:r>
              <w:rPr>
                <w:rFonts w:ascii="Times New Roman"/>
                <w:spacing w:val="-3"/>
                <w:sz w:val="18"/>
              </w:rPr>
              <w:t>SURVEILLANCE</w:t>
            </w:r>
            <w:r>
              <w:rPr>
                <w:rFonts w:ascii="Times New Roman"/>
                <w:spacing w:val="-36"/>
                <w:sz w:val="18"/>
              </w:rPr>
              <w:t> </w:t>
            </w:r>
            <w:r>
              <w:rPr>
                <w:rFonts w:ascii="Times New Roman"/>
                <w:spacing w:val="-36"/>
                <w:sz w:val="18"/>
              </w:rPr>
            </w:r>
            <w:r>
              <w:rPr>
                <w:rFonts w:ascii="Times New Roman"/>
                <w:sz w:val="18"/>
              </w:rPr>
              <w:t>SYSTEMS</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4,179,457.45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4,179,457.45</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231" w:right="0"/>
              <w:jc w:val="left"/>
              <w:rPr>
                <w:rFonts w:ascii="Times New Roman" w:hAnsi="Times New Roman" w:cs="Times New Roman" w:eastAsia="Times New Roman" w:hint="default"/>
                <w:sz w:val="18"/>
                <w:szCs w:val="18"/>
              </w:rPr>
            </w:pPr>
            <w:r>
              <w:rPr>
                <w:rFonts w:ascii="Times New Roman"/>
                <w:sz w:val="18"/>
              </w:rPr>
              <w:t>100.00%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30"/>
              <w:ind w:left="30" w:right="75"/>
              <w:jc w:val="left"/>
              <w:rPr>
                <w:rFonts w:ascii="宋体" w:hAnsi="宋体" w:cs="宋体" w:eastAsia="宋体" w:hint="default"/>
                <w:sz w:val="18"/>
                <w:szCs w:val="18"/>
              </w:rPr>
            </w:pPr>
            <w:r>
              <w:rPr>
                <w:rFonts w:ascii="宋体" w:hAnsi="宋体" w:cs="宋体" w:eastAsia="宋体" w:hint="default"/>
                <w:sz w:val="18"/>
                <w:szCs w:val="18"/>
              </w:rPr>
              <w:t>预计该款项无法收回， 对应收剩余款项 </w:t>
            </w:r>
            <w:r>
              <w:rPr>
                <w:rFonts w:ascii="Times New Roman" w:hAnsi="Times New Roman" w:cs="Times New Roman" w:eastAsia="Times New Roman" w:hint="default"/>
                <w:sz w:val="18"/>
                <w:szCs w:val="18"/>
              </w:rPr>
              <w:t>4,179,457.45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元全额计</w:t>
            </w:r>
          </w:p>
          <w:p>
            <w:pPr>
              <w:pStyle w:val="TableParagraph"/>
              <w:spacing w:line="198" w:lineRule="exact"/>
              <w:ind w:left="30" w:right="0"/>
              <w:jc w:val="left"/>
              <w:rPr>
                <w:rFonts w:ascii="宋体" w:hAnsi="宋体" w:cs="宋体" w:eastAsia="宋体" w:hint="default"/>
                <w:sz w:val="18"/>
                <w:szCs w:val="18"/>
              </w:rPr>
            </w:pPr>
            <w:r>
              <w:rPr>
                <w:rFonts w:ascii="宋体" w:hAnsi="宋体" w:cs="宋体" w:eastAsia="宋体" w:hint="default"/>
                <w:sz w:val="18"/>
                <w:szCs w:val="18"/>
              </w:rPr>
              <w:t>提坏账准备</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4,179,457.45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4,179,457.45</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ind w:right="1086"/>
        <w:jc w:val="left"/>
      </w:pPr>
      <w:r>
        <w:rPr/>
        <w:t>按单项计提坏账准备：</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60"/>
        <w:ind w:right="1086"/>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9,963,711.95</w:t>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117,653,535.41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9,963,711.95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8.47%</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117,653,535.41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9,963,711.95</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866" w:footer="981" w:top="1120" w:bottom="1180" w:left="1000" w:right="0"/>
        </w:sectPr>
      </w:pPr>
    </w:p>
    <w:p>
      <w:pPr>
        <w:pStyle w:val="BodyText"/>
        <w:spacing w:line="350" w:lineRule="auto" w:before="45"/>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2122" w:space="672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ind w:right="1749"/>
        <w:jc w:val="left"/>
      </w:pPr>
      <w:r>
        <w:rPr/>
        <w:t>确定该组合依据的说明： 如是按照预期信用损失一般模型计提应收账款坏账准备，请参照其他应收款的披露方式披露坏账准备的相关信息：</w:t>
      </w:r>
    </w:p>
    <w:p>
      <w:pPr>
        <w:spacing w:after="0" w:line="352" w:lineRule="auto"/>
        <w:jc w:val="left"/>
        <w:sectPr>
          <w:type w:val="continuous"/>
          <w:pgSz w:w="11910" w:h="16850"/>
          <w:pgMar w:top="1040" w:bottom="1180" w:left="1000" w:right="0"/>
        </w:sectPr>
      </w:pPr>
    </w:p>
    <w:p>
      <w:pPr>
        <w:spacing w:line="240" w:lineRule="auto" w:before="1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10" w:h="16850"/>
          <w:pgMar w:header="866" w:footer="981" w:top="1120" w:bottom="1180" w:left="1000" w:right="0"/>
        </w:sectPr>
      </w:pPr>
    </w:p>
    <w:p>
      <w:pPr>
        <w:pStyle w:val="BodyText"/>
        <w:spacing w:line="319"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before="0"/>
        <w:ind w:right="0"/>
        <w:jc w:val="left"/>
      </w:pPr>
      <w:r>
        <w:rPr/>
        <w:t>单位： 元</w:t>
      </w:r>
    </w:p>
    <w:p>
      <w:pPr>
        <w:spacing w:after="0" w:line="240" w:lineRule="auto"/>
        <w:jc w:val="left"/>
        <w:sectPr>
          <w:type w:val="continuous"/>
          <w:pgSz w:w="11910" w:h="16850"/>
          <w:pgMar w:top="1040" w:bottom="1180" w:left="1000" w:right="0"/>
          <w:cols w:num="2" w:equalWidth="0">
            <w:col w:w="1538" w:space="7308"/>
            <w:col w:w="2064"/>
          </w:cols>
        </w:sectPr>
      </w:pP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85,664,337.99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20,660,867.83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15,199,345.05</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308,441.99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308,441.99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121,832,992.86</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本期计提、收回或转回的坏账准备情况" w:id="527"/>
      <w:bookmarkEnd w:id="5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right="1086"/>
        <w:jc w:val="left"/>
      </w:pPr>
      <w:r>
        <w:rPr/>
        <w:t>本期计提坏账准备情况：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单项计提坏账准 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4,028,786.96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150,670.49</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4,179,457.45</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按组合计提坏账 准备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14,692,409.95</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-4,351,515.28</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10" w:right="0"/>
              <w:jc w:val="left"/>
              <w:rPr>
                <w:rFonts w:ascii="Times New Roman" w:hAnsi="Times New Roman" w:cs="Times New Roman" w:eastAsia="Times New Roman" w:hint="default"/>
                <w:sz w:val="18"/>
                <w:szCs w:val="18"/>
              </w:rPr>
            </w:pPr>
            <w:r>
              <w:rPr>
                <w:rFonts w:ascii="Times New Roman"/>
                <w:sz w:val="18"/>
              </w:rPr>
              <w:t>377,182.72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9,963,711.95</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18,721,196.91</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-4,200,844.79</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377,182.72</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14,143,169.40</w:t>
            </w:r>
          </w:p>
        </w:tc>
      </w:tr>
    </w:tbl>
    <w:p>
      <w:pPr>
        <w:pStyle w:val="BodyText"/>
        <w:spacing w:line="240" w:lineRule="auto"/>
        <w:ind w:right="1086"/>
        <w:jc w:val="left"/>
      </w:pPr>
      <w:r>
        <w:rPr/>
        <w:t>其中本期坏账准备收回或转回金额重要的：</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6"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本期实际核销的应收账款情况" w:id="528"/>
      <w:bookmarkEnd w:id="52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391" w:hRule="exact"/>
        </w:trPr>
        <w:tc>
          <w:tcPr>
            <w:tcW w:w="4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377,182.72</w:t>
            </w:r>
          </w:p>
        </w:tc>
      </w:tr>
    </w:tbl>
    <w:p>
      <w:pPr>
        <w:pStyle w:val="BodyText"/>
        <w:spacing w:line="240" w:lineRule="auto"/>
        <w:ind w:right="1086"/>
        <w:jc w:val="left"/>
      </w:pPr>
      <w:r>
        <w:rPr/>
        <w:t>其中重要的应收账款核销情况：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1086"/>
        <w:jc w:val="left"/>
      </w:pPr>
      <w:r>
        <w:rPr/>
        <w:t>应收账款核销说明：</w:t>
      </w:r>
    </w:p>
    <w:p>
      <w:pPr>
        <w:spacing w:after="0" w:line="240" w:lineRule="auto"/>
        <w:jc w:val="left"/>
        <w:sectPr>
          <w:type w:val="continuous"/>
          <w:pgSz w:w="11910" w:h="16850"/>
          <w:pgMar w:top="1040" w:bottom="1180" w:left="1000" w:right="0"/>
        </w:sectPr>
      </w:pPr>
    </w:p>
    <w:p>
      <w:pPr>
        <w:spacing w:line="240" w:lineRule="auto" w:before="2"/>
        <w:rPr>
          <w:rFonts w:ascii="宋体" w:hAnsi="宋体" w:cs="宋体" w:eastAsia="宋体" w:hint="default"/>
          <w:sz w:val="22"/>
          <w:szCs w:val="22"/>
        </w:rPr>
      </w:pPr>
    </w:p>
    <w:p>
      <w:pPr>
        <w:pStyle w:val="Heading5"/>
        <w:spacing w:line="240" w:lineRule="auto" w:before="35"/>
        <w:ind w:right="1086"/>
        <w:jc w:val="left"/>
        <w:rPr>
          <w:b w:val="0"/>
          <w:bCs w:val="0"/>
        </w:rPr>
      </w:pPr>
      <w:bookmarkStart w:name="（4）按欠款方归集的期末余额前五名的应收账款情况" w:id="529"/>
      <w:bookmarkEnd w:id="52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22,571,517.71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18.53%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4,212,990.19</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22,332,774.84</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18.33%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1,462,257.93</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9,996,010.02</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8.20%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499,800.50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4,299,210.89</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3.53%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214,960.54</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4,179,457.45</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3.43%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4,179,457.45</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63,378,970.91</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52.02%</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5）因金融资产转移而终止确认的应收账款" w:id="530"/>
      <w:bookmarkEnd w:id="53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6）转移应收账款且继续涉入形成的资产、负债金额" w:id="531"/>
      <w:bookmarkEnd w:id="53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1086"/>
        <w:jc w:val="left"/>
        <w:rPr>
          <w:b w:val="0"/>
          <w:bCs w:val="0"/>
        </w:rPr>
      </w:pPr>
      <w:bookmarkStart w:name="2、其他应收款" w:id="532"/>
      <w:bookmarkEnd w:id="53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159,205,711.14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75,640,386.82</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159,205,711.14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75,640,386.82</w:t>
            </w:r>
          </w:p>
        </w:tc>
      </w:tr>
    </w:tbl>
    <w:p>
      <w:pPr>
        <w:spacing w:line="240" w:lineRule="auto" w:before="11"/>
        <w:rPr>
          <w:rFonts w:ascii="宋体" w:hAnsi="宋体" w:cs="宋体" w:eastAsia="宋体" w:hint="default"/>
          <w:sz w:val="19"/>
          <w:szCs w:val="19"/>
        </w:rPr>
      </w:pPr>
    </w:p>
    <w:p>
      <w:pPr>
        <w:pStyle w:val="Heading5"/>
        <w:spacing w:line="508" w:lineRule="auto" w:before="35"/>
        <w:ind w:right="8769"/>
        <w:jc w:val="left"/>
        <w:rPr>
          <w:b w:val="0"/>
          <w:bCs w:val="0"/>
        </w:rPr>
      </w:pPr>
      <w:bookmarkStart w:name="（1）应收利息" w:id="533"/>
      <w:bookmarkEnd w:id="533"/>
      <w:r>
        <w:rPr>
          <w:b w:val="0"/>
          <w:bCs w:val="0"/>
        </w:rPr>
      </w:r>
      <w:r>
        <w:rPr/>
        <w:t>（</w:t>
      </w:r>
      <w:r>
        <w:rPr>
          <w:rFonts w:ascii="Times New Roman" w:hAnsi="Times New Roman" w:cs="Times New Roman" w:eastAsia="Times New Roman" w:hint="default"/>
        </w:rPr>
        <w:t>1</w:t>
      </w:r>
      <w:r>
        <w:rPr/>
        <w:t>）应收利息</w:t>
      </w:r>
      <w:r>
        <w:rPr>
          <w:w w:val="99"/>
        </w:rPr>
        <w:t> </w:t>
      </w:r>
      <w:bookmarkStart w:name="1）应收利息分类" w:id="534"/>
      <w:bookmarkEnd w:id="534"/>
      <w:r>
        <w:rPr>
          <w:w w:val="99"/>
        </w:rPr>
      </w:r>
      <w:r>
        <w:rPr>
          <w:rFonts w:ascii="Times New Roman" w:hAnsi="Times New Roman" w:cs="Times New Roman" w:eastAsia="Times New Roman" w:hint="default"/>
          <w:w w:val="95"/>
        </w:rPr>
        <w:t>1</w:t>
      </w:r>
      <w:r>
        <w:rPr>
          <w:w w:val="95"/>
        </w:rPr>
        <w:t>）应收利息分类</w:t>
      </w:r>
      <w:r>
        <w:rPr>
          <w:b w:val="0"/>
          <w:bCs w:val="0"/>
        </w:rPr>
      </w:r>
    </w:p>
    <w:p>
      <w:pPr>
        <w:pStyle w:val="BodyText"/>
        <w:spacing w:line="240" w:lineRule="auto" w:before="6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重要逾期利息" w:id="535"/>
      <w:bookmarkEnd w:id="535"/>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45"/>
        <w:ind w:right="1086"/>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3）坏账准备计提情况" w:id="536"/>
      <w:bookmarkEnd w:id="53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866" w:footer="981" w:top="1120" w:bottom="1180" w:left="1000" w:right="0"/>
        </w:sectPr>
      </w:pPr>
    </w:p>
    <w:p>
      <w:pPr>
        <w:spacing w:line="240" w:lineRule="auto" w:before="2"/>
        <w:rPr>
          <w:rFonts w:ascii="宋体" w:hAnsi="宋体" w:cs="宋体" w:eastAsia="宋体" w:hint="default"/>
          <w:sz w:val="22"/>
          <w:szCs w:val="22"/>
        </w:rPr>
      </w:pPr>
    </w:p>
    <w:p>
      <w:pPr>
        <w:pStyle w:val="Heading5"/>
        <w:spacing w:line="496" w:lineRule="auto" w:before="35"/>
        <w:ind w:right="8769"/>
        <w:jc w:val="left"/>
        <w:rPr>
          <w:b w:val="0"/>
          <w:bCs w:val="0"/>
        </w:rPr>
      </w:pPr>
      <w:bookmarkStart w:name="（2）应收股利" w:id="537"/>
      <w:bookmarkEnd w:id="537"/>
      <w:r>
        <w:rPr>
          <w:b w:val="0"/>
          <w:bCs w:val="0"/>
        </w:rPr>
      </w:r>
      <w:r>
        <w:rPr/>
        <w:t>（</w:t>
      </w:r>
      <w:r>
        <w:rPr>
          <w:rFonts w:ascii="Times New Roman" w:hAnsi="Times New Roman" w:cs="Times New Roman" w:eastAsia="Times New Roman" w:hint="default"/>
        </w:rPr>
        <w:t>2</w:t>
      </w:r>
      <w:r>
        <w:rPr/>
        <w:t>）应收股利</w:t>
      </w:r>
      <w:r>
        <w:rPr>
          <w:w w:val="99"/>
        </w:rPr>
        <w:t> </w:t>
      </w:r>
      <w:bookmarkStart w:name="1）应收股利分类" w:id="538"/>
      <w:bookmarkEnd w:id="538"/>
      <w:r>
        <w:rPr>
          <w:w w:val="99"/>
        </w:rPr>
      </w:r>
      <w:r>
        <w:rPr>
          <w:rFonts w:ascii="Times New Roman" w:hAnsi="Times New Roman" w:cs="Times New Roman" w:eastAsia="Times New Roman" w:hint="default"/>
          <w:w w:val="95"/>
        </w:rPr>
        <w:t>1</w:t>
      </w:r>
      <w:r>
        <w:rPr>
          <w:w w:val="95"/>
        </w:rPr>
        <w:t>）应收股利分类</w:t>
      </w:r>
      <w:r>
        <w:rPr>
          <w:b w:val="0"/>
          <w:bCs w:val="0"/>
        </w:rPr>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9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重要的账龄超过1年的应收股利" w:id="539"/>
      <w:bookmarkEnd w:id="539"/>
      <w:r>
        <w:rPr>
          <w:b w:val="0"/>
          <w:bCs w:val="0"/>
        </w:rPr>
      </w:r>
      <w:r>
        <w:rPr>
          <w:rFonts w:ascii="Times New Roman" w:hAnsi="Times New Roman" w:cs="Times New Roman" w:eastAsia="Times New Roman" w:hint="default"/>
        </w:rPr>
        <w:t>2</w:t>
      </w:r>
      <w:r>
        <w:rPr/>
        <w:t>）重要的账龄超过</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年的应收股利</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0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81" w:right="45" w:hanging="721"/>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坏账准备计提情况" w:id="540"/>
      <w:bookmarkEnd w:id="540"/>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5"/>
        <w:rPr>
          <w:rFonts w:ascii="宋体" w:hAnsi="宋体" w:cs="宋体" w:eastAsia="宋体" w:hint="default"/>
          <w:b/>
          <w:bCs/>
          <w:sz w:val="26"/>
          <w:szCs w:val="26"/>
        </w:rPr>
      </w:pPr>
    </w:p>
    <w:p>
      <w:pPr>
        <w:pStyle w:val="BodyText"/>
        <w:spacing w:line="331" w:lineRule="auto" w:before="0"/>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spacing w:line="240" w:lineRule="auto" w:before="6"/>
        <w:rPr>
          <w:rFonts w:ascii="宋体" w:hAnsi="宋体" w:cs="宋体" w:eastAsia="宋体" w:hint="default"/>
          <w:sz w:val="23"/>
          <w:szCs w:val="23"/>
        </w:rPr>
      </w:pPr>
    </w:p>
    <w:p>
      <w:pPr>
        <w:pStyle w:val="Heading5"/>
        <w:spacing w:line="496" w:lineRule="auto"/>
        <w:ind w:right="7481"/>
        <w:jc w:val="left"/>
        <w:rPr>
          <w:b w:val="0"/>
          <w:bCs w:val="0"/>
        </w:rPr>
      </w:pPr>
      <w:bookmarkStart w:name="（3）其他应收款" w:id="541"/>
      <w:bookmarkEnd w:id="541"/>
      <w:r>
        <w:rPr>
          <w:b w:val="0"/>
          <w:bCs w:val="0"/>
        </w:rPr>
      </w:r>
      <w:r>
        <w:rPr/>
        <w:t>（</w:t>
      </w:r>
      <w:r>
        <w:rPr>
          <w:rFonts w:ascii="Times New Roman" w:hAnsi="Times New Roman" w:cs="Times New Roman" w:eastAsia="Times New Roman" w:hint="default"/>
        </w:rPr>
        <w:t>3</w:t>
      </w:r>
      <w:r>
        <w:rPr/>
        <w:t>）其他应收款</w:t>
      </w:r>
      <w:r>
        <w:rPr>
          <w:w w:val="99"/>
        </w:rPr>
        <w:t> </w:t>
      </w:r>
      <w:bookmarkStart w:name="1）其他应收款按款项性质分类情况" w:id="542"/>
      <w:bookmarkEnd w:id="542"/>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81"/>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54,519,064.55</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76,106,854.56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房租物管费、水电费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6,044,070.24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4,211,946.36</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3,150,253.24</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2,091,197.10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1,100,000.00</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117,791,591.09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2,100,521.01</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3,553,502.15</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184,705,500.13</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85,963,500.17</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坏账准备计提情况" w:id="543"/>
      <w:bookmarkEnd w:id="543"/>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652"/>
        <w:gridCol w:w="2103"/>
        <w:gridCol w:w="2102"/>
        <w:gridCol w:w="1802"/>
      </w:tblGrid>
      <w:tr>
        <w:trPr>
          <w:trHeight w:val="405"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5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5"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8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540"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645" w:right="0"/>
              <w:jc w:val="left"/>
              <w:rPr>
                <w:rFonts w:ascii="Times New Roman" w:hAnsi="Times New Roman" w:cs="Times New Roman" w:eastAsia="Times New Roman" w:hint="default"/>
                <w:sz w:val="18"/>
                <w:szCs w:val="18"/>
              </w:rPr>
            </w:pPr>
            <w:r>
              <w:rPr>
                <w:rFonts w:ascii="Times New Roman"/>
                <w:sz w:val="18"/>
              </w:rPr>
              <w:t>1,633,881.55</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11" w:right="0"/>
              <w:jc w:val="left"/>
              <w:rPr>
                <w:rFonts w:ascii="Times New Roman" w:hAnsi="Times New Roman" w:cs="Times New Roman" w:eastAsia="Times New Roman" w:hint="default"/>
                <w:sz w:val="18"/>
                <w:szCs w:val="18"/>
              </w:rPr>
            </w:pPr>
            <w:r>
              <w:rPr>
                <w:rFonts w:ascii="Times New Roman"/>
                <w:sz w:val="18"/>
              </w:rPr>
              <w:t>4,288,886.14</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111" w:right="0"/>
              <w:jc w:val="left"/>
              <w:rPr>
                <w:rFonts w:ascii="Times New Roman" w:hAnsi="Times New Roman" w:cs="Times New Roman" w:eastAsia="Times New Roman" w:hint="default"/>
                <w:sz w:val="18"/>
                <w:szCs w:val="18"/>
              </w:rPr>
            </w:pPr>
            <w:r>
              <w:rPr>
                <w:rFonts w:ascii="Times New Roman"/>
                <w:sz w:val="18"/>
              </w:rPr>
              <w:t>4,400,345.66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6" w:right="0"/>
              <w:jc w:val="left"/>
              <w:rPr>
                <w:rFonts w:ascii="Times New Roman" w:hAnsi="Times New Roman" w:cs="Times New Roman" w:eastAsia="Times New Roman" w:hint="default"/>
                <w:sz w:val="18"/>
                <w:szCs w:val="18"/>
              </w:rPr>
            </w:pPr>
            <w:r>
              <w:rPr>
                <w:rFonts w:ascii="Times New Roman"/>
                <w:sz w:val="18"/>
              </w:rPr>
              <w:t>10,323,113.35</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w:t>
            </w: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36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802"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转入第二阶段</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-744,783.48</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744,783.48</w:t>
            </w: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转入第三阶段</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-3,110,244.72</w:t>
            </w:r>
            <w:r>
              <w:rPr>
                <w:rFonts w:ascii="Times New Roman"/>
                <w:sz w:val="18"/>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3,110,244.72</w:t>
            </w:r>
          </w:p>
        </w:tc>
        <w:tc>
          <w:tcPr>
            <w:tcW w:w="180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6,527,783.96</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744,783.48</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11,926,682.18</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19,199,249.62</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889,098.07</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1,178,641.41</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1,954,834.50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4,022,573.98</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6,527,783.96</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1,489,566.97</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17,482,438.06</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25,499,788.99</w:t>
            </w:r>
          </w:p>
        </w:tc>
      </w:tr>
    </w:tbl>
    <w:p>
      <w:pPr>
        <w:pStyle w:val="BodyText"/>
        <w:spacing w:line="240" w:lineRule="auto"/>
        <w:ind w:right="1086"/>
        <w:jc w:val="left"/>
      </w:pPr>
      <w:r>
        <w:rPr/>
        <w:t>损失准备本期变动金额重大的账面余额变动情况</w:t>
      </w:r>
    </w:p>
    <w:p>
      <w:pPr>
        <w:pStyle w:val="BodyText"/>
        <w:spacing w:line="316" w:lineRule="auto" w:before="125"/>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67"/>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130,555,679.33</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14,895,669.69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31,102,447.22</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8,151,703.89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8,151,703.89</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184,705,500.13</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3）本期计提、收回或转回的坏账准备情况" w:id="544"/>
      <w:bookmarkEnd w:id="544"/>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before="0"/>
        <w:ind w:right="1086"/>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441"/>
        <w:gridCol w:w="1202"/>
        <w:gridCol w:w="1352"/>
        <w:gridCol w:w="1577"/>
      </w:tblGrid>
      <w:tr>
        <w:trPr>
          <w:trHeight w:val="405" w:hRule="exact"/>
        </w:trPr>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57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计提</w:t>
            </w:r>
          </w:p>
        </w:tc>
        <w:tc>
          <w:tcPr>
            <w:tcW w:w="144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5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6" w:space="0" w:color="000000"/>
              <w:bottom w:val="single" w:sz="6" w:space="0" w:color="000000"/>
              <w:right w:val="single" w:sz="6" w:space="0" w:color="000000"/>
            </w:tcBorders>
            <w:shd w:val="clear" w:color="auto" w:fill="D2D2D2"/>
          </w:tcPr>
          <w:p>
            <w:pPr/>
          </w:p>
        </w:tc>
      </w:tr>
    </w:tbl>
    <w:p>
      <w:pPr>
        <w:pStyle w:val="BodyText"/>
        <w:spacing w:line="240" w:lineRule="auto" w:before="14"/>
        <w:ind w:right="1086"/>
        <w:jc w:val="left"/>
      </w:pPr>
      <w:r>
        <w:rPr/>
        <w:t>本期计提坏账准备金额</w:t>
      </w:r>
      <w:r>
        <w:rPr>
          <w:rFonts w:ascii="Times New Roman" w:hAnsi="Times New Roman" w:cs="Times New Roman" w:eastAsia="Times New Roman" w:hint="default"/>
        </w:rPr>
        <w:t>1517667.64</w:t>
      </w:r>
      <w:r>
        <w:rPr/>
        <w:t>元，本期收回或转回坏账金额</w:t>
      </w:r>
      <w:r>
        <w:rPr>
          <w:rFonts w:ascii="Times New Roman" w:hAnsi="Times New Roman" w:cs="Times New Roman" w:eastAsia="Times New Roman" w:hint="default"/>
        </w:rPr>
        <w:t>0</w:t>
      </w:r>
      <w:r>
        <w:rPr/>
        <w:t>元。</w:t>
      </w:r>
    </w:p>
    <w:p>
      <w:pPr>
        <w:pStyle w:val="Heading3"/>
        <w:spacing w:line="240" w:lineRule="auto" w:before="140"/>
        <w:ind w:right="1086"/>
        <w:jc w:val="left"/>
        <w:rPr>
          <w:rFonts w:ascii="等线" w:hAnsi="等线" w:cs="等线" w:eastAsia="等线" w:hint="default"/>
        </w:rPr>
      </w:pPr>
      <w:r>
        <w:rPr>
          <w:rFonts w:ascii="等线" w:hAnsi="等线" w:cs="等线" w:eastAsia="等线" w:hint="default"/>
        </w:rPr>
        <w:t>其中本期坏账准备转回或收回金额重要的：</w:t>
      </w:r>
    </w:p>
    <w:p>
      <w:pPr>
        <w:spacing w:line="240" w:lineRule="auto" w:before="9"/>
        <w:rPr>
          <w:rFonts w:ascii="等线" w:hAnsi="等线" w:cs="等线" w:eastAsia="等线" w:hint="default"/>
          <w:sz w:val="14"/>
          <w:szCs w:val="14"/>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4）本期实际核销的其他应收款情况" w:id="545"/>
      <w:bookmarkEnd w:id="545"/>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ind w:right="1086"/>
        <w:jc w:val="left"/>
      </w:pPr>
      <w:r>
        <w:rPr/>
        <w:t>其中重要的其他应收款核销情况：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4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360"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540"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pStyle w:val="BodyText"/>
        <w:spacing w:line="240" w:lineRule="auto" w:before="45"/>
        <w:ind w:right="1086"/>
        <w:jc w:val="left"/>
      </w:pPr>
      <w:r>
        <w:rPr/>
        <w:t>其他应收款核销说明：</w:t>
      </w:r>
    </w:p>
    <w:p>
      <w:pPr>
        <w:spacing w:line="240" w:lineRule="auto" w:before="0"/>
        <w:rPr>
          <w:rFonts w:ascii="宋体" w:hAnsi="宋体" w:cs="宋体" w:eastAsia="宋体" w:hint="default"/>
          <w:sz w:val="18"/>
          <w:szCs w:val="18"/>
        </w:rPr>
      </w:pPr>
    </w:p>
    <w:p>
      <w:pPr>
        <w:pStyle w:val="Heading5"/>
        <w:spacing w:line="240" w:lineRule="auto" w:before="139"/>
        <w:ind w:right="1086"/>
        <w:jc w:val="left"/>
        <w:rPr>
          <w:b w:val="0"/>
          <w:bCs w:val="0"/>
        </w:rPr>
      </w:pPr>
      <w:bookmarkStart w:name="5）按欠款方归集的期末余额前五名的其他应收款情况" w:id="546"/>
      <w:bookmarkEnd w:id="546"/>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医惠科技有限公司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57,065,309.59</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30.90%</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2,853,265.48</w:t>
            </w:r>
          </w:p>
        </w:tc>
      </w:tr>
      <w:tr>
        <w:trPr>
          <w:trHeight w:val="72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杭州思越科技有限公 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53,968,691.52</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29.22%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2,698,434.58</w:t>
            </w:r>
          </w:p>
        </w:tc>
      </w:tr>
      <w:tr>
        <w:trPr>
          <w:trHeight w:val="7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30"/>
              <w:jc w:val="left"/>
              <w:rPr>
                <w:rFonts w:ascii="宋体" w:hAnsi="宋体" w:cs="宋体" w:eastAsia="宋体" w:hint="default"/>
                <w:sz w:val="18"/>
                <w:szCs w:val="18"/>
              </w:rPr>
            </w:pPr>
            <w:r>
              <w:rPr>
                <w:rFonts w:ascii="宋体" w:hAnsi="宋体" w:cs="宋体" w:eastAsia="宋体" w:hint="default"/>
                <w:sz w:val="18"/>
                <w:szCs w:val="18"/>
              </w:rPr>
              <w:t>杭州思创汇联科技有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41,764,166.64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23.14%</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17,353,900.73</w:t>
            </w:r>
          </w:p>
        </w:tc>
      </w:tr>
      <w:tr>
        <w:trPr>
          <w:trHeight w:val="72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杭州思创汇联科技有 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978,422.64</w:t>
            </w:r>
          </w:p>
        </w:tc>
        <w:tc>
          <w:tcPr>
            <w:tcW w:w="156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杭州医惠医用织物管 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12,754,897.91</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6.91%</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1,203,467.92</w:t>
            </w:r>
          </w:p>
        </w:tc>
      </w:tr>
      <w:tr>
        <w:trPr>
          <w:trHeight w:val="72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30"/>
              <w:jc w:val="left"/>
              <w:rPr>
                <w:rFonts w:ascii="宋体" w:hAnsi="宋体" w:cs="宋体" w:eastAsia="宋体" w:hint="default"/>
                <w:sz w:val="18"/>
                <w:szCs w:val="18"/>
              </w:rPr>
            </w:pPr>
            <w:r>
              <w:rPr>
                <w:rFonts w:ascii="宋体" w:hAnsi="宋体" w:cs="宋体" w:eastAsia="宋体" w:hint="default"/>
                <w:sz w:val="18"/>
                <w:szCs w:val="18"/>
              </w:rPr>
              <w:t>杭州医惠医用织物管 理有限公司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关联方往来款</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15,000.00</w:t>
            </w:r>
          </w:p>
        </w:tc>
        <w:tc>
          <w:tcPr>
            <w:tcW w:w="156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30"/>
              <w:jc w:val="left"/>
              <w:rPr>
                <w:rFonts w:ascii="宋体" w:hAnsi="宋体" w:cs="宋体" w:eastAsia="宋体" w:hint="default"/>
                <w:sz w:val="18"/>
                <w:szCs w:val="18"/>
              </w:rPr>
            </w:pPr>
            <w:r>
              <w:rPr>
                <w:rFonts w:ascii="宋体" w:hAnsi="宋体" w:cs="宋体" w:eastAsia="宋体" w:hint="default"/>
                <w:sz w:val="18"/>
                <w:szCs w:val="18"/>
              </w:rPr>
              <w:t>杭州思创医惠孵化器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76"/>
              <w:jc w:val="left"/>
              <w:rPr>
                <w:rFonts w:ascii="宋体" w:hAnsi="宋体" w:cs="宋体" w:eastAsia="宋体" w:hint="default"/>
                <w:sz w:val="18"/>
                <w:szCs w:val="18"/>
              </w:rPr>
            </w:pPr>
            <w:r>
              <w:rPr>
                <w:rFonts w:ascii="宋体" w:hAnsi="宋体" w:cs="宋体" w:eastAsia="宋体" w:hint="default"/>
                <w:sz w:val="18"/>
                <w:szCs w:val="18"/>
              </w:rPr>
              <w:t>房租物管费、水电 费</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6,044,070.24</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3.28%</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303,373.17</w:t>
            </w:r>
          </w:p>
        </w:tc>
      </w:tr>
      <w:tr>
        <w:trPr>
          <w:trHeight w:val="7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30"/>
              <w:jc w:val="left"/>
              <w:rPr>
                <w:rFonts w:ascii="宋体" w:hAnsi="宋体" w:cs="宋体" w:eastAsia="宋体" w:hint="default"/>
                <w:sz w:val="18"/>
                <w:szCs w:val="18"/>
              </w:rPr>
            </w:pPr>
            <w:r>
              <w:rPr>
                <w:rFonts w:ascii="宋体" w:hAnsi="宋体" w:cs="宋体" w:eastAsia="宋体" w:hint="default"/>
                <w:sz w:val="18"/>
                <w:szCs w:val="18"/>
              </w:rPr>
              <w:t>杭州思创医惠孵化器 有限公司</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23,393.15</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07"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172,613,951.69</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93.45%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24,412,441.88</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6）涉及政府补助的应收款项" w:id="547"/>
      <w:bookmarkEnd w:id="547"/>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027"/>
        <w:gridCol w:w="1863"/>
        <w:gridCol w:w="1877"/>
        <w:gridCol w:w="1862"/>
        <w:gridCol w:w="1952"/>
      </w:tblGrid>
      <w:tr>
        <w:trPr>
          <w:trHeight w:val="706" w:hRule="exact"/>
        </w:trPr>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06" w:right="60"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7）因金融资产转移而终止确认的其他应收款" w:id="548"/>
      <w:bookmarkEnd w:id="548"/>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8）转移其他应收款且继续涉入形成的资产、负债金额" w:id="549"/>
      <w:bookmarkEnd w:id="549"/>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t>其他说明：</w:t>
      </w:r>
    </w:p>
    <w:p>
      <w:pPr>
        <w:pStyle w:val="Heading6"/>
        <w:spacing w:line="240" w:lineRule="auto" w:before="105"/>
        <w:ind w:left="561" w:right="0"/>
        <w:jc w:val="left"/>
      </w:pPr>
      <w:r>
        <w:rPr>
          <w:rFonts w:ascii="Times New Roman" w:hAnsi="Times New Roman" w:cs="Times New Roman" w:eastAsia="Times New Roman" w:hint="default"/>
          <w:spacing w:val="5"/>
          <w:w w:val="99"/>
        </w:rPr>
        <w:t>[</w:t>
      </w:r>
      <w:r>
        <w:rPr>
          <w:w w:val="99"/>
        </w:rPr>
        <w:t>注</w:t>
      </w:r>
      <w:r>
        <w:rPr>
          <w:rFonts w:ascii="Times New Roman" w:hAnsi="Times New Roman" w:cs="Times New Roman" w:eastAsia="Times New Roman" w:hint="default"/>
          <w:w w:val="99"/>
        </w:rPr>
        <w:t>1</w:t>
      </w:r>
      <w:r>
        <w:rPr>
          <w:rFonts w:ascii="Times New Roman" w:hAnsi="Times New Roman" w:cs="Times New Roman" w:eastAsia="Times New Roman" w:hint="default"/>
          <w:spacing w:val="4"/>
          <w:w w:val="99"/>
        </w:rPr>
        <w:t>]</w:t>
      </w:r>
      <w:r>
        <w:rPr>
          <w:spacing w:val="-91"/>
          <w:w w:val="99"/>
        </w:rPr>
        <w:t>：</w:t>
      </w:r>
      <w:r>
        <w:rPr>
          <w:w w:val="99"/>
        </w:rPr>
        <w:t>账龄</w:t>
      </w:r>
      <w:r>
        <w:rPr>
          <w:rFonts w:ascii="Times New Roman" w:hAnsi="Times New Roman" w:cs="Times New Roman" w:eastAsia="Times New Roman" w:hint="default"/>
          <w:w w:val="99"/>
        </w:rPr>
        <w:t>1</w:t>
      </w:r>
      <w:r>
        <w:rPr>
          <w:w w:val="99"/>
        </w:rPr>
        <w:t>年以内金额</w:t>
      </w:r>
      <w:r>
        <w:rPr>
          <w:spacing w:val="-2"/>
          <w:w w:val="99"/>
        </w:rPr>
        <w:t>为</w:t>
      </w:r>
      <w:r>
        <w:rPr>
          <w:rFonts w:ascii="Times New Roman" w:hAnsi="Times New Roman" w:cs="Times New Roman" w:eastAsia="Times New Roman" w:hint="default"/>
          <w:spacing w:val="-15"/>
          <w:w w:val="99"/>
        </w:rPr>
        <w:t>1</w:t>
      </w:r>
      <w:r>
        <w:rPr>
          <w:rFonts w:ascii="Times New Roman" w:hAnsi="Times New Roman" w:cs="Times New Roman" w:eastAsia="Times New Roman" w:hint="default"/>
          <w:spacing w:val="7"/>
          <w:w w:val="99"/>
        </w:rPr>
        <w:t>,</w:t>
      </w:r>
      <w:r>
        <w:rPr>
          <w:rFonts w:ascii="Times New Roman" w:hAnsi="Times New Roman" w:cs="Times New Roman" w:eastAsia="Times New Roman" w:hint="default"/>
          <w:w w:val="99"/>
        </w:rPr>
        <w:t>770</w:t>
      </w:r>
      <w:r>
        <w:rPr>
          <w:rFonts w:ascii="Times New Roman" w:hAnsi="Times New Roman" w:cs="Times New Roman" w:eastAsia="Times New Roman" w:hint="default"/>
          <w:spacing w:val="7"/>
          <w:w w:val="99"/>
        </w:rPr>
        <w:t>,</w:t>
      </w:r>
      <w:r>
        <w:rPr>
          <w:rFonts w:ascii="Times New Roman" w:hAnsi="Times New Roman" w:cs="Times New Roman" w:eastAsia="Times New Roman" w:hint="default"/>
          <w:w w:val="99"/>
        </w:rPr>
        <w:t>16</w:t>
      </w:r>
      <w:r>
        <w:rPr>
          <w:rFonts w:ascii="Times New Roman" w:hAnsi="Times New Roman" w:cs="Times New Roman" w:eastAsia="Times New Roman" w:hint="default"/>
          <w:spacing w:val="-15"/>
          <w:w w:val="99"/>
        </w:rPr>
        <w:t>2</w:t>
      </w:r>
      <w:r>
        <w:rPr>
          <w:rFonts w:ascii="Times New Roman" w:hAnsi="Times New Roman" w:cs="Times New Roman" w:eastAsia="Times New Roman" w:hint="default"/>
          <w:spacing w:val="7"/>
          <w:w w:val="99"/>
        </w:rPr>
        <w:t>.</w:t>
      </w:r>
      <w:r>
        <w:rPr>
          <w:rFonts w:ascii="Times New Roman" w:hAnsi="Times New Roman" w:cs="Times New Roman" w:eastAsia="Times New Roman" w:hint="default"/>
          <w:w w:val="99"/>
        </w:rPr>
        <w:t>62 </w:t>
      </w:r>
      <w:r>
        <w:rPr>
          <w:rFonts w:ascii="Times New Roman" w:hAnsi="Times New Roman" w:cs="Times New Roman" w:eastAsia="Times New Roman" w:hint="default"/>
          <w:spacing w:val="-14"/>
          <w:w w:val="99"/>
        </w:rPr>
        <w:t> </w:t>
      </w:r>
      <w:r>
        <w:rPr>
          <w:w w:val="99"/>
        </w:rPr>
        <w:t>元</w:t>
      </w:r>
      <w:r>
        <w:rPr>
          <w:spacing w:val="-91"/>
          <w:w w:val="99"/>
        </w:rPr>
        <w:t>，</w:t>
      </w:r>
      <w:r>
        <w:rPr>
          <w:rFonts w:ascii="Times New Roman" w:hAnsi="Times New Roman" w:cs="Times New Roman" w:eastAsia="Times New Roman" w:hint="default"/>
          <w:spacing w:val="-15"/>
          <w:w w:val="99"/>
        </w:rPr>
        <w:t>1</w:t>
      </w:r>
      <w:r>
        <w:rPr>
          <w:rFonts w:ascii="Times New Roman" w:hAnsi="Times New Roman" w:cs="Times New Roman" w:eastAsia="Times New Roman" w:hint="default"/>
          <w:spacing w:val="5"/>
          <w:w w:val="99"/>
        </w:rPr>
        <w:t>-</w:t>
      </w:r>
      <w:r>
        <w:rPr>
          <w:rFonts w:ascii="Times New Roman" w:hAnsi="Times New Roman" w:cs="Times New Roman" w:eastAsia="Times New Roman" w:hint="default"/>
          <w:w w:val="99"/>
        </w:rPr>
        <w:t>2</w:t>
      </w:r>
      <w:r>
        <w:rPr>
          <w:w w:val="99"/>
        </w:rPr>
        <w:t>年金额</w:t>
      </w:r>
      <w:r>
        <w:rPr>
          <w:spacing w:val="-1"/>
          <w:w w:val="99"/>
        </w:rPr>
        <w:t>为</w:t>
      </w:r>
      <w:r>
        <w:rPr>
          <w:rFonts w:ascii="Times New Roman" w:hAnsi="Times New Roman" w:cs="Times New Roman" w:eastAsia="Times New Roman" w:hint="default"/>
          <w:w w:val="99"/>
        </w:rPr>
        <w:t>2</w:t>
      </w:r>
      <w:r>
        <w:rPr>
          <w:rFonts w:ascii="Times New Roman" w:hAnsi="Times New Roman" w:cs="Times New Roman" w:eastAsia="Times New Roman" w:hint="default"/>
          <w:spacing w:val="7"/>
          <w:w w:val="99"/>
        </w:rPr>
        <w:t>,</w:t>
      </w:r>
      <w:r>
        <w:rPr>
          <w:rFonts w:ascii="Times New Roman" w:hAnsi="Times New Roman" w:cs="Times New Roman" w:eastAsia="Times New Roman" w:hint="default"/>
          <w:w w:val="99"/>
        </w:rPr>
        <w:t>75</w:t>
      </w:r>
      <w:r>
        <w:rPr>
          <w:rFonts w:ascii="Times New Roman" w:hAnsi="Times New Roman" w:cs="Times New Roman" w:eastAsia="Times New Roman" w:hint="default"/>
          <w:spacing w:val="-15"/>
          <w:w w:val="99"/>
        </w:rPr>
        <w:t>1</w:t>
      </w:r>
      <w:r>
        <w:rPr>
          <w:rFonts w:ascii="Times New Roman" w:hAnsi="Times New Roman" w:cs="Times New Roman" w:eastAsia="Times New Roman" w:hint="default"/>
          <w:spacing w:val="7"/>
          <w:w w:val="99"/>
        </w:rPr>
        <w:t>,</w:t>
      </w:r>
      <w:r>
        <w:rPr>
          <w:rFonts w:ascii="Times New Roman" w:hAnsi="Times New Roman" w:cs="Times New Roman" w:eastAsia="Times New Roman" w:hint="default"/>
          <w:w w:val="99"/>
        </w:rPr>
        <w:t>093</w:t>
      </w:r>
      <w:r>
        <w:rPr>
          <w:rFonts w:ascii="Times New Roman" w:hAnsi="Times New Roman" w:cs="Times New Roman" w:eastAsia="Times New Roman" w:hint="default"/>
          <w:spacing w:val="7"/>
          <w:w w:val="99"/>
        </w:rPr>
        <w:t>.</w:t>
      </w:r>
      <w:r>
        <w:rPr>
          <w:rFonts w:ascii="Times New Roman" w:hAnsi="Times New Roman" w:cs="Times New Roman" w:eastAsia="Times New Roman" w:hint="default"/>
          <w:w w:val="99"/>
        </w:rPr>
        <w:t>34</w:t>
      </w:r>
      <w:r>
        <w:rPr>
          <w:rFonts w:ascii="Times New Roman" w:hAnsi="Times New Roman" w:cs="Times New Roman" w:eastAsia="Times New Roman" w:hint="default"/>
          <w:spacing w:val="24"/>
          <w:w w:val="99"/>
        </w:rPr>
        <w:t> </w:t>
      </w:r>
      <w:r>
        <w:rPr>
          <w:w w:val="99"/>
        </w:rPr>
        <w:t>元</w:t>
      </w:r>
      <w:r>
        <w:rPr>
          <w:spacing w:val="-91"/>
          <w:w w:val="99"/>
        </w:rPr>
        <w:t>，</w:t>
      </w:r>
      <w:r>
        <w:rPr>
          <w:rFonts w:ascii="Times New Roman" w:hAnsi="Times New Roman" w:cs="Times New Roman" w:eastAsia="Times New Roman" w:hint="default"/>
          <w:w w:val="99"/>
        </w:rPr>
        <w:t>2</w:t>
      </w:r>
      <w:r>
        <w:rPr>
          <w:rFonts w:ascii="Times New Roman" w:hAnsi="Times New Roman" w:cs="Times New Roman" w:eastAsia="Times New Roman" w:hint="default"/>
          <w:spacing w:val="5"/>
          <w:w w:val="99"/>
        </w:rPr>
        <w:t>-</w:t>
      </w:r>
      <w:r>
        <w:rPr>
          <w:rFonts w:ascii="Times New Roman" w:hAnsi="Times New Roman" w:cs="Times New Roman" w:eastAsia="Times New Roman" w:hint="default"/>
          <w:w w:val="99"/>
        </w:rPr>
        <w:t>3</w:t>
      </w:r>
      <w:r>
        <w:rPr>
          <w:w w:val="99"/>
        </w:rPr>
        <w:t>年金额</w:t>
      </w:r>
      <w:r>
        <w:rPr>
          <w:spacing w:val="-1"/>
          <w:w w:val="99"/>
        </w:rPr>
        <w:t>为</w:t>
      </w:r>
      <w:r>
        <w:rPr>
          <w:rFonts w:ascii="Times New Roman" w:hAnsi="Times New Roman" w:cs="Times New Roman" w:eastAsia="Times New Roman" w:hint="default"/>
          <w:w w:val="99"/>
        </w:rPr>
        <w:t>3</w:t>
      </w:r>
      <w:r>
        <w:rPr>
          <w:rFonts w:ascii="Times New Roman" w:hAnsi="Times New Roman" w:cs="Times New Roman" w:eastAsia="Times New Roman" w:hint="default"/>
          <w:spacing w:val="-15"/>
          <w:w w:val="99"/>
        </w:rPr>
        <w:t>0</w:t>
      </w:r>
      <w:r>
        <w:rPr>
          <w:rFonts w:ascii="Times New Roman" w:hAnsi="Times New Roman" w:cs="Times New Roman" w:eastAsia="Times New Roman" w:hint="default"/>
          <w:spacing w:val="7"/>
          <w:w w:val="99"/>
        </w:rPr>
        <w:t>,</w:t>
      </w:r>
      <w:r>
        <w:rPr>
          <w:rFonts w:ascii="Times New Roman" w:hAnsi="Times New Roman" w:cs="Times New Roman" w:eastAsia="Times New Roman" w:hint="default"/>
          <w:w w:val="99"/>
        </w:rPr>
        <w:t>330</w:t>
      </w:r>
      <w:r>
        <w:rPr>
          <w:rFonts w:ascii="Times New Roman" w:hAnsi="Times New Roman" w:cs="Times New Roman" w:eastAsia="Times New Roman" w:hint="default"/>
          <w:spacing w:val="7"/>
          <w:w w:val="99"/>
        </w:rPr>
        <w:t>,</w:t>
      </w:r>
      <w:r>
        <w:rPr>
          <w:rFonts w:ascii="Times New Roman" w:hAnsi="Times New Roman" w:cs="Times New Roman" w:eastAsia="Times New Roman" w:hint="default"/>
          <w:w w:val="99"/>
        </w:rPr>
        <w:t>07</w:t>
      </w:r>
      <w:r>
        <w:rPr>
          <w:rFonts w:ascii="Times New Roman" w:hAnsi="Times New Roman" w:cs="Times New Roman" w:eastAsia="Times New Roman" w:hint="default"/>
          <w:spacing w:val="-15"/>
          <w:w w:val="99"/>
        </w:rPr>
        <w:t>1</w:t>
      </w:r>
      <w:r>
        <w:rPr>
          <w:rFonts w:ascii="Times New Roman" w:hAnsi="Times New Roman" w:cs="Times New Roman" w:eastAsia="Times New Roman" w:hint="default"/>
          <w:spacing w:val="7"/>
          <w:w w:val="99"/>
        </w:rPr>
        <w:t>.</w:t>
      </w:r>
      <w:r>
        <w:rPr>
          <w:rFonts w:ascii="Times New Roman" w:hAnsi="Times New Roman" w:cs="Times New Roman" w:eastAsia="Times New Roman" w:hint="default"/>
          <w:w w:val="99"/>
        </w:rPr>
        <w:t>51 </w:t>
      </w:r>
      <w:r>
        <w:rPr>
          <w:rFonts w:ascii="Times New Roman" w:hAnsi="Times New Roman" w:cs="Times New Roman" w:eastAsia="Times New Roman" w:hint="default"/>
          <w:spacing w:val="-14"/>
          <w:w w:val="99"/>
        </w:rPr>
        <w:t> </w:t>
      </w:r>
      <w:r>
        <w:rPr>
          <w:w w:val="99"/>
        </w:rPr>
        <w:t>元，</w:t>
      </w:r>
      <w:r>
        <w:rPr/>
      </w:r>
    </w:p>
    <w:p>
      <w:pPr>
        <w:pStyle w:val="Heading6"/>
        <w:spacing w:line="240" w:lineRule="auto" w:before="9"/>
        <w:ind w:right="1086"/>
        <w:jc w:val="left"/>
      </w:pPr>
      <w:r>
        <w:rPr>
          <w:rFonts w:ascii="Times New Roman" w:hAnsi="Times New Roman" w:cs="Times New Roman" w:eastAsia="Times New Roman" w:hint="default"/>
        </w:rPr>
        <w:t>3</w:t>
      </w:r>
      <w:r>
        <w:rPr/>
        <w:t>年以上金额为</w:t>
      </w:r>
      <w:r>
        <w:rPr>
          <w:rFonts w:ascii="Times New Roman" w:hAnsi="Times New Roman" w:cs="Times New Roman" w:eastAsia="Times New Roman" w:hint="default"/>
        </w:rPr>
        <w:t>7,891,261.81</w:t>
      </w:r>
      <w:r>
        <w:rPr>
          <w:rFonts w:ascii="Times New Roman" w:hAnsi="Times New Roman" w:cs="Times New Roman" w:eastAsia="Times New Roman" w:hint="default"/>
          <w:spacing w:val="43"/>
        </w:rPr>
        <w:t> </w:t>
      </w:r>
      <w:r>
        <w:rPr/>
        <w:t>元。</w:t>
      </w:r>
    </w:p>
    <w:p>
      <w:pPr>
        <w:pStyle w:val="Heading6"/>
        <w:spacing w:line="240" w:lineRule="auto" w:before="24"/>
        <w:ind w:left="561" w:right="1086"/>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：账龄</w:t>
      </w:r>
      <w:r>
        <w:rPr>
          <w:rFonts w:ascii="Times New Roman" w:hAnsi="Times New Roman" w:cs="Times New Roman" w:eastAsia="Times New Roman" w:hint="default"/>
        </w:rPr>
        <w:t>1</w:t>
      </w:r>
      <w:r>
        <w:rPr/>
        <w:t>年以内金额为</w:t>
      </w:r>
      <w:r>
        <w:rPr>
          <w:rFonts w:ascii="Times New Roman" w:hAnsi="Times New Roman" w:cs="Times New Roman" w:eastAsia="Times New Roman" w:hint="default"/>
        </w:rPr>
        <w:t>1,470,437.50  </w:t>
      </w:r>
      <w:r>
        <w:rPr/>
        <w:t>元，</w:t>
      </w:r>
      <w:r>
        <w:rPr>
          <w:rFonts w:ascii="Times New Roman" w:hAnsi="Times New Roman" w:cs="Times New Roman" w:eastAsia="Times New Roman" w:hint="default"/>
        </w:rPr>
        <w:t>1-2</w:t>
      </w:r>
      <w:r>
        <w:rPr/>
        <w:t>年金额为</w:t>
      </w:r>
      <w:r>
        <w:rPr>
          <w:rFonts w:ascii="Times New Roman" w:hAnsi="Times New Roman" w:cs="Times New Roman" w:eastAsia="Times New Roman" w:hint="default"/>
        </w:rPr>
        <w:t>11,299,460.41</w:t>
      </w:r>
      <w:r>
        <w:rPr>
          <w:rFonts w:ascii="Times New Roman" w:hAnsi="Times New Roman" w:cs="Times New Roman" w:eastAsia="Times New Roman" w:hint="default"/>
          <w:spacing w:val="16"/>
        </w:rPr>
        <w:t> </w:t>
      </w:r>
      <w:r>
        <w:rPr/>
        <w:t>元</w:t>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3、长期股权投资" w:id="550"/>
      <w:bookmarkEnd w:id="550"/>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5"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1,553,200,611.03</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1,553,200,611.03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1,586,900,611.03</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1,586,900,611.03</w:t>
            </w: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68"/>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293,355,524.98</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293,355,524.98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275,888,269.85</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275,888,269.85</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1,846,556,136.01</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1,846,556,136.01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1,862,788,880.88</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1,862,788,880.88</w:t>
            </w: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1）对子公司投资" w:id="551"/>
      <w:bookmarkEnd w:id="551"/>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5"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104"/>
              <w:ind w:left="285"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104"/>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89"/>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5"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杭州思越科技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49"/>
              <w:jc w:val="both"/>
              <w:rPr>
                <w:rFonts w:ascii="宋体" w:hAnsi="宋体" w:cs="宋体" w:eastAsia="宋体" w:hint="default"/>
                <w:sz w:val="18"/>
                <w:szCs w:val="18"/>
              </w:rPr>
            </w:pPr>
            <w:r>
              <w:rPr>
                <w:rFonts w:ascii="宋体" w:hAnsi="宋体" w:cs="宋体" w:eastAsia="宋体" w:hint="default"/>
                <w:sz w:val="18"/>
                <w:szCs w:val="18"/>
              </w:rPr>
              <w:t>杭州中瑞思创 物联科技有限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29,269,199.42</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29,269,199.42</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
              <w:jc w:val="left"/>
              <w:rPr>
                <w:rFonts w:ascii="宋体" w:hAnsi="宋体" w:cs="宋体" w:eastAsia="宋体" w:hint="default"/>
                <w:sz w:val="18"/>
                <w:szCs w:val="18"/>
              </w:rPr>
            </w:pPr>
            <w:r>
              <w:rPr>
                <w:rFonts w:ascii="宋体" w:hAnsi="宋体" w:cs="宋体" w:eastAsia="宋体" w:hint="default"/>
                <w:sz w:val="18"/>
                <w:szCs w:val="18"/>
              </w:rPr>
              <w:t>中瑞思创（香 </w:t>
            </w:r>
            <w:r>
              <w:rPr>
                <w:rFonts w:ascii="宋体" w:hAnsi="宋体" w:cs="宋体" w:eastAsia="宋体" w:hint="default"/>
                <w:spacing w:val="-7"/>
                <w:sz w:val="18"/>
                <w:szCs w:val="18"/>
              </w:rPr>
              <w:t>港）国际有限公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9,815,780.34</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9,815,780.34</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杭州中科思创 射频识别技术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4,500,000.00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杭州思创汇联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200,000,000.0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上扬无线射频 科技扬州有限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160,000,000.0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both"/>
              <w:rPr>
                <w:rFonts w:ascii="宋体" w:hAnsi="宋体" w:cs="宋体" w:eastAsia="宋体" w:hint="default"/>
                <w:sz w:val="18"/>
                <w:szCs w:val="18"/>
              </w:rPr>
            </w:pPr>
            <w:r>
              <w:rPr>
                <w:rFonts w:ascii="宋体" w:hAnsi="宋体" w:cs="宋体" w:eastAsia="宋体" w:hint="default"/>
                <w:sz w:val="18"/>
                <w:szCs w:val="18"/>
              </w:rPr>
              <w:t>杭州思创宣道 信息技术有限 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4,500,000.00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4,500,000.00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浙江省沃森智 慧医疗研究院</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2,000,000.00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杭州华洁医疗 科技有限公司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25,000,000.00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杭州医惠医用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78" w:right="0"/>
              <w:jc w:val="center"/>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149"/>
              <w:jc w:val="left"/>
              <w:rPr>
                <w:rFonts w:ascii="宋体" w:hAnsi="宋体" w:cs="宋体" w:eastAsia="宋体" w:hint="default"/>
                <w:sz w:val="18"/>
                <w:szCs w:val="18"/>
              </w:rPr>
            </w:pPr>
            <w:r>
              <w:rPr>
                <w:rFonts w:ascii="宋体" w:hAnsi="宋体" w:cs="宋体" w:eastAsia="宋体" w:hint="default"/>
                <w:sz w:val="18"/>
                <w:szCs w:val="18"/>
              </w:rPr>
              <w:t>织物管理有限 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149"/>
              <w:jc w:val="both"/>
              <w:rPr>
                <w:rFonts w:ascii="宋体" w:hAnsi="宋体" w:cs="宋体" w:eastAsia="宋体" w:hint="default"/>
                <w:sz w:val="18"/>
                <w:szCs w:val="18"/>
              </w:rPr>
            </w:pPr>
            <w:r>
              <w:rPr>
                <w:rFonts w:ascii="宋体" w:hAnsi="宋体" w:cs="宋体" w:eastAsia="宋体" w:hint="default"/>
                <w:sz w:val="18"/>
                <w:szCs w:val="18"/>
              </w:rPr>
              <w:t>杭州思创医惠 孵化器有限公 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杭州认知投资 管理有限公司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8" w:right="0"/>
              <w:jc w:val="center"/>
              <w:rPr>
                <w:rFonts w:ascii="Times New Roman" w:hAnsi="Times New Roman" w:cs="Times New Roman" w:eastAsia="Times New Roman" w:hint="default"/>
                <w:sz w:val="18"/>
                <w:szCs w:val="18"/>
              </w:rPr>
            </w:pPr>
            <w:r>
              <w:rPr>
                <w:rFonts w:ascii="Times New Roman"/>
                <w:sz w:val="18"/>
              </w:rPr>
              <w:t>1,100,000.00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医惠科技公司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1,087,240,000.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1,087,240,000.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杭州琅玕科技 有限公司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31,200,000.00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31,200,000.00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思创超讯公司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8" w:right="0"/>
              <w:jc w:val="center"/>
              <w:rPr>
                <w:rFonts w:ascii="Times New Roman" w:hAnsi="Times New Roman" w:cs="Times New Roman" w:eastAsia="Times New Roman" w:hint="default"/>
                <w:sz w:val="18"/>
                <w:szCs w:val="18"/>
              </w:rPr>
            </w:pPr>
            <w:r>
              <w:rPr>
                <w:rFonts w:ascii="Times New Roman"/>
                <w:sz w:val="18"/>
              </w:rPr>
              <w:t>17,275,631.27</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17,275,631.27</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新昌医惠数字 科技有限公司</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w:t>
            </w: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1,586,900,611.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03</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2,000,000.00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35,700,000.00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1,553,200,611.</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03</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1086"/>
        <w:jc w:val="left"/>
        <w:rPr>
          <w:b w:val="0"/>
          <w:bCs w:val="0"/>
        </w:rPr>
      </w:pPr>
      <w:bookmarkStart w:name="（2）对联营、合营企业投资" w:id="552"/>
      <w:bookmarkEnd w:id="552"/>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04" w:lineRule="auto"/>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瑞章公司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45" w:right="0"/>
              <w:jc w:val="left"/>
              <w:rPr>
                <w:rFonts w:ascii="Times New Roman" w:hAnsi="Times New Roman" w:cs="Times New Roman" w:eastAsia="Times New Roman" w:hint="default"/>
                <w:sz w:val="18"/>
                <w:szCs w:val="18"/>
              </w:rPr>
            </w:pPr>
            <w:r>
              <w:rPr>
                <w:rFonts w:ascii="Times New Roman"/>
                <w:sz w:val="18"/>
              </w:rPr>
              <w:t>63,299,90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7.43</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59" w:right="0"/>
              <w:jc w:val="left"/>
              <w:rPr>
                <w:rFonts w:ascii="Times New Roman" w:hAnsi="Times New Roman" w:cs="Times New Roman" w:eastAsia="Times New Roman" w:hint="default"/>
                <w:sz w:val="18"/>
                <w:szCs w:val="18"/>
              </w:rPr>
            </w:pPr>
            <w:r>
              <w:rPr>
                <w:rFonts w:ascii="Times New Roman"/>
                <w:sz w:val="18"/>
              </w:rPr>
              <w:t>-3,204,53</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7.81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0"/>
              <w:jc w:val="right"/>
              <w:rPr>
                <w:rFonts w:ascii="Times New Roman" w:hAnsi="Times New Roman" w:cs="Times New Roman" w:eastAsia="Times New Roman" w:hint="default"/>
                <w:sz w:val="18"/>
                <w:szCs w:val="18"/>
              </w:rPr>
            </w:pPr>
            <w:r>
              <w:rPr>
                <w:rFonts w:ascii="Times New Roman"/>
                <w:w w:val="95"/>
                <w:sz w:val="18"/>
              </w:rPr>
              <w:t>-782,877.</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left="30" w:right="0"/>
              <w:jc w:val="left"/>
              <w:rPr>
                <w:rFonts w:ascii="Times New Roman" w:hAnsi="Times New Roman" w:cs="Times New Roman" w:eastAsia="Times New Roman" w:hint="default"/>
                <w:sz w:val="18"/>
                <w:szCs w:val="18"/>
              </w:rPr>
            </w:pPr>
            <w:r>
              <w:rPr>
                <w:rFonts w:ascii="Times New Roman"/>
                <w:sz w:val="18"/>
              </w:rPr>
              <w:t>59,312,49</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1.82</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江苏钜芯</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70,459,91</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7.21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-387,986.</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24</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70,071,93</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0.97</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广州市天 威电子科 技有限公 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2,957,243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.81</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-74,038.1</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2,883,205</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.65</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宁波三创 瑞海投资 管理有限 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44,996,02</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4.04</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-2,962.81</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44,993,06</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1.23</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丰廪基金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79,977,35</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474.82</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30" w:right="0"/>
              <w:jc w:val="left"/>
              <w:rPr>
                <w:rFonts w:ascii="Times New Roman" w:hAnsi="Times New Roman" w:cs="Times New Roman" w:eastAsia="Times New Roman" w:hint="default"/>
                <w:sz w:val="18"/>
                <w:szCs w:val="18"/>
              </w:rPr>
            </w:pPr>
            <w:r>
              <w:rPr>
                <w:rFonts w:ascii="Times New Roman"/>
                <w:sz w:val="18"/>
              </w:rPr>
              <w:t>79,977,82</w:t>
            </w:r>
          </w:p>
        </w:tc>
        <w:tc>
          <w:tcPr>
            <w:tcW w:w="79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866" w:footer="981" w:top="1120" w:bottom="1180" w:left="1000" w:right="0"/>
        </w:sectPr>
      </w:pPr>
    </w:p>
    <w:p>
      <w:pPr>
        <w:spacing w:line="240" w:lineRule="auto" w:before="2"/>
        <w:rPr>
          <w:rFonts w:ascii="宋体" w:hAnsi="宋体" w:cs="宋体" w:eastAsia="宋体" w:hint="default"/>
          <w:sz w:val="24"/>
          <w:szCs w:val="24"/>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360" w:hRule="exact"/>
        </w:trPr>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50" w:right="0"/>
              <w:jc w:val="left"/>
              <w:rPr>
                <w:rFonts w:ascii="Times New Roman" w:hAnsi="Times New Roman" w:cs="Times New Roman" w:eastAsia="Times New Roman" w:hint="default"/>
                <w:sz w:val="18"/>
                <w:szCs w:val="18"/>
              </w:rPr>
            </w:pPr>
            <w:r>
              <w:rPr>
                <w:rFonts w:ascii="Times New Roman"/>
                <w:sz w:val="18"/>
              </w:rPr>
              <w:t>0.56</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435" w:right="0"/>
              <w:jc w:val="left"/>
              <w:rPr>
                <w:rFonts w:ascii="Times New Roman" w:hAnsi="Times New Roman" w:cs="Times New Roman" w:eastAsia="Times New Roman" w:hint="default"/>
                <w:sz w:val="18"/>
                <w:szCs w:val="18"/>
              </w:rPr>
            </w:pPr>
            <w:r>
              <w:rPr>
                <w:rFonts w:ascii="Times New Roman"/>
                <w:sz w:val="18"/>
              </w:rPr>
              <w:t>5.38</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45"/>
              <w:jc w:val="both"/>
              <w:rPr>
                <w:rFonts w:ascii="宋体" w:hAnsi="宋体" w:cs="宋体" w:eastAsia="宋体" w:hint="default"/>
                <w:sz w:val="18"/>
                <w:szCs w:val="18"/>
              </w:rPr>
            </w:pPr>
            <w:r>
              <w:rPr>
                <w:rFonts w:ascii="宋体" w:hAnsi="宋体" w:cs="宋体" w:eastAsia="宋体" w:hint="default"/>
                <w:sz w:val="18"/>
                <w:szCs w:val="18"/>
              </w:rPr>
              <w:t>深圳智慧 医学科技 有限公司</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14,197,82</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6.80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-119,663.</w:t>
            </w:r>
            <w:r>
              <w:rPr>
                <w:rFonts w:ascii="Times New Roman"/>
                <w:sz w:val="18"/>
              </w:rPr>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56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14,078,16</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3.24</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45"/>
              <w:jc w:val="both"/>
              <w:rPr>
                <w:rFonts w:ascii="宋体" w:hAnsi="宋体" w:cs="宋体" w:eastAsia="宋体" w:hint="default"/>
                <w:sz w:val="18"/>
                <w:szCs w:val="18"/>
              </w:rPr>
            </w:pPr>
            <w:r>
              <w:rPr>
                <w:rFonts w:ascii="宋体" w:hAnsi="宋体" w:cs="宋体" w:eastAsia="宋体" w:hint="default"/>
                <w:sz w:val="18"/>
                <w:szCs w:val="18"/>
              </w:rPr>
              <w:t>杭州琅玕 科技有限 公司</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21,277,10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6.93</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21,277,10</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6.93</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45"/>
              <w:jc w:val="both"/>
              <w:rPr>
                <w:rFonts w:ascii="宋体" w:hAnsi="宋体" w:cs="宋体" w:eastAsia="宋体" w:hint="default"/>
                <w:sz w:val="18"/>
                <w:szCs w:val="18"/>
              </w:rPr>
            </w:pPr>
            <w:r>
              <w:rPr>
                <w:rFonts w:ascii="宋体" w:hAnsi="宋体" w:cs="宋体" w:eastAsia="宋体" w:hint="default"/>
                <w:sz w:val="18"/>
                <w:szCs w:val="18"/>
              </w:rPr>
              <w:t>上海慈欣 健康科技 有限公司</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693,300.0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68,439.76</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761,739.7</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6</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275,888,2</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69.85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21,970,40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6.93</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-3,720,27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-782,877.</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293,355,5</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24.98</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275,888,2</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69.85</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21,970,40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6.93</w:t>
            </w: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-3,720,27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4.00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-782,877.</w:t>
            </w:r>
            <w:r>
              <w:rPr>
                <w:rFonts w:ascii="Times New Roman"/>
                <w:sz w:val="18"/>
              </w:rPr>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80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293,355,5</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24.98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508" w:lineRule="auto" w:before="35"/>
        <w:ind w:right="8535"/>
        <w:jc w:val="left"/>
        <w:rPr>
          <w:b w:val="0"/>
          <w:bCs w:val="0"/>
        </w:rPr>
      </w:pPr>
      <w:bookmarkStart w:name="（3）其他说明" w:id="553"/>
      <w:bookmarkEnd w:id="553"/>
      <w:r>
        <w:rPr>
          <w:b w:val="0"/>
          <w:bCs w:val="0"/>
        </w:rPr>
      </w:r>
      <w:r>
        <w:rPr/>
        <w:t>（</w:t>
      </w:r>
      <w:r>
        <w:rPr>
          <w:rFonts w:ascii="Times New Roman" w:hAnsi="Times New Roman" w:cs="Times New Roman" w:eastAsia="Times New Roman" w:hint="default"/>
        </w:rPr>
        <w:t>3</w:t>
      </w:r>
      <w:r>
        <w:rPr/>
        <w:t>）其他说明</w:t>
      </w:r>
      <w:r>
        <w:rPr>
          <w:w w:val="99"/>
        </w:rPr>
        <w:t> </w:t>
      </w:r>
      <w:bookmarkStart w:name="4、营业收入和营业成本" w:id="554"/>
      <w:bookmarkEnd w:id="554"/>
      <w:r>
        <w:rPr>
          <w:w w:val="99"/>
        </w:rPr>
      </w:r>
      <w:r>
        <w:rPr>
          <w:rFonts w:ascii="Times New Roman" w:hAnsi="Times New Roman" w:cs="Times New Roman" w:eastAsia="Times New Roman" w:hint="default"/>
        </w:rPr>
        <w:t>4</w:t>
      </w:r>
      <w:r>
        <w:rPr/>
        <w:t>、营业收入和营业成本</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923"/>
        <w:gridCol w:w="1907"/>
        <w:gridCol w:w="1922"/>
      </w:tblGrid>
      <w:tr>
        <w:trPr>
          <w:trHeight w:val="405" w:hRule="exact"/>
        </w:trPr>
        <w:tc>
          <w:tcPr>
            <w:tcW w:w="199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1997"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6"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366,670,383.85</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292,022,579.77</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346,188,849.65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272,943,181.13</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8,454,720.63</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6,329,452.02</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10,359,353.25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8,915,613.08</w:t>
            </w:r>
          </w:p>
        </w:tc>
      </w:tr>
      <w:tr>
        <w:trPr>
          <w:trHeight w:val="39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375,125,104.48</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298,352,031.79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356,548,202.90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281,858,794.21</w:t>
            </w:r>
          </w:p>
        </w:tc>
      </w:tr>
    </w:tbl>
    <w:p>
      <w:pPr>
        <w:pStyle w:val="BodyText"/>
        <w:spacing w:line="240" w:lineRule="auto"/>
        <w:ind w:right="1086"/>
        <w:jc w:val="left"/>
      </w:pPr>
      <w:r>
        <w:rPr/>
        <w:t>是否已执行新收入准则</w:t>
      </w:r>
    </w:p>
    <w:p>
      <w:pPr>
        <w:pStyle w:val="BodyText"/>
        <w:spacing w:line="333" w:lineRule="auto" w:before="125"/>
        <w:ind w:right="91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spacing w:line="240" w:lineRule="auto" w:before="4"/>
        <w:rPr>
          <w:rFonts w:ascii="宋体" w:hAnsi="宋体" w:cs="宋体" w:eastAsia="宋体" w:hint="default"/>
          <w:sz w:val="23"/>
          <w:szCs w:val="23"/>
        </w:rPr>
      </w:pPr>
    </w:p>
    <w:p>
      <w:pPr>
        <w:pStyle w:val="Heading5"/>
        <w:spacing w:line="240" w:lineRule="auto"/>
        <w:ind w:right="1086"/>
        <w:jc w:val="left"/>
        <w:rPr>
          <w:b w:val="0"/>
          <w:bCs w:val="0"/>
        </w:rPr>
      </w:pPr>
      <w:bookmarkStart w:name="5、投资收益" w:id="555"/>
      <w:bookmarkEnd w:id="555"/>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36,705,823.89</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35,269,196.70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-3,720,274.00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-828,921.88</w:t>
            </w:r>
            <w:r>
              <w:rPr>
                <w:rFonts w:ascii="Times New Roman"/>
                <w:sz w:val="18"/>
              </w:rPr>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-9,578,454.17</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68,927.76</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23,476,023.48</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34,440,274.82</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sz w:val="21"/>
          <w:szCs w:val="21"/>
        </w:rPr>
      </w:pPr>
    </w:p>
    <w:p>
      <w:pPr>
        <w:pStyle w:val="Heading5"/>
        <w:spacing w:line="240" w:lineRule="auto" w:before="35"/>
        <w:ind w:right="1086"/>
        <w:jc w:val="left"/>
        <w:rPr>
          <w:b w:val="0"/>
          <w:bCs w:val="0"/>
        </w:rPr>
      </w:pPr>
      <w:bookmarkStart w:name="6、其他" w:id="556"/>
      <w:bookmarkEnd w:id="556"/>
      <w:r>
        <w:rPr>
          <w:b w:val="0"/>
          <w:bCs w:val="0"/>
        </w:rPr>
      </w:r>
      <w:r>
        <w:rPr>
          <w:rFonts w:ascii="Times New Roman" w:hAnsi="Times New Roman" w:cs="Times New Roman" w:eastAsia="Times New Roman" w:hint="default"/>
        </w:rPr>
        <w:t>6</w:t>
      </w:r>
      <w:r>
        <w:rPr/>
        <w:t>、其他</w:t>
      </w:r>
      <w:r>
        <w:rPr>
          <w:b w:val="0"/>
          <w:bCs w:val="0"/>
        </w:rPr>
      </w:r>
    </w:p>
    <w:p>
      <w:pPr>
        <w:spacing w:line="240" w:lineRule="auto" w:before="2"/>
        <w:rPr>
          <w:rFonts w:ascii="宋体" w:hAnsi="宋体" w:cs="宋体" w:eastAsia="宋体" w:hint="default"/>
          <w:b/>
          <w:bCs/>
          <w:sz w:val="22"/>
          <w:szCs w:val="22"/>
        </w:rPr>
      </w:pPr>
    </w:p>
    <w:p>
      <w:pPr>
        <w:pStyle w:val="Heading2"/>
        <w:spacing w:line="240" w:lineRule="auto"/>
        <w:ind w:right="1086"/>
        <w:jc w:val="left"/>
        <w:rPr>
          <w:b w:val="0"/>
          <w:bCs w:val="0"/>
        </w:rPr>
      </w:pPr>
      <w:bookmarkStart w:name="十八、补充资料" w:id="557"/>
      <w:bookmarkEnd w:id="557"/>
      <w:r>
        <w:rPr>
          <w:b w:val="0"/>
          <w:bCs w:val="0"/>
        </w:rPr>
      </w:r>
      <w:r>
        <w:rPr/>
        <w:t>十八、补充资料</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1086"/>
        <w:jc w:val="left"/>
        <w:rPr>
          <w:b w:val="0"/>
          <w:bCs w:val="0"/>
        </w:rPr>
      </w:pPr>
      <w:bookmarkStart w:name="1、当期非经常性损益明细表" w:id="558"/>
      <w:bookmarkEnd w:id="558"/>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7,570,564.33</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20,952,547.49</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71,857.90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2282"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9" w:lineRule="auto" w:before="44"/>
              <w:ind w:left="15" w:right="47"/>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2,869,589.50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312,818.71</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小  计</w:t>
            </w:r>
          </w:p>
        </w:tc>
        <w:tc>
          <w:tcPr>
            <w:tcW w:w="3079"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3,246,039.17</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652,257.54</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27,879,081.22</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88" w:lineRule="auto" w:before="51"/>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9"/>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5"/>
        <w:ind w:right="1086"/>
        <w:jc w:val="left"/>
        <w:rPr>
          <w:b w:val="0"/>
          <w:bCs w:val="0"/>
        </w:rPr>
      </w:pPr>
      <w:bookmarkStart w:name="2、净资产收益率及每股收益" w:id="559"/>
      <w:bookmarkEnd w:id="559"/>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
        <w:rPr>
          <w:rFonts w:ascii="宋体" w:hAnsi="宋体" w:cs="宋体" w:eastAsia="宋体" w:hint="default"/>
          <w:b/>
          <w:bCs/>
          <w:sz w:val="24"/>
          <w:szCs w:val="24"/>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5"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95"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8"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6.40%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0.18</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0.18</w:t>
            </w:r>
          </w:p>
        </w:tc>
      </w:tr>
      <w:tr>
        <w:trPr>
          <w:trHeight w:val="72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5.19%</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0.15</w:t>
            </w:r>
          </w:p>
        </w:tc>
      </w:tr>
    </w:tbl>
    <w:p>
      <w:pPr>
        <w:spacing w:after="0" w:line="240" w:lineRule="auto"/>
        <w:jc w:val="right"/>
        <w:rPr>
          <w:rFonts w:ascii="Times New Roman" w:hAnsi="Times New Roman" w:cs="Times New Roman" w:eastAsia="Times New Roman" w:hint="default"/>
          <w:sz w:val="18"/>
          <w:szCs w:val="18"/>
        </w:rPr>
        <w:sectPr>
          <w:pgSz w:w="11910" w:h="16850"/>
          <w:pgMar w:header="866" w:footer="981" w:top="1120" w:bottom="1180" w:left="1000" w:right="0"/>
        </w:sectPr>
      </w:pPr>
    </w:p>
    <w:p>
      <w:pPr>
        <w:spacing w:line="240" w:lineRule="auto" w:before="0"/>
        <w:rPr>
          <w:rFonts w:ascii="宋体" w:hAnsi="宋体" w:cs="宋体" w:eastAsia="宋体" w:hint="default"/>
          <w:b/>
          <w:bCs/>
          <w:sz w:val="21"/>
          <w:szCs w:val="21"/>
        </w:rPr>
      </w:pPr>
    </w:p>
    <w:p>
      <w:pPr>
        <w:pStyle w:val="Heading5"/>
        <w:spacing w:line="240" w:lineRule="auto" w:before="35"/>
        <w:ind w:right="1086"/>
        <w:jc w:val="left"/>
        <w:rPr>
          <w:b w:val="0"/>
          <w:bCs w:val="0"/>
        </w:rPr>
      </w:pPr>
      <w:bookmarkStart w:name="3、境内外会计准则下会计数据差异" w:id="560"/>
      <w:bookmarkEnd w:id="560"/>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1086"/>
        <w:jc w:val="left"/>
        <w:rPr>
          <w:b w:val="0"/>
          <w:bCs w:val="0"/>
        </w:rPr>
      </w:pPr>
      <w:bookmarkStart w:name="（1）同时按照国际会计准则与按中国会计准则披露的财务报告中净利润和净资产差异情况" w:id="561"/>
      <w:bookmarkEnd w:id="561"/>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1086"/>
        <w:jc w:val="left"/>
        <w:rPr>
          <w:b w:val="0"/>
          <w:bCs w:val="0"/>
        </w:rPr>
      </w:pPr>
      <w:bookmarkStart w:name="（2）同时按照境外会计准则与按中国会计准则披露的财务报告中净利润和净资产差异情况" w:id="562"/>
      <w:bookmarkEnd w:id="562"/>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before="0"/>
        <w:ind w:right="108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86" w:lineRule="exact" w:before="142"/>
        <w:ind w:right="1086"/>
        <w:jc w:val="left"/>
        <w:rPr>
          <w:b w:val="0"/>
          <w:bCs w:val="0"/>
        </w:rPr>
      </w:pPr>
      <w:bookmarkStart w:name="（3）境内外会计准则下会计数据差异原因说明，对已经境外审计机构审计的数据进行差异" w:id="563"/>
      <w:bookmarkEnd w:id="563"/>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53"/>
        </w:rPr>
        <w:t> </w:t>
      </w:r>
      <w:r>
        <w:rPr>
          <w:spacing w:val="-53"/>
        </w:rPr>
      </w:r>
      <w:r>
        <w:rPr/>
        <w:t>明该境外机构的名称</w:t>
      </w:r>
      <w:r>
        <w:rPr>
          <w:b w:val="0"/>
          <w:bCs w:val="0"/>
        </w:rPr>
      </w:r>
    </w:p>
    <w:p>
      <w:pPr>
        <w:spacing w:line="240" w:lineRule="auto" w:before="1"/>
        <w:rPr>
          <w:rFonts w:ascii="宋体" w:hAnsi="宋体" w:cs="宋体" w:eastAsia="宋体" w:hint="default"/>
          <w:b/>
          <w:bCs/>
          <w:sz w:val="25"/>
          <w:szCs w:val="25"/>
        </w:rPr>
      </w:pPr>
    </w:p>
    <w:p>
      <w:pPr>
        <w:pStyle w:val="Heading5"/>
        <w:spacing w:line="240" w:lineRule="auto"/>
        <w:ind w:right="1086"/>
        <w:jc w:val="left"/>
        <w:rPr>
          <w:b w:val="0"/>
          <w:bCs w:val="0"/>
        </w:rPr>
      </w:pPr>
      <w:bookmarkStart w:name="4、其他" w:id="564"/>
      <w:bookmarkEnd w:id="564"/>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50"/>
          <w:pgMar w:header="866" w:footer="981" w:top="1120" w:bottom="1180" w:left="1000" w:right="0"/>
        </w:sect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1"/>
        <w:spacing w:line="240" w:lineRule="auto"/>
        <w:ind w:left="3355" w:right="1086"/>
        <w:jc w:val="left"/>
        <w:rPr>
          <w:b w:val="0"/>
          <w:bCs w:val="0"/>
        </w:rPr>
      </w:pPr>
      <w:bookmarkStart w:name="_TOC_250000" w:id="565"/>
      <w:bookmarkStart w:name="第十三节备查文件目录" w:id="566"/>
      <w:r>
        <w:rPr>
          <w:b w:val="0"/>
          <w:bCs w:val="0"/>
        </w:rPr>
      </w:r>
      <w:r>
        <w:rPr>
          <w:spacing w:val="5"/>
        </w:rPr>
        <w:t>第十三节备查文件目录</w:t>
      </w:r>
      <w:bookmarkEnd w:id="565"/>
      <w:r>
        <w:rPr>
          <w:b w:val="0"/>
          <w:bCs w:val="0"/>
          <w:spacing w:val="5"/>
        </w:rPr>
      </w:r>
    </w:p>
    <w:p>
      <w:pPr>
        <w:spacing w:line="240" w:lineRule="auto" w:before="7"/>
        <w:rPr>
          <w:rFonts w:ascii="宋体" w:hAnsi="宋体" w:cs="宋体" w:eastAsia="宋体" w:hint="default"/>
          <w:b/>
          <w:bCs/>
          <w:sz w:val="42"/>
          <w:szCs w:val="42"/>
        </w:rPr>
      </w:pPr>
    </w:p>
    <w:p>
      <w:pPr>
        <w:pStyle w:val="BodyText"/>
        <w:spacing w:line="321" w:lineRule="auto" w:before="0"/>
        <w:ind w:right="1086"/>
        <w:jc w:val="left"/>
      </w:pPr>
      <w:r>
        <w:rPr>
          <w:spacing w:val="-2"/>
        </w:rPr>
        <w:t>一、载有公司负责人章笠中先生、主管会计工作负责人王凛先生、会计机构负责人（会计主管人员）王凛先生签名并盖章的</w:t>
      </w:r>
      <w:r>
        <w:rPr>
          <w:spacing w:val="-57"/>
        </w:rPr>
        <w:t> </w:t>
      </w:r>
      <w:r>
        <w:rPr>
          <w:spacing w:val="-57"/>
        </w:rPr>
      </w:r>
      <w:r>
        <w:rPr/>
        <w:t>财务报表。</w:t>
      </w:r>
    </w:p>
    <w:p>
      <w:pPr>
        <w:pStyle w:val="BodyText"/>
        <w:spacing w:line="321" w:lineRule="auto" w:before="4"/>
        <w:ind w:right="3909"/>
        <w:jc w:val="left"/>
      </w:pPr>
      <w:r>
        <w:rPr/>
        <w:t>二、载有会计师事务所盖章、注册会计师签名并盖章的审计报告原件。 三、报告期内在中国证监会指定网站上公开披露的所有公司文件的正本及公告的原稿。</w:t>
      </w:r>
    </w:p>
    <w:p>
      <w:pPr>
        <w:pStyle w:val="BodyText"/>
        <w:spacing w:line="290" w:lineRule="auto" w:before="33"/>
        <w:ind w:right="6249"/>
        <w:jc w:val="left"/>
      </w:pPr>
      <w:r>
        <w:rPr/>
        <w:t>四、载有董事长签名的</w:t>
      </w:r>
      <w:r>
        <w:rPr>
          <w:rFonts w:ascii="Times New Roman" w:hAnsi="Times New Roman" w:cs="Times New Roman" w:eastAsia="Times New Roman" w:hint="default"/>
        </w:rPr>
        <w:t>2019</w:t>
      </w:r>
      <w:r>
        <w:rPr/>
        <w:t>年年度报告及摘要文本原件。 以上备查文件的备置地点：公司证券管理部</w:t>
      </w:r>
    </w:p>
    <w:sectPr>
      <w:pgSz w:w="11910" w:h="16850"/>
      <w:pgMar w:header="866" w:footer="981" w:top="112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77080" type="#_x0000_t75" stroked="false">
          <v:imagedata r:id="rId1" o:title=""/>
        </v:shape>
      </w:pict>
    </w:r>
    <w:r>
      <w:rPr/>
      <w:pict>
        <v:shape style="position:absolute;margin-left:534.419983pt;margin-top:795.707947pt;width:6.5pt;height:11pt;mso-position-horizontal-relative:page;mso-position-vertical-relative:page;z-index:-127705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77032" type="#_x0000_t75" stroked="false">
          <v:imagedata r:id="rId1" o:title=""/>
        </v:shape>
      </w:pict>
    </w:r>
    <w:r>
      <w:rPr/>
      <w:pict>
        <v:shape style="position:absolute;margin-left:528.919983pt;margin-top:782.207947pt;width:13pt;height:11pt;mso-position-horizontal-relative:page;mso-position-vertical-relative:page;z-index:-12770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447021pt;margin-top:570.603027pt;width:42.080281pt;height:18.952188pt;mso-position-horizontal-relative:page;mso-position-vertical-relative:page;z-index:-1276960" type="#_x0000_t75" stroked="false">
          <v:imagedata r:id="rId1" o:title=""/>
        </v:shape>
      </w:pict>
    </w:r>
    <w:r>
      <w:rPr/>
      <w:pict>
        <v:shape style="position:absolute;margin-left:759.919983pt;margin-top:535.432922pt;width:13pt;height:11pt;mso-position-horizontal-relative:page;mso-position-vertical-relative:page;z-index:-127693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76864" type="#_x0000_t75" stroked="false">
          <v:imagedata r:id="rId1" o:title=""/>
        </v:shape>
      </w:pict>
    </w:r>
    <w:r>
      <w:rPr/>
      <w:pict>
        <v:shape style="position:absolute;margin-left:528.919983pt;margin-top:782.207947pt;width:13pt;height:11pt;mso-position-horizontal-relative:page;mso-position-vertical-relative:page;z-index:-127684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76816" type="#_x0000_t75" stroked="false">
          <v:imagedata r:id="rId1" o:title=""/>
        </v:shape>
      </w:pict>
    </w:r>
    <w:r>
      <w:rPr/>
      <w:pict>
        <v:shape style="position:absolute;margin-left:525.400024pt;margin-top:782.207947pt;width:15.5pt;height:11pt;mso-position-horizontal-relative:page;mso-position-vertical-relative:page;z-index:-1276792"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76768" type="#_x0000_t75" stroked="false">
          <v:imagedata r:id="rId1" o:title=""/>
        </v:shape>
      </w:pict>
    </w:r>
    <w:r>
      <w:rPr/>
      <w:pict>
        <v:shape style="position:absolute;margin-left:524.400024pt;margin-top:782.207947pt;width:18.25pt;height:11pt;mso-position-horizontal-relative:page;mso-position-vertical-relative:page;z-index:-127674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76720" type="#_x0000_t75" stroked="false">
          <v:imagedata r:id="rId1" o:title=""/>
        </v:shape>
      </w:pict>
    </w:r>
    <w:r>
      <w:rPr/>
      <w:pict>
        <v:shape style="position:absolute;margin-left:524.400024pt;margin-top:782.207947pt;width:17.5pt;height:11pt;mso-position-horizontal-relative:page;mso-position-vertical-relative:page;z-index:-127669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76672" type="#_x0000_t75" stroked="false">
          <v:imagedata r:id="rId1" o:title=""/>
        </v:shape>
      </w:pict>
    </w:r>
    <w:r>
      <w:rPr/>
      <w:pict>
        <v:shape style="position:absolute;margin-left:525.400024pt;margin-top:782.207947pt;width:15.5pt;height:11pt;mso-position-horizontal-relative:page;mso-position-vertical-relative:page;z-index:-127664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1276624" type="#_x0000_t75" stroked="false">
          <v:imagedata r:id="rId1" o:title=""/>
        </v:shape>
      </w:pict>
    </w:r>
    <w:r>
      <w:rPr/>
      <w:pict>
        <v:shape style="position:absolute;margin-left:524.400024pt;margin-top:782.207947pt;width:17.55pt;height:11pt;mso-position-horizontal-relative:page;mso-position-vertical-relative:page;z-index:-127660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5.170013pt;margin-top:35.565624pt;width:195.7pt;height:11.5pt;mso-position-horizontal-relative:page;mso-position-vertical-relative:page;z-index:-1277104" type="#_x0000_t202" filled="false" stroked="false">
          <v:textbox inset="0,0,0,0">
            <w:txbxContent>
              <w:p>
                <w:pPr>
                  <w:pStyle w:val="BodyText"/>
                  <w:spacing w:line="214" w:lineRule="exact" w:before="0"/>
                  <w:ind w:left="20" w:right="0"/>
                  <w:jc w:val="left"/>
                </w:pPr>
                <w:r>
                  <w:rPr/>
                  <w:t>思创医惠科技股份有限公司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6.25pt;margin-top:42.345627pt;width:195.65pt;height:11.5pt;mso-position-horizontal-relative:page;mso-position-vertical-relative:page;z-index:-1276984" type="#_x0000_t202" filled="false" stroked="false">
          <v:textbox inset="0,0,0,0">
            <w:txbxContent>
              <w:p>
                <w:pPr>
                  <w:pStyle w:val="BodyText"/>
                  <w:spacing w:line="214" w:lineRule="exact" w:before="0"/>
                  <w:ind w:left="20" w:right="0"/>
                  <w:jc w:val="left"/>
                </w:pPr>
                <w:r>
                  <w:rPr/>
                  <w:t>思创医惠科技股份有限公司</w:t>
                </w:r>
                <w:r>
                  <w:rPr>
                    <w:spacing w:val="-43"/>
                  </w:rPr>
                  <w:t> </w:t>
                </w:r>
                <w:r>
                  <w:rPr>
                    <w:rFonts w:ascii="Times New Roman" w:hAnsi="Times New Roman" w:cs="Times New Roman" w:eastAsia="Times New Roman" w:hint="default"/>
                  </w:rPr>
                  <w:t>2019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575001pt;margin-top:55.924999pt;width:485.85pt;height:.1pt;mso-position-horizontal-relative:page;mso-position-vertical-relative:page;z-index:-1276912" coordorigin="1112,1118" coordsize="9717,2">
          <v:shape style="position:absolute;left:1112;top:1118;width:9717;height:2" coordorigin="1112,1118" coordsize="9717,0" path="m1112,1118l10829,1118e" filled="false" stroked="true" strokeweight=".75pt" strokecolor="#000000">
            <v:path arrowok="t"/>
          </v:shape>
          <w10:wrap type="none"/>
        </v:group>
      </w:pict>
    </w:r>
    <w:r>
      <w:rPr/>
      <w:pict>
        <v:shape style="position:absolute;margin-left:345.170013pt;margin-top:42.315624pt;width:195.7pt;height:11.5pt;mso-position-horizontal-relative:page;mso-position-vertical-relative:page;z-index:-1276888" type="#_x0000_t202" filled="false" stroked="false">
          <v:textbox inset="0,0,0,0">
            <w:txbxContent>
              <w:p>
                <w:pPr>
                  <w:pStyle w:val="BodyText"/>
                  <w:spacing w:line="214" w:lineRule="exact" w:before="0"/>
                  <w:ind w:left="20" w:right="0"/>
                  <w:jc w:val="left"/>
                </w:pPr>
                <w:r>
                  <w:rPr/>
                  <w:t>思创医惠科技股份有限公司</w:t>
                </w:r>
                <w:r>
                  <w:rPr>
                    <w:spacing w:val="-42"/>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31"/>
      <w:ind w:left="141"/>
    </w:pPr>
    <w:rPr>
      <w:rFonts w:ascii="宋体" w:hAnsi="宋体" w:eastAsia="宋体"/>
      <w:b/>
      <w:bCs/>
      <w:sz w:val="24"/>
      <w:szCs w:val="24"/>
    </w:rPr>
  </w:style>
  <w:style w:styleId="BodyText" w:type="paragraph">
    <w:name w:val="Body Text"/>
    <w:basedOn w:val="Normal"/>
    <w:uiPriority w:val="1"/>
    <w:qFormat/>
    <w:pPr>
      <w:spacing w:before="44"/>
      <w:ind w:left="141"/>
    </w:pPr>
    <w:rPr>
      <w:rFonts w:ascii="宋体" w:hAnsi="宋体" w:eastAsia="宋体"/>
      <w:sz w:val="18"/>
      <w:szCs w:val="18"/>
    </w:rPr>
  </w:style>
  <w:style w:styleId="Heading1" w:type="paragraph">
    <w:name w:val="Heading 1"/>
    <w:basedOn w:val="Normal"/>
    <w:uiPriority w:val="1"/>
    <w:qFormat/>
    <w:pPr>
      <w:spacing w:before="9"/>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sz w:val="24"/>
      <w:szCs w:val="24"/>
    </w:rPr>
  </w:style>
  <w:style w:styleId="Heading4" w:type="paragraph">
    <w:name w:val="Heading 4"/>
    <w:basedOn w:val="Normal"/>
    <w:uiPriority w:val="1"/>
    <w:qFormat/>
    <w:pPr>
      <w:ind w:left="141"/>
      <w:outlineLvl w:val="4"/>
    </w:pPr>
    <w:rPr>
      <w:rFonts w:ascii="宋体" w:hAnsi="宋体" w:eastAsia="宋体"/>
      <w:i/>
      <w:sz w:val="22"/>
      <w:szCs w:val="22"/>
    </w:rPr>
  </w:style>
  <w:style w:styleId="Heading5" w:type="paragraph">
    <w:name w:val="Heading 5"/>
    <w:basedOn w:val="Normal"/>
    <w:uiPriority w:val="1"/>
    <w:qFormat/>
    <w:pPr>
      <w:ind w:left="141"/>
      <w:outlineLvl w:val="5"/>
    </w:pPr>
    <w:rPr>
      <w:rFonts w:ascii="宋体" w:hAnsi="宋体" w:eastAsia="宋体"/>
      <w:b/>
      <w:bCs/>
      <w:sz w:val="21"/>
      <w:szCs w:val="21"/>
    </w:rPr>
  </w:style>
  <w:style w:styleId="Heading6" w:type="paragraph">
    <w:name w:val="Heading 6"/>
    <w:basedOn w:val="Normal"/>
    <w:uiPriority w:val="1"/>
    <w:qFormat/>
    <w:pPr>
      <w:ind w:left="141"/>
      <w:outlineLvl w:val="6"/>
    </w:pPr>
    <w:rPr>
      <w:rFonts w:ascii="宋体" w:hAnsi="宋体" w:eastAsia="宋体"/>
      <w:sz w:val="21"/>
      <w:szCs w:val="21"/>
    </w:rPr>
  </w:style>
  <w:style w:styleId="Heading7" w:type="paragraph">
    <w:name w:val="Heading 7"/>
    <w:basedOn w:val="Normal"/>
    <w:uiPriority w:val="1"/>
    <w:qFormat/>
    <w:pPr>
      <w:ind w:left="501"/>
      <w:outlineLvl w:val="7"/>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sichuangyihui.com.cn/" TargetMode="External"/><Relationship Id="rId10" Type="http://schemas.openxmlformats.org/officeDocument/2006/relationships/hyperlink" Target="mailto:zhengquanbu@century-cn.com" TargetMode="External"/><Relationship Id="rId11" Type="http://schemas.openxmlformats.org/officeDocument/2006/relationships/hyperlink" Target="mailto:sunxinjun@century-cn.com" TargetMode="External"/><Relationship Id="rId12" Type="http://schemas.openxmlformats.org/officeDocument/2006/relationships/hyperlink" Target="mailto:zengzheng@century-cn.com" TargetMode="External"/><Relationship Id="rId13" Type="http://schemas.openxmlformats.org/officeDocument/2006/relationships/hyperlink" Target="http://www.cninfo.com.cn/" TargetMode="External"/><Relationship Id="rId14" Type="http://schemas.openxmlformats.org/officeDocument/2006/relationships/header" Target="head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思创医惠科技股份有限公司</dc:creator>
  <dc:title>思创医惠科技股份有限公司2019年年度报告全文</dc:title>
  <dcterms:created xsi:type="dcterms:W3CDTF">2020-05-19T23:12:44Z</dcterms:created>
  <dcterms:modified xsi:type="dcterms:W3CDTF">2020-05-19T23:12:44Z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