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988" w:lineRule="exact"/>
        <w:ind w:left="207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2801716" cy="62788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01716" cy="627887"/>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line="620" w:lineRule="exact" w:before="0"/>
        <w:ind w:left="613" w:right="611" w:firstLine="0"/>
        <w:jc w:val="center"/>
        <w:rPr>
          <w:rFonts w:ascii="黑体" w:hAnsi="黑体" w:cs="黑体" w:eastAsia="黑体" w:hint="default"/>
          <w:sz w:val="52"/>
          <w:szCs w:val="52"/>
        </w:rPr>
      </w:pPr>
      <w:r>
        <w:rPr>
          <w:rFonts w:ascii="黑体" w:hAnsi="黑体" w:cs="黑体" w:eastAsia="黑体" w:hint="default"/>
          <w:sz w:val="52"/>
          <w:szCs w:val="52"/>
        </w:rPr>
        <w:t>深圳市银之杰科技股份有限公司</w:t>
      </w:r>
    </w:p>
    <w:p>
      <w:pPr>
        <w:pStyle w:val="Heading2"/>
        <w:spacing w:line="240" w:lineRule="auto" w:before="234"/>
        <w:ind w:right="611"/>
        <w:jc w:val="center"/>
        <w:rPr>
          <w:rFonts w:ascii="Times New Roman" w:hAnsi="Times New Roman" w:cs="Times New Roman" w:eastAsia="Times New Roman" w:hint="default"/>
          <w:b w:val="0"/>
          <w:bCs w:val="0"/>
        </w:rPr>
      </w:pPr>
      <w:r>
        <w:rPr>
          <w:rFonts w:ascii="Times New Roman"/>
        </w:rPr>
        <w:t>SHENZHEN INFOTECH TECHNOLOGIES CO.,</w:t>
      </w:r>
      <w:r>
        <w:rPr>
          <w:rFonts w:ascii="Times New Roman"/>
          <w:spacing w:val="-7"/>
        </w:rPr>
        <w:t> LTD.</w:t>
      </w:r>
      <w:r>
        <w:rPr>
          <w:rFonts w:ascii="Times New Roman"/>
          <w:b w:val="0"/>
          <w:spacing w:val="-7"/>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6"/>
        <w:rPr>
          <w:rFonts w:ascii="Times New Roman" w:hAnsi="Times New Roman" w:cs="Times New Roman" w:eastAsia="Times New Roman" w:hint="default"/>
          <w:b/>
          <w:bCs/>
          <w:sz w:val="27"/>
          <w:szCs w:val="27"/>
        </w:rPr>
      </w:pPr>
    </w:p>
    <w:p>
      <w:pPr>
        <w:spacing w:before="0"/>
        <w:ind w:left="612" w:right="611" w:firstLine="0"/>
        <w:jc w:val="center"/>
        <w:rPr>
          <w:rFonts w:ascii="黑体" w:hAnsi="黑体" w:cs="黑体" w:eastAsia="黑体" w:hint="default"/>
          <w:sz w:val="52"/>
          <w:szCs w:val="52"/>
        </w:rPr>
      </w:pPr>
      <w:r>
        <w:rPr>
          <w:rFonts w:ascii="黑体" w:hAnsi="黑体" w:cs="黑体" w:eastAsia="黑体" w:hint="default"/>
          <w:sz w:val="52"/>
          <w:szCs w:val="52"/>
        </w:rPr>
        <w:t>2010</w:t>
      </w:r>
      <w:r>
        <w:rPr>
          <w:rFonts w:ascii="黑体" w:hAnsi="黑体" w:cs="黑体" w:eastAsia="黑体" w:hint="default"/>
          <w:spacing w:val="-134"/>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4"/>
        <w:rPr>
          <w:rFonts w:ascii="黑体" w:hAnsi="黑体" w:cs="黑体" w:eastAsia="黑体" w:hint="default"/>
          <w:sz w:val="60"/>
          <w:szCs w:val="60"/>
        </w:rPr>
      </w:pPr>
    </w:p>
    <w:p>
      <w:pPr>
        <w:spacing w:line="381" w:lineRule="auto" w:before="0"/>
        <w:ind w:left="3054" w:right="3050" w:firstLine="0"/>
        <w:jc w:val="center"/>
        <w:rPr>
          <w:rFonts w:ascii="黑体" w:hAnsi="黑体" w:cs="黑体" w:eastAsia="黑体" w:hint="default"/>
          <w:sz w:val="30"/>
          <w:szCs w:val="30"/>
        </w:rPr>
      </w:pPr>
      <w:r>
        <w:rPr>
          <w:rFonts w:ascii="黑体" w:hAnsi="黑体" w:cs="黑体" w:eastAsia="黑体" w:hint="default"/>
          <w:sz w:val="30"/>
          <w:szCs w:val="30"/>
        </w:rPr>
        <w:t>股票简称：银之杰 股票代码：300085</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3"/>
        <w:rPr>
          <w:rFonts w:ascii="黑体" w:hAnsi="黑体" w:cs="黑体" w:eastAsia="黑体" w:hint="default"/>
          <w:sz w:val="27"/>
          <w:szCs w:val="27"/>
        </w:rPr>
      </w:pPr>
    </w:p>
    <w:p>
      <w:pPr>
        <w:spacing w:before="0"/>
        <w:ind w:left="613" w:right="611" w:firstLine="0"/>
        <w:jc w:val="center"/>
        <w:rPr>
          <w:rFonts w:ascii="黑体" w:hAnsi="黑体" w:cs="黑体" w:eastAsia="黑体" w:hint="default"/>
          <w:sz w:val="30"/>
          <w:szCs w:val="30"/>
        </w:rPr>
      </w:pPr>
      <w:r>
        <w:rPr>
          <w:rFonts w:ascii="黑体" w:hAnsi="黑体" w:cs="黑体" w:eastAsia="黑体" w:hint="default"/>
          <w:sz w:val="30"/>
          <w:szCs w:val="30"/>
        </w:rPr>
        <w:t>二〇一一年三月十日</w:t>
      </w:r>
    </w:p>
    <w:p>
      <w:pPr>
        <w:spacing w:after="0"/>
        <w:jc w:val="center"/>
        <w:rPr>
          <w:rFonts w:ascii="黑体" w:hAnsi="黑体" w:cs="黑体" w:eastAsia="黑体" w:hint="default"/>
          <w:sz w:val="30"/>
          <w:szCs w:val="30"/>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spacing w:before="1"/>
        <w:ind w:left="0" w:right="15" w:firstLine="0"/>
        <w:jc w:val="center"/>
        <w:rPr>
          <w:rFonts w:ascii="黑体" w:hAnsi="黑体" w:cs="黑体" w:eastAsia="黑体" w:hint="default"/>
          <w:sz w:val="32"/>
          <w:szCs w:val="32"/>
        </w:rPr>
      </w:pP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pStyle w:val="BodyText"/>
        <w:spacing w:line="372" w:lineRule="auto" w:before="250"/>
        <w:ind w:right="152" w:firstLine="358"/>
        <w:jc w:val="both"/>
      </w:pPr>
      <w:r>
        <w:rPr>
          <w:spacing w:val="-4"/>
        </w:rPr>
        <w:t>本公司董事会、监事会及董事、监事、高级管理人员保证本报告所载资料不存在</w:t>
      </w:r>
      <w:r>
        <w:rPr>
          <w:w w:val="100"/>
        </w:rPr>
        <w:t> </w:t>
      </w:r>
      <w:r>
        <w:rPr/>
        <w:t>任何虚假记载、误导性陈述或者重大遗漏，并对其内容的真实性、准确性和完整性</w:t>
      </w:r>
      <w:r>
        <w:rPr>
          <w:spacing w:val="-87"/>
        </w:rPr>
        <w:t> </w:t>
      </w:r>
      <w:r>
        <w:rPr>
          <w:spacing w:val="-87"/>
        </w:rPr>
      </w:r>
      <w:r>
        <w:rPr/>
        <w:t>负个别及连带责任。</w:t>
      </w:r>
    </w:p>
    <w:p>
      <w:pPr>
        <w:pStyle w:val="BodyText"/>
        <w:spacing w:line="372" w:lineRule="auto" w:before="196"/>
        <w:ind w:right="152" w:firstLine="358"/>
        <w:jc w:val="both"/>
      </w:pPr>
      <w:r>
        <w:rPr>
          <w:spacing w:val="-4"/>
        </w:rPr>
        <w:t>本公司没有董事、监事、高级管理人员对本年度报告内容的真实性、准确性、完</w:t>
      </w:r>
      <w:r>
        <w:rPr>
          <w:w w:val="100"/>
        </w:rPr>
        <w:t> </w:t>
      </w:r>
      <w:r>
        <w:rPr/>
        <w:t>整性无法保证或存在异议。</w:t>
      </w:r>
    </w:p>
    <w:p>
      <w:pPr>
        <w:pStyle w:val="BodyText"/>
        <w:spacing w:line="352" w:lineRule="auto" w:before="196"/>
        <w:ind w:right="152" w:firstLine="358"/>
        <w:jc w:val="both"/>
      </w:pPr>
      <w:r>
        <w:rPr/>
        <w:t>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年年度报告已经公司第二届董事会第二次会议审议通过，全体董事均</w:t>
      </w:r>
      <w:r>
        <w:rPr>
          <w:w w:val="100"/>
        </w:rPr>
        <w:t> </w:t>
      </w:r>
      <w:r>
        <w:rPr/>
        <w:t>出席了本次董事会会议。</w:t>
      </w:r>
    </w:p>
    <w:p>
      <w:pPr>
        <w:spacing w:line="240" w:lineRule="auto" w:before="6"/>
        <w:rPr>
          <w:rFonts w:ascii="宋体" w:hAnsi="宋体" w:cs="宋体" w:eastAsia="宋体" w:hint="default"/>
          <w:sz w:val="16"/>
          <w:szCs w:val="16"/>
        </w:rPr>
      </w:pPr>
    </w:p>
    <w:p>
      <w:pPr>
        <w:pStyle w:val="BodyText"/>
        <w:spacing w:line="352" w:lineRule="auto" w:before="0"/>
        <w:ind w:right="152" w:firstLine="358"/>
        <w:jc w:val="both"/>
      </w:pPr>
      <w:r>
        <w:rPr/>
        <w:t>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年度财务报告已经深圳市鹏城会计师事务所有限公司审计并被出具了</w:t>
      </w:r>
      <w:r>
        <w:rPr>
          <w:w w:val="100"/>
        </w:rPr>
        <w:t> </w:t>
      </w:r>
      <w:r>
        <w:rPr/>
        <w:t>标准无保留意见的审计报告。</w:t>
      </w:r>
    </w:p>
    <w:p>
      <w:pPr>
        <w:spacing w:line="240" w:lineRule="auto" w:before="6"/>
        <w:rPr>
          <w:rFonts w:ascii="宋体" w:hAnsi="宋体" w:cs="宋体" w:eastAsia="宋体" w:hint="default"/>
          <w:sz w:val="16"/>
          <w:szCs w:val="16"/>
        </w:rPr>
      </w:pPr>
    </w:p>
    <w:p>
      <w:pPr>
        <w:pStyle w:val="BodyText"/>
        <w:spacing w:line="352" w:lineRule="auto" w:before="0"/>
        <w:ind w:right="153" w:firstLine="358"/>
        <w:jc w:val="both"/>
      </w:pPr>
      <w:r>
        <w:rPr/>
        <w:t>公司负责人陈向军、主管会计工作负责人许秋江及会计机构负责人</w:t>
      </w:r>
      <w:r>
        <w:rPr>
          <w:rFonts w:ascii="Times New Roman" w:hAnsi="Times New Roman" w:cs="Times New Roman" w:eastAsia="Times New Roman" w:hint="default"/>
        </w:rPr>
        <w:t>(</w:t>
      </w:r>
      <w:r>
        <w:rPr/>
        <w:t>会计主管人</w:t>
      </w:r>
      <w:r>
        <w:rPr>
          <w:w w:val="100"/>
        </w:rPr>
        <w:t> </w:t>
      </w:r>
      <w:r>
        <w:rPr/>
        <w:t>员</w:t>
      </w:r>
      <w:r>
        <w:rPr>
          <w:rFonts w:ascii="Times New Roman" w:hAnsi="Times New Roman" w:cs="Times New Roman" w:eastAsia="Times New Roman" w:hint="default"/>
        </w:rPr>
        <w:t>)</w:t>
      </w:r>
      <w:r>
        <w:rPr/>
        <w:t>张春雷声明：保证年度报告中财务报告的真实、完整。</w:t>
      </w:r>
    </w:p>
    <w:p>
      <w:pPr>
        <w:spacing w:after="0" w:line="352" w:lineRule="auto"/>
        <w:jc w:val="both"/>
        <w:sectPr>
          <w:headerReference w:type="default" r:id="rId6"/>
          <w:footerReference w:type="default" r:id="rId7"/>
          <w:pgSz w:w="11910" w:h="16840"/>
          <w:pgMar w:header="877" w:footer="982" w:top="1100" w:bottom="1180" w:left="1660" w:right="16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640" w:val="left" w:leader="none"/>
        </w:tabs>
        <w:spacing w:before="1"/>
        <w:ind w:left="0" w:right="14" w:firstLine="0"/>
        <w:jc w:val="center"/>
        <w:rPr>
          <w:rFonts w:ascii="黑体" w:hAnsi="黑体" w:cs="黑体" w:eastAsia="黑体" w:hint="default"/>
          <w:sz w:val="32"/>
          <w:szCs w:val="32"/>
        </w:rPr>
      </w:pPr>
      <w:r>
        <w:rPr>
          <w:rFonts w:ascii="黑体" w:hAnsi="黑体" w:cs="黑体" w:eastAsia="黑体" w:hint="default"/>
          <w:sz w:val="32"/>
          <w:szCs w:val="32"/>
        </w:rPr>
        <w:t>目</w:t>
        <w:tab/>
        <w:t>录</w:t>
      </w:r>
    </w:p>
    <w:sdt>
      <w:sdtPr>
        <w:docPartObj>
          <w:docPartGallery w:val="Table of Contents"/>
          <w:docPartUnique/>
        </w:docPartObj>
      </w:sdtPr>
      <w:sdtEndPr/>
      <w:sdtContent>
        <w:p>
          <w:pPr>
            <w:pStyle w:val="TOC1"/>
            <w:tabs>
              <w:tab w:pos="8057" w:val="right" w:leader="dot"/>
            </w:tabs>
            <w:spacing w:line="240" w:lineRule="auto" w:before="51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2"/>
              </w:rPr>
              <w:t> </w:t>
            </w:r>
            <w:r>
              <w:rPr/>
              <w:t>公司基本情况简介</w:t>
            </w:r>
            <w:r>
              <w:rPr>
                <w:rFonts w:ascii="Times New Roman" w:hAnsi="Times New Roman" w:cs="Times New Roman" w:eastAsia="Times New Roman" w:hint="default"/>
              </w:rPr>
              <w:tab/>
              <w:t>3</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2"/>
              </w:rPr>
              <w:t> </w:t>
            </w:r>
            <w:r>
              <w:rPr/>
              <w:t>会计数据和业务数据摘要</w:t>
            </w:r>
            <w:r>
              <w:rPr>
                <w:rFonts w:ascii="Times New Roman" w:hAnsi="Times New Roman" w:cs="Times New Roman" w:eastAsia="Times New Roman" w:hint="default"/>
              </w:rPr>
              <w:tab/>
              <w:t>4</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7">
            <w:r>
              <w:rPr/>
              <w:t>第三节</w:t>
            </w:r>
            <w:r>
              <w:rPr>
                <w:spacing w:val="-1"/>
              </w:rPr>
              <w:t> </w:t>
            </w:r>
            <w:r>
              <w:rPr/>
              <w:t>董事会报告</w:t>
            </w:r>
            <w:r>
              <w:rPr>
                <w:rFonts w:ascii="Times New Roman" w:hAnsi="Times New Roman" w:cs="Times New Roman" w:eastAsia="Times New Roman" w:hint="default"/>
              </w:rPr>
              <w:tab/>
              <w:t>7</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重要事项</w:t>
            </w:r>
            <w:r>
              <w:rPr>
                <w:rFonts w:ascii="Times New Roman" w:hAnsi="Times New Roman" w:cs="Times New Roman" w:eastAsia="Times New Roman" w:hint="default"/>
              </w:rPr>
              <w:tab/>
              <w:t>30</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2"/>
              </w:rPr>
              <w:t> </w:t>
            </w:r>
            <w:r>
              <w:rPr/>
              <w:t>股本变动和主要股东持股情况</w:t>
            </w:r>
            <w:r>
              <w:rPr>
                <w:rFonts w:ascii="Times New Roman" w:hAnsi="Times New Roman" w:cs="Times New Roman" w:eastAsia="Times New Roman" w:hint="default"/>
              </w:rPr>
              <w:tab/>
              <w:t>35</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4">
            <w:r>
              <w:rPr/>
              <w:t>第六节</w:t>
            </w:r>
            <w:r>
              <w:rPr>
                <w:spacing w:val="-2"/>
              </w:rPr>
              <w:t> </w:t>
            </w:r>
            <w:r>
              <w:rPr/>
              <w:t>董事、监事、高级管理人员和员工情况</w:t>
            </w:r>
            <w:r>
              <w:rPr>
                <w:rFonts w:ascii="Times New Roman" w:hAnsi="Times New Roman" w:cs="Times New Roman" w:eastAsia="Times New Roman" w:hint="default"/>
              </w:rPr>
              <w:tab/>
              <w:t>40</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公司治理结构</w:t>
            </w:r>
            <w:r>
              <w:rPr>
                <w:rFonts w:ascii="Times New Roman" w:hAnsi="Times New Roman" w:cs="Times New Roman" w:eastAsia="Times New Roman" w:hint="default"/>
              </w:rPr>
              <w:tab/>
              <w:t>44</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监事会报告</w:t>
            </w:r>
            <w:r>
              <w:rPr>
                <w:rFonts w:ascii="Times New Roman" w:hAnsi="Times New Roman" w:cs="Times New Roman" w:eastAsia="Times New Roman" w:hint="default"/>
              </w:rPr>
              <w:tab/>
              <w:t>58</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61</w:t>
            </w:r>
          </w:hyperlink>
        </w:p>
        <w:p>
          <w:pPr>
            <w:pStyle w:val="TOC1"/>
            <w:tabs>
              <w:tab w:pos="8057"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w:t>
            </w:r>
            <w:r>
              <w:rPr>
                <w:rFonts w:ascii="Times New Roman" w:hAnsi="Times New Roman" w:cs="Times New Roman" w:eastAsia="Times New Roman" w:hint="default"/>
              </w:rPr>
              <w:tab/>
              <w:t>135</w:t>
            </w:r>
          </w:hyperlink>
        </w:p>
        <w:p>
          <w:pPr/>
          <w:r>
            <w:fldChar w:fldCharType="end"/>
          </w:r>
        </w:p>
      </w:sdtContent>
    </w:sdt>
    <w:p>
      <w:pPr>
        <w:spacing w:after="0"/>
        <w:sectPr>
          <w:pgSz w:w="11910" w:h="16840"/>
          <w:pgMar w:header="877" w:footer="982" w:top="1100" w:bottom="1180" w:left="1660" w:right="164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11"/>
        <w:rPr>
          <w:rFonts w:ascii="Times New Roman" w:hAnsi="Times New Roman" w:cs="Times New Roman" w:eastAsia="Times New Roman" w:hint="default"/>
          <w:sz w:val="29"/>
          <w:szCs w:val="29"/>
        </w:rPr>
      </w:pPr>
    </w:p>
    <w:p>
      <w:pPr>
        <w:pStyle w:val="Heading1"/>
        <w:spacing w:line="240" w:lineRule="auto" w:before="0"/>
        <w:ind w:left="2453" w:right="0"/>
        <w:jc w:val="left"/>
      </w:pPr>
      <w:bookmarkStart w:name="_TOC_250009" w:id="1"/>
      <w:r>
        <w:rPr/>
        <w:t>第一节</w:t>
      </w:r>
      <w:r>
        <w:rPr>
          <w:spacing w:val="-6"/>
        </w:rPr>
        <w:t> </w:t>
      </w:r>
      <w:bookmarkEnd w:id="1"/>
      <w:r>
        <w:rPr/>
        <w:t>公司基本情况简介</w:t>
      </w:r>
    </w:p>
    <w:p>
      <w:pPr>
        <w:spacing w:line="240" w:lineRule="auto" w:before="0"/>
        <w:rPr>
          <w:rFonts w:ascii="黑体" w:hAnsi="黑体" w:cs="黑体" w:eastAsia="黑体" w:hint="default"/>
          <w:sz w:val="20"/>
          <w:szCs w:val="20"/>
        </w:rPr>
      </w:pPr>
    </w:p>
    <w:p>
      <w:pPr>
        <w:pStyle w:val="BodyText"/>
        <w:spacing w:line="240" w:lineRule="auto" w:before="179"/>
        <w:ind w:right="0"/>
        <w:jc w:val="left"/>
      </w:pPr>
      <w:r>
        <w:rPr/>
        <w:t>一、</w:t>
      </w:r>
      <w:r>
        <w:rPr>
          <w:spacing w:val="-34"/>
        </w:rPr>
        <w:t> </w:t>
      </w:r>
      <w:r>
        <w:rPr/>
        <w:t>公司名称</w:t>
      </w:r>
    </w:p>
    <w:p>
      <w:pPr>
        <w:pStyle w:val="BodyText"/>
        <w:spacing w:line="372" w:lineRule="auto" w:before="167"/>
        <w:ind w:left="597" w:right="0"/>
        <w:jc w:val="left"/>
      </w:pPr>
      <w:r>
        <w:rPr>
          <w:w w:val="100"/>
        </w:rPr>
        <w:t>中文名</w:t>
      </w:r>
      <w:r>
        <w:rPr>
          <w:spacing w:val="-2"/>
          <w:w w:val="100"/>
        </w:rPr>
        <w:t>称（</w:t>
      </w:r>
      <w:r>
        <w:rPr>
          <w:w w:val="100"/>
        </w:rPr>
        <w:t>简称</w:t>
      </w:r>
      <w:r>
        <w:rPr>
          <w:spacing w:val="-116"/>
          <w:w w:val="100"/>
        </w:rPr>
        <w:t>）</w:t>
      </w:r>
      <w:r>
        <w:rPr>
          <w:spacing w:val="-2"/>
          <w:w w:val="100"/>
        </w:rPr>
        <w:t>：深</w:t>
      </w:r>
      <w:r>
        <w:rPr>
          <w:w w:val="100"/>
        </w:rPr>
        <w:t>圳市银</w:t>
      </w:r>
      <w:r>
        <w:rPr>
          <w:spacing w:val="-2"/>
          <w:w w:val="100"/>
        </w:rPr>
        <w:t>之杰</w:t>
      </w:r>
      <w:r>
        <w:rPr>
          <w:w w:val="100"/>
        </w:rPr>
        <w:t>科技股</w:t>
      </w:r>
      <w:r>
        <w:rPr>
          <w:spacing w:val="-2"/>
          <w:w w:val="100"/>
        </w:rPr>
        <w:t>份有</w:t>
      </w:r>
      <w:r>
        <w:rPr>
          <w:w w:val="100"/>
        </w:rPr>
        <w:t>限公司</w:t>
      </w:r>
      <w:r>
        <w:rPr>
          <w:spacing w:val="-2"/>
          <w:w w:val="100"/>
        </w:rPr>
        <w:t>（银</w:t>
      </w:r>
      <w:r>
        <w:rPr>
          <w:w w:val="100"/>
        </w:rPr>
        <w:t>之杰）</w:t>
      </w:r>
      <w:r>
        <w:rPr>
          <w:w w:val="100"/>
        </w:rPr>
        <w:t> 英文名</w:t>
      </w:r>
      <w:r>
        <w:rPr>
          <w:spacing w:val="-2"/>
          <w:w w:val="100"/>
        </w:rPr>
        <w:t>称（</w:t>
      </w:r>
      <w:r>
        <w:rPr>
          <w:w w:val="100"/>
        </w:rPr>
        <w:t>简称</w:t>
      </w:r>
      <w:r>
        <w:rPr>
          <w:spacing w:val="-116"/>
          <w:w w:val="100"/>
        </w:rPr>
        <w:t>）</w:t>
      </w:r>
      <w:r>
        <w:rPr>
          <w:spacing w:val="-2"/>
          <w:w w:val="100"/>
        </w:rPr>
        <w:t>：</w:t>
      </w:r>
      <w:r>
        <w:rPr>
          <w:rFonts w:ascii="Times New Roman" w:hAnsi="Times New Roman" w:cs="Times New Roman" w:eastAsia="Times New Roman" w:hint="default"/>
          <w:spacing w:val="-1"/>
          <w:w w:val="100"/>
        </w:rPr>
        <w:t>Sh</w:t>
      </w:r>
      <w:r>
        <w:rPr>
          <w:rFonts w:ascii="Times New Roman" w:hAnsi="Times New Roman" w:cs="Times New Roman" w:eastAsia="Times New Roman" w:hint="default"/>
          <w:spacing w:val="-2"/>
          <w:w w:val="100"/>
        </w:rPr>
        <w:t>e</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zhe</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100"/>
        </w:rPr>
        <w:t>Infot</w:t>
      </w:r>
      <w:r>
        <w:rPr>
          <w:rFonts w:ascii="Times New Roman" w:hAnsi="Times New Roman" w:cs="Times New Roman" w:eastAsia="Times New Roman" w:hint="default"/>
          <w:spacing w:val="-2"/>
          <w:w w:val="100"/>
        </w:rPr>
        <w:t>e</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h</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6"/>
          <w:w w:val="100"/>
        </w:rPr>
        <w:t>T</w:t>
      </w:r>
      <w:r>
        <w:rPr>
          <w:rFonts w:ascii="Times New Roman" w:hAnsi="Times New Roman" w:cs="Times New Roman" w:eastAsia="Times New Roman" w:hint="default"/>
          <w:spacing w:val="-1"/>
          <w:w w:val="100"/>
        </w:rPr>
        <w:t>echnol</w:t>
      </w:r>
      <w:r>
        <w:rPr>
          <w:rFonts w:ascii="Times New Roman" w:hAnsi="Times New Roman" w:cs="Times New Roman" w:eastAsia="Times New Roman" w:hint="default"/>
          <w:spacing w:val="-2"/>
          <w:w w:val="100"/>
        </w:rPr>
        <w:t>o</w:t>
      </w:r>
      <w:r>
        <w:rPr>
          <w:rFonts w:ascii="Times New Roman" w:hAnsi="Times New Roman" w:cs="Times New Roman" w:eastAsia="Times New Roman" w:hint="default"/>
          <w:w w:val="100"/>
        </w:rPr>
        <w:t>gies</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100"/>
        </w:rPr>
        <w:t>Co.,Ltd</w:t>
      </w:r>
      <w:r>
        <w:rPr>
          <w:rFonts w:ascii="Times New Roman" w:hAnsi="Times New Roman" w:cs="Times New Roman" w:eastAsia="Times New Roman" w:hint="default"/>
          <w:spacing w:val="-2"/>
          <w:w w:val="100"/>
        </w:rPr>
        <w:t>.</w:t>
      </w:r>
      <w:r>
        <w:rPr>
          <w:w w:val="100"/>
        </w:rPr>
        <w:t>（</w:t>
      </w:r>
      <w:r>
        <w:rPr>
          <w:rFonts w:ascii="Times New Roman" w:hAnsi="Times New Roman" w:cs="Times New Roman" w:eastAsia="Times New Roman" w:hint="default"/>
          <w:spacing w:val="-1"/>
          <w:w w:val="100"/>
        </w:rPr>
        <w:t>INFOTEC</w:t>
      </w:r>
      <w:r>
        <w:rPr>
          <w:rFonts w:ascii="Times New Roman" w:hAnsi="Times New Roman" w:cs="Times New Roman" w:eastAsia="Times New Roman" w:hint="default"/>
          <w:w w:val="100"/>
        </w:rPr>
        <w:t>H</w:t>
      </w:r>
      <w:r>
        <w:rPr>
          <w:w w:val="100"/>
        </w:rPr>
        <w:t>）</w:t>
      </w:r>
    </w:p>
    <w:p>
      <w:pPr>
        <w:pStyle w:val="BodyText"/>
        <w:spacing w:line="372" w:lineRule="auto" w:before="9"/>
        <w:ind w:right="5838"/>
        <w:jc w:val="left"/>
      </w:pPr>
      <w:r>
        <w:rPr/>
        <w:t>二、</w:t>
      </w:r>
      <w:r>
        <w:rPr>
          <w:spacing w:val="-36"/>
        </w:rPr>
        <w:t> </w:t>
      </w:r>
      <w:r>
        <w:rPr/>
        <w:t>法定代表人：陈向军</w:t>
      </w:r>
      <w:r>
        <w:rPr>
          <w:w w:val="100"/>
        </w:rPr>
        <w:t> </w:t>
      </w:r>
      <w:r>
        <w:rPr/>
        <w:t>三、</w:t>
      </w:r>
      <w:r>
        <w:rPr>
          <w:spacing w:val="-36"/>
        </w:rPr>
        <w:t> </w:t>
      </w:r>
      <w:r>
        <w:rPr/>
        <w:t>联系人和联系方式</w:t>
      </w:r>
    </w:p>
    <w:tbl>
      <w:tblPr>
        <w:tblW w:w="0" w:type="auto"/>
        <w:jc w:val="left"/>
        <w:tblInd w:w="143" w:type="dxa"/>
        <w:tblLayout w:type="fixed"/>
        <w:tblCellMar>
          <w:top w:w="0" w:type="dxa"/>
          <w:left w:w="0" w:type="dxa"/>
          <w:bottom w:w="0" w:type="dxa"/>
          <w:right w:w="0" w:type="dxa"/>
        </w:tblCellMar>
        <w:tblLook w:val="01E0"/>
      </w:tblPr>
      <w:tblGrid>
        <w:gridCol w:w="1777"/>
        <w:gridCol w:w="3251"/>
        <w:gridCol w:w="3241"/>
      </w:tblGrid>
      <w:tr>
        <w:trPr>
          <w:trHeight w:val="508"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766" w:right="0"/>
              <w:jc w:val="left"/>
              <w:rPr>
                <w:rFonts w:ascii="宋体" w:hAnsi="宋体" w:cs="宋体" w:eastAsia="宋体" w:hint="default"/>
                <w:sz w:val="23"/>
                <w:szCs w:val="23"/>
              </w:rPr>
            </w:pPr>
            <w:r>
              <w:rPr>
                <w:rFonts w:ascii="宋体" w:hAnsi="宋体" w:cs="宋体" w:eastAsia="宋体" w:hint="default"/>
                <w:sz w:val="23"/>
                <w:szCs w:val="23"/>
              </w:rPr>
              <w:t>项目</w:t>
            </w:r>
          </w:p>
        </w:tc>
        <w:tc>
          <w:tcPr>
            <w:tcW w:w="32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1049" w:right="0"/>
              <w:jc w:val="left"/>
              <w:rPr>
                <w:rFonts w:ascii="宋体" w:hAnsi="宋体" w:cs="宋体" w:eastAsia="宋体" w:hint="default"/>
                <w:sz w:val="23"/>
                <w:szCs w:val="23"/>
              </w:rPr>
            </w:pPr>
            <w:r>
              <w:rPr>
                <w:rFonts w:ascii="宋体" w:hAnsi="宋体" w:cs="宋体" w:eastAsia="宋体" w:hint="default"/>
                <w:sz w:val="23"/>
                <w:szCs w:val="23"/>
              </w:rPr>
              <w:t>董事会秘书</w:t>
            </w:r>
          </w:p>
        </w:tc>
        <w:tc>
          <w:tcPr>
            <w:tcW w:w="32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923" w:right="0"/>
              <w:jc w:val="left"/>
              <w:rPr>
                <w:rFonts w:ascii="宋体" w:hAnsi="宋体" w:cs="宋体" w:eastAsia="宋体" w:hint="default"/>
                <w:sz w:val="23"/>
                <w:szCs w:val="23"/>
              </w:rPr>
            </w:pPr>
            <w:r>
              <w:rPr>
                <w:rFonts w:ascii="宋体" w:hAnsi="宋体" w:cs="宋体" w:eastAsia="宋体" w:hint="default"/>
                <w:sz w:val="23"/>
                <w:szCs w:val="23"/>
              </w:rPr>
              <w:t>证券事务代表</w:t>
            </w:r>
          </w:p>
        </w:tc>
      </w:tr>
      <w:tr>
        <w:trPr>
          <w:trHeight w:val="509"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right="1"/>
              <w:jc w:val="center"/>
              <w:rPr>
                <w:rFonts w:ascii="宋体" w:hAnsi="宋体" w:cs="宋体" w:eastAsia="宋体" w:hint="default"/>
                <w:sz w:val="23"/>
                <w:szCs w:val="23"/>
              </w:rPr>
            </w:pPr>
            <w:r>
              <w:rPr>
                <w:rFonts w:ascii="宋体" w:hAnsi="宋体" w:cs="宋体" w:eastAsia="宋体" w:hint="default"/>
                <w:sz w:val="23"/>
                <w:szCs w:val="23"/>
              </w:rPr>
              <w:t>姓名</w:t>
            </w:r>
          </w:p>
        </w:tc>
        <w:tc>
          <w:tcPr>
            <w:tcW w:w="649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55"/>
              <w:ind w:right="2"/>
              <w:jc w:val="center"/>
              <w:rPr>
                <w:rFonts w:ascii="宋体" w:hAnsi="宋体" w:cs="宋体" w:eastAsia="宋体" w:hint="default"/>
                <w:sz w:val="23"/>
                <w:szCs w:val="23"/>
              </w:rPr>
            </w:pPr>
            <w:r>
              <w:rPr>
                <w:rFonts w:ascii="宋体" w:hAnsi="宋体" w:cs="宋体" w:eastAsia="宋体" w:hint="default"/>
                <w:sz w:val="23"/>
                <w:szCs w:val="23"/>
              </w:rPr>
              <w:t>刘奕</w:t>
            </w:r>
          </w:p>
        </w:tc>
      </w:tr>
      <w:tr>
        <w:trPr>
          <w:trHeight w:val="508"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421" w:right="0"/>
              <w:jc w:val="left"/>
              <w:rPr>
                <w:rFonts w:ascii="宋体" w:hAnsi="宋体" w:cs="宋体" w:eastAsia="宋体" w:hint="default"/>
                <w:sz w:val="23"/>
                <w:szCs w:val="23"/>
              </w:rPr>
            </w:pPr>
            <w:r>
              <w:rPr>
                <w:rFonts w:ascii="宋体" w:hAnsi="宋体" w:cs="宋体" w:eastAsia="宋体" w:hint="default"/>
                <w:sz w:val="23"/>
                <w:szCs w:val="23"/>
              </w:rPr>
              <w:t>联系地址</w:t>
            </w:r>
          </w:p>
        </w:tc>
        <w:tc>
          <w:tcPr>
            <w:tcW w:w="649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55"/>
              <w:ind w:left="955" w:right="0"/>
              <w:jc w:val="left"/>
              <w:rPr>
                <w:rFonts w:ascii="Times New Roman" w:hAnsi="Times New Roman" w:cs="Times New Roman" w:eastAsia="Times New Roman" w:hint="default"/>
                <w:sz w:val="23"/>
                <w:szCs w:val="23"/>
              </w:rPr>
            </w:pPr>
            <w:r>
              <w:rPr>
                <w:rFonts w:ascii="宋体" w:hAnsi="宋体" w:cs="宋体" w:eastAsia="宋体" w:hint="default"/>
                <w:sz w:val="23"/>
                <w:szCs w:val="23"/>
              </w:rPr>
              <w:t>深圳市福田区天安数码城天祥大厦</w:t>
            </w:r>
            <w:r>
              <w:rPr>
                <w:rFonts w:ascii="宋体" w:hAnsi="宋体" w:cs="宋体" w:eastAsia="宋体" w:hint="default"/>
                <w:spacing w:val="-61"/>
                <w:sz w:val="23"/>
                <w:szCs w:val="23"/>
              </w:rPr>
              <w:t> </w:t>
            </w:r>
            <w:r>
              <w:rPr>
                <w:rFonts w:ascii="Times New Roman" w:hAnsi="Times New Roman" w:cs="Times New Roman" w:eastAsia="Times New Roman" w:hint="default"/>
                <w:sz w:val="23"/>
                <w:szCs w:val="23"/>
              </w:rPr>
              <w:t>AB</w:t>
            </w:r>
            <w:r>
              <w:rPr>
                <w:rFonts w:ascii="Times New Roman" w:hAnsi="Times New Roman" w:cs="Times New Roman" w:eastAsia="Times New Roman" w:hint="default"/>
                <w:spacing w:val="-2"/>
                <w:sz w:val="23"/>
                <w:szCs w:val="23"/>
              </w:rPr>
              <w:t> </w:t>
            </w:r>
            <w:r>
              <w:rPr>
                <w:rFonts w:ascii="宋体" w:hAnsi="宋体" w:cs="宋体" w:eastAsia="宋体" w:hint="default"/>
                <w:sz w:val="23"/>
                <w:szCs w:val="23"/>
              </w:rPr>
              <w:t>座</w:t>
            </w:r>
            <w:r>
              <w:rPr>
                <w:rFonts w:ascii="宋体" w:hAnsi="宋体" w:cs="宋体" w:eastAsia="宋体" w:hint="default"/>
                <w:spacing w:val="-60"/>
                <w:sz w:val="23"/>
                <w:szCs w:val="23"/>
              </w:rPr>
              <w:t> </w:t>
            </w:r>
            <w:r>
              <w:rPr>
                <w:rFonts w:ascii="Times New Roman" w:hAnsi="Times New Roman" w:cs="Times New Roman" w:eastAsia="Times New Roman" w:hint="default"/>
                <w:sz w:val="23"/>
                <w:szCs w:val="23"/>
              </w:rPr>
              <w:t>5B2</w:t>
            </w:r>
          </w:p>
        </w:tc>
      </w:tr>
      <w:tr>
        <w:trPr>
          <w:trHeight w:val="508"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right="1"/>
              <w:jc w:val="center"/>
              <w:rPr>
                <w:rFonts w:ascii="宋体" w:hAnsi="宋体" w:cs="宋体" w:eastAsia="宋体" w:hint="default"/>
                <w:sz w:val="23"/>
                <w:szCs w:val="23"/>
              </w:rPr>
            </w:pPr>
            <w:r>
              <w:rPr>
                <w:rFonts w:ascii="宋体" w:hAnsi="宋体" w:cs="宋体" w:eastAsia="宋体" w:hint="default"/>
                <w:sz w:val="23"/>
                <w:szCs w:val="23"/>
              </w:rPr>
              <w:t>电话</w:t>
            </w:r>
          </w:p>
        </w:tc>
        <w:tc>
          <w:tcPr>
            <w:tcW w:w="649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7"/>
              <w:ind w:right="2"/>
              <w:jc w:val="center"/>
              <w:rPr>
                <w:rFonts w:ascii="Times New Roman" w:hAnsi="Times New Roman" w:cs="Times New Roman" w:eastAsia="Times New Roman" w:hint="default"/>
                <w:sz w:val="23"/>
                <w:szCs w:val="23"/>
              </w:rPr>
            </w:pPr>
            <w:r>
              <w:rPr>
                <w:rFonts w:ascii="Times New Roman"/>
                <w:sz w:val="23"/>
              </w:rPr>
              <w:t>0755-83562960</w:t>
            </w:r>
          </w:p>
        </w:tc>
      </w:tr>
      <w:tr>
        <w:trPr>
          <w:trHeight w:val="509"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right="1"/>
              <w:jc w:val="center"/>
              <w:rPr>
                <w:rFonts w:ascii="宋体" w:hAnsi="宋体" w:cs="宋体" w:eastAsia="宋体" w:hint="default"/>
                <w:sz w:val="23"/>
                <w:szCs w:val="23"/>
              </w:rPr>
            </w:pPr>
            <w:r>
              <w:rPr>
                <w:rFonts w:ascii="宋体" w:hAnsi="宋体" w:cs="宋体" w:eastAsia="宋体" w:hint="default"/>
                <w:sz w:val="23"/>
                <w:szCs w:val="23"/>
              </w:rPr>
              <w:t>传真</w:t>
            </w:r>
          </w:p>
        </w:tc>
        <w:tc>
          <w:tcPr>
            <w:tcW w:w="649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7"/>
              <w:ind w:right="2"/>
              <w:jc w:val="center"/>
              <w:rPr>
                <w:rFonts w:ascii="Times New Roman" w:hAnsi="Times New Roman" w:cs="Times New Roman" w:eastAsia="Times New Roman" w:hint="default"/>
                <w:sz w:val="23"/>
                <w:szCs w:val="23"/>
              </w:rPr>
            </w:pPr>
            <w:r>
              <w:rPr>
                <w:rFonts w:ascii="Times New Roman"/>
                <w:sz w:val="23"/>
              </w:rPr>
              <w:t>0755-83562955</w:t>
            </w:r>
          </w:p>
        </w:tc>
      </w:tr>
      <w:tr>
        <w:trPr>
          <w:trHeight w:val="508"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421" w:right="0"/>
              <w:jc w:val="left"/>
              <w:rPr>
                <w:rFonts w:ascii="宋体" w:hAnsi="宋体" w:cs="宋体" w:eastAsia="宋体" w:hint="default"/>
                <w:sz w:val="23"/>
                <w:szCs w:val="23"/>
              </w:rPr>
            </w:pPr>
            <w:r>
              <w:rPr>
                <w:rFonts w:ascii="宋体" w:hAnsi="宋体" w:cs="宋体" w:eastAsia="宋体" w:hint="default"/>
                <w:sz w:val="23"/>
                <w:szCs w:val="23"/>
              </w:rPr>
              <w:t>电子信箱</w:t>
            </w:r>
          </w:p>
        </w:tc>
        <w:tc>
          <w:tcPr>
            <w:tcW w:w="649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3"/>
                <w:szCs w:val="23"/>
              </w:rPr>
            </w:pPr>
            <w:hyperlink r:id="rId8">
              <w:r>
                <w:rPr>
                  <w:rFonts w:ascii="Times New Roman"/>
                  <w:sz w:val="23"/>
                </w:rPr>
                <w:t>invest@yinzhijie.com</w:t>
              </w:r>
            </w:hyperlink>
          </w:p>
        </w:tc>
      </w:tr>
    </w:tbl>
    <w:p>
      <w:pPr>
        <w:spacing w:line="240" w:lineRule="auto" w:before="10"/>
        <w:rPr>
          <w:rFonts w:ascii="宋体" w:hAnsi="宋体" w:cs="宋体" w:eastAsia="宋体" w:hint="default"/>
          <w:sz w:val="12"/>
          <w:szCs w:val="12"/>
        </w:rPr>
      </w:pPr>
    </w:p>
    <w:p>
      <w:pPr>
        <w:pStyle w:val="BodyText"/>
        <w:spacing w:line="360" w:lineRule="auto"/>
        <w:ind w:left="597" w:right="2293" w:hanging="460"/>
        <w:jc w:val="left"/>
        <w:rPr>
          <w:rFonts w:ascii="Times New Roman" w:hAnsi="Times New Roman" w:cs="Times New Roman" w:eastAsia="Times New Roman" w:hint="default"/>
        </w:rPr>
      </w:pPr>
      <w:r>
        <w:rPr/>
        <w:t>四、</w:t>
      </w:r>
      <w:r>
        <w:rPr>
          <w:spacing w:val="-36"/>
        </w:rPr>
        <w:t> </w:t>
      </w:r>
      <w:r>
        <w:rPr/>
        <w:t>注册和办公地址</w:t>
      </w:r>
      <w:r>
        <w:rPr>
          <w:w w:val="100"/>
        </w:rPr>
        <w:t> </w:t>
      </w:r>
      <w:r>
        <w:rPr/>
        <w:t>注册地址：深圳市福田区天安数码城天祥大厦</w:t>
      </w:r>
      <w:r>
        <w:rPr>
          <w:spacing w:val="-62"/>
        </w:rPr>
        <w:t> </w:t>
      </w:r>
      <w:r>
        <w:rPr>
          <w:rFonts w:ascii="Times New Roman" w:hAnsi="Times New Roman" w:cs="Times New Roman" w:eastAsia="Times New Roman" w:hint="default"/>
        </w:rPr>
        <w:t>AB</w:t>
      </w:r>
      <w:r>
        <w:rPr>
          <w:rFonts w:ascii="Times New Roman" w:hAnsi="Times New Roman" w:cs="Times New Roman" w:eastAsia="Times New Roman" w:hint="default"/>
          <w:spacing w:val="-3"/>
        </w:rPr>
        <w:t> </w:t>
      </w:r>
      <w:r>
        <w:rPr/>
        <w:t>座</w:t>
      </w:r>
      <w:r>
        <w:rPr>
          <w:spacing w:val="-61"/>
        </w:rPr>
        <w:t> </w:t>
      </w:r>
      <w:r>
        <w:rPr>
          <w:rFonts w:ascii="Times New Roman" w:hAnsi="Times New Roman" w:cs="Times New Roman" w:eastAsia="Times New Roman" w:hint="default"/>
        </w:rPr>
        <w:t>5B2</w:t>
      </w:r>
      <w:r>
        <w:rPr>
          <w:rFonts w:ascii="Times New Roman" w:hAnsi="Times New Roman" w:cs="Times New Roman" w:eastAsia="Times New Roman" w:hint="default"/>
          <w:spacing w:val="-1"/>
          <w:w w:val="100"/>
        </w:rPr>
        <w:t> </w:t>
      </w:r>
      <w:r>
        <w:rPr/>
        <w:t>办公地址：深圳市福田区天安数码城天祥大厦</w:t>
      </w:r>
      <w:r>
        <w:rPr>
          <w:spacing w:val="-62"/>
        </w:rPr>
        <w:t> </w:t>
      </w:r>
      <w:r>
        <w:rPr>
          <w:rFonts w:ascii="Times New Roman" w:hAnsi="Times New Roman" w:cs="Times New Roman" w:eastAsia="Times New Roman" w:hint="default"/>
        </w:rPr>
        <w:t>AB</w:t>
      </w:r>
      <w:r>
        <w:rPr>
          <w:rFonts w:ascii="Times New Roman" w:hAnsi="Times New Roman" w:cs="Times New Roman" w:eastAsia="Times New Roman" w:hint="default"/>
          <w:spacing w:val="-3"/>
        </w:rPr>
        <w:t> </w:t>
      </w:r>
      <w:r>
        <w:rPr/>
        <w:t>座</w:t>
      </w:r>
      <w:r>
        <w:rPr>
          <w:spacing w:val="-61"/>
        </w:rPr>
        <w:t> </w:t>
      </w:r>
      <w:r>
        <w:rPr>
          <w:rFonts w:ascii="Times New Roman" w:hAnsi="Times New Roman" w:cs="Times New Roman" w:eastAsia="Times New Roman" w:hint="default"/>
        </w:rPr>
        <w:t>5B2</w:t>
      </w:r>
      <w:r>
        <w:rPr>
          <w:rFonts w:ascii="Times New Roman" w:hAnsi="Times New Roman" w:cs="Times New Roman" w:eastAsia="Times New Roman" w:hint="default"/>
          <w:spacing w:val="-1"/>
          <w:w w:val="100"/>
        </w:rPr>
        <w:t> </w:t>
      </w:r>
      <w:r>
        <w:rPr/>
        <w:t>邮政编码：</w:t>
      </w:r>
      <w:r>
        <w:rPr>
          <w:rFonts w:ascii="Times New Roman" w:hAnsi="Times New Roman" w:cs="Times New Roman" w:eastAsia="Times New Roman" w:hint="default"/>
        </w:rPr>
        <w:t>518048</w:t>
      </w:r>
    </w:p>
    <w:p>
      <w:pPr>
        <w:pStyle w:val="BodyText"/>
        <w:spacing w:line="352" w:lineRule="auto" w:before="22"/>
        <w:ind w:left="597" w:right="4817"/>
        <w:jc w:val="left"/>
        <w:rPr>
          <w:rFonts w:ascii="Times New Roman" w:hAnsi="Times New Roman" w:cs="Times New Roman" w:eastAsia="Times New Roman" w:hint="default"/>
        </w:rPr>
      </w:pPr>
      <w:r>
        <w:rPr>
          <w:spacing w:val="-2"/>
        </w:rPr>
        <w:t>互联网网址：</w:t>
      </w:r>
      <w:hyperlink r:id="rId9">
        <w:r>
          <w:rPr>
            <w:rFonts w:ascii="Times New Roman" w:hAnsi="Times New Roman" w:cs="Times New Roman" w:eastAsia="Times New Roman" w:hint="default"/>
            <w:spacing w:val="-2"/>
          </w:rPr>
          <w:t>www.yinzhijie.com</w:t>
        </w:r>
      </w:hyperlink>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电子信箱：</w:t>
      </w:r>
      <w:hyperlink r:id="rId8">
        <w:r>
          <w:rPr>
            <w:rFonts w:ascii="Times New Roman" w:hAnsi="Times New Roman" w:cs="Times New Roman" w:eastAsia="Times New Roman" w:hint="default"/>
          </w:rPr>
          <w:t>invest@yinzhijie.com</w:t>
        </w:r>
      </w:hyperlink>
    </w:p>
    <w:p>
      <w:pPr>
        <w:pStyle w:val="BodyText"/>
        <w:spacing w:line="362" w:lineRule="auto" w:before="30"/>
        <w:ind w:left="597" w:right="0" w:hanging="460"/>
        <w:jc w:val="left"/>
      </w:pPr>
      <w:r>
        <w:rPr>
          <w:w w:val="100"/>
        </w:rPr>
        <w:t>五、</w:t>
      </w:r>
      <w:r>
        <w:rPr>
          <w:spacing w:val="-36"/>
          <w:w w:val="100"/>
        </w:rPr>
        <w:t> </w:t>
      </w:r>
      <w:r>
        <w:rPr>
          <w:spacing w:val="-8"/>
          <w:w w:val="100"/>
        </w:rPr>
        <w:t>公司选定的信息披露报纸：《证券时报》</w:t>
      </w:r>
      <w:r>
        <w:rPr>
          <w:spacing w:val="-100"/>
          <w:w w:val="100"/>
        </w:rPr>
        <w:t> </w:t>
      </w:r>
      <w:r>
        <w:rPr>
          <w:spacing w:val="-100"/>
          <w:w w:val="100"/>
        </w:rPr>
      </w:r>
      <w:r>
        <w:rPr>
          <w:spacing w:val="-2"/>
        </w:rPr>
        <w:t>登载年度报告的网站网址：巨潮资讯网，</w:t>
      </w:r>
      <w:hyperlink r:id="rId10">
        <w:r>
          <w:rPr>
            <w:rFonts w:ascii="Times New Roman" w:hAnsi="Times New Roman" w:cs="Times New Roman" w:eastAsia="Times New Roman" w:hint="default"/>
            <w:spacing w:val="-2"/>
          </w:rPr>
          <w:t>www.cninfo.com.cn</w:t>
        </w:r>
      </w:hyperlink>
      <w:r>
        <w:rPr>
          <w:rFonts w:ascii="Times New Roman" w:hAnsi="Times New Roman" w:cs="Times New Roman" w:eastAsia="Times New Roman" w:hint="default"/>
          <w:spacing w:val="-1"/>
          <w:w w:val="100"/>
        </w:rPr>
        <w:t> </w:t>
      </w:r>
      <w:r>
        <w:rPr/>
        <w:t>公司年度报告备置地点：公司董事会办公室</w:t>
      </w:r>
    </w:p>
    <w:p>
      <w:pPr>
        <w:pStyle w:val="BodyText"/>
        <w:spacing w:line="372" w:lineRule="auto" w:before="49"/>
        <w:ind w:left="597" w:right="2293" w:hanging="460"/>
        <w:jc w:val="left"/>
      </w:pPr>
      <w:r>
        <w:rPr/>
        <w:t>六、</w:t>
      </w:r>
      <w:r>
        <w:rPr>
          <w:spacing w:val="-40"/>
        </w:rPr>
        <w:t> </w:t>
      </w:r>
      <w:r>
        <w:rPr/>
        <w:t>公司股票上市交易所：深圳证券交易所</w:t>
      </w:r>
      <w:r>
        <w:rPr>
          <w:w w:val="100"/>
        </w:rPr>
        <w:t> </w:t>
      </w:r>
      <w:r>
        <w:rPr/>
        <w:t>股票简称：银之杰</w:t>
      </w:r>
    </w:p>
    <w:p>
      <w:pPr>
        <w:pStyle w:val="BodyText"/>
        <w:spacing w:line="240" w:lineRule="auto" w:before="40"/>
        <w:ind w:left="597" w:right="0"/>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300085</w:t>
      </w:r>
    </w:p>
    <w:p>
      <w:pPr>
        <w:pStyle w:val="BodyText"/>
        <w:spacing w:line="240" w:lineRule="auto" w:before="149"/>
        <w:ind w:right="0"/>
        <w:jc w:val="left"/>
      </w:pPr>
      <w:r>
        <w:rPr/>
        <w:t>七、</w:t>
      </w:r>
      <w:r>
        <w:rPr>
          <w:spacing w:val="-40"/>
        </w:rPr>
        <w:t> </w:t>
      </w:r>
      <w:r>
        <w:rPr/>
        <w:t>持续督导机构：第一创业证券有限责任公司</w:t>
      </w:r>
    </w:p>
    <w:p>
      <w:pPr>
        <w:spacing w:after="0" w:line="240" w:lineRule="auto"/>
        <w:jc w:val="left"/>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spacing w:line="240" w:lineRule="auto"/>
        <w:ind w:left="2113" w:right="0"/>
        <w:jc w:val="left"/>
      </w:pPr>
      <w:bookmarkStart w:name="_TOC_250008" w:id="2"/>
      <w:r>
        <w:rPr/>
        <w:t>第二节</w:t>
      </w:r>
      <w:r>
        <w:rPr>
          <w:spacing w:val="-8"/>
        </w:rPr>
        <w:t> </w:t>
      </w:r>
      <w:bookmarkEnd w:id="2"/>
      <w:r>
        <w:rPr/>
        <w:t>会计数据和业务数据摘要</w:t>
      </w:r>
    </w:p>
    <w:p>
      <w:pPr>
        <w:spacing w:line="240" w:lineRule="auto" w:before="9"/>
        <w:rPr>
          <w:rFonts w:ascii="黑体" w:hAnsi="黑体" w:cs="黑体" w:eastAsia="黑体" w:hint="default"/>
          <w:sz w:val="33"/>
          <w:szCs w:val="33"/>
        </w:rPr>
      </w:pPr>
    </w:p>
    <w:p>
      <w:pPr>
        <w:pStyle w:val="Heading5"/>
        <w:spacing w:line="240" w:lineRule="auto"/>
        <w:ind w:left="277" w:right="0"/>
        <w:jc w:val="left"/>
        <w:rPr>
          <w:b w:val="0"/>
          <w:bCs w:val="0"/>
        </w:rPr>
      </w:pPr>
      <w:r>
        <w:rPr/>
        <w:t>一、</w:t>
      </w:r>
      <w:r>
        <w:rPr>
          <w:spacing w:val="-39"/>
        </w:rPr>
        <w:t> </w:t>
      </w:r>
      <w:r>
        <w:rPr/>
        <w:t>主要会计数据</w:t>
      </w:r>
      <w:r>
        <w:rPr>
          <w:b w:val="0"/>
          <w:bCs w:val="0"/>
        </w:rPr>
      </w:r>
    </w:p>
    <w:p>
      <w:pPr>
        <w:spacing w:line="240" w:lineRule="auto" w:before="1"/>
        <w:rPr>
          <w:rFonts w:ascii="宋体" w:hAnsi="宋体" w:cs="宋体" w:eastAsia="宋体"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1957"/>
        <w:gridCol w:w="1812"/>
        <w:gridCol w:w="1800"/>
        <w:gridCol w:w="1440"/>
        <w:gridCol w:w="1800"/>
      </w:tblGrid>
      <w:tr>
        <w:trPr>
          <w:trHeight w:val="161" w:hRule="exact"/>
        </w:trPr>
        <w:tc>
          <w:tcPr>
            <w:tcW w:w="19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88"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188"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957" w:type="dxa"/>
            <w:tcBorders>
              <w:top w:val="nil" w:sz="6" w:space="0" w:color="auto"/>
              <w:left w:val="single" w:sz="4" w:space="0" w:color="000000"/>
              <w:bottom w:val="nil" w:sz="6" w:space="0" w:color="auto"/>
              <w:right w:val="single" w:sz="4" w:space="0" w:color="000000"/>
            </w:tcBorders>
            <w:shd w:val="clear" w:color="auto" w:fill="DCDCDC"/>
          </w:tcPr>
          <w:p>
            <w:pPr/>
          </w:p>
        </w:tc>
        <w:tc>
          <w:tcPr>
            <w:tcW w:w="18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1" w:hRule="exact"/>
        </w:trPr>
        <w:tc>
          <w:tcPr>
            <w:tcW w:w="19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92,142,327.74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75,147,752.56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22.61%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64,836,858.98</w:t>
            </w: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35,093,990.49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30,580,179.44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14.76%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24,303,453.58</w:t>
            </w:r>
          </w:p>
        </w:tc>
      </w:tr>
      <w:tr>
        <w:trPr>
          <w:trHeight w:val="63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z w:val="21"/>
                <w:szCs w:val="21"/>
              </w:rPr>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的净利润（元）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33,973,521.32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29,274,493.30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22,340,055.81</w:t>
            </w:r>
          </w:p>
        </w:tc>
      </w:tr>
      <w:tr>
        <w:trPr>
          <w:trHeight w:val="947"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z w:val="21"/>
                <w:szCs w:val="21"/>
              </w:rPr>
            </w:r>
          </w:p>
          <w:p>
            <w:pPr>
              <w:pStyle w:val="TableParagraph"/>
              <w:spacing w:line="273" w:lineRule="auto" w:before="37"/>
              <w:ind w:left="10" w:right="3"/>
              <w:jc w:val="left"/>
              <w:rPr>
                <w:rFonts w:ascii="宋体" w:hAnsi="宋体" w:cs="宋体" w:eastAsia="宋体" w:hint="default"/>
                <w:sz w:val="21"/>
                <w:szCs w:val="21"/>
              </w:rPr>
            </w:pPr>
            <w:r>
              <w:rPr>
                <w:rFonts w:ascii="宋体" w:hAnsi="宋体" w:cs="宋体" w:eastAsia="宋体" w:hint="default"/>
                <w:spacing w:val="3"/>
                <w:sz w:val="21"/>
                <w:szCs w:val="21"/>
              </w:rPr>
              <w:t>的扣除非经常性损益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的净利润（元）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30,549,420.49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27,665,563.30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20,320,076.12</w:t>
            </w:r>
          </w:p>
        </w:tc>
      </w:tr>
      <w:tr>
        <w:trPr>
          <w:trHeight w:val="63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经营活动产生的现金</w:t>
            </w:r>
            <w:r>
              <w:rPr>
                <w:rFonts w:ascii="宋体" w:hAnsi="宋体" w:cs="宋体" w:eastAsia="宋体" w:hint="default"/>
                <w:sz w:val="21"/>
                <w:szCs w:val="21"/>
              </w:rPr>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流量净额（元）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19,093,710.87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19,923,255.14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13,767,781.62</w:t>
            </w:r>
          </w:p>
        </w:tc>
      </w:tr>
      <w:tr>
        <w:trPr>
          <w:trHeight w:val="161" w:hRule="exact"/>
        </w:trPr>
        <w:tc>
          <w:tcPr>
            <w:tcW w:w="19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82"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82"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957" w:type="dxa"/>
            <w:tcBorders>
              <w:top w:val="nil" w:sz="6" w:space="0" w:color="auto"/>
              <w:left w:val="single" w:sz="4" w:space="0" w:color="000000"/>
              <w:bottom w:val="nil" w:sz="6" w:space="0" w:color="auto"/>
              <w:right w:val="single" w:sz="4" w:space="0" w:color="000000"/>
            </w:tcBorders>
            <w:shd w:val="clear" w:color="auto" w:fill="DCDCDC"/>
          </w:tcPr>
          <w:p>
            <w:pPr/>
          </w:p>
        </w:tc>
        <w:tc>
          <w:tcPr>
            <w:tcW w:w="18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0" w:hRule="exact"/>
        </w:trPr>
        <w:tc>
          <w:tcPr>
            <w:tcW w:w="19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541,026,412.47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133,320,144.84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305.81%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107,661,708.87</w:t>
            </w:r>
          </w:p>
        </w:tc>
      </w:tr>
      <w:tr>
        <w:trPr>
          <w:trHeight w:val="63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z w:val="21"/>
                <w:szCs w:val="21"/>
              </w:rPr>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的所有者权益（元）</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530,850,615.58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107,926,354.30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391.86%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78,651,861.00</w:t>
            </w: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8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33.33%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45,000,000.00</w:t>
            </w:r>
          </w:p>
        </w:tc>
      </w:tr>
    </w:tbl>
    <w:p>
      <w:pPr>
        <w:spacing w:line="240" w:lineRule="auto" w:before="4"/>
        <w:rPr>
          <w:rFonts w:ascii="宋体" w:hAnsi="宋体" w:cs="宋体" w:eastAsia="宋体" w:hint="default"/>
          <w:b/>
          <w:bCs/>
          <w:sz w:val="25"/>
          <w:szCs w:val="25"/>
        </w:rPr>
      </w:pPr>
    </w:p>
    <w:p>
      <w:pPr>
        <w:pStyle w:val="BodyText"/>
        <w:spacing w:line="240" w:lineRule="auto"/>
        <w:ind w:left="277" w:right="0"/>
        <w:jc w:val="left"/>
      </w:pPr>
      <w:r>
        <w:rPr/>
        <w:t>二、</w:t>
      </w:r>
      <w:r>
        <w:rPr>
          <w:spacing w:val="-37"/>
        </w:rPr>
        <w:t> </w:t>
      </w:r>
      <w:r>
        <w:rPr/>
        <w:t>主要财务指标</w:t>
      </w:r>
    </w:p>
    <w:p>
      <w:pPr>
        <w:spacing w:line="240" w:lineRule="auto" w:before="1"/>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497"/>
        <w:gridCol w:w="1632"/>
        <w:gridCol w:w="1620"/>
        <w:gridCol w:w="1440"/>
        <w:gridCol w:w="1620"/>
      </w:tblGrid>
      <w:tr>
        <w:trPr>
          <w:trHeight w:val="161" w:hRule="exact"/>
        </w:trPr>
        <w:tc>
          <w:tcPr>
            <w:tcW w:w="24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88"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188"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497" w:type="dxa"/>
            <w:tcBorders>
              <w:top w:val="nil" w:sz="6" w:space="0" w:color="auto"/>
              <w:left w:val="single" w:sz="4" w:space="0" w:color="000000"/>
              <w:bottom w:val="nil" w:sz="6" w:space="0" w:color="auto"/>
              <w:right w:val="single" w:sz="4" w:space="0" w:color="000000"/>
            </w:tcBorders>
            <w:shd w:val="clear" w:color="auto" w:fill="DCDCDC"/>
          </w:tcPr>
          <w:p>
            <w:pPr/>
          </w:p>
        </w:tc>
        <w:tc>
          <w:tcPr>
            <w:tcW w:w="16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vMerge/>
            <w:tcBorders>
              <w:left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1" w:hRule="exact"/>
        </w:trPr>
        <w:tc>
          <w:tcPr>
            <w:tcW w:w="249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0.6321</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0.6505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-2.83%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0.4964</w:t>
            </w:r>
            <w:r>
              <w:rPr>
                <w:rFonts w:ascii="Times New Roman"/>
                <w:sz w:val="21"/>
              </w:rPr>
            </w:r>
          </w:p>
        </w:tc>
      </w:tr>
      <w:tr>
        <w:trPr>
          <w:trHeight w:val="323"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0.6321</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0.6505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-2.83%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0.4964</w:t>
            </w:r>
            <w:r>
              <w:rPr>
                <w:rFonts w:ascii="Times New Roman"/>
                <w:sz w:val="21"/>
              </w:rPr>
            </w:r>
          </w:p>
        </w:tc>
      </w:tr>
      <w:tr>
        <w:trPr>
          <w:trHeight w:val="63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0.5684</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0.6148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-7.55%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0.4516</w:t>
            </w:r>
            <w:r>
              <w:rPr>
                <w:rFonts w:ascii="Times New Roman"/>
                <w:sz w:val="21"/>
              </w:rPr>
            </w:r>
          </w:p>
        </w:tc>
      </w:tr>
      <w:tr>
        <w:trPr>
          <w:trHeight w:val="63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-21.72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33.11%</w:t>
            </w:r>
          </w:p>
        </w:tc>
      </w:tr>
      <w:tr>
        <w:trPr>
          <w:trHeight w:val="635"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9"/>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40" w:lineRule="auto" w:before="37"/>
              <w:ind w:left="10" w:right="-9"/>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Times New Roman" w:hAnsi="Times New Roman" w:cs="Times New Roman" w:eastAsia="Times New Roman" w:hint="default"/>
                <w:sz w:val="21"/>
                <w:szCs w:val="21"/>
              </w:rPr>
              <w:t>-20.98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30.11%</w:t>
            </w:r>
          </w:p>
        </w:tc>
      </w:tr>
      <w:tr>
        <w:trPr>
          <w:trHeight w:val="63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0.3182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0.4427</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-28.12%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0.3060</w:t>
            </w:r>
            <w:r>
              <w:rPr>
                <w:rFonts w:ascii="Times New Roman"/>
                <w:sz w:val="21"/>
              </w:rPr>
            </w:r>
          </w:p>
        </w:tc>
      </w:tr>
      <w:tr>
        <w:trPr>
          <w:trHeight w:val="161" w:hRule="exact"/>
        </w:trPr>
        <w:tc>
          <w:tcPr>
            <w:tcW w:w="24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82"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82"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497" w:type="dxa"/>
            <w:tcBorders>
              <w:top w:val="nil" w:sz="6" w:space="0" w:color="auto"/>
              <w:left w:val="single" w:sz="4" w:space="0" w:color="000000"/>
              <w:bottom w:val="nil" w:sz="6" w:space="0" w:color="auto"/>
              <w:right w:val="single" w:sz="4" w:space="0" w:color="000000"/>
            </w:tcBorders>
            <w:shd w:val="clear" w:color="auto" w:fill="DCDCDC"/>
          </w:tcPr>
          <w:p>
            <w:pPr/>
          </w:p>
        </w:tc>
        <w:tc>
          <w:tcPr>
            <w:tcW w:w="16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vMerge/>
            <w:tcBorders>
              <w:left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0" w:hRule="exact"/>
        </w:trPr>
        <w:tc>
          <w:tcPr>
            <w:tcW w:w="249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5"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8.8475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2.3984</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268.89%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1.7478</w:t>
            </w:r>
            <w:r>
              <w:rPr>
                <w:rFonts w:ascii="Times New Roman"/>
                <w:sz w:val="21"/>
              </w:rPr>
            </w:r>
          </w:p>
        </w:tc>
      </w:tr>
    </w:tbl>
    <w:p>
      <w:pPr>
        <w:spacing w:line="240" w:lineRule="auto" w:before="4"/>
        <w:rPr>
          <w:rFonts w:ascii="宋体" w:hAnsi="宋体" w:cs="宋体" w:eastAsia="宋体" w:hint="default"/>
          <w:sz w:val="19"/>
          <w:szCs w:val="19"/>
        </w:rPr>
      </w:pPr>
    </w:p>
    <w:p>
      <w:pPr>
        <w:pStyle w:val="BodyText"/>
        <w:spacing w:line="240" w:lineRule="auto"/>
        <w:ind w:left="277" w:right="0"/>
        <w:jc w:val="left"/>
      </w:pP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w w:val="100"/>
        </w:rPr>
        <w:t>归属于</w:t>
      </w:r>
      <w:r>
        <w:rPr>
          <w:spacing w:val="-2"/>
          <w:w w:val="100"/>
        </w:rPr>
        <w:t>上市</w:t>
      </w:r>
      <w:r>
        <w:rPr>
          <w:w w:val="100"/>
        </w:rPr>
        <w:t>公司股</w:t>
      </w:r>
      <w:r>
        <w:rPr>
          <w:spacing w:val="-2"/>
          <w:w w:val="100"/>
        </w:rPr>
        <w:t>东的</w:t>
      </w:r>
      <w:r>
        <w:rPr>
          <w:w w:val="100"/>
        </w:rPr>
        <w:t>每股净</w:t>
      </w:r>
      <w:r>
        <w:rPr>
          <w:spacing w:val="-2"/>
          <w:w w:val="100"/>
        </w:rPr>
        <w:t>资产</w:t>
      </w:r>
      <w:r>
        <w:rPr>
          <w:spacing w:val="-99"/>
          <w:w w:val="100"/>
        </w:rPr>
        <w:t>、</w:t>
      </w:r>
      <w:r>
        <w:rPr>
          <w:w w:val="100"/>
        </w:rPr>
        <w:t>每股经</w:t>
      </w:r>
      <w:r>
        <w:rPr>
          <w:spacing w:val="-2"/>
          <w:w w:val="100"/>
        </w:rPr>
        <w:t>营</w:t>
      </w:r>
      <w:r>
        <w:rPr>
          <w:w w:val="100"/>
        </w:rPr>
        <w:t>活动产</w:t>
      </w:r>
      <w:r>
        <w:rPr>
          <w:spacing w:val="-2"/>
          <w:w w:val="100"/>
        </w:rPr>
        <w:t>生的</w:t>
      </w:r>
      <w:r>
        <w:rPr>
          <w:w w:val="100"/>
        </w:rPr>
        <w:t>现金流</w:t>
      </w:r>
      <w:r>
        <w:rPr>
          <w:spacing w:val="-2"/>
          <w:w w:val="100"/>
        </w:rPr>
        <w:t>量净</w:t>
      </w:r>
      <w:r>
        <w:rPr>
          <w:w w:val="100"/>
        </w:rPr>
        <w:t>额按照中国</w:t>
      </w:r>
    </w:p>
    <w:p>
      <w:pPr>
        <w:spacing w:after="0" w:line="240" w:lineRule="auto"/>
        <w:jc w:val="left"/>
        <w:sectPr>
          <w:pgSz w:w="11910" w:h="16840"/>
          <w:pgMar w:header="877" w:footer="982" w:top="1100" w:bottom="1180" w:left="1520" w:right="1340"/>
        </w:sectPr>
      </w:pPr>
    </w:p>
    <w:p>
      <w:pPr>
        <w:spacing w:line="240" w:lineRule="auto" w:before="13"/>
        <w:rPr>
          <w:rFonts w:ascii="宋体" w:hAnsi="宋体" w:cs="宋体" w:eastAsia="宋体" w:hint="default"/>
          <w:sz w:val="19"/>
          <w:szCs w:val="19"/>
        </w:rPr>
      </w:pPr>
    </w:p>
    <w:p>
      <w:pPr>
        <w:pStyle w:val="BodyText"/>
        <w:spacing w:line="312" w:lineRule="exact" w:before="48"/>
        <w:ind w:left="657" w:right="272" w:hanging="1"/>
        <w:jc w:val="both"/>
      </w:pPr>
      <w:r>
        <w:rPr/>
        <w:t>证监会《公开发行证券的公司信息披露内容与格式准则第</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创业板上市</w:t>
      </w:r>
      <w:r>
        <w:rPr>
          <w:w w:val="100"/>
        </w:rPr>
        <w:t> </w:t>
      </w:r>
      <w:r>
        <w:rPr>
          <w:spacing w:val="-4"/>
        </w:rPr>
        <w:t>公司年度报告的内容与格式》规定的公式计算；净资产收益率、每股收益的计算</w:t>
      </w:r>
      <w:r>
        <w:rPr>
          <w:spacing w:val="-83"/>
        </w:rPr>
        <w:t> </w:t>
      </w:r>
      <w:r>
        <w:rPr>
          <w:spacing w:val="-83"/>
        </w:rPr>
      </w:r>
      <w:r>
        <w:rPr>
          <w:spacing w:val="-6"/>
          <w:w w:val="100"/>
        </w:rPr>
        <w:t>参照《公开发行证券的公司信息披露编报规则第</w:t>
      </w:r>
      <w:r>
        <w:rPr>
          <w:spacing w:val="-51"/>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7"/>
          <w:w w:val="100"/>
        </w:rPr>
        <w:t> </w:t>
      </w:r>
      <w:r>
        <w:rPr>
          <w:spacing w:val="-1"/>
          <w:w w:val="100"/>
        </w:rPr>
        <w:t>号</w:t>
      </w:r>
      <w:r>
        <w:rPr>
          <w:rFonts w:ascii="Times New Roman" w:hAnsi="Times New Roman" w:cs="Times New Roman" w:eastAsia="Times New Roman" w:hint="default"/>
          <w:spacing w:val="-1"/>
          <w:w w:val="100"/>
        </w:rPr>
        <w:t>——</w:t>
      </w:r>
      <w:r>
        <w:rPr>
          <w:spacing w:val="-1"/>
          <w:w w:val="100"/>
        </w:rPr>
        <w:t>净资产收益率和每股收</w:t>
      </w:r>
      <w:r>
        <w:rPr>
          <w:w w:val="100"/>
        </w:rPr>
        <w:t> </w:t>
      </w:r>
      <w:r>
        <w:rPr/>
        <w:t>益的计算及披露》执行。</w:t>
      </w:r>
    </w:p>
    <w:p>
      <w:pPr>
        <w:pStyle w:val="BodyText"/>
        <w:spacing w:line="240" w:lineRule="auto" w:before="137"/>
        <w:ind w:left="297"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基本每股收益和稀释每股收益的计算过程如下：</w:t>
      </w:r>
    </w:p>
    <w:p>
      <w:pPr>
        <w:spacing w:before="164"/>
        <w:ind w:left="0" w:right="272"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5400"/>
        <w:gridCol w:w="1440"/>
        <w:gridCol w:w="1800"/>
      </w:tblGrid>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93"/>
              <w:jc w:val="right"/>
              <w:rPr>
                <w:rFonts w:ascii="宋体" w:hAnsi="宋体" w:cs="宋体" w:eastAsia="宋体" w:hint="default"/>
                <w:sz w:val="21"/>
                <w:szCs w:val="21"/>
              </w:rPr>
            </w:pPr>
            <w:r>
              <w:rPr>
                <w:rFonts w:ascii="宋体" w:hAnsi="宋体" w:cs="宋体" w:eastAsia="宋体" w:hint="default"/>
                <w:sz w:val="21"/>
                <w:szCs w:val="21"/>
              </w:rPr>
              <w:t>计算过程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33,973,521.32</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3,424,100.83</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扣除非经常性损益后归属于普通股股东的净利润（元）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1" w:right="0"/>
              <w:jc w:val="left"/>
              <w:rPr>
                <w:rFonts w:ascii="Times New Roman" w:hAnsi="Times New Roman" w:cs="Times New Roman" w:eastAsia="Times New Roman" w:hint="default"/>
                <w:sz w:val="21"/>
                <w:szCs w:val="21"/>
              </w:rPr>
            </w:pPr>
            <w:r>
              <w:rPr>
                <w:rFonts w:ascii="Times New Roman"/>
                <w:sz w:val="21"/>
              </w:rPr>
              <w:t>3=1-2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30,549,420.49</w:t>
            </w:r>
          </w:p>
        </w:tc>
      </w:tr>
      <w:tr>
        <w:trPr>
          <w:trHeight w:val="32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期初股份总数（股）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45,000,000.00</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12</w:t>
            </w:r>
          </w:p>
        </w:tc>
      </w:tr>
      <w:tr>
        <w:trPr>
          <w:trHeight w:val="32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7</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8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8=4+5×7/6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53,750,000.00</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5" w:right="0"/>
              <w:jc w:val="left"/>
              <w:rPr>
                <w:rFonts w:ascii="Times New Roman" w:hAnsi="Times New Roman" w:cs="Times New Roman" w:eastAsia="Times New Roman" w:hint="default"/>
                <w:sz w:val="21"/>
                <w:szCs w:val="21"/>
              </w:rPr>
            </w:pPr>
            <w:r>
              <w:rPr>
                <w:rFonts w:ascii="Times New Roman"/>
                <w:sz w:val="21"/>
              </w:rPr>
              <w:t>9=1/8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0.6321</w:t>
            </w:r>
          </w:p>
        </w:tc>
      </w:tr>
      <w:tr>
        <w:trPr>
          <w:trHeight w:val="635"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扣除非经常性损益后归属于公司普通股股东的基本每股</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4" w:right="0"/>
              <w:jc w:val="left"/>
              <w:rPr>
                <w:rFonts w:ascii="Times New Roman" w:hAnsi="Times New Roman" w:cs="Times New Roman" w:eastAsia="Times New Roman" w:hint="default"/>
                <w:sz w:val="21"/>
                <w:szCs w:val="21"/>
              </w:rPr>
            </w:pPr>
            <w:r>
              <w:rPr>
                <w:rFonts w:ascii="Times New Roman"/>
                <w:sz w:val="21"/>
              </w:rPr>
              <w:t>10=3/8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0.5684</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9" w:right="0"/>
              <w:jc w:val="left"/>
              <w:rPr>
                <w:rFonts w:ascii="Times New Roman" w:hAnsi="Times New Roman" w:cs="Times New Roman" w:eastAsia="Times New Roman" w:hint="default"/>
                <w:sz w:val="21"/>
                <w:szCs w:val="21"/>
              </w:rPr>
            </w:pPr>
            <w:r>
              <w:rPr>
                <w:rFonts w:ascii="Times New Roman"/>
                <w:spacing w:val="-3"/>
                <w:sz w:val="21"/>
              </w:rPr>
              <w:t>11=9</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0.6321</w:t>
            </w:r>
            <w:r>
              <w:rPr>
                <w:rFonts w:ascii="Times New Roman"/>
                <w:sz w:val="21"/>
              </w:rPr>
            </w:r>
          </w:p>
        </w:tc>
      </w:tr>
      <w:tr>
        <w:trPr>
          <w:trHeight w:val="635"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扣除非经常性损益后归属于公司普通股股东的稀释每股</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3" w:right="0"/>
              <w:jc w:val="left"/>
              <w:rPr>
                <w:rFonts w:ascii="Times New Roman" w:hAnsi="Times New Roman" w:cs="Times New Roman" w:eastAsia="Times New Roman" w:hint="default"/>
                <w:sz w:val="21"/>
                <w:szCs w:val="21"/>
              </w:rPr>
            </w:pPr>
            <w:r>
              <w:rPr>
                <w:rFonts w:ascii="Times New Roman"/>
                <w:sz w:val="21"/>
              </w:rPr>
              <w:t>12=10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0.5684</w:t>
            </w:r>
          </w:p>
        </w:tc>
      </w:tr>
    </w:tbl>
    <w:p>
      <w:pPr>
        <w:spacing w:line="240" w:lineRule="auto" w:before="0"/>
        <w:rPr>
          <w:rFonts w:ascii="宋体" w:hAnsi="宋体" w:cs="宋体" w:eastAsia="宋体" w:hint="default"/>
          <w:sz w:val="20"/>
          <w:szCs w:val="20"/>
        </w:rPr>
      </w:pPr>
    </w:p>
    <w:p>
      <w:pPr>
        <w:pStyle w:val="BodyText"/>
        <w:spacing w:line="312" w:lineRule="exact" w:before="195"/>
        <w:ind w:left="657" w:right="0" w:hanging="360"/>
        <w:jc w:val="left"/>
      </w:pPr>
      <w:r>
        <w:rPr>
          <w:rFonts w:ascii="Times New Roman" w:hAnsi="Times New Roman" w:cs="Times New Roman" w:eastAsia="Times New Roman" w:hint="default"/>
          <w:w w:val="100"/>
        </w:rPr>
        <w:t>3.</w:t>
      </w:r>
      <w:r>
        <w:rPr>
          <w:rFonts w:ascii="Times New Roman" w:hAnsi="Times New Roman" w:cs="Times New Roman" w:eastAsia="Times New Roman" w:hint="default"/>
          <w:spacing w:val="31"/>
          <w:w w:val="100"/>
        </w:rPr>
        <w:t> </w:t>
      </w:r>
      <w:r>
        <w:rPr>
          <w:spacing w:val="-4"/>
          <w:w w:val="100"/>
        </w:rPr>
        <w:t>加权平均净资产收益率、扣除非经常性损益后加权平均净资产收益率的计算过程</w:t>
      </w:r>
      <w:r>
        <w:rPr>
          <w:w w:val="100"/>
        </w:rPr>
        <w:t> </w:t>
      </w:r>
      <w:r>
        <w:rPr/>
        <w:t>如下：</w:t>
      </w:r>
    </w:p>
    <w:p>
      <w:pPr>
        <w:spacing w:before="152"/>
        <w:ind w:left="0" w:right="272"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5400"/>
        <w:gridCol w:w="1440"/>
        <w:gridCol w:w="1800"/>
      </w:tblGrid>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计算过程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33,973,521.32</w:t>
            </w:r>
          </w:p>
        </w:tc>
      </w:tr>
      <w:tr>
        <w:trPr>
          <w:trHeight w:val="32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3,424,100.83</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扣除非经常性损益后归属于普通股股东的净利润（元）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3=1-2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30,549,420.49</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归属于公司普通股东的期初净资产总额（元）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107,926,354.30</w:t>
            </w:r>
          </w:p>
        </w:tc>
      </w:tr>
      <w:tr>
        <w:trPr>
          <w:trHeight w:val="635"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发行新股或债转股等新增、归属于公司普通股股东的净资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2"/>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388,950,739.96</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7</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12</w:t>
            </w:r>
          </w:p>
        </w:tc>
      </w:tr>
      <w:tr>
        <w:trPr>
          <w:trHeight w:val="635"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0"/>
              <w:jc w:val="center"/>
              <w:rPr>
                <w:rFonts w:ascii="Times New Roman" w:hAnsi="Times New Roman" w:cs="Times New Roman" w:eastAsia="Times New Roman" w:hint="default"/>
                <w:sz w:val="21"/>
                <w:szCs w:val="21"/>
              </w:rPr>
            </w:pPr>
            <w:r>
              <w:rPr>
                <w:rFonts w:ascii="Times New Roman"/>
                <w:sz w:val="21"/>
              </w:rPr>
              <w:t>8=1/2+4+5*6/</w:t>
            </w:r>
          </w:p>
          <w:p>
            <w:pPr>
              <w:pStyle w:val="TableParagraph"/>
              <w:spacing w:line="240" w:lineRule="auto" w:before="70"/>
              <w:ind w:right="82"/>
              <w:jc w:val="center"/>
              <w:rPr>
                <w:rFonts w:ascii="Times New Roman" w:hAnsi="Times New Roman" w:cs="Times New Roman" w:eastAsia="Times New Roman" w:hint="default"/>
                <w:sz w:val="21"/>
                <w:szCs w:val="21"/>
              </w:rPr>
            </w:pPr>
            <w:r>
              <w:rPr>
                <w:rFonts w:ascii="Times New Roman"/>
                <w:sz w:val="21"/>
              </w:rPr>
              <w:t>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351,801,046.60</w:t>
            </w:r>
          </w:p>
        </w:tc>
      </w:tr>
      <w:tr>
        <w:trPr>
          <w:trHeight w:val="32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center"/>
              <w:rPr>
                <w:rFonts w:ascii="Times New Roman" w:hAnsi="Times New Roman" w:cs="Times New Roman" w:eastAsia="Times New Roman" w:hint="default"/>
                <w:sz w:val="21"/>
                <w:szCs w:val="21"/>
              </w:rPr>
            </w:pPr>
            <w:r>
              <w:rPr>
                <w:rFonts w:ascii="Times New Roman"/>
                <w:sz w:val="21"/>
              </w:rPr>
              <w:t>9=1/8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9.66%</w:t>
            </w:r>
          </w:p>
        </w:tc>
      </w:tr>
      <w:tr>
        <w:trPr>
          <w:trHeight w:val="32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扣除非经常性损加权平均净资产收益率</w:t>
            </w:r>
            <w:r>
              <w:rPr>
                <w:rFonts w:ascii="Times New Roman" w:hAnsi="Times New Roman" w:cs="Times New Roman" w:eastAsia="Times New Roman"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0"/>
              <w:jc w:val="center"/>
              <w:rPr>
                <w:rFonts w:ascii="Times New Roman" w:hAnsi="Times New Roman" w:cs="Times New Roman" w:eastAsia="Times New Roman" w:hint="default"/>
                <w:sz w:val="21"/>
                <w:szCs w:val="21"/>
              </w:rPr>
            </w:pPr>
            <w:r>
              <w:rPr>
                <w:rFonts w:ascii="Times New Roman"/>
                <w:sz w:val="21"/>
              </w:rPr>
              <w:t>10=3/8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8.68%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00" w:right="1520"/>
        </w:sectPr>
      </w:pPr>
    </w:p>
    <w:p>
      <w:pPr>
        <w:spacing w:line="240" w:lineRule="auto" w:before="12"/>
        <w:rPr>
          <w:rFonts w:ascii="宋体" w:hAnsi="宋体" w:cs="宋体" w:eastAsia="宋体" w:hint="default"/>
          <w:sz w:val="25"/>
          <w:szCs w:val="25"/>
        </w:rPr>
      </w:pPr>
    </w:p>
    <w:p>
      <w:pPr>
        <w:pStyle w:val="BodyText"/>
        <w:spacing w:line="240" w:lineRule="auto"/>
        <w:ind w:left="297" w:right="0"/>
        <w:jc w:val="left"/>
      </w:pPr>
      <w:r>
        <w:rPr/>
        <w:t>三、</w:t>
      </w:r>
      <w:r>
        <w:rPr>
          <w:spacing w:val="-36"/>
        </w:rPr>
        <w:t> </w:t>
      </w:r>
      <w:r>
        <w:rPr/>
        <w:t>非经常性损益项目</w:t>
      </w:r>
    </w:p>
    <w:p>
      <w:pPr>
        <w:spacing w:before="104"/>
        <w:ind w:left="0" w:right="272"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6480"/>
        <w:gridCol w:w="2160"/>
      </w:tblGrid>
      <w:tr>
        <w:trPr>
          <w:trHeight w:val="322" w:hRule="exact"/>
        </w:trPr>
        <w:tc>
          <w:tcPr>
            <w:tcW w:w="6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635"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计入当期损益的政府补助，但与公司正常经营业务密切相关，符合国家</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政策规定、按照一定标准定额或定量持续享受的政府补助除外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3,800,600.00</w:t>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3,923.15</w:t>
            </w:r>
            <w:r>
              <w:rPr>
                <w:rFonts w:ascii="Times New Roman"/>
                <w:sz w:val="21"/>
              </w:rPr>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-380,422.32</w:t>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3,424,100.83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0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spacing w:line="240" w:lineRule="auto"/>
        <w:ind w:left="2917" w:right="3011"/>
        <w:jc w:val="center"/>
      </w:pPr>
      <w:bookmarkStart w:name="_TOC_250007" w:id="3"/>
      <w:r>
        <w:rPr/>
        <w:t>第三节</w:t>
      </w:r>
      <w:r>
        <w:rPr>
          <w:spacing w:val="-4"/>
        </w:rPr>
        <w:t> </w:t>
      </w:r>
      <w:bookmarkEnd w:id="3"/>
      <w:r>
        <w:rPr/>
        <w:t>董事会报告</w:t>
      </w:r>
    </w:p>
    <w:p>
      <w:pPr>
        <w:spacing w:line="240" w:lineRule="auto" w:before="9"/>
        <w:rPr>
          <w:rFonts w:ascii="黑体" w:hAnsi="黑体" w:cs="黑体" w:eastAsia="黑体" w:hint="default"/>
          <w:sz w:val="33"/>
          <w:szCs w:val="33"/>
        </w:rPr>
      </w:pPr>
    </w:p>
    <w:p>
      <w:pPr>
        <w:pStyle w:val="Heading5"/>
        <w:spacing w:line="240" w:lineRule="auto"/>
        <w:ind w:left="137" w:right="0"/>
        <w:jc w:val="both"/>
        <w:rPr>
          <w:b w:val="0"/>
          <w:bCs w:val="0"/>
        </w:rPr>
      </w:pPr>
      <w:r>
        <w:rPr/>
        <w:t>一、</w:t>
      </w:r>
      <w:r>
        <w:rPr>
          <w:spacing w:val="-39"/>
        </w:rPr>
        <w:t> </w:t>
      </w:r>
      <w:r>
        <w:rPr/>
        <w:t>报告期内公司经营情况回顾</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right="0"/>
        <w:jc w:val="both"/>
      </w:pPr>
      <w:r>
        <w:rPr/>
        <w:t>（一）</w:t>
      </w:r>
      <w:r>
        <w:rPr>
          <w:spacing w:val="-88"/>
        </w:rPr>
        <w:t> </w:t>
      </w:r>
      <w:r>
        <w:rPr/>
        <w:t>报告期内总体经营情况</w:t>
      </w:r>
    </w:p>
    <w:p>
      <w:pPr>
        <w:pStyle w:val="BodyText"/>
        <w:spacing w:line="367" w:lineRule="auto" w:before="167"/>
        <w:ind w:right="232" w:firstLine="45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年，公司坚持既定发展战略，按照年度经营计划，立足于以银行影像应用</w:t>
      </w:r>
      <w:r>
        <w:rPr>
          <w:w w:val="100"/>
        </w:rPr>
        <w:t> </w:t>
      </w:r>
      <w:r>
        <w:rPr/>
        <w:t>软件为主的金融信息化市场领域，不断优化产品技术，紧密围绕市场需求进行深度</w:t>
      </w:r>
      <w:r>
        <w:rPr>
          <w:spacing w:val="-87"/>
        </w:rPr>
        <w:t> </w:t>
      </w:r>
      <w:r>
        <w:rPr>
          <w:spacing w:val="-87"/>
        </w:rPr>
      </w:r>
      <w:r>
        <w:rPr/>
        <w:t>挖掘和创新，加大新产品开发力度，持续加强技术储备，同时进一步加强管理提升</w:t>
      </w:r>
      <w:r>
        <w:rPr>
          <w:spacing w:val="-87"/>
        </w:rPr>
        <w:t> </w:t>
      </w:r>
      <w:r>
        <w:rPr>
          <w:spacing w:val="-87"/>
        </w:rPr>
      </w:r>
      <w:r>
        <w:rPr/>
        <w:t>工作和营销体系的建设，经营业绩保持了稳定发展。</w:t>
      </w:r>
    </w:p>
    <w:p>
      <w:pPr>
        <w:pStyle w:val="BodyText"/>
        <w:spacing w:line="364" w:lineRule="auto" w:before="45"/>
        <w:ind w:right="232" w:firstLine="459"/>
        <w:jc w:val="right"/>
      </w:pPr>
      <w:r>
        <w:rPr>
          <w:spacing w:val="-4"/>
        </w:rPr>
        <w:t>报告期内，公司营业收入为 </w:t>
      </w:r>
      <w:r>
        <w:rPr>
          <w:rFonts w:ascii="Times New Roman" w:hAnsi="Times New Roman" w:cs="Times New Roman" w:eastAsia="Times New Roman" w:hint="default"/>
        </w:rPr>
        <w:t>92,142,327.74 </w:t>
      </w:r>
      <w:r>
        <w:rPr>
          <w:spacing w:val="-7"/>
        </w:rPr>
        <w:t>元，同比增长</w:t>
      </w:r>
      <w:r>
        <w:rPr>
          <w:spacing w:val="-92"/>
        </w:rPr>
        <w:t> </w:t>
      </w:r>
      <w:r>
        <w:rPr>
          <w:rFonts w:ascii="Times New Roman" w:hAnsi="Times New Roman" w:cs="Times New Roman" w:eastAsia="Times New Roman" w:hint="default"/>
          <w:spacing w:val="-3"/>
        </w:rPr>
        <w:t>22.61%</w:t>
      </w:r>
      <w:r>
        <w:rPr>
          <w:spacing w:val="-3"/>
        </w:rPr>
        <w:t>；实现营业利润</w:t>
      </w:r>
      <w:r>
        <w:rPr>
          <w:w w:val="100"/>
        </w:rPr>
        <w:t> </w:t>
      </w:r>
      <w:r>
        <w:rPr>
          <w:rFonts w:ascii="Times New Roman" w:hAnsi="Times New Roman" w:cs="Times New Roman" w:eastAsia="Times New Roman" w:hint="default"/>
        </w:rPr>
        <w:t>27,848,653.19</w:t>
      </w:r>
      <w:r>
        <w:rPr>
          <w:rFonts w:ascii="Times New Roman" w:hAnsi="Times New Roman" w:cs="Times New Roman" w:eastAsia="Times New Roman" w:hint="default"/>
          <w:spacing w:val="-2"/>
        </w:rPr>
        <w:t> </w:t>
      </w:r>
      <w:r>
        <w:rPr/>
        <w:t>元，同比增长</w:t>
      </w:r>
      <w:r>
        <w:rPr>
          <w:spacing w:val="-60"/>
        </w:rPr>
        <w:t> </w:t>
      </w:r>
      <w:r>
        <w:rPr>
          <w:rFonts w:ascii="Times New Roman" w:hAnsi="Times New Roman" w:cs="Times New Roman" w:eastAsia="Times New Roman" w:hint="default"/>
        </w:rPr>
        <w:t>16.54%</w:t>
      </w:r>
      <w:r>
        <w:rPr/>
        <w:t>；净利润</w:t>
      </w:r>
      <w:r>
        <w:rPr>
          <w:spacing w:val="-61"/>
        </w:rPr>
        <w:t> </w:t>
      </w:r>
      <w:r>
        <w:rPr>
          <w:rFonts w:ascii="Times New Roman" w:hAnsi="Times New Roman" w:cs="Times New Roman" w:eastAsia="Times New Roman" w:hint="default"/>
        </w:rPr>
        <w:t>33,973,521.32</w:t>
      </w:r>
      <w:r>
        <w:rPr>
          <w:rFonts w:ascii="Times New Roman" w:hAnsi="Times New Roman" w:cs="Times New Roman" w:eastAsia="Times New Roman" w:hint="default"/>
          <w:spacing w:val="-4"/>
        </w:rPr>
        <w:t> </w:t>
      </w:r>
      <w:r>
        <w:rPr/>
        <w:t>元，同比增长</w:t>
      </w:r>
      <w:r>
        <w:rPr>
          <w:spacing w:val="-60"/>
        </w:rPr>
        <w:t> </w:t>
      </w:r>
      <w:r>
        <w:rPr>
          <w:rFonts w:ascii="Times New Roman" w:hAnsi="Times New Roman" w:cs="Times New Roman" w:eastAsia="Times New Roman" w:hint="default"/>
        </w:rPr>
        <w:t>16.05%</w:t>
      </w:r>
      <w:r>
        <w:rPr/>
        <w:t>。</w:t>
      </w:r>
      <w:r>
        <w:rPr>
          <w:w w:val="100"/>
        </w:rPr>
        <w:t> </w:t>
      </w:r>
      <w:r>
        <w:rPr/>
        <w:t>营业收入的增长，主要是因为公司在报告期内进一步挖掘现有产品市场潜力，</w:t>
      </w:r>
      <w:r>
        <w:rPr>
          <w:w w:val="100"/>
        </w:rPr>
        <w:t> </w:t>
      </w:r>
      <w:r>
        <w:rPr/>
        <w:t>在已经积累的广大、稳固的银行客户基础上，电脑验印系统、票据影像处理软件、</w:t>
      </w:r>
      <w:r>
        <w:rPr>
          <w:spacing w:val="-100"/>
        </w:rPr>
        <w:t> </w:t>
      </w:r>
      <w:r>
        <w:rPr>
          <w:spacing w:val="-100"/>
        </w:rPr>
      </w:r>
      <w:r>
        <w:rPr/>
        <w:t>银企对账管理系统等传统优势软件产品的交叉和扩容销售实现了较大幅度的增长，</w:t>
      </w:r>
      <w:r>
        <w:rPr>
          <w:spacing w:val="-100"/>
        </w:rPr>
        <w:t> </w:t>
      </w:r>
      <w:r>
        <w:rPr>
          <w:spacing w:val="-100"/>
        </w:rPr>
      </w:r>
      <w:r>
        <w:rPr>
          <w:spacing w:val="-4"/>
        </w:rPr>
        <w:t>远程影像授权系统等新产品在完善了多系列和功能优化的设计后，在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年下半年</w:t>
      </w:r>
    </w:p>
    <w:p>
      <w:pPr>
        <w:pStyle w:val="BodyText"/>
        <w:spacing w:line="352" w:lineRule="auto" w:before="17"/>
        <w:ind w:right="233" w:hanging="1"/>
        <w:jc w:val="both"/>
      </w:pPr>
      <w:r>
        <w:rPr>
          <w:spacing w:val="-3"/>
        </w:rPr>
        <w:t>起也开始产生销售收入。以上软件产品在</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年度产生</w:t>
      </w:r>
      <w:r>
        <w:rPr>
          <w:spacing w:val="-57"/>
        </w:rPr>
        <w:t> </w:t>
      </w:r>
      <w:r>
        <w:rPr>
          <w:rFonts w:ascii="Times New Roman" w:hAnsi="Times New Roman" w:cs="Times New Roman" w:eastAsia="Times New Roman" w:hint="default"/>
        </w:rPr>
        <w:t>5,224.25 </w:t>
      </w:r>
      <w:r>
        <w:rPr>
          <w:spacing w:val="-6"/>
        </w:rPr>
        <w:t>万元销售收入，较</w:t>
      </w:r>
      <w:r>
        <w:rPr>
          <w:w w:val="100"/>
        </w:rPr>
        <w:t> </w:t>
      </w:r>
      <w:r>
        <w:rPr>
          <w:spacing w:val="-1"/>
        </w:rPr>
        <w:t>上年度增长</w:t>
      </w:r>
      <w:r>
        <w:rPr>
          <w:spacing w:val="-45"/>
        </w:rPr>
        <w:t> </w:t>
      </w:r>
      <w:r>
        <w:rPr>
          <w:rFonts w:ascii="Times New Roman" w:hAnsi="Times New Roman" w:cs="Times New Roman" w:eastAsia="Times New Roman" w:hint="default"/>
          <w:spacing w:val="-2"/>
        </w:rPr>
        <w:t>59.10%</w:t>
      </w:r>
      <w:r>
        <w:rPr>
          <w:spacing w:val="-2"/>
        </w:rPr>
        <w:t>。同时，随着近年公司产品销售的增加以及加强对售后服务的管</w:t>
      </w:r>
      <w:r>
        <w:rPr>
          <w:spacing w:val="-112"/>
        </w:rPr>
        <w:t> </w:t>
      </w:r>
      <w:r>
        <w:rPr>
          <w:spacing w:val="-112"/>
        </w:rPr>
      </w:r>
      <w:r>
        <w:rPr/>
        <w:t>理，</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年度技术服务的收入达到</w:t>
      </w:r>
      <w:r>
        <w:rPr>
          <w:spacing w:val="-64"/>
        </w:rPr>
        <w:t> </w:t>
      </w:r>
      <w:r>
        <w:rPr>
          <w:rFonts w:ascii="Times New Roman" w:hAnsi="Times New Roman" w:cs="Times New Roman" w:eastAsia="Times New Roman" w:hint="default"/>
        </w:rPr>
        <w:t>804.59</w:t>
      </w:r>
      <w:r>
        <w:rPr>
          <w:rFonts w:ascii="Times New Roman" w:hAnsi="Times New Roman" w:cs="Times New Roman" w:eastAsia="Times New Roman" w:hint="default"/>
          <w:spacing w:val="-5"/>
        </w:rPr>
        <w:t> </w:t>
      </w:r>
      <w:r>
        <w:rPr/>
        <w:t>万元，较上年度增长</w:t>
      </w:r>
      <w:r>
        <w:rPr>
          <w:spacing w:val="-63"/>
        </w:rPr>
        <w:t> </w:t>
      </w:r>
      <w:r>
        <w:rPr>
          <w:rFonts w:ascii="Times New Roman" w:hAnsi="Times New Roman" w:cs="Times New Roman" w:eastAsia="Times New Roman" w:hint="default"/>
        </w:rPr>
        <w:t>115.90%</w:t>
      </w:r>
      <w:r>
        <w:rPr/>
        <w:t>。</w:t>
      </w:r>
    </w:p>
    <w:p>
      <w:pPr>
        <w:pStyle w:val="BodyText"/>
        <w:spacing w:line="369" w:lineRule="auto" w:before="30"/>
        <w:ind w:right="232" w:firstLine="459"/>
        <w:jc w:val="both"/>
      </w:pPr>
      <w:r>
        <w:rPr/>
        <w:t>营业利润的增长，主要是由于公司报告期内销售收入稳定增长，带来营业利润</w:t>
      </w:r>
      <w:r>
        <w:rPr>
          <w:w w:val="100"/>
        </w:rPr>
        <w:t> </w:t>
      </w:r>
      <w:r>
        <w:rPr/>
        <w:t>的增加。同时，由于公司本年度加强市场推广、员工人数增加等因素，销售费用及</w:t>
      </w:r>
      <w:r>
        <w:rPr>
          <w:spacing w:val="-87"/>
        </w:rPr>
        <w:t> </w:t>
      </w:r>
      <w:r>
        <w:rPr>
          <w:spacing w:val="-87"/>
        </w:rPr>
      </w:r>
      <w:r>
        <w:rPr/>
        <w:t>管理费用相应增长，加之由于公司报告期内首次公开发行股票上市，按照财政部财</w:t>
      </w:r>
      <w:r>
        <w:rPr>
          <w:spacing w:val="-87"/>
        </w:rPr>
        <w:t> </w:t>
      </w:r>
      <w:r>
        <w:rPr>
          <w:spacing w:val="-87"/>
        </w:rPr>
      </w:r>
      <w:r>
        <w:rPr/>
        <w:t>会</w:t>
      </w:r>
      <w:r>
        <w:rPr>
          <w:rFonts w:ascii="Times New Roman" w:hAnsi="Times New Roman" w:cs="Times New Roman" w:eastAsia="Times New Roman" w:hint="default"/>
        </w:rPr>
        <w:t>[2010]25 </w:t>
      </w:r>
      <w:r>
        <w:rPr/>
        <w:t>号及中国证监会会计部函</w:t>
      </w:r>
      <w:r>
        <w:rPr>
          <w:rFonts w:ascii="Times New Roman" w:hAnsi="Times New Roman" w:cs="Times New Roman" w:eastAsia="Times New Roman" w:hint="default"/>
        </w:rPr>
        <w:t>[2010]299</w:t>
      </w:r>
      <w:r>
        <w:rPr>
          <w:rFonts w:ascii="Times New Roman" w:hAnsi="Times New Roman" w:cs="Times New Roman" w:eastAsia="Times New Roman" w:hint="default"/>
          <w:spacing w:val="-1"/>
        </w:rPr>
        <w:t> </w:t>
      </w:r>
      <w:r>
        <w:rPr>
          <w:spacing w:val="-4"/>
        </w:rPr>
        <w:t>号等文件精神，对发行股票过程中发</w:t>
      </w:r>
      <w:r>
        <w:rPr>
          <w:w w:val="100"/>
        </w:rPr>
        <w:t> </w:t>
      </w:r>
      <w:r>
        <w:rPr/>
        <w:t>生的广告费、路演费、财经公关费等费用计入当期损益等因素，致使本报告期营业</w:t>
      </w:r>
      <w:r>
        <w:rPr>
          <w:spacing w:val="-87"/>
        </w:rPr>
        <w:t> </w:t>
      </w:r>
      <w:r>
        <w:rPr>
          <w:spacing w:val="-87"/>
        </w:rPr>
      </w:r>
      <w:r>
        <w:rPr/>
        <w:t>利润和净利润的增长幅度低于营业收入的增长幅度。</w:t>
      </w:r>
    </w:p>
    <w:p>
      <w:pPr>
        <w:pStyle w:val="BodyText"/>
        <w:spacing w:line="372" w:lineRule="auto" w:before="43"/>
        <w:ind w:right="113" w:firstLine="459"/>
        <w:jc w:val="left"/>
      </w:pPr>
      <w:r>
        <w:rPr/>
        <w:t>报告期内，公司沿着既定的发展战略和规划，主营业务仍然专注于金融信息化</w:t>
      </w:r>
      <w:r>
        <w:rPr>
          <w:w w:val="100"/>
        </w:rPr>
        <w:t> </w:t>
      </w:r>
      <w:r>
        <w:rPr>
          <w:spacing w:val="-3"/>
        </w:rPr>
        <w:t>行业，主营业务未发生重大变化。公司主要为银行提供与影像应用相关的软件产品、</w:t>
      </w:r>
      <w:r>
        <w:rPr>
          <w:spacing w:val="-97"/>
        </w:rPr>
        <w:t> </w:t>
      </w:r>
      <w:r>
        <w:rPr>
          <w:spacing w:val="-97"/>
        </w:rPr>
      </w:r>
      <w:r>
        <w:rPr/>
        <w:t>软件开发、技术服务及相应的系统集成，同时努力拓宽产品线，进一步开拓新的银</w:t>
      </w:r>
      <w:r>
        <w:rPr>
          <w:spacing w:val="-87"/>
        </w:rPr>
        <w:t> </w:t>
      </w:r>
      <w:r>
        <w:rPr>
          <w:spacing w:val="-87"/>
        </w:rPr>
      </w:r>
      <w:r>
        <w:rPr/>
        <w:t>行客户和其他金融领域市场。目前公司经营状况良好，在行业内的领先地位进一步</w:t>
      </w:r>
      <w:r>
        <w:rPr>
          <w:spacing w:val="-87"/>
        </w:rPr>
        <w:t> </w:t>
      </w:r>
      <w:r>
        <w:rPr>
          <w:spacing w:val="-87"/>
        </w:rPr>
      </w:r>
      <w:r>
        <w:rPr/>
        <w:t>巩固和扩大，为公司今后经营持续向好发展奠定了坚实的基础。</w:t>
      </w:r>
    </w:p>
    <w:p>
      <w:pPr>
        <w:spacing w:after="0" w:line="372" w:lineRule="auto"/>
        <w:jc w:val="left"/>
        <w:sectPr>
          <w:pgSz w:w="11910" w:h="16840"/>
          <w:pgMar w:header="877" w:footer="982" w:top="1100" w:bottom="1180" w:left="1660" w:right="1560"/>
        </w:sectPr>
      </w:pPr>
    </w:p>
    <w:p>
      <w:pPr>
        <w:spacing w:line="240" w:lineRule="auto" w:before="12"/>
        <w:rPr>
          <w:rFonts w:ascii="宋体" w:hAnsi="宋体" w:cs="宋体" w:eastAsia="宋体" w:hint="default"/>
          <w:sz w:val="25"/>
          <w:szCs w:val="25"/>
        </w:rPr>
      </w:pPr>
    </w:p>
    <w:p>
      <w:pPr>
        <w:pStyle w:val="BodyText"/>
        <w:spacing w:line="362" w:lineRule="auto"/>
        <w:ind w:right="207" w:firstLine="459"/>
        <w:jc w:val="both"/>
      </w:pPr>
      <w:r>
        <w:rPr/>
        <w:t>在市场开拓方面，</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年度公司在已经积累的广大、稳固的银行客户基础上，</w:t>
      </w:r>
      <w:r>
        <w:rPr>
          <w:w w:val="100"/>
        </w:rPr>
        <w:t> </w:t>
      </w:r>
      <w:r>
        <w:rPr/>
        <w:t>新增了我国大型国有银行中的中国农业银行的 </w:t>
      </w:r>
      <w:r>
        <w:rPr>
          <w:rFonts w:ascii="Times New Roman" w:hAnsi="Times New Roman" w:cs="Times New Roman" w:eastAsia="Times New Roman" w:hint="default"/>
        </w:rPr>
        <w:t>8</w:t>
      </w:r>
      <w:r>
        <w:rPr>
          <w:rFonts w:ascii="Times New Roman" w:hAnsi="Times New Roman" w:cs="Times New Roman" w:eastAsia="Times New Roman" w:hint="default"/>
          <w:spacing w:val="-34"/>
        </w:rPr>
        <w:t> </w:t>
      </w:r>
      <w:r>
        <w:rPr/>
        <w:t>家省级分行，全国性股份制商业银</w:t>
      </w:r>
      <w:r>
        <w:rPr>
          <w:w w:val="100"/>
        </w:rPr>
        <w:t> </w:t>
      </w:r>
      <w:r>
        <w:rPr/>
        <w:t>行中的恒丰银行，城市商业银行中的成都银行、锦州银行、华融湘江银行、晋商银</w:t>
      </w:r>
      <w:r>
        <w:rPr>
          <w:spacing w:val="-87"/>
        </w:rPr>
        <w:t> </w:t>
      </w:r>
      <w:r>
        <w:rPr>
          <w:spacing w:val="-87"/>
        </w:rPr>
      </w:r>
      <w:r>
        <w:rPr/>
        <w:t>行、营口银行，属于农村金融机构的武汉市农村商业银行、河南省农村信用社、山</w:t>
      </w:r>
      <w:r>
        <w:rPr>
          <w:spacing w:val="-87"/>
        </w:rPr>
        <w:t> </w:t>
      </w:r>
      <w:r>
        <w:rPr>
          <w:spacing w:val="-87"/>
        </w:rPr>
      </w:r>
      <w:r>
        <w:rPr>
          <w:spacing w:val="-5"/>
        </w:rPr>
        <w:t>东省农村信用社，以及</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spacing w:val="-3"/>
        </w:rPr>
        <w:t>家外资银行在中国的分行机构等一批优质银行客户。</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年末，公司中标某保险公司的</w:t>
      </w:r>
      <w:r>
        <w:rPr>
          <w:rFonts w:ascii="Times New Roman" w:hAnsi="Times New Roman" w:cs="Times New Roman" w:eastAsia="Times New Roman" w:hint="default"/>
        </w:rPr>
        <w:t>“</w:t>
      </w:r>
      <w:r>
        <w:rPr/>
        <w:t>柜面影像采集系统</w:t>
      </w:r>
      <w:r>
        <w:rPr>
          <w:rFonts w:ascii="Times New Roman" w:hAnsi="Times New Roman" w:cs="Times New Roman" w:eastAsia="Times New Roman" w:hint="default"/>
        </w:rPr>
        <w:t>”</w:t>
      </w:r>
      <w:r>
        <w:rPr/>
        <w:t>项目，是公司在银行以外的金融</w:t>
      </w:r>
      <w:r>
        <w:rPr>
          <w:spacing w:val="-65"/>
        </w:rPr>
        <w:t> </w:t>
      </w:r>
      <w:r>
        <w:rPr/>
        <w:t>领域取得的市场突破。鉴于金融信息化行业市场客户黏度较高的特点，公司广大、</w:t>
      </w:r>
      <w:r>
        <w:rPr>
          <w:spacing w:val="-87"/>
        </w:rPr>
        <w:t> </w:t>
      </w:r>
      <w:r>
        <w:rPr>
          <w:spacing w:val="-87"/>
        </w:rPr>
      </w:r>
      <w:r>
        <w:rPr/>
        <w:t>稳固的客户基础将为公司今后的业务发展提供广阔的发展空间，如果公司的产品线</w:t>
      </w:r>
      <w:r>
        <w:rPr>
          <w:spacing w:val="-87"/>
        </w:rPr>
        <w:t> </w:t>
      </w:r>
      <w:r>
        <w:rPr>
          <w:spacing w:val="-87"/>
        </w:rPr>
      </w:r>
      <w:r>
        <w:rPr/>
        <w:t>进一步拓宽，将有利于公司业务收入及营业利润的进一步提升。</w:t>
      </w:r>
    </w:p>
    <w:p>
      <w:pPr>
        <w:pStyle w:val="BodyText"/>
        <w:spacing w:line="364" w:lineRule="auto" w:before="49"/>
        <w:ind w:right="113" w:firstLine="459"/>
        <w:jc w:val="left"/>
      </w:pPr>
      <w:r>
        <w:rPr/>
        <w:t>在产品线方面，公司的电脑验印系统、批量验印系统、票据影像处理软件、银</w:t>
      </w:r>
      <w:r>
        <w:rPr>
          <w:w w:val="100"/>
        </w:rPr>
        <w:t> </w:t>
      </w:r>
      <w:r>
        <w:rPr/>
        <w:t>企对账管理系统、远程影像授权系统等软件产品的销售收入继续保持良好的增长。</w:t>
      </w:r>
      <w:r>
        <w:rPr>
          <w:spacing w:val="-87"/>
        </w:rPr>
        <w:t> </w:t>
      </w:r>
      <w:r>
        <w:rPr>
          <w:spacing w:val="-87"/>
        </w:rPr>
      </w:r>
      <w:r>
        <w:rPr>
          <w:spacing w:val="-6"/>
        </w:rPr>
        <w:t>募集资金投资项目进展正常，在</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spacing w:val="-7"/>
        </w:rPr>
        <w:t>年第四季度已经初步产生效益（详见本节，三，</w:t>
      </w:r>
      <w:r>
        <w:rPr>
          <w:spacing w:val="-112"/>
        </w:rPr>
        <w:t> </w:t>
      </w:r>
      <w:r>
        <w:rPr>
          <w:spacing w:val="-112"/>
        </w:rPr>
      </w:r>
      <w:r>
        <w:rPr>
          <w:rFonts w:ascii="Times New Roman" w:hAnsi="Times New Roman" w:cs="Times New Roman" w:eastAsia="Times New Roman" w:hint="default"/>
          <w:spacing w:val="-6"/>
          <w:w w:val="100"/>
        </w:rPr>
        <w:t>“</w:t>
      </w:r>
      <w:r>
        <w:rPr>
          <w:spacing w:val="-6"/>
          <w:w w:val="100"/>
        </w:rPr>
        <w:t>报告期内投资情况</w:t>
      </w:r>
      <w:r>
        <w:rPr>
          <w:rFonts w:ascii="Times New Roman" w:hAnsi="Times New Roman" w:cs="Times New Roman" w:eastAsia="Times New Roman" w:hint="default"/>
          <w:spacing w:val="-6"/>
          <w:w w:val="100"/>
        </w:rPr>
        <w:t>”</w:t>
      </w:r>
      <w:r>
        <w:rPr>
          <w:spacing w:val="-6"/>
          <w:w w:val="100"/>
        </w:rPr>
        <w:t>的说明）。为了加强新产品的开发，公司已经对内部组织结构进</w:t>
      </w:r>
      <w:r>
        <w:rPr>
          <w:spacing w:val="-85"/>
          <w:w w:val="100"/>
        </w:rPr>
        <w:t> </w:t>
      </w:r>
      <w:r>
        <w:rPr>
          <w:spacing w:val="-85"/>
          <w:w w:val="100"/>
        </w:rPr>
      </w:r>
      <w:r>
        <w:rPr/>
        <w:t>行了调整，成立产品管理委员会负责产品战略规划、产品研发策略、产品生命周期</w:t>
      </w:r>
      <w:r>
        <w:rPr>
          <w:spacing w:val="-87"/>
        </w:rPr>
        <w:t> </w:t>
      </w:r>
      <w:r>
        <w:rPr>
          <w:spacing w:val="-87"/>
        </w:rPr>
      </w:r>
      <w:r>
        <w:rPr/>
        <w:t>管理工作，并成立新产品开发部专门负责全新产品的开发工作。目前，有关新产品</w:t>
      </w:r>
      <w:r>
        <w:rPr>
          <w:spacing w:val="-87"/>
        </w:rPr>
        <w:t> </w:t>
      </w:r>
      <w:r>
        <w:rPr>
          <w:spacing w:val="-87"/>
        </w:rPr>
      </w:r>
      <w:r>
        <w:rPr/>
        <w:t>开发的组织架构已经开始运行，已着手落实多功能影像采集平台、印章智能管理系</w:t>
      </w:r>
      <w:r>
        <w:rPr>
          <w:spacing w:val="-87"/>
        </w:rPr>
        <w:t> </w:t>
      </w:r>
      <w:r>
        <w:rPr>
          <w:spacing w:val="-87"/>
        </w:rPr>
      </w:r>
      <w:r>
        <w:rPr>
          <w:spacing w:val="-3"/>
          <w:w w:val="100"/>
        </w:rPr>
        <w:t>统、自助回单打印系统等一批新产品的开发（详见本节（六）、</w:t>
      </w:r>
      <w:r>
        <w:rPr>
          <w:rFonts w:ascii="Times New Roman" w:hAnsi="Times New Roman" w:cs="Times New Roman" w:eastAsia="Times New Roman" w:hint="default"/>
          <w:spacing w:val="-3"/>
          <w:w w:val="100"/>
        </w:rPr>
        <w:t>“</w:t>
      </w:r>
      <w:r>
        <w:rPr>
          <w:spacing w:val="-3"/>
          <w:w w:val="100"/>
        </w:rPr>
        <w:t>研发支出及研发项</w:t>
      </w:r>
      <w:r>
        <w:rPr>
          <w:spacing w:val="-94"/>
          <w:w w:val="100"/>
        </w:rPr>
        <w:t> </w:t>
      </w:r>
      <w:r>
        <w:rPr>
          <w:spacing w:val="-94"/>
          <w:w w:val="100"/>
        </w:rPr>
      </w:r>
      <w:r>
        <w:rPr>
          <w:spacing w:val="-3"/>
          <w:w w:val="100"/>
        </w:rPr>
        <w:t>目情况</w:t>
      </w:r>
      <w:r>
        <w:rPr>
          <w:rFonts w:ascii="Times New Roman" w:hAnsi="Times New Roman" w:cs="Times New Roman" w:eastAsia="Times New Roman" w:hint="default"/>
          <w:spacing w:val="-3"/>
          <w:w w:val="100"/>
        </w:rPr>
        <w:t>”</w:t>
      </w:r>
      <w:r>
        <w:rPr>
          <w:spacing w:val="-3"/>
          <w:w w:val="100"/>
        </w:rPr>
        <w:t>的介绍）。以上措施将有利于公司进一步拓宽产品线，开发更多切合金融行</w:t>
      </w:r>
      <w:r>
        <w:rPr>
          <w:spacing w:val="-95"/>
          <w:w w:val="100"/>
        </w:rPr>
        <w:t> </w:t>
      </w:r>
      <w:r>
        <w:rPr>
          <w:spacing w:val="-95"/>
          <w:w w:val="100"/>
        </w:rPr>
      </w:r>
      <w:r>
        <w:rPr/>
        <w:t>业应用需求的信息化产品，推动公司业务更好、更大的发展。</w:t>
      </w:r>
    </w:p>
    <w:p>
      <w:pPr>
        <w:pStyle w:val="BodyText"/>
        <w:spacing w:line="240" w:lineRule="auto" w:before="47"/>
        <w:ind w:left="597" w:right="113"/>
        <w:jc w:val="left"/>
      </w:pPr>
      <w:r>
        <w:rPr/>
        <w:t>报告期内，经中国证券监督管理委员会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[2010]548</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文核准，公司于</w:t>
      </w:r>
    </w:p>
    <w:p>
      <w:pPr>
        <w:pStyle w:val="BodyText"/>
        <w:spacing w:line="240" w:lineRule="auto" w:before="149"/>
        <w:ind w:right="113"/>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62"/>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1500</w:t>
      </w:r>
      <w:r>
        <w:rPr>
          <w:rFonts w:ascii="Times New Roman" w:hAnsi="Times New Roman" w:cs="Times New Roman" w:eastAsia="Times New Roman" w:hint="default"/>
          <w:spacing w:val="-4"/>
        </w:rPr>
        <w:t> </w:t>
      </w:r>
      <w:r>
        <w:rPr/>
        <w:t>万股，发行价格每股</w:t>
      </w:r>
      <w:r>
        <w:rPr>
          <w:spacing w:val="-62"/>
        </w:rPr>
        <w:t> </w:t>
      </w:r>
      <w:r>
        <w:rPr>
          <w:rFonts w:ascii="Times New Roman" w:hAnsi="Times New Roman" w:cs="Times New Roman" w:eastAsia="Times New Roman" w:hint="default"/>
        </w:rPr>
        <w:t>28</w:t>
      </w:r>
    </w:p>
    <w:p>
      <w:pPr>
        <w:pStyle w:val="BodyText"/>
        <w:spacing w:line="240" w:lineRule="auto" w:before="149"/>
        <w:ind w:right="113"/>
        <w:jc w:val="left"/>
      </w:pPr>
      <w:r>
        <w:rPr/>
        <w:t>元，募集资金总额</w:t>
      </w:r>
      <w:r>
        <w:rPr>
          <w:spacing w:val="-54"/>
        </w:rPr>
        <w:t> </w:t>
      </w:r>
      <w:r>
        <w:rPr>
          <w:rFonts w:ascii="Times New Roman" w:hAnsi="Times New Roman" w:cs="Times New Roman" w:eastAsia="Times New Roman" w:hint="default"/>
        </w:rPr>
        <w:t>420,000,000.00</w:t>
      </w:r>
      <w:r>
        <w:rPr>
          <w:rFonts w:ascii="Times New Roman" w:hAnsi="Times New Roman" w:cs="Times New Roman" w:eastAsia="Times New Roman" w:hint="default"/>
          <w:spacing w:val="4"/>
        </w:rPr>
        <w:t> </w:t>
      </w:r>
      <w:r>
        <w:rPr/>
        <w:t>元，扣除发行费用</w:t>
      </w:r>
      <w:r>
        <w:rPr>
          <w:spacing w:val="-54"/>
        </w:rPr>
        <w:t> </w:t>
      </w:r>
      <w:r>
        <w:rPr>
          <w:rFonts w:ascii="Times New Roman" w:hAnsi="Times New Roman" w:cs="Times New Roman" w:eastAsia="Times New Roman" w:hint="default"/>
        </w:rPr>
        <w:t>31,049,260.04</w:t>
      </w:r>
      <w:r>
        <w:rPr>
          <w:rFonts w:ascii="Times New Roman" w:hAnsi="Times New Roman" w:cs="Times New Roman" w:eastAsia="Times New Roman" w:hint="default"/>
          <w:spacing w:val="5"/>
        </w:rPr>
        <w:t> </w:t>
      </w:r>
      <w:r>
        <w:rPr/>
        <w:t>元，募集资金净</w:t>
      </w:r>
    </w:p>
    <w:p>
      <w:pPr>
        <w:pStyle w:val="BodyText"/>
        <w:spacing w:line="352" w:lineRule="auto" w:before="149"/>
        <w:ind w:right="113" w:hanging="1"/>
        <w:jc w:val="left"/>
      </w:pPr>
      <w:r>
        <w:rPr>
          <w:w w:val="100"/>
        </w:rPr>
        <w:t>额为</w:t>
      </w:r>
      <w:r>
        <w:rPr>
          <w:spacing w:val="-49"/>
          <w:w w:val="100"/>
        </w:rPr>
        <w:t> </w:t>
      </w:r>
      <w:r>
        <w:rPr>
          <w:rFonts w:ascii="Times New Roman" w:hAnsi="Times New Roman" w:cs="Times New Roman" w:eastAsia="Times New Roman" w:hint="default"/>
          <w:spacing w:val="-1"/>
          <w:w w:val="100"/>
        </w:rPr>
        <w:t>388,950,739.96</w:t>
      </w:r>
      <w:r>
        <w:rPr>
          <w:rFonts w:ascii="Times New Roman" w:hAnsi="Times New Roman" w:cs="Times New Roman" w:eastAsia="Times New Roman" w:hint="default"/>
          <w:spacing w:val="7"/>
          <w:w w:val="100"/>
        </w:rPr>
        <w:t> </w:t>
      </w:r>
      <w:r>
        <w:rPr>
          <w:spacing w:val="-16"/>
          <w:w w:val="100"/>
        </w:rPr>
        <w:t>元（注：见本节，三，（一），“</w:t>
      </w:r>
      <w:r>
        <w:rPr>
          <w:rFonts w:ascii="Times New Roman" w:hAnsi="Times New Roman" w:cs="Times New Roman" w:eastAsia="Times New Roman" w:hint="default"/>
          <w:spacing w:val="-16"/>
          <w:w w:val="100"/>
        </w:rPr>
        <w:t>1.</w:t>
      </w:r>
      <w:r>
        <w:rPr>
          <w:spacing w:val="-16"/>
          <w:w w:val="100"/>
        </w:rPr>
        <w:t>募集资金到位情况”的说明）。</w:t>
      </w:r>
      <w:r>
        <w:rPr>
          <w:spacing w:val="-112"/>
          <w:w w:val="100"/>
        </w:rPr>
        <w:t> </w:t>
      </w:r>
      <w:r>
        <w:rPr>
          <w:spacing w:val="-112"/>
          <w:w w:val="100"/>
        </w:rPr>
      </w:r>
      <w:r>
        <w:rPr/>
        <w:t>随后经深圳证券交易所深证上</w:t>
      </w:r>
      <w:r>
        <w:rPr>
          <w:rFonts w:ascii="Times New Roman" w:hAnsi="Times New Roman" w:cs="Times New Roman" w:eastAsia="Times New Roman" w:hint="default"/>
        </w:rPr>
        <w:t>[2010]165</w:t>
      </w:r>
      <w:r>
        <w:rPr>
          <w:rFonts w:ascii="Times New Roman" w:hAnsi="Times New Roman" w:cs="Times New Roman" w:eastAsia="Times New Roman" w:hint="default"/>
          <w:spacing w:val="-2"/>
        </w:rPr>
        <w:t> </w:t>
      </w:r>
      <w:r>
        <w:rPr>
          <w:spacing w:val="-4"/>
        </w:rPr>
        <w:t>号文同意，公司发行的人民币普通股股票于</w:t>
      </w:r>
      <w:r>
        <w:rPr>
          <w:w w:val="10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日在深圳证券交易所创业板上市。</w:t>
      </w:r>
    </w:p>
    <w:p>
      <w:pPr>
        <w:pStyle w:val="BodyText"/>
        <w:spacing w:line="372" w:lineRule="auto" w:before="30"/>
        <w:ind w:right="232" w:firstLine="459"/>
        <w:jc w:val="both"/>
      </w:pPr>
      <w:r>
        <w:rPr/>
        <w:t>上市以后，公司竞争优势、品牌影响力得到进一步提升。在此基础上，公司一</w:t>
      </w:r>
      <w:r>
        <w:rPr>
          <w:w w:val="100"/>
        </w:rPr>
        <w:t> </w:t>
      </w:r>
      <w:r>
        <w:rPr/>
        <w:t>方面积极完善各项规章制度，进一步规范公司治理结构，努力提升管理水平，稳步</w:t>
      </w:r>
      <w:r>
        <w:rPr>
          <w:spacing w:val="-87"/>
        </w:rPr>
        <w:t> </w:t>
      </w:r>
      <w:r>
        <w:rPr>
          <w:spacing w:val="-87"/>
        </w:rPr>
      </w:r>
      <w:r>
        <w:rPr/>
        <w:t>实施经营计划；另一方面积极规划更长远的战略目标，加速吸纳高素质的技术、营</w:t>
      </w:r>
      <w:r>
        <w:rPr>
          <w:spacing w:val="-87"/>
        </w:rPr>
        <w:t> </w:t>
      </w:r>
      <w:r>
        <w:rPr>
          <w:spacing w:val="-87"/>
        </w:rPr>
      </w:r>
      <w:r>
        <w:rPr/>
        <w:t>销和管理人才，确保银之杰实现持续、健康、快速与和谐发展。</w:t>
      </w:r>
    </w:p>
    <w:p>
      <w:pPr>
        <w:spacing w:after="0" w:line="372" w:lineRule="auto"/>
        <w:jc w:val="both"/>
        <w:sectPr>
          <w:pgSz w:w="11910" w:h="16840"/>
          <w:pgMar w:header="877" w:footer="982" w:top="110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（二）</w:t>
      </w:r>
      <w:r>
        <w:rPr>
          <w:spacing w:val="-88"/>
        </w:rPr>
        <w:t> </w:t>
      </w:r>
      <w:r>
        <w:rPr/>
        <w:t>主营业务及其经营状况</w:t>
      </w:r>
    </w:p>
    <w:p>
      <w:pPr>
        <w:spacing w:line="240" w:lineRule="auto" w:before="6"/>
        <w:rPr>
          <w:rFonts w:ascii="宋体" w:hAnsi="宋体" w:cs="宋体" w:eastAsia="宋体" w:hint="default"/>
          <w:sz w:val="22"/>
          <w:szCs w:val="22"/>
        </w:rPr>
      </w:pPr>
    </w:p>
    <w:p>
      <w:pPr>
        <w:pStyle w:val="BodyText"/>
        <w:spacing w:line="240" w:lineRule="auto"/>
        <w:ind w:left="597" w:right="0"/>
        <w:jc w:val="left"/>
      </w:pPr>
      <w:r>
        <w:rPr>
          <w:rFonts w:ascii="Times New Roman" w:hAnsi="Times New Roman" w:cs="Times New Roman" w:eastAsia="Times New Roman" w:hint="default"/>
        </w:rPr>
        <w:t>1</w:t>
      </w:r>
      <w:r>
        <w:rPr/>
        <w:t>．主营业务分产品或服务情况表</w:t>
      </w:r>
    </w:p>
    <w:p>
      <w:pPr>
        <w:pStyle w:val="BodyText"/>
        <w:spacing w:line="240" w:lineRule="auto" w:before="71"/>
        <w:ind w:left="0" w:right="151"/>
        <w:jc w:val="right"/>
      </w:pPr>
      <w:r>
        <w:rPr>
          <w:spacing w:val="-1"/>
        </w:rPr>
        <w:t>单位：万元</w:t>
      </w:r>
    </w:p>
    <w:p>
      <w:pPr>
        <w:spacing w:line="240" w:lineRule="auto" w:before="12"/>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1440"/>
        <w:gridCol w:w="1080"/>
        <w:gridCol w:w="1080"/>
        <w:gridCol w:w="900"/>
        <w:gridCol w:w="1260"/>
        <w:gridCol w:w="1260"/>
        <w:gridCol w:w="1260"/>
      </w:tblGrid>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2" w:right="0"/>
              <w:jc w:val="left"/>
              <w:rPr>
                <w:rFonts w:ascii="宋体" w:hAnsi="宋体" w:cs="宋体" w:eastAsia="宋体" w:hint="default"/>
                <w:sz w:val="21"/>
                <w:szCs w:val="21"/>
              </w:rPr>
            </w:pPr>
            <w:r>
              <w:rPr>
                <w:rFonts w:ascii="宋体" w:hAnsi="宋体" w:cs="宋体" w:eastAsia="宋体" w:hint="default"/>
                <w:sz w:val="21"/>
                <w:szCs w:val="21"/>
              </w:rPr>
              <w:t>分产品或服务</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98" w:right="101"/>
              <w:jc w:val="center"/>
              <w:rPr>
                <w:rFonts w:ascii="宋体" w:hAnsi="宋体" w:cs="宋体" w:eastAsia="宋体" w:hint="default"/>
                <w:sz w:val="21"/>
                <w:szCs w:val="21"/>
              </w:rPr>
            </w:pPr>
            <w:r>
              <w:rPr>
                <w:rFonts w:ascii="宋体" w:hAnsi="宋体" w:cs="宋体" w:eastAsia="宋体" w:hint="default"/>
                <w:sz w:val="21"/>
                <w:szCs w:val="21"/>
              </w:rPr>
              <w:t>比上年同期 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98" w:right="101"/>
              <w:jc w:val="center"/>
              <w:rPr>
                <w:rFonts w:ascii="宋体" w:hAnsi="宋体" w:cs="宋体" w:eastAsia="宋体" w:hint="default"/>
                <w:sz w:val="21"/>
                <w:szCs w:val="21"/>
              </w:rPr>
            </w:pPr>
            <w:r>
              <w:rPr>
                <w:rFonts w:ascii="宋体" w:hAnsi="宋体" w:cs="宋体" w:eastAsia="宋体" w:hint="default"/>
                <w:sz w:val="21"/>
                <w:szCs w:val="21"/>
              </w:rPr>
              <w:t>比上年同期 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98" w:right="101"/>
              <w:jc w:val="left"/>
              <w:rPr>
                <w:rFonts w:ascii="宋体" w:hAnsi="宋体" w:cs="宋体" w:eastAsia="宋体" w:hint="default"/>
                <w:sz w:val="21"/>
                <w:szCs w:val="21"/>
              </w:rPr>
            </w:pPr>
            <w:r>
              <w:rPr>
                <w:rFonts w:ascii="宋体" w:hAnsi="宋体" w:cs="宋体" w:eastAsia="宋体" w:hint="default"/>
                <w:sz w:val="21"/>
                <w:szCs w:val="21"/>
              </w:rPr>
              <w:t>毛利率比上 年同期增减</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软件产品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5,224.25</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2"/>
                <w:sz w:val="21"/>
              </w:rPr>
              <w:t>1,116.23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78.63%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59.10%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109.55%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-5.15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定制软件开发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1,583.32</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443.98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71.96%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-21.56%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8.18%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宋体" w:hAnsi="宋体" w:cs="宋体" w:eastAsia="宋体" w:hint="default"/>
                <w:sz w:val="21"/>
                <w:szCs w:val="21"/>
              </w:rPr>
            </w:pPr>
            <w:r>
              <w:rPr>
                <w:rFonts w:ascii="Times New Roman" w:hAnsi="Times New Roman" w:cs="Times New Roman" w:eastAsia="Times New Roman" w:hint="default"/>
                <w:sz w:val="21"/>
                <w:szCs w:val="21"/>
              </w:rPr>
              <w:t>-7.71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1,412.24</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1,224.50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13.29%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-14.42%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-12.60%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-1.80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804.59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362.63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54.93%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2"/>
                <w:sz w:val="21"/>
              </w:rPr>
              <w:t>115.90%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123.69%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宋体" w:hAnsi="宋体" w:cs="宋体" w:eastAsia="宋体" w:hint="default"/>
                <w:sz w:val="21"/>
                <w:szCs w:val="21"/>
              </w:rPr>
            </w:pPr>
            <w:r>
              <w:rPr>
                <w:rFonts w:ascii="Times New Roman" w:hAnsi="Times New Roman" w:cs="Times New Roman" w:eastAsia="Times New Roman" w:hint="default"/>
                <w:sz w:val="21"/>
                <w:szCs w:val="21"/>
              </w:rPr>
              <w:t>-1.57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r>
        <w:trPr>
          <w:trHeight w:val="38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9,024.40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21"/>
                <w:szCs w:val="21"/>
              </w:rPr>
            </w:pPr>
            <w:r>
              <w:rPr>
                <w:rFonts w:ascii="Times New Roman"/>
                <w:spacing w:val="-1"/>
                <w:sz w:val="21"/>
              </w:rPr>
              <w:t>3,147.34</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65.12%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23.20%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25.58%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-0.66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3"/>
          <w:szCs w:val="13"/>
        </w:rPr>
      </w:pPr>
    </w:p>
    <w:p>
      <w:pPr>
        <w:pStyle w:val="BodyText"/>
        <w:spacing w:line="367" w:lineRule="auto"/>
        <w:ind w:right="151" w:firstLine="459"/>
        <w:jc w:val="both"/>
      </w:pPr>
      <w:r>
        <w:rPr/>
        <w:t>报告期内，软件产品的大幅增长是由于公司现有客户的交叉和扩容销售以及新</w:t>
      </w:r>
      <w:r>
        <w:rPr>
          <w:w w:val="100"/>
        </w:rPr>
        <w:t> </w:t>
      </w:r>
      <w:r>
        <w:rPr/>
        <w:t>客户市场的开拓均取得了较好的成绩，传统优势产品电脑验印系统的销售同比实现</w:t>
      </w:r>
      <w:r>
        <w:rPr>
          <w:spacing w:val="-87"/>
        </w:rPr>
        <w:t> </w:t>
      </w:r>
      <w:r>
        <w:rPr>
          <w:spacing w:val="-87"/>
        </w:rPr>
      </w:r>
      <w:r>
        <w:rPr/>
        <w:t>了 </w:t>
      </w:r>
      <w:r>
        <w:rPr>
          <w:rFonts w:ascii="Times New Roman" w:hAnsi="Times New Roman" w:cs="Times New Roman" w:eastAsia="Times New Roman" w:hint="default"/>
        </w:rPr>
        <w:t>52.92%</w:t>
      </w:r>
      <w:r>
        <w:rPr/>
        <w:t>的增长，占报告期内软件产品收入的</w:t>
      </w:r>
      <w:r>
        <w:rPr>
          <w:spacing w:val="-17"/>
        </w:rPr>
        <w:t> </w:t>
      </w:r>
      <w:r>
        <w:rPr>
          <w:rFonts w:ascii="Times New Roman" w:hAnsi="Times New Roman" w:cs="Times New Roman" w:eastAsia="Times New Roman" w:hint="default"/>
        </w:rPr>
        <w:t>86.23%</w:t>
      </w:r>
      <w:r>
        <w:rPr/>
        <w:t>。同时，远程影像授权等新</w:t>
      </w:r>
      <w:r>
        <w:rPr>
          <w:w w:val="100"/>
        </w:rPr>
        <w:t> </w:t>
      </w:r>
      <w:r>
        <w:rPr/>
        <w:t>软件产品也开始产生收入，占报告期内软件产品收入的</w:t>
      </w:r>
      <w:r>
        <w:rPr>
          <w:spacing w:val="13"/>
        </w:rPr>
        <w:t> </w:t>
      </w:r>
      <w:r>
        <w:rPr>
          <w:rFonts w:ascii="Times New Roman" w:hAnsi="Times New Roman" w:cs="Times New Roman" w:eastAsia="Times New Roman" w:hint="default"/>
        </w:rPr>
        <w:t>7.37%</w:t>
      </w:r>
      <w:r>
        <w:rPr/>
        <w:t>。电脑验印系统销售</w:t>
      </w:r>
      <w:r>
        <w:rPr>
          <w:w w:val="100"/>
        </w:rPr>
        <w:t> </w:t>
      </w:r>
      <w:r>
        <w:rPr/>
        <w:t>的大幅增长，一方面是我国实现跨区域支票影像交换以后，采用影像方式处理支票</w:t>
      </w:r>
      <w:r>
        <w:rPr>
          <w:spacing w:val="-87"/>
        </w:rPr>
        <w:t> </w:t>
      </w:r>
      <w:r>
        <w:rPr>
          <w:spacing w:val="-87"/>
        </w:rPr>
      </w:r>
      <w:r>
        <w:rPr/>
        <w:t>包括印鉴核对已经越来越为更多的银行用户所接受，另一方面是公司加大市场开拓</w:t>
      </w:r>
      <w:r>
        <w:rPr>
          <w:spacing w:val="-87"/>
        </w:rPr>
        <w:t> </w:t>
      </w:r>
      <w:r>
        <w:rPr>
          <w:spacing w:val="-87"/>
        </w:rPr>
      </w:r>
      <w:r>
        <w:rPr/>
        <w:t>力度的结果。</w:t>
      </w:r>
    </w:p>
    <w:p>
      <w:pPr>
        <w:pStyle w:val="BodyText"/>
        <w:spacing w:line="372" w:lineRule="auto" w:before="45"/>
        <w:ind w:right="152" w:firstLine="459"/>
        <w:jc w:val="both"/>
      </w:pPr>
      <w:r>
        <w:rPr/>
        <w:t>定制软件开发收入较上年同期下降，主要是因为公司加强了软件标准化的技术</w:t>
      </w:r>
      <w:r>
        <w:rPr>
          <w:w w:val="100"/>
        </w:rPr>
        <w:t> </w:t>
      </w:r>
      <w:r>
        <w:rPr/>
        <w:t>改进，软件产品的通用性进一步提高，从而客户定制性开发需求及相应收入有所降</w:t>
      </w:r>
      <w:r>
        <w:rPr>
          <w:spacing w:val="-87"/>
        </w:rPr>
        <w:t> </w:t>
      </w:r>
      <w:r>
        <w:rPr>
          <w:spacing w:val="-87"/>
        </w:rPr>
      </w:r>
      <w:r>
        <w:rPr/>
        <w:t>低的原因。</w:t>
      </w:r>
    </w:p>
    <w:p>
      <w:pPr>
        <w:pStyle w:val="BodyText"/>
        <w:spacing w:line="372" w:lineRule="auto" w:before="40"/>
        <w:ind w:right="152" w:firstLine="459"/>
        <w:jc w:val="both"/>
      </w:pPr>
      <w:r>
        <w:rPr/>
        <w:t>系统集成收入较上年同期降低，是由于客户要求代为采购的第三方产品，尤其</w:t>
      </w:r>
      <w:r>
        <w:rPr>
          <w:w w:val="100"/>
        </w:rPr>
        <w:t> </w:t>
      </w:r>
      <w:r>
        <w:rPr/>
        <w:t>是大型票据清分机设备较去年同期有较大幅度降低的原因。本公司系统集成是应银</w:t>
      </w:r>
      <w:r>
        <w:rPr>
          <w:spacing w:val="-87"/>
        </w:rPr>
        <w:t> </w:t>
      </w:r>
      <w:r>
        <w:rPr>
          <w:spacing w:val="-87"/>
        </w:rPr>
      </w:r>
      <w:r>
        <w:rPr/>
        <w:t>行客户的要求，代银行客户采购与影像应用相关的第三方产品，并提供相应的集成</w:t>
      </w:r>
      <w:r>
        <w:rPr>
          <w:spacing w:val="-87"/>
        </w:rPr>
        <w:t> </w:t>
      </w:r>
      <w:r>
        <w:rPr>
          <w:spacing w:val="-87"/>
        </w:rPr>
      </w:r>
      <w:r>
        <w:rPr/>
        <w:t>服务的业务，在公司收入构成中占比较低，非本公司核心业务，其收入在一定幅度</w:t>
      </w:r>
      <w:r>
        <w:rPr>
          <w:spacing w:val="-87"/>
        </w:rPr>
        <w:t> </w:t>
      </w:r>
      <w:r>
        <w:rPr>
          <w:spacing w:val="-87"/>
        </w:rPr>
      </w:r>
      <w:r>
        <w:rPr/>
        <w:t>的波动属正常情况。</w:t>
      </w:r>
    </w:p>
    <w:p>
      <w:pPr>
        <w:pStyle w:val="BodyText"/>
        <w:spacing w:line="372" w:lineRule="auto" w:before="40"/>
        <w:ind w:right="152" w:firstLine="459"/>
        <w:jc w:val="both"/>
      </w:pPr>
      <w:r>
        <w:rPr/>
        <w:t>技术服务收入的大幅增长是随着公司产品销售的增加，近一至三年提供免费保</w:t>
      </w:r>
      <w:r>
        <w:rPr>
          <w:w w:val="100"/>
        </w:rPr>
        <w:t> </w:t>
      </w:r>
      <w:r>
        <w:rPr/>
        <w:t>修的产品开始收取技术维护费而实现的收入大幅增加，以及公司提高服务质量、加</w:t>
      </w:r>
      <w:r>
        <w:rPr>
          <w:spacing w:val="-87"/>
        </w:rPr>
        <w:t> </w:t>
      </w:r>
      <w:r>
        <w:rPr>
          <w:spacing w:val="-87"/>
        </w:rPr>
      </w:r>
      <w:r>
        <w:rPr/>
        <w:t>强对售后服务合约续约管理的原因。</w:t>
      </w:r>
    </w:p>
    <w:p>
      <w:pPr>
        <w:spacing w:after="0" w:line="372" w:lineRule="auto"/>
        <w:jc w:val="both"/>
        <w:sectPr>
          <w:pgSz w:w="11910" w:h="16840"/>
          <w:pgMar w:header="877" w:footer="982" w:top="1100" w:bottom="1180" w:left="1660" w:right="1640"/>
        </w:sectPr>
      </w:pPr>
    </w:p>
    <w:p>
      <w:pPr>
        <w:spacing w:line="240" w:lineRule="auto" w:before="12"/>
        <w:rPr>
          <w:rFonts w:ascii="宋体" w:hAnsi="宋体" w:cs="宋体" w:eastAsia="宋体" w:hint="default"/>
          <w:sz w:val="25"/>
          <w:szCs w:val="25"/>
        </w:rPr>
      </w:pPr>
    </w:p>
    <w:p>
      <w:pPr>
        <w:pStyle w:val="BodyText"/>
        <w:spacing w:line="240" w:lineRule="auto"/>
        <w:ind w:left="597" w:right="0"/>
        <w:jc w:val="left"/>
      </w:pPr>
      <w:r>
        <w:rPr>
          <w:rFonts w:ascii="Times New Roman" w:hAnsi="Times New Roman" w:cs="Times New Roman" w:eastAsia="Times New Roman" w:hint="default"/>
        </w:rPr>
        <w:t>2</w:t>
      </w:r>
      <w:r>
        <w:rPr/>
        <w:t>．主营业务分地区情况表</w:t>
      </w:r>
    </w:p>
    <w:p>
      <w:pPr>
        <w:pStyle w:val="BodyText"/>
        <w:spacing w:line="240" w:lineRule="auto" w:before="71"/>
        <w:ind w:left="0" w:right="151"/>
        <w:jc w:val="right"/>
      </w:pPr>
      <w:r>
        <w:rPr>
          <w:spacing w:val="-1"/>
        </w:rPr>
        <w:t>单位：万元</w:t>
      </w:r>
    </w:p>
    <w:p>
      <w:pPr>
        <w:spacing w:line="240" w:lineRule="auto" w:before="12"/>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1620"/>
        <w:gridCol w:w="2160"/>
        <w:gridCol w:w="2160"/>
        <w:gridCol w:w="2340"/>
      </w:tblGrid>
      <w:tr>
        <w:trPr>
          <w:trHeight w:val="384"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right="2"/>
              <w:jc w:val="center"/>
              <w:rPr>
                <w:rFonts w:ascii="宋体" w:hAnsi="宋体" w:cs="宋体" w:eastAsia="宋体" w:hint="default"/>
                <w:sz w:val="21"/>
                <w:szCs w:val="21"/>
              </w:rPr>
            </w:pPr>
            <w:r>
              <w:rPr>
                <w:rFonts w:ascii="宋体" w:hAnsi="宋体" w:cs="宋体" w:eastAsia="宋体" w:hint="default"/>
                <w:sz w:val="21"/>
                <w:szCs w:val="21"/>
              </w:rPr>
              <w:t>地区</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44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right="127"/>
              <w:jc w:val="right"/>
              <w:rPr>
                <w:rFonts w:ascii="Times New Roman" w:hAnsi="Times New Roman" w:cs="Times New Roman" w:eastAsia="Times New Roman" w:hint="default"/>
                <w:sz w:val="21"/>
                <w:szCs w:val="21"/>
              </w:rPr>
            </w:pPr>
            <w:r>
              <w:rPr>
                <w:rFonts w:ascii="宋体" w:hAnsi="宋体" w:cs="宋体" w:eastAsia="宋体" w:hint="default"/>
                <w:spacing w:val="-7"/>
                <w:sz w:val="21"/>
                <w:szCs w:val="21"/>
              </w:rPr>
              <w:t>主营业务收入占比（</w:t>
            </w:r>
            <w:r>
              <w:rPr>
                <w:rFonts w:ascii="Times New Roman" w:hAnsi="Times New Roman" w:cs="Times New Roman" w:eastAsia="Times New Roman" w:hint="default"/>
                <w:spacing w:val="-7"/>
                <w:sz w:val="21"/>
                <w:szCs w:val="21"/>
              </w:rPr>
              <w:t>%</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40" w:right="132"/>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较上年同期增减（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2,961.02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2"/>
              <w:jc w:val="right"/>
              <w:rPr>
                <w:rFonts w:ascii="Times New Roman" w:hAnsi="Times New Roman" w:cs="Times New Roman" w:eastAsia="Times New Roman" w:hint="default"/>
                <w:sz w:val="21"/>
                <w:szCs w:val="21"/>
              </w:rPr>
            </w:pPr>
            <w:r>
              <w:rPr>
                <w:rFonts w:ascii="Times New Roman"/>
                <w:spacing w:val="-1"/>
                <w:sz w:val="21"/>
              </w:rPr>
              <w:t>32.81%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5.13%</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2,483.55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2"/>
              <w:jc w:val="right"/>
              <w:rPr>
                <w:rFonts w:ascii="Times New Roman" w:hAnsi="Times New Roman" w:cs="Times New Roman" w:eastAsia="Times New Roman" w:hint="default"/>
                <w:sz w:val="21"/>
                <w:szCs w:val="21"/>
              </w:rPr>
            </w:pPr>
            <w:r>
              <w:rPr>
                <w:rFonts w:ascii="Times New Roman"/>
                <w:spacing w:val="-1"/>
                <w:sz w:val="21"/>
              </w:rPr>
              <w:t>27.52%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2"/>
              <w:jc w:val="right"/>
              <w:rPr>
                <w:rFonts w:ascii="Times New Roman" w:hAnsi="Times New Roman" w:cs="Times New Roman" w:eastAsia="Times New Roman" w:hint="default"/>
                <w:sz w:val="21"/>
                <w:szCs w:val="21"/>
              </w:rPr>
            </w:pPr>
            <w:r>
              <w:rPr>
                <w:rFonts w:ascii="Times New Roman"/>
                <w:spacing w:val="-1"/>
                <w:sz w:val="21"/>
              </w:rPr>
              <w:t>72.70%</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1,351.44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2"/>
              <w:jc w:val="right"/>
              <w:rPr>
                <w:rFonts w:ascii="Times New Roman" w:hAnsi="Times New Roman" w:cs="Times New Roman" w:eastAsia="Times New Roman" w:hint="default"/>
                <w:sz w:val="21"/>
                <w:szCs w:val="21"/>
              </w:rPr>
            </w:pPr>
            <w:r>
              <w:rPr>
                <w:rFonts w:ascii="Times New Roman"/>
                <w:spacing w:val="-1"/>
                <w:sz w:val="21"/>
              </w:rPr>
              <w:t>14.98%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140.53%</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5"/>
              <w:jc w:val="right"/>
              <w:rPr>
                <w:rFonts w:ascii="Times New Roman" w:hAnsi="Times New Roman" w:cs="Times New Roman" w:eastAsia="Times New Roman" w:hint="default"/>
                <w:sz w:val="21"/>
                <w:szCs w:val="21"/>
              </w:rPr>
            </w:pPr>
            <w:r>
              <w:rPr>
                <w:rFonts w:ascii="Times New Roman"/>
                <w:spacing w:val="-1"/>
                <w:sz w:val="21"/>
              </w:rPr>
              <w:t>1,027.03</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5"/>
              <w:jc w:val="right"/>
              <w:rPr>
                <w:rFonts w:ascii="Times New Roman" w:hAnsi="Times New Roman" w:cs="Times New Roman" w:eastAsia="Times New Roman" w:hint="default"/>
                <w:sz w:val="21"/>
                <w:szCs w:val="21"/>
              </w:rPr>
            </w:pPr>
            <w:r>
              <w:rPr>
                <w:rFonts w:ascii="Times New Roman"/>
                <w:spacing w:val="-2"/>
                <w:sz w:val="21"/>
              </w:rPr>
              <w:t>11.38%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5"/>
              <w:jc w:val="right"/>
              <w:rPr>
                <w:rFonts w:ascii="Times New Roman" w:hAnsi="Times New Roman" w:cs="Times New Roman" w:eastAsia="Times New Roman" w:hint="default"/>
                <w:sz w:val="21"/>
                <w:szCs w:val="21"/>
              </w:rPr>
            </w:pPr>
            <w:r>
              <w:rPr>
                <w:rFonts w:ascii="Times New Roman"/>
                <w:spacing w:val="-1"/>
                <w:sz w:val="21"/>
              </w:rPr>
              <w:t>-30.02%</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21"/>
                <w:szCs w:val="21"/>
              </w:rPr>
              <w:t>北方地区</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1,201.36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2"/>
              <w:jc w:val="right"/>
              <w:rPr>
                <w:rFonts w:ascii="Times New Roman" w:hAnsi="Times New Roman" w:cs="Times New Roman" w:eastAsia="Times New Roman" w:hint="default"/>
                <w:sz w:val="21"/>
                <w:szCs w:val="21"/>
              </w:rPr>
            </w:pPr>
            <w:r>
              <w:rPr>
                <w:rFonts w:ascii="Times New Roman"/>
                <w:spacing w:val="-1"/>
                <w:sz w:val="21"/>
              </w:rPr>
              <w:t>13.31%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2"/>
              <w:jc w:val="right"/>
              <w:rPr>
                <w:rFonts w:ascii="Times New Roman" w:hAnsi="Times New Roman" w:cs="Times New Roman" w:eastAsia="Times New Roman" w:hint="default"/>
                <w:sz w:val="21"/>
                <w:szCs w:val="21"/>
              </w:rPr>
            </w:pPr>
            <w:r>
              <w:rPr>
                <w:rFonts w:ascii="Times New Roman"/>
                <w:spacing w:val="-1"/>
                <w:sz w:val="21"/>
              </w:rPr>
              <w:t>15.43%</w:t>
            </w:r>
          </w:p>
        </w:tc>
      </w:tr>
      <w:tr>
        <w:trPr>
          <w:trHeight w:val="3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9,024.40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100.00%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6"/>
              <w:jc w:val="right"/>
              <w:rPr>
                <w:rFonts w:ascii="Times New Roman" w:hAnsi="Times New Roman" w:cs="Times New Roman" w:eastAsia="Times New Roman" w:hint="default"/>
                <w:sz w:val="21"/>
                <w:szCs w:val="21"/>
              </w:rPr>
            </w:pPr>
            <w:r>
              <w:rPr>
                <w:rFonts w:ascii="Times New Roman"/>
                <w:spacing w:val="-1"/>
                <w:sz w:val="21"/>
              </w:rPr>
              <w:t>23.20%</w:t>
            </w:r>
          </w:p>
        </w:tc>
      </w:tr>
    </w:tbl>
    <w:p>
      <w:pPr>
        <w:spacing w:before="63"/>
        <w:ind w:left="57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：北方地区具体包括了华北、东北和西北地区。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982" w:top="1100" w:bottom="1180" w:left="1660" w:right="1640"/>
        </w:sectPr>
      </w:pPr>
    </w:p>
    <w:p>
      <w:pPr>
        <w:pStyle w:val="BodyText"/>
        <w:spacing w:line="352" w:lineRule="auto"/>
        <w:ind w:left="597" w:right="-2"/>
        <w:jc w:val="left"/>
      </w:pPr>
      <w:r>
        <w:rPr>
          <w:rFonts w:ascii="Times New Roman" w:hAnsi="Times New Roman" w:cs="Times New Roman" w:eastAsia="Times New Roman" w:hint="default"/>
        </w:rPr>
        <w:t>3</w:t>
      </w:r>
      <w:r>
        <w:rPr/>
        <w:t>．前五名客户情况</w:t>
      </w:r>
      <w:r>
        <w:rPr>
          <w:w w:val="100"/>
        </w:rPr>
        <w:t> </w:t>
      </w:r>
      <w:r>
        <w:rPr>
          <w:spacing w:val="-1"/>
        </w:rPr>
        <w:t>报告期内，公司的前五名客户情况如下：</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pStyle w:val="BodyText"/>
        <w:spacing w:line="240" w:lineRule="auto" w:before="0"/>
        <w:ind w:left="597" w:right="0"/>
        <w:jc w:val="left"/>
      </w:pPr>
      <w:r>
        <w:rPr/>
        <w:t>单位：元</w:t>
      </w:r>
    </w:p>
    <w:p>
      <w:pPr>
        <w:spacing w:after="0" w:line="240" w:lineRule="auto"/>
        <w:jc w:val="left"/>
        <w:sectPr>
          <w:type w:val="continuous"/>
          <w:pgSz w:w="11910" w:h="16840"/>
          <w:pgMar w:top="1600" w:bottom="280" w:left="1660" w:right="1640"/>
          <w:cols w:num="2" w:equalWidth="0">
            <w:col w:w="4738" w:space="2194"/>
            <w:col w:w="1678"/>
          </w:cols>
        </w:sectPr>
      </w:pPr>
    </w:p>
    <w:p>
      <w:pPr>
        <w:spacing w:line="240" w:lineRule="auto" w:before="12"/>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577"/>
        <w:gridCol w:w="1452"/>
        <w:gridCol w:w="1339"/>
        <w:gridCol w:w="1901"/>
      </w:tblGrid>
      <w:tr>
        <w:trPr>
          <w:trHeight w:val="312"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1" w:lineRule="exact"/>
              <w:ind w:left="3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1" w:lineRule="exact"/>
              <w:ind w:left="3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r>
      <w:tr>
        <w:trPr>
          <w:trHeight w:val="420"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left="10" w:right="0"/>
              <w:jc w:val="left"/>
              <w:rPr>
                <w:rFonts w:ascii="宋体" w:hAnsi="宋体" w:cs="宋体" w:eastAsia="宋体" w:hint="default"/>
                <w:sz w:val="21"/>
                <w:szCs w:val="21"/>
              </w:rPr>
            </w:pPr>
            <w:r>
              <w:rPr>
                <w:rFonts w:ascii="宋体" w:hAnsi="宋体" w:cs="宋体" w:eastAsia="宋体" w:hint="default"/>
                <w:sz w:val="21"/>
                <w:szCs w:val="21"/>
              </w:rPr>
              <w:t>前五名客户合计销售额</w:t>
            </w:r>
          </w:p>
        </w:tc>
        <w:tc>
          <w:tcPr>
            <w:tcW w:w="1452" w:type="dxa"/>
            <w:tcBorders>
              <w:top w:val="single" w:sz="16" w:space="0" w:color="E6E6E6"/>
              <w:left w:val="single" w:sz="13" w:space="0" w:color="E6E6E6"/>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21"/>
                <w:szCs w:val="21"/>
              </w:rPr>
            </w:pPr>
            <w:r>
              <w:rPr>
                <w:rFonts w:ascii="Times New Roman"/>
                <w:spacing w:val="-1"/>
                <w:sz w:val="21"/>
              </w:rPr>
              <w:t>19,558,625.41</w:t>
            </w:r>
          </w:p>
        </w:tc>
        <w:tc>
          <w:tcPr>
            <w:tcW w:w="1339" w:type="dxa"/>
            <w:tcBorders>
              <w:top w:val="single" w:sz="16" w:space="0" w:color="E6E6E6"/>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21"/>
                <w:szCs w:val="21"/>
              </w:rPr>
            </w:pPr>
            <w:r>
              <w:rPr>
                <w:rFonts w:ascii="Times New Roman"/>
                <w:spacing w:val="-1"/>
                <w:sz w:val="21"/>
              </w:rPr>
              <w:t>24,489,218.48</w:t>
            </w:r>
          </w:p>
        </w:tc>
        <w:tc>
          <w:tcPr>
            <w:tcW w:w="1901" w:type="dxa"/>
            <w:tcBorders>
              <w:top w:val="single" w:sz="30" w:space="0" w:color="E6E6E6"/>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1"/>
                <w:szCs w:val="21"/>
              </w:rPr>
            </w:pPr>
            <w:r>
              <w:rPr>
                <w:rFonts w:ascii="Times New Roman"/>
                <w:spacing w:val="-1"/>
                <w:sz w:val="21"/>
              </w:rPr>
              <w:t>-20.13%</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占年度销售总金额的比例（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21.23%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32.59%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-11.36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百分点</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前五名客户合计应收帐款余额</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9,436,336.00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3,523,626.21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21"/>
                <w:szCs w:val="21"/>
              </w:rPr>
            </w:pPr>
            <w:r>
              <w:rPr>
                <w:rFonts w:ascii="Times New Roman"/>
                <w:spacing w:val="-1"/>
                <w:sz w:val="21"/>
              </w:rPr>
              <w:t>167.80%</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占公司应收帐款总余额的比例（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18.09%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10.29%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+7.80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3"/>
          <w:szCs w:val="13"/>
        </w:rPr>
      </w:pPr>
    </w:p>
    <w:p>
      <w:pPr>
        <w:pStyle w:val="BodyText"/>
        <w:spacing w:line="352" w:lineRule="auto"/>
        <w:ind w:right="140" w:firstLine="459"/>
        <w:jc w:val="left"/>
      </w:pPr>
      <w:r>
        <w:rPr/>
        <w:t>报告期内，公司前五名客户的合计销售额占公司总销售额的</w:t>
      </w:r>
      <w:r>
        <w:rPr>
          <w:spacing w:val="-73"/>
        </w:rPr>
        <w:t> </w:t>
      </w:r>
      <w:r>
        <w:rPr>
          <w:rFonts w:ascii="Times New Roman" w:hAnsi="Times New Roman" w:cs="Times New Roman" w:eastAsia="Times New Roman" w:hint="default"/>
          <w:spacing w:val="-3"/>
        </w:rPr>
        <w:t>21.23%</w:t>
      </w:r>
      <w:r>
        <w:rPr>
          <w:spacing w:val="-3"/>
        </w:rPr>
        <w:t>，较上年同</w:t>
      </w:r>
      <w:r>
        <w:rPr>
          <w:w w:val="100"/>
        </w:rPr>
        <w:t> </w:t>
      </w:r>
      <w:r>
        <w:rPr/>
        <w:t>期本数据下降了</w:t>
      </w:r>
      <w:r>
        <w:rPr>
          <w:spacing w:val="-61"/>
        </w:rPr>
        <w:t> </w:t>
      </w:r>
      <w:r>
        <w:rPr>
          <w:rFonts w:ascii="Times New Roman" w:hAnsi="Times New Roman" w:cs="Times New Roman" w:eastAsia="Times New Roman" w:hint="default"/>
          <w:spacing w:val="-3"/>
        </w:rPr>
        <w:t>11.36</w:t>
      </w:r>
      <w:r>
        <w:rPr>
          <w:rFonts w:ascii="Times New Roman" w:hAnsi="Times New Roman" w:cs="Times New Roman" w:eastAsia="Times New Roman" w:hint="default"/>
          <w:spacing w:val="-5"/>
        </w:rPr>
        <w:t> </w:t>
      </w:r>
      <w:r>
        <w:rPr/>
        <w:t>个百分点。公司业务不存在对单一客户严重依赖的情况。</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600" w:bottom="280" w:left="1660" w:right="1640"/>
        </w:sectPr>
      </w:pPr>
    </w:p>
    <w:p>
      <w:pPr>
        <w:pStyle w:val="BodyText"/>
        <w:spacing w:line="352" w:lineRule="auto"/>
        <w:ind w:left="597" w:right="-1"/>
        <w:jc w:val="left"/>
      </w:pPr>
      <w:r>
        <w:rPr>
          <w:rFonts w:ascii="Times New Roman" w:hAnsi="Times New Roman" w:cs="Times New Roman" w:eastAsia="Times New Roman" w:hint="default"/>
        </w:rPr>
        <w:t>4</w:t>
      </w:r>
      <w:r>
        <w:rPr/>
        <w:t>．前五名供应商情况</w:t>
      </w:r>
      <w:r>
        <w:rPr>
          <w:w w:val="100"/>
        </w:rPr>
        <w:t> </w:t>
      </w:r>
      <w:r>
        <w:rPr>
          <w:spacing w:val="-1"/>
        </w:rPr>
        <w:t>报告期内，公司的前五名供应商情况如下：</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pStyle w:val="BodyText"/>
        <w:spacing w:line="240" w:lineRule="auto" w:before="0"/>
        <w:ind w:left="597" w:right="0"/>
        <w:jc w:val="left"/>
      </w:pPr>
      <w:r>
        <w:rPr/>
        <w:t>单位：元</w:t>
      </w:r>
    </w:p>
    <w:p>
      <w:pPr>
        <w:spacing w:after="0" w:line="240" w:lineRule="auto"/>
        <w:jc w:val="left"/>
        <w:sectPr>
          <w:type w:val="continuous"/>
          <w:pgSz w:w="11910" w:h="16840"/>
          <w:pgMar w:top="1600" w:bottom="280" w:left="1660" w:right="1640"/>
          <w:cols w:num="2" w:equalWidth="0">
            <w:col w:w="4968" w:space="1963"/>
            <w:col w:w="1679"/>
          </w:cols>
        </w:sectPr>
      </w:pPr>
    </w:p>
    <w:p>
      <w:pPr>
        <w:spacing w:line="240" w:lineRule="auto" w:before="12"/>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577"/>
        <w:gridCol w:w="1452"/>
        <w:gridCol w:w="1339"/>
        <w:gridCol w:w="1901"/>
      </w:tblGrid>
      <w:tr>
        <w:trPr>
          <w:trHeight w:val="312"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1" w:lineRule="exact"/>
              <w:ind w:left="3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1" w:lineRule="exact"/>
              <w:ind w:left="3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3" w:lineRule="exact"/>
              <w:ind w:left="209"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r>
      <w:tr>
        <w:trPr>
          <w:trHeight w:val="420"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left="10"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w:t>
            </w:r>
          </w:p>
        </w:tc>
        <w:tc>
          <w:tcPr>
            <w:tcW w:w="1452" w:type="dxa"/>
            <w:tcBorders>
              <w:top w:val="single" w:sz="16" w:space="0" w:color="E6E6E6"/>
              <w:left w:val="single" w:sz="13" w:space="0" w:color="E6E6E6"/>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21"/>
                <w:szCs w:val="21"/>
              </w:rPr>
            </w:pPr>
            <w:r>
              <w:rPr>
                <w:rFonts w:ascii="Times New Roman"/>
                <w:spacing w:val="-1"/>
                <w:sz w:val="21"/>
              </w:rPr>
              <w:t>14,409,237.64</w:t>
            </w:r>
          </w:p>
        </w:tc>
        <w:tc>
          <w:tcPr>
            <w:tcW w:w="1339" w:type="dxa"/>
            <w:tcBorders>
              <w:top w:val="single" w:sz="16" w:space="0" w:color="E6E6E6"/>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21"/>
                <w:szCs w:val="21"/>
              </w:rPr>
            </w:pPr>
            <w:r>
              <w:rPr>
                <w:rFonts w:ascii="Times New Roman"/>
                <w:spacing w:val="-1"/>
                <w:sz w:val="21"/>
              </w:rPr>
              <w:t>9,641,462.61</w:t>
            </w:r>
          </w:p>
        </w:tc>
        <w:tc>
          <w:tcPr>
            <w:tcW w:w="1901" w:type="dxa"/>
            <w:tcBorders>
              <w:top w:val="single" w:sz="30" w:space="0" w:color="E6E6E6"/>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spacing w:val="-1"/>
                <w:sz w:val="21"/>
              </w:rPr>
              <w:t>49.45%</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占年度总采购金额的比例（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82.49%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68.61%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+13.88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百分点</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前五名供应商合计应付账款余额</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9,436,336.00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1,457,494.09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21"/>
                <w:szCs w:val="21"/>
              </w:rPr>
            </w:pPr>
            <w:r>
              <w:rPr>
                <w:rFonts w:ascii="Times New Roman"/>
                <w:spacing w:val="-1"/>
                <w:sz w:val="21"/>
              </w:rPr>
              <w:t>547.44%</w:t>
            </w:r>
          </w:p>
        </w:tc>
      </w:tr>
      <w:tr>
        <w:trPr>
          <w:trHeight w:val="384" w:hRule="exact"/>
        </w:trPr>
        <w:tc>
          <w:tcPr>
            <w:tcW w:w="3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占年度应付账款总余额的比例（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89.29%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66.72%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+22.57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3"/>
          <w:szCs w:val="13"/>
        </w:rPr>
      </w:pPr>
    </w:p>
    <w:p>
      <w:pPr>
        <w:pStyle w:val="BodyText"/>
        <w:spacing w:line="362" w:lineRule="auto"/>
        <w:ind w:right="152" w:firstLine="459"/>
        <w:jc w:val="both"/>
      </w:pPr>
      <w:r>
        <w:rPr/>
        <w:t>本年前五名供应商合计采购金额占公司年度总采购金额的</w:t>
      </w:r>
      <w:r>
        <w:rPr>
          <w:spacing w:val="-63"/>
        </w:rPr>
        <w:t> </w:t>
      </w:r>
      <w:r>
        <w:rPr>
          <w:rFonts w:ascii="Times New Roman" w:hAnsi="Times New Roman" w:cs="Times New Roman" w:eastAsia="Times New Roman" w:hint="default"/>
          <w:spacing w:val="-4"/>
        </w:rPr>
        <w:t>82.49%</w:t>
      </w:r>
      <w:r>
        <w:rPr>
          <w:spacing w:val="-4"/>
        </w:rPr>
        <w:t>，其中苏州市</w:t>
      </w:r>
      <w:r>
        <w:rPr>
          <w:w w:val="100"/>
        </w:rPr>
        <w:t> </w:t>
      </w:r>
      <w:r>
        <w:rPr/>
        <w:t>杰恩特自动化设备有限公司、深圳市视鑫数码有限公司报告期内采购金额分别占公</w:t>
      </w:r>
      <w:r>
        <w:rPr>
          <w:spacing w:val="-87"/>
        </w:rPr>
        <w:t> </w:t>
      </w:r>
      <w:r>
        <w:rPr>
          <w:spacing w:val="-87"/>
        </w:rPr>
      </w:r>
      <w:r>
        <w:rPr/>
        <w:t>司年度总采购金额的 </w:t>
      </w:r>
      <w:r>
        <w:rPr>
          <w:rFonts w:ascii="Times New Roman" w:hAnsi="Times New Roman" w:cs="Times New Roman" w:eastAsia="Times New Roman" w:hint="default"/>
        </w:rPr>
        <w:t>41.49%</w:t>
      </w:r>
      <w:r>
        <w:rPr/>
        <w:t>和</w:t>
      </w:r>
      <w:r>
        <w:rPr>
          <w:spacing w:val="-18"/>
        </w:rPr>
        <w:t> </w:t>
      </w:r>
      <w:r>
        <w:rPr>
          <w:rFonts w:ascii="Times New Roman" w:hAnsi="Times New Roman" w:cs="Times New Roman" w:eastAsia="Times New Roman" w:hint="default"/>
        </w:rPr>
        <w:t>30.25%</w:t>
      </w:r>
      <w:r>
        <w:rPr/>
        <w:t>。这两家供应商是公司自主设计的影像采集</w:t>
      </w:r>
    </w:p>
    <w:p>
      <w:pPr>
        <w:spacing w:after="0" w:line="362" w:lineRule="auto"/>
        <w:jc w:val="both"/>
        <w:sectPr>
          <w:type w:val="continuous"/>
          <w:pgSz w:w="11910" w:h="16840"/>
          <w:pgMar w:top="1600" w:bottom="280" w:left="1660" w:right="1640"/>
        </w:sectPr>
      </w:pPr>
    </w:p>
    <w:p>
      <w:pPr>
        <w:spacing w:line="240" w:lineRule="auto" w:before="12"/>
        <w:rPr>
          <w:rFonts w:ascii="宋体" w:hAnsi="宋体" w:cs="宋体" w:eastAsia="宋体" w:hint="default"/>
          <w:sz w:val="25"/>
          <w:szCs w:val="25"/>
        </w:rPr>
      </w:pPr>
    </w:p>
    <w:p>
      <w:pPr>
        <w:spacing w:line="372" w:lineRule="auto" w:before="29"/>
        <w:ind w:left="217" w:right="269" w:firstLine="0"/>
        <w:jc w:val="left"/>
        <w:rPr>
          <w:rFonts w:ascii="宋体" w:hAnsi="宋体" w:cs="宋体" w:eastAsia="宋体" w:hint="default"/>
          <w:sz w:val="23"/>
          <w:szCs w:val="23"/>
        </w:rPr>
      </w:pPr>
      <w:r>
        <w:rPr>
          <w:rFonts w:ascii="宋体" w:hAnsi="宋体" w:cs="宋体" w:eastAsia="宋体" w:hint="default"/>
          <w:sz w:val="23"/>
          <w:szCs w:val="23"/>
        </w:rPr>
        <w:t>专用设备的外协厂商，与公司已建立持续稳定的合作关系，</w:t>
      </w:r>
      <w:r>
        <w:rPr>
          <w:rFonts w:ascii="宋体" w:hAnsi="宋体" w:cs="宋体" w:eastAsia="宋体" w:hint="default"/>
          <w:sz w:val="21"/>
          <w:szCs w:val="21"/>
        </w:rPr>
        <w:t>报告期内采购金额的增长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是</w:t>
      </w:r>
      <w:r>
        <w:rPr>
          <w:rFonts w:ascii="宋体" w:hAnsi="宋体" w:cs="宋体" w:eastAsia="宋体" w:hint="default"/>
          <w:sz w:val="23"/>
          <w:szCs w:val="23"/>
        </w:rPr>
        <w:t>由于本公司相应产品销售收入增长的原因，</w:t>
      </w:r>
      <w:r>
        <w:rPr>
          <w:rFonts w:ascii="宋体" w:hAnsi="宋体" w:cs="宋体" w:eastAsia="宋体" w:hint="default"/>
          <w:sz w:val="21"/>
          <w:szCs w:val="21"/>
        </w:rPr>
        <w:t>不存在发生重大变化的情况</w:t>
      </w:r>
      <w:r>
        <w:rPr>
          <w:rFonts w:ascii="宋体" w:hAnsi="宋体" w:cs="宋体" w:eastAsia="宋体" w:hint="default"/>
          <w:sz w:val="23"/>
          <w:szCs w:val="23"/>
        </w:rPr>
        <w:t>。</w:t>
      </w:r>
    </w:p>
    <w:p>
      <w:pPr>
        <w:pStyle w:val="BodyText"/>
        <w:spacing w:line="352" w:lineRule="auto" w:before="40"/>
        <w:ind w:left="217" w:right="269" w:firstLine="459"/>
        <w:jc w:val="left"/>
      </w:pPr>
      <w:r>
        <w:rPr>
          <w:spacing w:val="-5"/>
        </w:rPr>
        <w:t>公司董事、监事、高级管理人员、核心技术人员及持有公司</w:t>
      </w:r>
      <w:r>
        <w:rPr>
          <w:spacing w:val="-43"/>
        </w:rPr>
        <w:t> </w:t>
      </w:r>
      <w:r>
        <w:rPr>
          <w:rFonts w:ascii="Times New Roman" w:hAnsi="Times New Roman" w:cs="Times New Roman" w:eastAsia="Times New Roman" w:hint="default"/>
        </w:rPr>
        <w:t>5%</w:t>
      </w:r>
      <w:r>
        <w:rPr/>
        <w:t>以上股份的股东</w:t>
      </w:r>
      <w:r>
        <w:rPr>
          <w:w w:val="100"/>
        </w:rPr>
        <w:t> </w:t>
      </w:r>
      <w:r>
        <w:rPr/>
        <w:t>在公司前五名供应商中未占有任何权益。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982" w:top="1100" w:bottom="1180" w:left="1580" w:right="1520"/>
        </w:sectPr>
      </w:pPr>
    </w:p>
    <w:p>
      <w:pPr>
        <w:pStyle w:val="BodyText"/>
        <w:spacing w:line="240" w:lineRule="auto"/>
        <w:ind w:left="217" w:right="-12"/>
        <w:jc w:val="left"/>
      </w:pPr>
      <w:r>
        <w:rPr/>
        <w:t>（三）</w:t>
      </w:r>
      <w:r>
        <w:rPr>
          <w:spacing w:val="-94"/>
        </w:rPr>
        <w:t> </w:t>
      </w:r>
      <w:r>
        <w:rPr/>
        <w:t>报告期内主要财务数据变动情况及影响因素分析</w:t>
      </w:r>
    </w:p>
    <w:p>
      <w:pPr>
        <w:pStyle w:val="BodyText"/>
        <w:spacing w:line="240" w:lineRule="auto" w:before="167"/>
        <w:ind w:left="677" w:right="-12"/>
        <w:jc w:val="left"/>
      </w:pPr>
      <w:r>
        <w:rPr>
          <w:rFonts w:ascii="Times New Roman" w:hAnsi="Times New Roman" w:cs="Times New Roman" w:eastAsia="Times New Roman" w:hint="default"/>
        </w:rPr>
        <w:t>1</w:t>
      </w:r>
      <w:r>
        <w:rPr/>
        <w:t>．资产、负债和权益变动情况分析</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pStyle w:val="BodyText"/>
        <w:spacing w:line="240" w:lineRule="auto" w:before="0"/>
        <w:ind w:left="217" w:right="0"/>
        <w:jc w:val="left"/>
      </w:pPr>
      <w:r>
        <w:rPr/>
        <w:t>单位：元</w:t>
      </w:r>
    </w:p>
    <w:p>
      <w:pPr>
        <w:spacing w:after="0" w:line="240" w:lineRule="auto"/>
        <w:jc w:val="left"/>
        <w:sectPr>
          <w:type w:val="continuous"/>
          <w:pgSz w:w="11910" w:h="16840"/>
          <w:pgMar w:top="1600" w:bottom="280" w:left="1580" w:right="1520"/>
          <w:cols w:num="2" w:equalWidth="0">
            <w:col w:w="5767" w:space="1624"/>
            <w:col w:w="1419"/>
          </w:cols>
        </w:sectPr>
      </w:pPr>
    </w:p>
    <w:p>
      <w:pPr>
        <w:spacing w:line="240" w:lineRule="auto" w:before="12"/>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808"/>
        <w:gridCol w:w="2160"/>
        <w:gridCol w:w="1980"/>
        <w:gridCol w:w="1620"/>
      </w:tblGrid>
      <w:tr>
        <w:trPr>
          <w:trHeight w:val="478"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655" w:right="0"/>
              <w:jc w:val="left"/>
              <w:rPr>
                <w:rFonts w:ascii="宋体" w:hAnsi="宋体" w:cs="宋体" w:eastAsia="宋体" w:hint="default"/>
                <w:sz w:val="21"/>
                <w:szCs w:val="21"/>
              </w:rPr>
            </w:pPr>
            <w:r>
              <w:rPr>
                <w:rFonts w:ascii="宋体" w:hAnsi="宋体" w:cs="宋体" w:eastAsia="宋体" w:hint="default"/>
                <w:sz w:val="21"/>
                <w:szCs w:val="21"/>
              </w:rPr>
              <w:t>报告期末</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565" w:right="0"/>
              <w:jc w:val="left"/>
              <w:rPr>
                <w:rFonts w:ascii="宋体" w:hAnsi="宋体" w:cs="宋体" w:eastAsia="宋体" w:hint="default"/>
                <w:sz w:val="21"/>
                <w:szCs w:val="21"/>
              </w:rPr>
            </w:pPr>
            <w:r>
              <w:rPr>
                <w:rFonts w:ascii="宋体" w:hAnsi="宋体" w:cs="宋体" w:eastAsia="宋体" w:hint="default"/>
                <w:sz w:val="21"/>
                <w:szCs w:val="21"/>
              </w:rPr>
              <w:t>上年期末</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38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541,026,412.47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133,320,144.84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305.81%</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433,006,815.47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49,605,158.29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772.91%</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47,621,649.64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31,843,047.81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49.55%</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490"/>
              <w:jc w:val="center"/>
              <w:rPr>
                <w:rFonts w:ascii="宋体" w:hAnsi="宋体" w:cs="宋体" w:eastAsia="宋体" w:hint="default"/>
                <w:sz w:val="21"/>
                <w:szCs w:val="21"/>
              </w:rPr>
            </w:pPr>
            <w:r>
              <w:rPr>
                <w:rFonts w:ascii="宋体" w:hAnsi="宋体" w:cs="宋体" w:eastAsia="宋体" w:hint="default"/>
                <w:sz w:val="21"/>
                <w:szCs w:val="21"/>
              </w:rPr>
              <w:t>存货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1,247,558.79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971,158.80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28.46%</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5,523,941.56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1,740,050.39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217.46%</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46,336,627.59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46,097,962.50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0.52%</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3,861,610.85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2,689,644.48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43.57%</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3,428,208.57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373,122.57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818.79%</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总负债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10,175,796.89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25,393,790.54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-59.93%</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其中：流动负债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10,175,796.89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5,993,790.54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69.77%</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19,400,000.00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530,850,615.58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107,926,354.30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391.86%</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其中：实收资本（股本）</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60,000,000.00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33.33%</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373,975,300.21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24,560.25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1522585.23%</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7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10,843,670.67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6,290,179.42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72.39%</w:t>
            </w:r>
          </w:p>
        </w:tc>
      </w:tr>
      <w:tr>
        <w:trPr>
          <w:trHeight w:val="384" w:hRule="exact"/>
        </w:trPr>
        <w:tc>
          <w:tcPr>
            <w:tcW w:w="28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94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86,031,644.70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56,611,614.63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51.97%</w:t>
            </w:r>
          </w:p>
        </w:tc>
      </w:tr>
    </w:tbl>
    <w:p>
      <w:pPr>
        <w:spacing w:line="240" w:lineRule="auto" w:before="5"/>
        <w:rPr>
          <w:rFonts w:ascii="宋体" w:hAnsi="宋体" w:cs="宋体" w:eastAsia="宋体" w:hint="default"/>
          <w:sz w:val="13"/>
          <w:szCs w:val="13"/>
        </w:rPr>
      </w:pPr>
    </w:p>
    <w:p>
      <w:pPr>
        <w:pStyle w:val="BodyText"/>
        <w:spacing w:line="360" w:lineRule="auto"/>
        <w:ind w:left="217" w:right="272" w:firstLine="459"/>
        <w:jc w:val="both"/>
      </w:pPr>
      <w:r>
        <w:rPr>
          <w:spacing w:val="-4"/>
        </w:rPr>
        <w:t>报告期末，公司总资产为</w:t>
      </w:r>
      <w:r>
        <w:rPr>
          <w:spacing w:val="-53"/>
        </w:rPr>
        <w:t> </w:t>
      </w:r>
      <w:r>
        <w:rPr>
          <w:rFonts w:ascii="Times New Roman" w:hAnsi="Times New Roman" w:cs="Times New Roman" w:eastAsia="Times New Roman" w:hint="default"/>
        </w:rPr>
        <w:t>541,026,412.47</w:t>
      </w:r>
      <w:r>
        <w:rPr>
          <w:rFonts w:ascii="Times New Roman" w:hAnsi="Times New Roman" w:cs="Times New Roman" w:eastAsia="Times New Roman" w:hint="default"/>
          <w:spacing w:val="5"/>
        </w:rPr>
        <w:t> </w:t>
      </w:r>
      <w:r>
        <w:rPr>
          <w:spacing w:val="-6"/>
        </w:rPr>
        <w:t>元，较年初增长</w:t>
      </w:r>
      <w:r>
        <w:rPr>
          <w:spacing w:val="-54"/>
        </w:rPr>
        <w:t> </w:t>
      </w:r>
      <w:r>
        <w:rPr>
          <w:rFonts w:ascii="Times New Roman" w:hAnsi="Times New Roman" w:cs="Times New Roman" w:eastAsia="Times New Roman" w:hint="default"/>
          <w:spacing w:val="-3"/>
        </w:rPr>
        <w:t>305.81%</w:t>
      </w:r>
      <w:r>
        <w:rPr>
          <w:spacing w:val="-3"/>
        </w:rPr>
        <w:t>，其中货币资</w:t>
      </w:r>
      <w:r>
        <w:rPr>
          <w:w w:val="100"/>
        </w:rPr>
        <w:t> </w:t>
      </w:r>
      <w:r>
        <w:rPr/>
        <w:t>金和应收账款绝对金额及变动幅度较大，分别增加</w:t>
      </w:r>
      <w:r>
        <w:rPr>
          <w:spacing w:val="-66"/>
        </w:rPr>
        <w:t> </w:t>
      </w:r>
      <w:r>
        <w:rPr>
          <w:rFonts w:ascii="Times New Roman" w:hAnsi="Times New Roman" w:cs="Times New Roman" w:eastAsia="Times New Roman" w:hint="default"/>
        </w:rPr>
        <w:t>772.91%</w:t>
      </w:r>
      <w:r>
        <w:rPr/>
        <w:t>和</w:t>
      </w:r>
      <w:r>
        <w:rPr>
          <w:spacing w:val="-66"/>
        </w:rPr>
        <w:t> </w:t>
      </w:r>
      <w:r>
        <w:rPr>
          <w:rFonts w:ascii="Times New Roman" w:hAnsi="Times New Roman" w:cs="Times New Roman" w:eastAsia="Times New Roman" w:hint="default"/>
        </w:rPr>
        <w:t>49.55%</w:t>
      </w:r>
      <w:r>
        <w:rPr/>
        <w:t>。货币资金大</w:t>
      </w:r>
      <w:r>
        <w:rPr>
          <w:w w:val="100"/>
        </w:rPr>
        <w:t> </w:t>
      </w:r>
      <w:r>
        <w:rPr/>
        <w:t>幅增加主要原因是报告期内公司公开发行股票上市募集资金大幅增加；应收账款较</w:t>
      </w:r>
      <w:r>
        <w:rPr>
          <w:spacing w:val="-87"/>
        </w:rPr>
        <w:t> </w:t>
      </w:r>
      <w:r>
        <w:rPr>
          <w:spacing w:val="-87"/>
        </w:rPr>
      </w:r>
      <w:r>
        <w:rPr/>
        <w:t>上年度期末增幅较大，主要是因为公司销售收入持续增长的原因。此外，其他非流</w:t>
      </w:r>
      <w:r>
        <w:rPr>
          <w:spacing w:val="-87"/>
        </w:rPr>
        <w:t> </w:t>
      </w:r>
      <w:r>
        <w:rPr>
          <w:spacing w:val="-87"/>
        </w:rPr>
      </w:r>
      <w:r>
        <w:rPr/>
        <w:t>动资产增加</w:t>
      </w:r>
      <w:r>
        <w:rPr>
          <w:spacing w:val="11"/>
        </w:rPr>
        <w:t> </w:t>
      </w:r>
      <w:r>
        <w:rPr>
          <w:rFonts w:ascii="Times New Roman" w:hAnsi="Times New Roman" w:cs="Times New Roman" w:eastAsia="Times New Roman" w:hint="default"/>
        </w:rPr>
        <w:t>818.79%</w:t>
      </w:r>
      <w:r>
        <w:rPr/>
        <w:t>，主要是因为其中其他应收款由于公司业务规模扩大而各分支</w:t>
      </w:r>
      <w:r>
        <w:rPr>
          <w:w w:val="100"/>
        </w:rPr>
        <w:t> </w:t>
      </w:r>
      <w:r>
        <w:rPr/>
        <w:t>办事机构和员工备用金以及各地办公场地租赁押金的增长的原因。</w:t>
      </w:r>
    </w:p>
    <w:p>
      <w:pPr>
        <w:spacing w:after="0" w:line="360" w:lineRule="auto"/>
        <w:jc w:val="both"/>
        <w:sectPr>
          <w:type w:val="continuous"/>
          <w:pgSz w:w="11910" w:h="16840"/>
          <w:pgMar w:top="1600" w:bottom="280" w:left="1580" w:right="1520"/>
        </w:sectPr>
      </w:pPr>
    </w:p>
    <w:p>
      <w:pPr>
        <w:spacing w:line="240" w:lineRule="auto" w:before="12"/>
        <w:rPr>
          <w:rFonts w:ascii="宋体" w:hAnsi="宋体" w:cs="宋体" w:eastAsia="宋体" w:hint="default"/>
          <w:sz w:val="25"/>
          <w:szCs w:val="25"/>
        </w:rPr>
      </w:pPr>
    </w:p>
    <w:p>
      <w:pPr>
        <w:pStyle w:val="BodyText"/>
        <w:spacing w:line="352" w:lineRule="auto"/>
        <w:ind w:left="477" w:right="632" w:firstLine="459"/>
        <w:jc w:val="both"/>
      </w:pPr>
      <w:r>
        <w:rPr>
          <w:spacing w:val="-4"/>
        </w:rPr>
        <w:t>报告期末，公司总负债为</w:t>
      </w:r>
      <w:r>
        <w:rPr>
          <w:spacing w:val="-53"/>
        </w:rPr>
        <w:t> </w:t>
      </w:r>
      <w:r>
        <w:rPr>
          <w:rFonts w:ascii="Times New Roman" w:hAnsi="Times New Roman" w:cs="Times New Roman" w:eastAsia="Times New Roman" w:hint="default"/>
        </w:rPr>
        <w:t>10,175,796.89</w:t>
      </w:r>
      <w:r>
        <w:rPr>
          <w:rFonts w:ascii="Times New Roman" w:hAnsi="Times New Roman" w:cs="Times New Roman" w:eastAsia="Times New Roman" w:hint="default"/>
          <w:spacing w:val="5"/>
        </w:rPr>
        <w:t> </w:t>
      </w:r>
      <w:r>
        <w:rPr>
          <w:spacing w:val="-6"/>
        </w:rPr>
        <w:t>元，较年初减少</w:t>
      </w:r>
      <w:r>
        <w:rPr>
          <w:spacing w:val="-55"/>
        </w:rPr>
        <w:t> </w:t>
      </w:r>
      <w:r>
        <w:rPr>
          <w:rFonts w:ascii="Times New Roman" w:hAnsi="Times New Roman" w:cs="Times New Roman" w:eastAsia="Times New Roman" w:hint="default"/>
          <w:spacing w:val="-3"/>
        </w:rPr>
        <w:t>59.93%</w:t>
      </w:r>
      <w:r>
        <w:rPr>
          <w:spacing w:val="-3"/>
        </w:rPr>
        <w:t>，主要是因为报</w:t>
      </w:r>
      <w:r>
        <w:rPr>
          <w:w w:val="100"/>
        </w:rPr>
        <w:t> </w:t>
      </w:r>
      <w:r>
        <w:rPr/>
        <w:t>告期内公司以自有资金归还了银行长期借款</w:t>
      </w:r>
      <w:r>
        <w:rPr>
          <w:spacing w:val="-47"/>
        </w:rPr>
        <w:t> </w:t>
      </w:r>
      <w:r>
        <w:rPr>
          <w:rFonts w:ascii="Times New Roman" w:hAnsi="Times New Roman" w:cs="Times New Roman" w:eastAsia="Times New Roman" w:hint="default"/>
        </w:rPr>
        <w:t>19,400,000</w:t>
      </w:r>
      <w:r>
        <w:rPr>
          <w:rFonts w:ascii="Times New Roman" w:hAnsi="Times New Roman" w:cs="Times New Roman" w:eastAsia="Times New Roman" w:hint="default"/>
          <w:spacing w:val="10"/>
        </w:rPr>
        <w:t> </w:t>
      </w:r>
      <w:r>
        <w:rPr/>
        <w:t>元。而流动负债的增加则主</w:t>
      </w:r>
      <w:r>
        <w:rPr>
          <w:w w:val="100"/>
        </w:rPr>
        <w:t> </w:t>
      </w:r>
      <w:r>
        <w:rPr/>
        <w:t>要是因为公司采购材料款尚未结算支付从而应付账款增加的原因。</w:t>
      </w:r>
    </w:p>
    <w:p>
      <w:pPr>
        <w:pStyle w:val="BodyText"/>
        <w:spacing w:line="357" w:lineRule="auto" w:before="59"/>
        <w:ind w:left="477" w:right="632" w:firstLine="459"/>
        <w:jc w:val="both"/>
      </w:pPr>
      <w:r>
        <w:rPr>
          <w:spacing w:val="-1"/>
          <w:w w:val="100"/>
        </w:rPr>
        <w:t>股东权益较年初增加</w:t>
      </w:r>
      <w:r>
        <w:rPr>
          <w:spacing w:val="-47"/>
          <w:w w:val="100"/>
        </w:rPr>
        <w:t> </w:t>
      </w:r>
      <w:r>
        <w:rPr>
          <w:rFonts w:ascii="Times New Roman" w:hAnsi="Times New Roman" w:cs="Times New Roman" w:eastAsia="Times New Roman" w:hint="default"/>
          <w:spacing w:val="-4"/>
          <w:w w:val="100"/>
          <w:sz w:val="21"/>
          <w:szCs w:val="21"/>
        </w:rPr>
        <w:t>391.86%</w:t>
      </w:r>
      <w:r>
        <w:rPr>
          <w:spacing w:val="-4"/>
          <w:w w:val="100"/>
        </w:rPr>
        <w:t>，主要系报告期内公司股票发行上市致使股本和资</w:t>
      </w:r>
      <w:r>
        <w:rPr>
          <w:w w:val="100"/>
        </w:rPr>
        <w:t> </w:t>
      </w:r>
      <w:r>
        <w:rPr/>
        <w:t>本公积大幅增加，以及报告期内盈利从而盈余公积和未分配利润增加所致。</w:t>
      </w:r>
    </w:p>
    <w:p>
      <w:pPr>
        <w:pStyle w:val="BodyText"/>
        <w:spacing w:line="240" w:lineRule="auto" w:before="54"/>
        <w:ind w:left="937" w:right="515"/>
        <w:jc w:val="left"/>
      </w:pPr>
      <w:r>
        <w:rPr>
          <w:rFonts w:ascii="Times New Roman" w:hAnsi="Times New Roman" w:cs="Times New Roman" w:eastAsia="Times New Roman" w:hint="default"/>
        </w:rPr>
        <w:t>2</w:t>
      </w:r>
      <w:r>
        <w:rPr/>
        <w:t>．期间费用变动情况分析</w:t>
      </w:r>
    </w:p>
    <w:p>
      <w:pPr>
        <w:pStyle w:val="BodyText"/>
        <w:spacing w:line="240" w:lineRule="auto" w:before="71"/>
        <w:ind w:left="0" w:right="632"/>
        <w:jc w:val="right"/>
      </w:pPr>
      <w:r>
        <w:rPr/>
        <w:t>单位：元</w:t>
      </w:r>
    </w:p>
    <w:p>
      <w:pPr>
        <w:spacing w:line="240" w:lineRule="auto" w:before="12"/>
        <w:rPr>
          <w:rFonts w:ascii="宋体" w:hAnsi="宋体" w:cs="宋体" w:eastAsia="宋体" w:hint="default"/>
          <w:sz w:val="7"/>
          <w:szCs w:val="7"/>
        </w:rPr>
      </w:pPr>
    </w:p>
    <w:tbl>
      <w:tblPr>
        <w:tblW w:w="0" w:type="auto"/>
        <w:jc w:val="left"/>
        <w:tblInd w:w="364" w:type="dxa"/>
        <w:tblLayout w:type="fixed"/>
        <w:tblCellMar>
          <w:top w:w="0" w:type="dxa"/>
          <w:left w:w="0" w:type="dxa"/>
          <w:bottom w:w="0" w:type="dxa"/>
          <w:right w:w="0" w:type="dxa"/>
        </w:tblCellMar>
        <w:tblLook w:val="01E0"/>
      </w:tblPr>
      <w:tblGrid>
        <w:gridCol w:w="1548"/>
        <w:gridCol w:w="1800"/>
        <w:gridCol w:w="1620"/>
        <w:gridCol w:w="1800"/>
        <w:gridCol w:w="1800"/>
      </w:tblGrid>
      <w:tr>
        <w:trPr>
          <w:trHeight w:val="63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left="5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年营业</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收入的比例</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left="5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left="47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79" w:right="0"/>
              <w:jc w:val="left"/>
              <w:rPr>
                <w:rFonts w:ascii="Times New Roman" w:hAnsi="Times New Roman" w:cs="Times New Roman" w:eastAsia="Times New Roman" w:hint="default"/>
                <w:sz w:val="21"/>
                <w:szCs w:val="21"/>
              </w:rPr>
            </w:pPr>
            <w:r>
              <w:rPr>
                <w:rFonts w:ascii="Times New Roman"/>
                <w:sz w:val="21"/>
              </w:rPr>
              <w:t>12,721,557.86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10,283,143.58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23.71%</w:t>
            </w:r>
          </w:p>
        </w:tc>
      </w:tr>
      <w:tr>
        <w:trPr>
          <w:trHeight w:val="38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79" w:right="0"/>
              <w:jc w:val="left"/>
              <w:rPr>
                <w:rFonts w:ascii="Times New Roman" w:hAnsi="Times New Roman" w:cs="Times New Roman" w:eastAsia="Times New Roman" w:hint="default"/>
                <w:sz w:val="21"/>
                <w:szCs w:val="21"/>
              </w:rPr>
            </w:pPr>
            <w:r>
              <w:rPr>
                <w:rFonts w:ascii="Times New Roman"/>
                <w:sz w:val="21"/>
              </w:rPr>
              <w:t>18,454,038.35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11,913,373.39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54.90%</w:t>
            </w:r>
          </w:p>
        </w:tc>
      </w:tr>
      <w:tr>
        <w:trPr>
          <w:trHeight w:val="38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14" w:right="0"/>
              <w:jc w:val="left"/>
              <w:rPr>
                <w:rFonts w:ascii="Times New Roman" w:hAnsi="Times New Roman" w:cs="Times New Roman" w:eastAsia="Times New Roman" w:hint="default"/>
                <w:sz w:val="21"/>
                <w:szCs w:val="21"/>
              </w:rPr>
            </w:pPr>
            <w:r>
              <w:rPr>
                <w:rFonts w:ascii="Times New Roman"/>
                <w:sz w:val="21"/>
              </w:rPr>
              <w:t>-3,208,671.11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1,011,244.82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-417.30%</w:t>
            </w:r>
          </w:p>
        </w:tc>
      </w:tr>
      <w:tr>
        <w:trPr>
          <w:trHeight w:val="38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4" w:right="0"/>
              <w:jc w:val="left"/>
              <w:rPr>
                <w:rFonts w:ascii="Times New Roman" w:hAnsi="Times New Roman" w:cs="Times New Roman" w:eastAsia="Times New Roman" w:hint="default"/>
                <w:sz w:val="21"/>
                <w:szCs w:val="21"/>
              </w:rPr>
            </w:pPr>
            <w:r>
              <w:rPr>
                <w:rFonts w:ascii="Times New Roman"/>
                <w:sz w:val="21"/>
              </w:rPr>
              <w:t>1,120,469.17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1,305,686.14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-14.19%</w:t>
            </w:r>
          </w:p>
        </w:tc>
      </w:tr>
    </w:tbl>
    <w:p>
      <w:pPr>
        <w:spacing w:line="240" w:lineRule="auto" w:before="5"/>
        <w:rPr>
          <w:rFonts w:ascii="宋体" w:hAnsi="宋体" w:cs="宋体" w:eastAsia="宋体" w:hint="default"/>
          <w:sz w:val="13"/>
          <w:szCs w:val="13"/>
        </w:rPr>
      </w:pPr>
    </w:p>
    <w:p>
      <w:pPr>
        <w:pStyle w:val="BodyText"/>
        <w:spacing w:line="362" w:lineRule="auto"/>
        <w:ind w:left="477" w:right="515" w:firstLine="459"/>
        <w:jc w:val="left"/>
      </w:pPr>
      <w:r>
        <w:rPr>
          <w:spacing w:val="-6"/>
        </w:rPr>
        <w:t>报告期内，销售费用与上年同比增长</w:t>
      </w:r>
      <w:r>
        <w:rPr>
          <w:spacing w:val="-30"/>
        </w:rPr>
        <w:t> </w:t>
      </w:r>
      <w:r>
        <w:rPr>
          <w:rFonts w:ascii="Times New Roman" w:hAnsi="Times New Roman" w:cs="Times New Roman" w:eastAsia="Times New Roman" w:hint="default"/>
          <w:spacing w:val="-5"/>
        </w:rPr>
        <w:t>23.71%</w:t>
      </w:r>
      <w:r>
        <w:rPr>
          <w:spacing w:val="-5"/>
        </w:rPr>
        <w:t>，主要是因为开拓市场的费用增加，</w:t>
      </w:r>
      <w:r>
        <w:rPr>
          <w:w w:val="100"/>
        </w:rPr>
        <w:t> </w:t>
      </w:r>
      <w:r>
        <w:rPr/>
        <w:t>与主营业务收入</w:t>
      </w:r>
      <w:r>
        <w:rPr>
          <w:spacing w:val="-57"/>
        </w:rPr>
        <w:t> </w:t>
      </w:r>
      <w:r>
        <w:rPr>
          <w:rFonts w:ascii="Times New Roman" w:hAnsi="Times New Roman" w:cs="Times New Roman" w:eastAsia="Times New Roman" w:hint="default"/>
          <w:spacing w:val="-3"/>
        </w:rPr>
        <w:t>23.20%</w:t>
      </w:r>
      <w:r>
        <w:rPr>
          <w:spacing w:val="-3"/>
        </w:rPr>
        <w:t>的增长幅度相当。管理费用同比增长</w:t>
      </w:r>
      <w:r>
        <w:rPr>
          <w:spacing w:val="-57"/>
        </w:rPr>
        <w:t> </w:t>
      </w:r>
      <w:r>
        <w:rPr>
          <w:rFonts w:ascii="Times New Roman" w:hAnsi="Times New Roman" w:cs="Times New Roman" w:eastAsia="Times New Roman" w:hint="default"/>
        </w:rPr>
        <w:t>654.06</w:t>
      </w:r>
      <w:r>
        <w:rPr>
          <w:rFonts w:ascii="Times New Roman" w:hAnsi="Times New Roman" w:cs="Times New Roman" w:eastAsia="Times New Roman" w:hint="default"/>
          <w:spacing w:val="-1"/>
        </w:rPr>
        <w:t> </w:t>
      </w:r>
      <w:r>
        <w:rPr>
          <w:spacing w:val="-8"/>
        </w:rPr>
        <w:t>万元，增长幅度</w:t>
      </w:r>
      <w:r>
        <w:rPr>
          <w:spacing w:val="-111"/>
        </w:rPr>
        <w:t> </w:t>
      </w:r>
      <w:r>
        <w:rPr>
          <w:spacing w:val="-111"/>
        </w:rPr>
      </w:r>
      <w:r>
        <w:rPr/>
        <w:t>较大，是因为一方面由于公司规模逐步扩大、员工人数增加等因素，致管理费用相</w:t>
      </w:r>
      <w:r>
        <w:rPr>
          <w:spacing w:val="-87"/>
        </w:rPr>
        <w:t> </w:t>
      </w:r>
      <w:r>
        <w:rPr>
          <w:spacing w:val="-87"/>
        </w:rPr>
      </w:r>
      <w:r>
        <w:rPr>
          <w:spacing w:val="12"/>
        </w:rPr>
        <w:t>应增长；另一方面由于公司报告期内首次公开发行股票上市，按照财政部财会</w:t>
      </w:r>
      <w:r>
        <w:rPr>
          <w:spacing w:val="-46"/>
        </w:rPr>
        <w:t> </w:t>
      </w:r>
      <w:r>
        <w:rPr>
          <w:spacing w:val="-46"/>
        </w:rPr>
      </w:r>
      <w:r>
        <w:rPr>
          <w:rFonts w:ascii="Times New Roman" w:hAnsi="Times New Roman" w:cs="Times New Roman" w:eastAsia="Times New Roman" w:hint="default"/>
        </w:rPr>
        <w:t>[2010]25 </w:t>
      </w:r>
      <w:r>
        <w:rPr/>
        <w:t>号及中国证监会会计部函</w:t>
      </w:r>
      <w:r>
        <w:rPr>
          <w:rFonts w:ascii="Times New Roman" w:hAnsi="Times New Roman" w:cs="Times New Roman" w:eastAsia="Times New Roman" w:hint="default"/>
        </w:rPr>
        <w:t>[2010]299</w:t>
      </w:r>
      <w:r>
        <w:rPr>
          <w:rFonts w:ascii="Times New Roman" w:hAnsi="Times New Roman" w:cs="Times New Roman" w:eastAsia="Times New Roman" w:hint="default"/>
          <w:spacing w:val="3"/>
        </w:rPr>
        <w:t> </w:t>
      </w:r>
      <w:r>
        <w:rPr>
          <w:spacing w:val="-4"/>
        </w:rPr>
        <w:t>号等文件精神，对发行股票过程中发生</w:t>
      </w:r>
    </w:p>
    <w:p>
      <w:pPr>
        <w:pStyle w:val="BodyText"/>
        <w:spacing w:line="352" w:lineRule="auto" w:before="19"/>
        <w:ind w:left="477" w:right="515"/>
        <w:jc w:val="left"/>
      </w:pPr>
      <w:r>
        <w:rPr/>
        <w:t>的广告费、路演费、财经公关费等费用共计</w:t>
      </w:r>
      <w:r>
        <w:rPr>
          <w:spacing w:val="-67"/>
        </w:rPr>
        <w:t> </w:t>
      </w:r>
      <w:r>
        <w:rPr>
          <w:rFonts w:ascii="Times New Roman" w:hAnsi="Times New Roman" w:cs="Times New Roman" w:eastAsia="Times New Roman" w:hint="default"/>
        </w:rPr>
        <w:t>419.32</w:t>
      </w:r>
      <w:r>
        <w:rPr>
          <w:rFonts w:ascii="Times New Roman" w:hAnsi="Times New Roman" w:cs="Times New Roman" w:eastAsia="Times New Roman" w:hint="default"/>
          <w:spacing w:val="-8"/>
        </w:rPr>
        <w:t> </w:t>
      </w:r>
      <w:r>
        <w:rPr/>
        <w:t>万元计入了当期管理费用。财务</w:t>
      </w:r>
      <w:r>
        <w:rPr>
          <w:w w:val="100"/>
        </w:rPr>
        <w:t> </w:t>
      </w:r>
      <w:r>
        <w:rPr/>
        <w:t>费用降低</w:t>
      </w:r>
      <w:r>
        <w:rPr>
          <w:spacing w:val="-45"/>
        </w:rPr>
        <w:t> </w:t>
      </w:r>
      <w:r>
        <w:rPr>
          <w:rFonts w:ascii="Times New Roman" w:hAnsi="Times New Roman" w:cs="Times New Roman" w:eastAsia="Times New Roman" w:hint="default"/>
          <w:spacing w:val="-2"/>
        </w:rPr>
        <w:t>417.30%</w:t>
      </w:r>
      <w:r>
        <w:rPr>
          <w:spacing w:val="-2"/>
        </w:rPr>
        <w:t>，主要是报告期内公司归还了银行长期借款，银行贷款利息减少，</w:t>
      </w:r>
      <w:r>
        <w:rPr>
          <w:spacing w:val="-111"/>
        </w:rPr>
        <w:t> </w:t>
      </w:r>
      <w:r>
        <w:rPr>
          <w:spacing w:val="-111"/>
        </w:rPr>
      </w:r>
      <w:r>
        <w:rPr/>
        <w:t>而募集资金所产生的利息增加的原因。</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pStyle w:val="BodyText"/>
        <w:spacing w:line="240" w:lineRule="auto" w:before="0"/>
        <w:ind w:left="477" w:right="515"/>
        <w:jc w:val="left"/>
      </w:pPr>
      <w:r>
        <w:rPr/>
        <w:t>（四）</w:t>
      </w:r>
      <w:r>
        <w:rPr>
          <w:spacing w:val="-87"/>
        </w:rPr>
        <w:t> </w:t>
      </w:r>
      <w:r>
        <w:rPr/>
        <w:t>公司无形资产情况</w:t>
      </w:r>
    </w:p>
    <w:p>
      <w:pPr>
        <w:pStyle w:val="BodyText"/>
        <w:spacing w:line="240" w:lineRule="auto" w:before="167"/>
        <w:ind w:left="897" w:right="515"/>
        <w:jc w:val="left"/>
      </w:pPr>
      <w:r>
        <w:rPr>
          <w:rFonts w:ascii="Times New Roman" w:hAnsi="Times New Roman" w:cs="Times New Roman" w:eastAsia="Times New Roman" w:hint="default"/>
        </w:rPr>
        <w:t>1</w:t>
      </w:r>
      <w:r>
        <w:rPr/>
        <w:t>．账面无形资产</w:t>
      </w:r>
    </w:p>
    <w:p>
      <w:pPr>
        <w:pStyle w:val="BodyText"/>
        <w:spacing w:line="352" w:lineRule="auto" w:before="149"/>
        <w:ind w:left="477" w:right="513" w:firstLine="459"/>
        <w:jc w:val="left"/>
      </w:pPr>
      <w:r>
        <w:rPr>
          <w:spacing w:val="-3"/>
        </w:rPr>
        <w:t>截止报告期末，公司账面无形资产为 </w:t>
      </w:r>
      <w:r>
        <w:rPr>
          <w:rFonts w:ascii="Times New Roman" w:hAnsi="Times New Roman" w:cs="Times New Roman" w:eastAsia="Times New Roman" w:hint="default"/>
        </w:rPr>
        <w:t>34,883.25 </w:t>
      </w:r>
      <w:r>
        <w:rPr>
          <w:spacing w:val="-3"/>
        </w:rPr>
        <w:t>元，较之上年期末增加</w:t>
      </w:r>
      <w:r>
        <w:rPr>
          <w:spacing w:val="-91"/>
        </w:rPr>
        <w:t> </w:t>
      </w:r>
      <w:r>
        <w:rPr>
          <w:rFonts w:ascii="Times New Roman" w:hAnsi="Times New Roman" w:cs="Times New Roman" w:eastAsia="Times New Roman" w:hint="default"/>
        </w:rPr>
        <w:t>35.98%</w:t>
      </w:r>
      <w:r>
        <w:rPr/>
        <w:t>。</w:t>
      </w:r>
      <w:r>
        <w:rPr>
          <w:w w:val="100"/>
        </w:rPr>
        <w:t> </w:t>
      </w:r>
      <w:r>
        <w:rPr/>
        <w:t>公司账面无形资产主要是公司软件著作权、专利权申请程序中的费用开支。</w:t>
      </w:r>
    </w:p>
    <w:p>
      <w:pPr>
        <w:pStyle w:val="BodyText"/>
        <w:spacing w:line="240" w:lineRule="auto" w:before="59"/>
        <w:ind w:left="897" w:right="515"/>
        <w:jc w:val="left"/>
      </w:pPr>
      <w:r>
        <w:rPr>
          <w:rFonts w:ascii="Times New Roman" w:hAnsi="Times New Roman" w:cs="Times New Roman" w:eastAsia="Times New Roman" w:hint="default"/>
        </w:rPr>
        <w:t>2</w:t>
      </w:r>
      <w:r>
        <w:rPr/>
        <w:t>．软件著作权</w:t>
      </w:r>
    </w:p>
    <w:p>
      <w:pPr>
        <w:pStyle w:val="BodyText"/>
        <w:spacing w:line="240" w:lineRule="auto" w:before="149"/>
        <w:ind w:left="937" w:right="515"/>
        <w:jc w:val="left"/>
      </w:pPr>
      <w:r>
        <w:rPr/>
        <w:t>截至</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6"/>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日，公司及其子公司拥有软件著作权证书如下：</w:t>
      </w:r>
    </w:p>
    <w:p>
      <w:pPr>
        <w:spacing w:line="240" w:lineRule="auto" w:before="9"/>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720"/>
        <w:gridCol w:w="3600"/>
        <w:gridCol w:w="1620"/>
        <w:gridCol w:w="1260"/>
        <w:gridCol w:w="1120"/>
        <w:gridCol w:w="860"/>
      </w:tblGrid>
      <w:tr>
        <w:trPr>
          <w:trHeight w:val="634" w:hRule="exact"/>
        </w:trPr>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6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22" w:val="left" w:leader="none"/>
              </w:tabs>
              <w:spacing w:line="240" w:lineRule="auto" w:before="140"/>
              <w:ind w:right="1"/>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0"/>
              <w:ind w:left="488" w:right="0"/>
              <w:jc w:val="left"/>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0"/>
              <w:ind w:left="202" w:right="0"/>
              <w:jc w:val="left"/>
              <w:rPr>
                <w:rFonts w:ascii="宋体" w:hAnsi="宋体" w:cs="宋体" w:eastAsia="宋体" w:hint="default"/>
                <w:sz w:val="21"/>
                <w:szCs w:val="21"/>
              </w:rPr>
            </w:pPr>
            <w:r>
              <w:rPr>
                <w:rFonts w:ascii="宋体" w:hAnsi="宋体" w:cs="宋体" w:eastAsia="宋体" w:hint="default"/>
                <w:b/>
                <w:bCs/>
                <w:sz w:val="21"/>
                <w:szCs w:val="21"/>
              </w:rPr>
              <w:t>发证时间</w:t>
            </w:r>
            <w:r>
              <w:rPr>
                <w:rFonts w:ascii="宋体" w:hAnsi="宋体" w:cs="宋体" w:eastAsia="宋体" w:hint="default"/>
                <w:sz w:val="21"/>
                <w:szCs w:val="21"/>
              </w:rPr>
            </w:r>
          </w:p>
        </w:tc>
        <w:tc>
          <w:tcPr>
            <w:tcW w:w="11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8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212" w:right="0"/>
              <w:jc w:val="left"/>
              <w:rPr>
                <w:rFonts w:ascii="宋体" w:hAnsi="宋体" w:cs="宋体" w:eastAsia="宋体" w:hint="default"/>
                <w:sz w:val="21"/>
                <w:szCs w:val="21"/>
              </w:rPr>
            </w:pPr>
            <w:r>
              <w:rPr>
                <w:rFonts w:ascii="宋体" w:hAnsi="宋体" w:cs="宋体" w:eastAsia="宋体" w:hint="default"/>
                <w:b/>
                <w:bCs/>
                <w:sz w:val="21"/>
                <w:szCs w:val="21"/>
              </w:rPr>
              <w:t>权利</w:t>
            </w:r>
            <w:r>
              <w:rPr>
                <w:rFonts w:ascii="宋体" w:hAnsi="宋体" w:cs="宋体" w:eastAsia="宋体" w:hint="default"/>
                <w:sz w:val="21"/>
                <w:szCs w:val="21"/>
              </w:rPr>
            </w:r>
          </w:p>
          <w:p>
            <w:pPr>
              <w:pStyle w:val="TableParagraph"/>
              <w:spacing w:line="240" w:lineRule="auto" w:before="37"/>
              <w:ind w:left="212" w:right="0"/>
              <w:jc w:val="lef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r>
      <w:tr>
        <w:trPr>
          <w:trHeight w:val="44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1</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银行通存通兑电脑核印系统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21"/>
                <w:szCs w:val="21"/>
              </w:rPr>
            </w:pPr>
            <w:r>
              <w:rPr>
                <w:rFonts w:ascii="Times New Roman"/>
                <w:sz w:val="21"/>
              </w:rPr>
              <w:t>2008SR07697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21"/>
                <w:szCs w:val="21"/>
              </w:rPr>
            </w:pPr>
            <w:r>
              <w:rPr>
                <w:rFonts w:ascii="Times New Roman"/>
                <w:sz w:val="21"/>
              </w:rPr>
              <w:t>2000-7-6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pgSz w:w="11910" w:h="16840"/>
          <w:pgMar w:header="877" w:footer="982" w:top="1100" w:bottom="1180" w:left="1320" w:right="116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720"/>
        <w:gridCol w:w="3600"/>
        <w:gridCol w:w="1620"/>
        <w:gridCol w:w="1260"/>
        <w:gridCol w:w="1120"/>
        <w:gridCol w:w="860"/>
      </w:tblGrid>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2</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银行批量批票据电脑核印系统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2001-8-9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3</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银之杰票据文档影像管理系统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2001-9-27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4</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银之杰银行回单商函处理系统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2001-9-27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5</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银之杰扫描仪版电脑验印系统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2004-9-27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6</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票据提回集中结算自动处理系统</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V3.0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2004-9-27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7</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银之杰银行对帐中心系统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2004-10-10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75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21"/>
                <w:szCs w:val="21"/>
              </w:rPr>
            </w:pPr>
            <w:r>
              <w:rPr>
                <w:rFonts w:ascii="Times New Roman"/>
                <w:sz w:val="21"/>
              </w:rPr>
              <w:t>8</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商业银行票据影像交换业务处理软件</w:t>
            </w:r>
          </w:p>
          <w:p>
            <w:pPr>
              <w:pStyle w:val="TableParagraph"/>
              <w:spacing w:line="240" w:lineRule="auto" w:before="86"/>
              <w:ind w:left="103" w:right="0"/>
              <w:jc w:val="left"/>
              <w:rPr>
                <w:rFonts w:ascii="Times New Roman" w:hAnsi="Times New Roman" w:cs="Times New Roman" w:eastAsia="Times New Roman" w:hint="default"/>
                <w:sz w:val="21"/>
                <w:szCs w:val="21"/>
              </w:rPr>
            </w:pPr>
            <w:r>
              <w:rPr>
                <w:rFonts w:ascii="Times New Roman"/>
                <w:sz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2008SR07885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2007-4-13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21"/>
                <w:szCs w:val="21"/>
              </w:rPr>
            </w:pPr>
            <w:r>
              <w:rPr>
                <w:rFonts w:ascii="Times New Roman"/>
                <w:sz w:val="21"/>
              </w:rPr>
              <w:t>9</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X-Flow </w:t>
            </w:r>
            <w:r>
              <w:rPr>
                <w:rFonts w:ascii="宋体" w:hAnsi="宋体" w:cs="宋体" w:eastAsia="宋体" w:hint="default"/>
                <w:sz w:val="21"/>
                <w:szCs w:val="21"/>
              </w:rPr>
              <w:t>工作流平台软件</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2007-4-13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10</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X-Storage </w:t>
            </w:r>
            <w:r>
              <w:rPr>
                <w:rFonts w:ascii="宋体" w:hAnsi="宋体" w:cs="宋体" w:eastAsia="宋体" w:hint="default"/>
                <w:sz w:val="21"/>
                <w:szCs w:val="21"/>
              </w:rPr>
              <w:t>海量存储管理软件</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2007-4-13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11</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票据影像信息发布平台软件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2007-4-13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12</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任务负载均衡管理平台软件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2008SR07891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2007-4-13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13</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交换提入票据影像业务处理软件</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V2.0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2008SR06209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2008-3-24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14</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交换提出票据影像业务处理软件</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V2.0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2008SR06210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2008-3-24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15</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银行票据版面要素识别软件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2008SR29592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2008-11-21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16</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印鉴识别算法软件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2008SR37198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2008-12-25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17</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数字监控录像软件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2009SR08532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2009-3-4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18</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票据图像处理平台软件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2009SR08531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2009-3-4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19</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商业银行远程授权管理系统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2009SR25708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2009-7-1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20</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远程授权影像处理软件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2009SR058912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2009-12-18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21"/>
                <w:szCs w:val="21"/>
              </w:rPr>
            </w:pPr>
            <w:r>
              <w:rPr>
                <w:rFonts w:ascii="Times New Roman"/>
                <w:sz w:val="21"/>
              </w:rPr>
              <w:t>21</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银之杰印章管理软件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2010SR003408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1"/>
                <w:szCs w:val="21"/>
              </w:rPr>
            </w:pPr>
            <w:r>
              <w:rPr>
                <w:rFonts w:ascii="Times New Roman"/>
                <w:sz w:val="21"/>
              </w:rPr>
              <w:t>2010-1-20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r>
    </w:tbl>
    <w:p>
      <w:pPr>
        <w:spacing w:line="240" w:lineRule="auto" w:before="1"/>
        <w:rPr>
          <w:rFonts w:ascii="宋体" w:hAnsi="宋体" w:cs="宋体" w:eastAsia="宋体" w:hint="default"/>
          <w:sz w:val="14"/>
          <w:szCs w:val="14"/>
        </w:rPr>
      </w:pPr>
    </w:p>
    <w:p>
      <w:pPr>
        <w:spacing w:before="35"/>
        <w:ind w:left="897" w:right="515" w:firstLine="0"/>
        <w:jc w:val="left"/>
        <w:rPr>
          <w:rFonts w:ascii="宋体" w:hAnsi="宋体" w:cs="宋体" w:eastAsia="宋体" w:hint="default"/>
          <w:sz w:val="21"/>
          <w:szCs w:val="21"/>
        </w:rPr>
      </w:pPr>
      <w:r>
        <w:rPr>
          <w:rFonts w:ascii="宋体" w:hAnsi="宋体" w:cs="宋体" w:eastAsia="宋体" w:hint="default"/>
          <w:sz w:val="21"/>
          <w:szCs w:val="21"/>
        </w:rPr>
        <w:t>注：上表中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项软件著作权是公司整体变更为股份公司时从原有限公司承受取得。</w:t>
      </w:r>
    </w:p>
    <w:p>
      <w:pPr>
        <w:spacing w:before="177"/>
        <w:ind w:left="477" w:right="515" w:firstLine="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项为公司全资子公司深圳市银之杰软件技术有限公司拥有。</w:t>
      </w:r>
    </w:p>
    <w:p>
      <w:pPr>
        <w:pStyle w:val="BodyText"/>
        <w:spacing w:line="240" w:lineRule="auto" w:before="162"/>
        <w:ind w:left="897" w:right="515"/>
        <w:jc w:val="left"/>
      </w:pPr>
      <w:r>
        <w:rPr>
          <w:rFonts w:ascii="Times New Roman" w:hAnsi="Times New Roman" w:cs="Times New Roman" w:eastAsia="Times New Roman" w:hint="default"/>
          <w:spacing w:val="3"/>
        </w:rPr>
        <w:t>3</w:t>
      </w:r>
      <w:r>
        <w:rPr>
          <w:spacing w:val="3"/>
        </w:rPr>
        <w:t>．专利</w:t>
      </w:r>
    </w:p>
    <w:p>
      <w:pPr>
        <w:pStyle w:val="BodyText"/>
        <w:spacing w:line="240" w:lineRule="auto" w:before="149"/>
        <w:ind w:left="937" w:right="515"/>
        <w:jc w:val="left"/>
      </w:pPr>
      <w:r>
        <w:rPr/>
        <w:t>截至</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7"/>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日，公司已获取的专利情况如下：</w:t>
      </w:r>
    </w:p>
    <w:p>
      <w:pPr>
        <w:spacing w:line="240" w:lineRule="auto" w:before="9"/>
        <w:rPr>
          <w:rFonts w:ascii="宋体" w:hAnsi="宋体" w:cs="宋体" w:eastAsia="宋体" w:hint="default"/>
          <w:sz w:val="19"/>
          <w:szCs w:val="19"/>
        </w:rPr>
      </w:pPr>
    </w:p>
    <w:tbl>
      <w:tblPr>
        <w:tblW w:w="0" w:type="auto"/>
        <w:jc w:val="left"/>
        <w:tblInd w:w="292" w:type="dxa"/>
        <w:tblLayout w:type="fixed"/>
        <w:tblCellMar>
          <w:top w:w="0" w:type="dxa"/>
          <w:left w:w="0" w:type="dxa"/>
          <w:bottom w:w="0" w:type="dxa"/>
          <w:right w:w="0" w:type="dxa"/>
        </w:tblCellMar>
        <w:tblLook w:val="01E0"/>
      </w:tblPr>
      <w:tblGrid>
        <w:gridCol w:w="720"/>
        <w:gridCol w:w="2592"/>
        <w:gridCol w:w="1204"/>
        <w:gridCol w:w="1980"/>
        <w:gridCol w:w="1136"/>
        <w:gridCol w:w="1188"/>
      </w:tblGrid>
      <w:tr>
        <w:trPr>
          <w:trHeight w:val="322" w:hRule="exact"/>
        </w:trPr>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2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173"/>
              <w:jc w:val="right"/>
              <w:rPr>
                <w:rFonts w:ascii="宋体" w:hAnsi="宋体" w:cs="宋体" w:eastAsia="宋体" w:hint="default"/>
                <w:sz w:val="21"/>
                <w:szCs w:val="21"/>
              </w:rPr>
            </w:pPr>
            <w:r>
              <w:rPr>
                <w:rFonts w:ascii="宋体" w:hAnsi="宋体" w:cs="宋体" w:eastAsia="宋体" w:hint="default"/>
                <w:b/>
                <w:bCs/>
                <w:sz w:val="21"/>
                <w:szCs w:val="21"/>
              </w:rPr>
              <w:t>发证时间</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40"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权利期限</w:t>
            </w:r>
            <w:r>
              <w:rPr>
                <w:rFonts w:ascii="宋体" w:hAnsi="宋体" w:cs="宋体" w:eastAsia="宋体" w:hint="default"/>
                <w:sz w:val="21"/>
                <w:szCs w:val="21"/>
              </w:rPr>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外观设计专利证书</w:t>
            </w:r>
            <w:r>
              <w:rPr>
                <w:rFonts w:ascii="Times New Roman" w:hAnsi="Times New Roman" w:cs="Times New Roman" w:eastAsia="Times New Roman" w:hint="default"/>
                <w:sz w:val="21"/>
                <w:szCs w:val="21"/>
              </w:rPr>
              <w:t>--</w:t>
            </w:r>
            <w:r>
              <w:rPr>
                <w:rFonts w:ascii="宋体" w:hAnsi="宋体" w:cs="宋体" w:eastAsia="宋体" w:hint="default"/>
                <w:sz w:val="21"/>
                <w:szCs w:val="21"/>
              </w:rPr>
              <w:t>电脑</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验印系统平台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3"/>
              <w:jc w:val="right"/>
              <w:rPr>
                <w:rFonts w:ascii="Times New Roman" w:hAnsi="Times New Roman" w:cs="Times New Roman" w:eastAsia="Times New Roman" w:hint="default"/>
                <w:sz w:val="21"/>
                <w:szCs w:val="21"/>
              </w:rPr>
            </w:pPr>
            <w:r>
              <w:rPr>
                <w:rFonts w:ascii="Times New Roman"/>
                <w:spacing w:val="-1"/>
                <w:sz w:val="21"/>
              </w:rPr>
              <w:t>2006-2-22</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ZL200530063438.6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实用新型专利证书</w:t>
            </w:r>
            <w:r>
              <w:rPr>
                <w:rFonts w:ascii="Times New Roman" w:hAnsi="Times New Roman" w:cs="Times New Roman" w:eastAsia="Times New Roman" w:hint="default"/>
                <w:sz w:val="21"/>
                <w:szCs w:val="21"/>
              </w:rPr>
              <w:t>--</w:t>
            </w:r>
            <w:r>
              <w:rPr>
                <w:rFonts w:ascii="宋体" w:hAnsi="宋体" w:cs="宋体" w:eastAsia="宋体" w:hint="default"/>
                <w:sz w:val="21"/>
                <w:szCs w:val="21"/>
              </w:rPr>
              <w:t>银行</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业印鉴图像采集平台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3"/>
              <w:jc w:val="right"/>
              <w:rPr>
                <w:rFonts w:ascii="Times New Roman" w:hAnsi="Times New Roman" w:cs="Times New Roman" w:eastAsia="Times New Roman" w:hint="default"/>
                <w:sz w:val="21"/>
                <w:szCs w:val="21"/>
              </w:rPr>
            </w:pPr>
            <w:r>
              <w:rPr>
                <w:rFonts w:ascii="Times New Roman"/>
                <w:spacing w:val="-1"/>
                <w:sz w:val="21"/>
              </w:rPr>
              <w:t>2008-5-21</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ZL200720120545.1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实用新型专利证书</w:t>
            </w:r>
            <w:r>
              <w:rPr>
                <w:rFonts w:ascii="Times New Roman" w:hAnsi="Times New Roman" w:cs="Times New Roman" w:eastAsia="Times New Roman" w:hint="default"/>
                <w:sz w:val="21"/>
                <w:szCs w:val="21"/>
              </w:rPr>
              <w:t>--</w:t>
            </w:r>
            <w:r>
              <w:rPr>
                <w:rFonts w:ascii="宋体" w:hAnsi="宋体" w:cs="宋体" w:eastAsia="宋体" w:hint="default"/>
                <w:sz w:val="21"/>
                <w:szCs w:val="21"/>
              </w:rPr>
              <w:t>商业</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银行远程授权管理系统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3"/>
              <w:jc w:val="right"/>
              <w:rPr>
                <w:rFonts w:ascii="Times New Roman" w:hAnsi="Times New Roman" w:cs="Times New Roman" w:eastAsia="Times New Roman" w:hint="default"/>
                <w:sz w:val="21"/>
                <w:szCs w:val="21"/>
              </w:rPr>
            </w:pPr>
            <w:r>
              <w:rPr>
                <w:rFonts w:ascii="Times New Roman"/>
                <w:spacing w:val="-1"/>
                <w:sz w:val="21"/>
              </w:rPr>
              <w:t>2010-5-19</w:t>
            </w:r>
            <w:r>
              <w:rPr>
                <w:rFonts w:ascii="Times New Roman"/>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ZL200920307709.0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bl>
    <w:p>
      <w:pPr>
        <w:spacing w:after="0" w:line="240" w:lineRule="auto"/>
        <w:jc w:val="center"/>
        <w:rPr>
          <w:rFonts w:ascii="宋体" w:hAnsi="宋体" w:cs="宋体" w:eastAsia="宋体" w:hint="default"/>
          <w:sz w:val="21"/>
          <w:szCs w:val="21"/>
        </w:rPr>
        <w:sectPr>
          <w:pgSz w:w="11910" w:h="16840"/>
          <w:pgMar w:header="877" w:footer="982" w:top="1100" w:bottom="1180" w:left="132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757" w:right="0"/>
        <w:jc w:val="left"/>
      </w:pPr>
      <w:r>
        <w:rPr/>
        <w:t>截至</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6"/>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日，公司已取得专利受理通知书的专利技术如下：</w:t>
      </w:r>
    </w:p>
    <w:p>
      <w:pPr>
        <w:spacing w:line="240" w:lineRule="auto" w:before="9"/>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720"/>
        <w:gridCol w:w="4598"/>
        <w:gridCol w:w="1271"/>
        <w:gridCol w:w="2231"/>
      </w:tblGrid>
      <w:tr>
        <w:trPr>
          <w:trHeight w:val="322" w:hRule="exact"/>
        </w:trPr>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5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27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206"/>
              <w:jc w:val="right"/>
              <w:rPr>
                <w:rFonts w:ascii="宋体" w:hAnsi="宋体" w:cs="宋体" w:eastAsia="宋体" w:hint="default"/>
                <w:sz w:val="21"/>
                <w:szCs w:val="21"/>
              </w:rPr>
            </w:pPr>
            <w:r>
              <w:rPr>
                <w:rFonts w:ascii="宋体" w:hAnsi="宋体" w:cs="宋体" w:eastAsia="宋体" w:hint="default"/>
                <w:b/>
                <w:bCs/>
                <w:sz w:val="21"/>
                <w:szCs w:val="21"/>
              </w:rPr>
              <w:t>受理时间</w:t>
            </w:r>
            <w:r>
              <w:rPr>
                <w:rFonts w:ascii="宋体" w:hAnsi="宋体" w:cs="宋体" w:eastAsia="宋体" w:hint="default"/>
                <w:sz w:val="21"/>
                <w:szCs w:val="21"/>
              </w:rPr>
            </w:r>
          </w:p>
        </w:tc>
        <w:tc>
          <w:tcPr>
            <w:tcW w:w="22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583" w:right="0"/>
              <w:jc w:val="left"/>
              <w:rPr>
                <w:rFonts w:ascii="宋体" w:hAnsi="宋体" w:cs="宋体" w:eastAsia="宋体" w:hint="default"/>
                <w:sz w:val="21"/>
                <w:szCs w:val="21"/>
              </w:rPr>
            </w:pPr>
            <w:r>
              <w:rPr>
                <w:rFonts w:ascii="宋体" w:hAnsi="宋体" w:cs="宋体" w:eastAsia="宋体" w:hint="default"/>
                <w:b/>
                <w:bCs/>
                <w:sz w:val="21"/>
                <w:szCs w:val="21"/>
              </w:rPr>
              <w:t>专利受理号</w:t>
            </w:r>
            <w:r>
              <w:rPr>
                <w:rFonts w:ascii="宋体" w:hAnsi="宋体" w:cs="宋体" w:eastAsia="宋体" w:hint="default"/>
                <w:sz w:val="21"/>
                <w:szCs w:val="21"/>
              </w:rPr>
            </w:r>
          </w:p>
        </w:tc>
      </w:tr>
      <w:tr>
        <w:trPr>
          <w:trHeight w:val="4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w:t>
            </w:r>
          </w:p>
        </w:tc>
        <w:tc>
          <w:tcPr>
            <w:tcW w:w="4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外观设计专利</w:t>
            </w:r>
            <w:r>
              <w:rPr>
                <w:rFonts w:ascii="Times New Roman" w:hAnsi="Times New Roman" w:cs="Times New Roman" w:eastAsia="Times New Roman" w:hint="default"/>
                <w:sz w:val="21"/>
                <w:szCs w:val="21"/>
              </w:rPr>
              <w:t>--</w:t>
            </w:r>
            <w:r>
              <w:rPr>
                <w:rFonts w:ascii="宋体" w:hAnsi="宋体" w:cs="宋体" w:eastAsia="宋体" w:hint="default"/>
                <w:sz w:val="21"/>
                <w:szCs w:val="21"/>
              </w:rPr>
              <w:t>银行柜面多功能影像采集平台</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78"/>
              <w:jc w:val="right"/>
              <w:rPr>
                <w:rFonts w:ascii="Times New Roman" w:hAnsi="Times New Roman" w:cs="Times New Roman" w:eastAsia="Times New Roman" w:hint="default"/>
                <w:sz w:val="21"/>
                <w:szCs w:val="21"/>
              </w:rPr>
            </w:pPr>
            <w:r>
              <w:rPr>
                <w:rFonts w:ascii="Times New Roman"/>
                <w:spacing w:val="-1"/>
                <w:sz w:val="21"/>
              </w:rPr>
              <w:t>2010-11-1</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Times New Roman" w:hAnsi="Times New Roman" w:cs="Times New Roman" w:eastAsia="Times New Roman" w:hint="default"/>
                <w:sz w:val="21"/>
                <w:szCs w:val="21"/>
              </w:rPr>
            </w:pPr>
            <w:r>
              <w:rPr>
                <w:rFonts w:ascii="Times New Roman"/>
                <w:sz w:val="21"/>
              </w:rPr>
              <w:t>201030585838.4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717" w:right="0"/>
        <w:jc w:val="left"/>
      </w:pPr>
      <w:r>
        <w:rPr>
          <w:rFonts w:ascii="Times New Roman" w:hAnsi="Times New Roman" w:cs="Times New Roman" w:eastAsia="Times New Roman" w:hint="default"/>
          <w:spacing w:val="2"/>
        </w:rPr>
        <w:t>4</w:t>
      </w:r>
      <w:r>
        <w:rPr>
          <w:spacing w:val="2"/>
        </w:rPr>
        <w:t>．注册商标</w:t>
      </w:r>
    </w:p>
    <w:p>
      <w:pPr>
        <w:pStyle w:val="BodyText"/>
        <w:spacing w:line="240" w:lineRule="auto" w:before="149"/>
        <w:ind w:left="2403" w:right="0" w:hanging="1647"/>
        <w:jc w:val="left"/>
      </w:pPr>
      <w:r>
        <w:rPr/>
        <w:pict>
          <v:shape style="position:absolute;margin-left:89.879997pt;margin-top:30.960855pt;width:105.662697pt;height:22.739998pt;mso-position-horizontal-relative:page;mso-position-vertical-relative:paragraph;z-index:-620008" type="#_x0000_t75" stroked="false">
            <v:imagedata r:id="rId11" o:title=""/>
          </v:shape>
        </w:pict>
      </w:r>
      <w:r>
        <w:rPr>
          <w:spacing w:val="8"/>
        </w:rPr>
        <w:t>公司于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24  </w:t>
      </w:r>
      <w:r>
        <w:rPr>
          <w:rFonts w:ascii="Times New Roman" w:hAnsi="Times New Roman" w:cs="Times New Roman" w:eastAsia="Times New Roman" w:hint="default"/>
          <w:spacing w:val="50"/>
        </w:rPr>
        <w:t> </w:t>
      </w:r>
      <w:r>
        <w:rPr>
          <w:spacing w:val="11"/>
        </w:rPr>
        <w:t>日向国家工商行政管理总局商标局提交了如图：</w:t>
      </w:r>
    </w:p>
    <w:p>
      <w:pPr>
        <w:spacing w:line="240" w:lineRule="auto" w:before="11"/>
        <w:rPr>
          <w:rFonts w:ascii="宋体" w:hAnsi="宋体" w:cs="宋体" w:eastAsia="宋体" w:hint="default"/>
          <w:sz w:val="25"/>
          <w:szCs w:val="25"/>
        </w:rPr>
      </w:pPr>
    </w:p>
    <w:p>
      <w:pPr>
        <w:pStyle w:val="BodyText"/>
        <w:spacing w:line="360" w:lineRule="auto" w:before="0"/>
        <w:ind w:left="297" w:right="452" w:firstLine="2106"/>
        <w:jc w:val="both"/>
      </w:pPr>
      <w:r>
        <w:rPr>
          <w:spacing w:val="-1"/>
        </w:rPr>
        <w:t>的商标注册申请，根据《中华人民共和国商标法》和《商标法</w:t>
      </w:r>
      <w:r>
        <w:rPr>
          <w:w w:val="100"/>
        </w:rPr>
        <w:t> </w:t>
      </w:r>
      <w:r>
        <w:rPr/>
        <w:t>实施条例》的规定，商标注册需经过申请、受理、初步审定、公告、核准注册五个</w:t>
      </w:r>
      <w:r>
        <w:rPr>
          <w:spacing w:val="-87"/>
        </w:rPr>
        <w:t> </w:t>
      </w:r>
      <w:r>
        <w:rPr>
          <w:spacing w:val="-87"/>
        </w:rPr>
      </w:r>
      <w:r>
        <w:rPr/>
        <w:t>程序。</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43"/>
        </w:rPr>
        <w:t> </w:t>
      </w:r>
      <w:r>
        <w:rPr>
          <w:rFonts w:ascii="Times New Roman" w:hAnsi="Times New Roman" w:cs="Times New Roman" w:eastAsia="Times New Roman" w:hint="default"/>
        </w:rPr>
        <w:t>26</w:t>
      </w:r>
      <w:r>
        <w:rPr>
          <w:rFonts w:ascii="Times New Roman" w:hAnsi="Times New Roman" w:cs="Times New Roman" w:eastAsia="Times New Roman" w:hint="default"/>
          <w:spacing w:val="14"/>
        </w:rPr>
        <w:t> </w:t>
      </w:r>
      <w:r>
        <w:rPr/>
        <w:t>日，公司收到国家工商行政管理总局商标局的通知，初步审</w:t>
      </w:r>
    </w:p>
    <w:p>
      <w:pPr>
        <w:pStyle w:val="BodyText"/>
        <w:spacing w:line="352" w:lineRule="auto" w:before="22"/>
        <w:ind w:left="297" w:right="382"/>
        <w:jc w:val="both"/>
      </w:pPr>
      <w:r>
        <w:rPr/>
        <w:t>定在商品和服务第 </w:t>
      </w:r>
      <w:r>
        <w:rPr>
          <w:rFonts w:ascii="Times New Roman" w:hAnsi="Times New Roman" w:cs="Times New Roman" w:eastAsia="Times New Roman" w:hint="default"/>
        </w:rPr>
        <w:t>42</w:t>
      </w:r>
      <w:r>
        <w:rPr>
          <w:rFonts w:ascii="Times New Roman" w:hAnsi="Times New Roman" w:cs="Times New Roman" w:eastAsia="Times New Roman" w:hint="default"/>
          <w:spacing w:val="-20"/>
        </w:rPr>
        <w:t> </w:t>
      </w:r>
      <w:r>
        <w:rPr/>
        <w:t>类</w:t>
      </w:r>
      <w:r>
        <w:rPr>
          <w:rFonts w:ascii="Times New Roman" w:hAnsi="Times New Roman" w:cs="Times New Roman" w:eastAsia="Times New Roman" w:hint="default"/>
        </w:rPr>
        <w:t>“</w:t>
      </w:r>
      <w:r>
        <w:rPr/>
        <w:t>计算机编程、计算机软件设计、计算机硬件咨询、计算机</w:t>
      </w:r>
      <w:r>
        <w:rPr>
          <w:w w:val="100"/>
        </w:rPr>
        <w:t> </w:t>
      </w:r>
      <w:r>
        <w:rPr>
          <w:spacing w:val="-1"/>
        </w:rPr>
        <w:t>软件维护、计算机系统分析、计算机系统设计</w:t>
      </w:r>
      <w:r>
        <w:rPr>
          <w:rFonts w:ascii="Times New Roman" w:hAnsi="Times New Roman" w:cs="Times New Roman" w:eastAsia="Times New Roman" w:hint="default"/>
          <w:spacing w:val="-1"/>
        </w:rPr>
        <w:t>”</w:t>
      </w:r>
      <w:r>
        <w:rPr>
          <w:spacing w:val="-1"/>
        </w:rPr>
        <w:t>上使用本公司上述申请注册的商标，</w:t>
      </w:r>
      <w:r>
        <w:rPr>
          <w:spacing w:val="-90"/>
        </w:rPr>
        <w:t> </w:t>
      </w:r>
      <w:r>
        <w:rPr>
          <w:spacing w:val="-90"/>
        </w:rPr>
      </w:r>
      <w:r>
        <w:rPr/>
        <w:t>并予公告。目前，本公司上述商标注册申请正在核准注册程序的办理过程中。</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pStyle w:val="BodyText"/>
        <w:spacing w:line="372" w:lineRule="auto" w:before="0"/>
        <w:ind w:left="757" w:right="0" w:hanging="460"/>
        <w:jc w:val="left"/>
      </w:pPr>
      <w:r>
        <w:rPr/>
        <w:t>（五）</w:t>
      </w:r>
      <w:r>
        <w:rPr>
          <w:spacing w:val="-87"/>
        </w:rPr>
        <w:t> </w:t>
      </w:r>
      <w:r>
        <w:rPr/>
        <w:t>公司核心竞争能力分析</w:t>
      </w:r>
      <w:r>
        <w:rPr>
          <w:w w:val="100"/>
        </w:rPr>
        <w:t> </w:t>
      </w:r>
      <w:r>
        <w:rPr/>
        <w:t>报告期内，公司的核心竞争能力因上市而获得进一步加强，特别是公司品牌形</w:t>
      </w:r>
    </w:p>
    <w:p>
      <w:pPr>
        <w:pStyle w:val="BodyText"/>
        <w:spacing w:line="372" w:lineRule="auto" w:before="40"/>
        <w:ind w:left="297" w:right="453"/>
        <w:jc w:val="both"/>
      </w:pPr>
      <w:r>
        <w:rPr/>
        <w:t>象得到大幅提升。目前公司核心人员保持稳定，在技术、市场、人才、品牌等方面</w:t>
      </w:r>
      <w:r>
        <w:rPr>
          <w:spacing w:val="-87"/>
        </w:rPr>
        <w:t> </w:t>
      </w:r>
      <w:r>
        <w:rPr>
          <w:spacing w:val="-87"/>
        </w:rPr>
      </w:r>
      <w:r>
        <w:rPr/>
        <w:t>在行业内拥有较强的市场竞争优势。</w:t>
      </w:r>
    </w:p>
    <w:p>
      <w:pPr>
        <w:pStyle w:val="BodyText"/>
        <w:spacing w:line="352" w:lineRule="auto" w:before="40"/>
        <w:ind w:left="757" w:right="0" w:hanging="40"/>
        <w:jc w:val="left"/>
      </w:pPr>
      <w:r>
        <w:rPr>
          <w:rFonts w:ascii="Times New Roman" w:hAnsi="Times New Roman" w:cs="Times New Roman" w:eastAsia="Times New Roman" w:hint="default"/>
        </w:rPr>
        <w:t>1</w:t>
      </w:r>
      <w:r>
        <w:rPr/>
        <w:t>．核心技术优势</w:t>
      </w:r>
      <w:r>
        <w:rPr>
          <w:spacing w:val="-102"/>
        </w:rPr>
        <w:t> </w:t>
      </w:r>
      <w:r>
        <w:rPr>
          <w:spacing w:val="-102"/>
        </w:rPr>
      </w:r>
      <w:r>
        <w:rPr/>
        <w:t>经过公司在行业内十余年的专业化积累，公司的一批产品技术在行业内具有领</w:t>
      </w:r>
    </w:p>
    <w:p>
      <w:pPr>
        <w:pStyle w:val="BodyText"/>
        <w:spacing w:line="364" w:lineRule="auto" w:before="59"/>
        <w:ind w:left="297" w:right="453"/>
        <w:jc w:val="both"/>
      </w:pPr>
      <w:r>
        <w:rPr/>
        <w:t>先地位。电脑验印技术是公司的传统优势技术，这一技术优势目前仍然得到了保持</w:t>
      </w:r>
      <w:r>
        <w:rPr>
          <w:spacing w:val="-87"/>
        </w:rPr>
        <w:t> </w:t>
      </w:r>
      <w:r>
        <w:rPr>
          <w:spacing w:val="-87"/>
        </w:rPr>
      </w:r>
      <w:r>
        <w:rPr>
          <w:spacing w:val="-2"/>
        </w:rPr>
        <w:t>和继续加强。同时，公司在其他新技术领域也发展较快，如影像处理技术、</w:t>
      </w:r>
      <w:r>
        <w:rPr>
          <w:rFonts w:ascii="Times New Roman" w:hAnsi="Times New Roman" w:cs="Times New Roman" w:eastAsia="Times New Roman" w:hint="default"/>
          <w:spacing w:val="-2"/>
        </w:rPr>
        <w:t>OCR</w:t>
      </w:r>
      <w:r>
        <w:rPr>
          <w:rFonts w:ascii="Times New Roman" w:hAnsi="Times New Roman" w:cs="Times New Roman" w:eastAsia="Times New Roman" w:hint="default"/>
          <w:spacing w:val="17"/>
        </w:rPr>
        <w:t> </w:t>
      </w:r>
      <w:r>
        <w:rPr/>
        <w:t>技</w:t>
      </w:r>
      <w:r>
        <w:rPr>
          <w:spacing w:val="-110"/>
        </w:rPr>
        <w:t> </w:t>
      </w:r>
      <w:r>
        <w:rPr/>
        <w:t>术、</w:t>
      </w:r>
      <w:r>
        <w:rPr>
          <w:rFonts w:ascii="Times New Roman" w:hAnsi="Times New Roman" w:cs="Times New Roman" w:eastAsia="Times New Roman" w:hint="default"/>
        </w:rPr>
        <w:t>RCP</w:t>
      </w:r>
      <w:r>
        <w:rPr>
          <w:rFonts w:ascii="Times New Roman" w:hAnsi="Times New Roman" w:cs="Times New Roman" w:eastAsia="Times New Roman" w:hint="default"/>
          <w:spacing w:val="-10"/>
        </w:rPr>
        <w:t> </w:t>
      </w:r>
      <w:r>
        <w:rPr/>
        <w:t>技术、工作流引擎技术、内容管理技术、集成桌面技术等，在行业内具有</w:t>
      </w:r>
      <w:r>
        <w:rPr>
          <w:w w:val="100"/>
        </w:rPr>
        <w:t> </w:t>
      </w:r>
      <w:r>
        <w:rPr/>
        <w:t>相对领先的优势。行业专有硬件的技术开发能力也在形成。同时，公司还是金融行</w:t>
      </w:r>
      <w:r>
        <w:rPr>
          <w:spacing w:val="-87"/>
        </w:rPr>
        <w:t> </w:t>
      </w:r>
      <w:r>
        <w:rPr>
          <w:spacing w:val="-87"/>
        </w:rPr>
      </w:r>
      <w:r>
        <w:rPr/>
        <w:t>业关于票据影像技术标准的参与制定单位。这些核心技术的拥有，使得公司能够一</w:t>
      </w:r>
      <w:r>
        <w:rPr>
          <w:spacing w:val="-87"/>
        </w:rPr>
        <w:t> </w:t>
      </w:r>
      <w:r>
        <w:rPr>
          <w:spacing w:val="-87"/>
        </w:rPr>
      </w:r>
      <w:r>
        <w:rPr/>
        <w:t>直在行业中引领产品开发和应用的方向，保持行业先行者和领导者的地位。</w:t>
      </w:r>
    </w:p>
    <w:p>
      <w:pPr>
        <w:pStyle w:val="BodyText"/>
        <w:spacing w:line="352" w:lineRule="auto" w:before="47"/>
        <w:ind w:left="757" w:right="0" w:hanging="40"/>
        <w:jc w:val="left"/>
      </w:pPr>
      <w:r>
        <w:rPr>
          <w:rFonts w:ascii="Times New Roman" w:hAnsi="Times New Roman" w:cs="Times New Roman" w:eastAsia="Times New Roman" w:hint="default"/>
        </w:rPr>
        <w:t>2</w:t>
      </w:r>
      <w:r>
        <w:rPr/>
        <w:t>．客户资源优势</w:t>
      </w:r>
      <w:r>
        <w:rPr>
          <w:spacing w:val="-102"/>
        </w:rPr>
        <w:t> </w:t>
      </w:r>
      <w:r>
        <w:rPr>
          <w:spacing w:val="-102"/>
        </w:rPr>
      </w:r>
      <w:r>
        <w:rPr/>
        <w:t>公司产品和服务在金融业有广大、稳定的客户基础，在行业内有比较明显的客</w:t>
      </w:r>
    </w:p>
    <w:p>
      <w:pPr>
        <w:pStyle w:val="BodyText"/>
        <w:spacing w:line="240" w:lineRule="auto" w:before="59"/>
        <w:ind w:left="297" w:right="0"/>
        <w:jc w:val="both"/>
      </w:pPr>
      <w:r>
        <w:rPr/>
        <w:t>户资源优势。目前，公司客户包括中国工商银行、中国农业银行、中国建设银行、</w:t>
      </w:r>
    </w:p>
    <w:p>
      <w:pPr>
        <w:spacing w:after="0" w:line="240" w:lineRule="auto"/>
        <w:jc w:val="both"/>
        <w:sectPr>
          <w:pgSz w:w="11910" w:h="16840"/>
          <w:pgMar w:header="877" w:footer="982" w:top="1100" w:bottom="1180" w:left="1500" w:right="1340"/>
        </w:sectPr>
      </w:pPr>
    </w:p>
    <w:p>
      <w:pPr>
        <w:spacing w:line="240" w:lineRule="auto" w:before="12"/>
        <w:rPr>
          <w:rFonts w:ascii="宋体" w:hAnsi="宋体" w:cs="宋体" w:eastAsia="宋体" w:hint="default"/>
          <w:sz w:val="25"/>
          <w:szCs w:val="25"/>
        </w:rPr>
      </w:pPr>
    </w:p>
    <w:p>
      <w:pPr>
        <w:pStyle w:val="BodyText"/>
        <w:spacing w:line="367" w:lineRule="auto"/>
        <w:ind w:left="217" w:right="232"/>
        <w:jc w:val="both"/>
      </w:pPr>
      <w:r>
        <w:rPr/>
        <w:t>深圳发展银行、上海浦东发展银行、广东发展银行、中国进出口银行、中国农业发</w:t>
      </w:r>
      <w:r>
        <w:rPr>
          <w:spacing w:val="-87"/>
        </w:rPr>
        <w:t> </w:t>
      </w:r>
      <w:r>
        <w:rPr>
          <w:spacing w:val="-87"/>
        </w:rPr>
      </w:r>
      <w:r>
        <w:rPr/>
        <w:t>展银行、各地城市商业银行、农村商业银行、农村信用社及部分外资银行，涵盖了</w:t>
      </w:r>
      <w:r>
        <w:rPr>
          <w:spacing w:val="-87"/>
        </w:rPr>
        <w:t> </w:t>
      </w:r>
      <w:r>
        <w:rPr>
          <w:spacing w:val="-87"/>
        </w:rPr>
      </w:r>
      <w:r>
        <w:rPr>
          <w:spacing w:val="-3"/>
        </w:rPr>
        <w:t>数万个银行网点，遍布国内</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4"/>
        </w:rPr>
        <w:t>个省、直辖市、自治区。报告期内，公司在银行系统</w:t>
      </w:r>
      <w:r>
        <w:rPr>
          <w:spacing w:val="-110"/>
        </w:rPr>
        <w:t> </w:t>
      </w:r>
      <w:r>
        <w:rPr>
          <w:spacing w:val="-110"/>
        </w:rPr>
      </w:r>
      <w:r>
        <w:rPr/>
        <w:t>继续开拓了一批新的优质客户，并在保险行业中取得用户突破。这些宝贵的客户资</w:t>
      </w:r>
      <w:r>
        <w:rPr>
          <w:spacing w:val="-87"/>
        </w:rPr>
        <w:t> </w:t>
      </w:r>
      <w:r>
        <w:rPr>
          <w:spacing w:val="-87"/>
        </w:rPr>
      </w:r>
      <w:r>
        <w:rPr/>
        <w:t>源是公司今后业务持续发展的坚实基础。</w:t>
      </w:r>
    </w:p>
    <w:p>
      <w:pPr>
        <w:pStyle w:val="BodyText"/>
        <w:spacing w:line="352" w:lineRule="auto" w:before="45"/>
        <w:ind w:left="677" w:right="0" w:hanging="40"/>
        <w:jc w:val="left"/>
      </w:pPr>
      <w:r>
        <w:rPr>
          <w:rFonts w:ascii="Times New Roman" w:hAnsi="Times New Roman" w:cs="Times New Roman" w:eastAsia="Times New Roman" w:hint="default"/>
          <w:spacing w:val="2"/>
        </w:rPr>
        <w:t>3</w:t>
      </w:r>
      <w:r>
        <w:rPr>
          <w:spacing w:val="2"/>
        </w:rPr>
        <w:t>．人才优势</w:t>
      </w:r>
      <w:r>
        <w:rPr>
          <w:spacing w:val="-111"/>
        </w:rPr>
        <w:t> </w:t>
      </w:r>
      <w:r>
        <w:rPr>
          <w:spacing w:val="-111"/>
        </w:rPr>
      </w:r>
      <w:r>
        <w:rPr/>
        <w:t>经过多年的发展，公司已拥有起一支适应金融信息化行业要求的技术精湛、经</w:t>
      </w:r>
    </w:p>
    <w:p>
      <w:pPr>
        <w:pStyle w:val="BodyText"/>
        <w:spacing w:line="367" w:lineRule="auto" w:before="59"/>
        <w:ind w:left="217" w:right="232"/>
        <w:jc w:val="both"/>
      </w:pPr>
      <w:r>
        <w:rPr/>
        <w:t>验丰富的复合型专业人才队伍。公司主要研发、技术骨干大多具有多年银行软件系</w:t>
      </w:r>
      <w:r>
        <w:rPr>
          <w:spacing w:val="-87"/>
        </w:rPr>
        <w:t> </w:t>
      </w:r>
      <w:r>
        <w:rPr>
          <w:spacing w:val="-87"/>
        </w:rPr>
      </w:r>
      <w:r>
        <w:rPr/>
        <w:t>统开发经验，不仅精通模式识别、图像处理、计算机软件、大型数据库等领域的专</w:t>
      </w:r>
      <w:r>
        <w:rPr>
          <w:spacing w:val="-87"/>
        </w:rPr>
        <w:t> </w:t>
      </w:r>
      <w:r>
        <w:rPr>
          <w:spacing w:val="-87"/>
        </w:rPr>
      </w:r>
      <w:r>
        <w:rPr/>
        <w:t>业技术，而且对我国银行业务流程、业务特点非常熟悉，对银行业务流程再造的发</w:t>
      </w:r>
      <w:r>
        <w:rPr>
          <w:spacing w:val="-87"/>
        </w:rPr>
        <w:t> </w:t>
      </w:r>
      <w:r>
        <w:rPr>
          <w:spacing w:val="-87"/>
        </w:rPr>
      </w:r>
      <w:r>
        <w:rPr>
          <w:spacing w:val="-3"/>
        </w:rPr>
        <w:t>展趋势有前沿的认识。此外，公司营销队伍和管理团队也具有丰富的金融</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市场和</w:t>
      </w:r>
      <w:r>
        <w:rPr>
          <w:spacing w:val="-113"/>
        </w:rPr>
        <w:t> </w:t>
      </w:r>
      <w:r>
        <w:rPr>
          <w:spacing w:val="-113"/>
        </w:rPr>
      </w:r>
      <w:r>
        <w:rPr/>
        <w:t>企业管理经验。目前，公司核心人员稳定，在行业内具备富有竞争力的人才优势。</w:t>
      </w:r>
    </w:p>
    <w:p>
      <w:pPr>
        <w:pStyle w:val="BodyText"/>
        <w:spacing w:line="352" w:lineRule="auto" w:before="45"/>
        <w:ind w:left="677" w:right="0" w:hanging="40"/>
        <w:jc w:val="left"/>
      </w:pPr>
      <w:r>
        <w:rPr>
          <w:rFonts w:ascii="Times New Roman" w:hAnsi="Times New Roman" w:cs="Times New Roman" w:eastAsia="Times New Roman" w:hint="default"/>
          <w:spacing w:val="2"/>
        </w:rPr>
        <w:t>4</w:t>
      </w:r>
      <w:r>
        <w:rPr>
          <w:spacing w:val="2"/>
        </w:rPr>
        <w:t>．品牌优势</w:t>
      </w:r>
      <w:r>
        <w:rPr>
          <w:spacing w:val="-111"/>
        </w:rPr>
        <w:t> </w:t>
      </w:r>
      <w:r>
        <w:rPr>
          <w:spacing w:val="-111"/>
        </w:rPr>
      </w:r>
      <w:r>
        <w:rPr/>
        <w:t>公司多年以来在行业内已经具备了专业性强、服务口碑好等良好的品牌形象。</w:t>
      </w:r>
    </w:p>
    <w:p>
      <w:pPr>
        <w:pStyle w:val="BodyText"/>
        <w:spacing w:line="372" w:lineRule="auto" w:before="59"/>
        <w:ind w:left="217" w:right="233"/>
        <w:jc w:val="both"/>
      </w:pPr>
      <w:r>
        <w:rPr/>
        <w:t>公司成功上市以后，在行业内的品牌形象进一步得到大幅提升，在行业客户中有较</w:t>
      </w:r>
      <w:r>
        <w:rPr>
          <w:spacing w:val="-87"/>
        </w:rPr>
        <w:t> </w:t>
      </w:r>
      <w:r>
        <w:rPr>
          <w:spacing w:val="-87"/>
        </w:rPr>
      </w:r>
      <w:r>
        <w:rPr/>
        <w:t>高的市场认知度。随着公司募投项目客户服务中心的建设，公司将通过继续加强规</w:t>
      </w:r>
      <w:r>
        <w:rPr>
          <w:spacing w:val="-87"/>
        </w:rPr>
        <w:t> </w:t>
      </w:r>
      <w:r>
        <w:rPr>
          <w:spacing w:val="-87"/>
        </w:rPr>
      </w:r>
      <w:r>
        <w:rPr/>
        <w:t>范和优质的售后服务，不断维护和巩固这一优势，并以此促进公司今后业务的持续</w:t>
      </w:r>
      <w:r>
        <w:rPr>
          <w:spacing w:val="-87"/>
        </w:rPr>
        <w:t> </w:t>
      </w:r>
      <w:r>
        <w:rPr>
          <w:spacing w:val="-87"/>
        </w:rPr>
      </w:r>
      <w:r>
        <w:rPr/>
        <w:t>健康发展。</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before="0"/>
        <w:ind w:left="217" w:right="0"/>
        <w:jc w:val="both"/>
      </w:pPr>
      <w:r>
        <w:rPr/>
        <w:t>（六）</w:t>
      </w:r>
      <w:r>
        <w:rPr>
          <w:spacing w:val="-90"/>
        </w:rPr>
        <w:t> </w:t>
      </w:r>
      <w:r>
        <w:rPr/>
        <w:t>研发支出及研发项目情况</w:t>
      </w:r>
    </w:p>
    <w:p>
      <w:pPr>
        <w:spacing w:line="240" w:lineRule="auto" w:before="7"/>
        <w:rPr>
          <w:rFonts w:ascii="宋体" w:hAnsi="宋体" w:cs="宋体" w:eastAsia="宋体" w:hint="default"/>
          <w:sz w:val="10"/>
          <w:szCs w:val="10"/>
        </w:rPr>
      </w:pPr>
    </w:p>
    <w:p>
      <w:pPr>
        <w:pStyle w:val="BodyText"/>
        <w:spacing w:line="240" w:lineRule="auto"/>
        <w:ind w:left="677" w:right="0"/>
        <w:jc w:val="left"/>
      </w:pPr>
      <w:r>
        <w:rPr/>
        <w:t>报告期内公司研发费用支出情况如下：</w:t>
      </w:r>
    </w:p>
    <w:p>
      <w:pPr>
        <w:pStyle w:val="BodyText"/>
        <w:spacing w:line="240" w:lineRule="auto" w:before="89"/>
        <w:ind w:left="0" w:right="232"/>
        <w:jc w:val="right"/>
      </w:pPr>
      <w:r>
        <w:rPr/>
        <w:t>单位：元</w:t>
      </w:r>
    </w:p>
    <w:p>
      <w:pPr>
        <w:spacing w:line="240" w:lineRule="auto" w:before="12"/>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988"/>
        <w:gridCol w:w="2194"/>
        <w:gridCol w:w="1620"/>
        <w:gridCol w:w="1620"/>
      </w:tblGrid>
      <w:tr>
        <w:trPr>
          <w:trHeight w:val="478" w:hRule="exact"/>
        </w:trPr>
        <w:tc>
          <w:tcPr>
            <w:tcW w:w="29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38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18,984,985.99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16,916,269.45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12.23%</w:t>
            </w:r>
          </w:p>
        </w:tc>
      </w:tr>
      <w:tr>
        <w:trPr>
          <w:trHeight w:val="384"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其中：资本化开发支出</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2,061,331.41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92,142,327.74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75,147,752.56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22.61%</w:t>
            </w:r>
          </w:p>
        </w:tc>
      </w:tr>
      <w:tr>
        <w:trPr>
          <w:trHeight w:val="384"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研发费用占营业总收入比例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20.60%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-1.91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3"/>
          <w:szCs w:val="13"/>
        </w:rPr>
      </w:pPr>
    </w:p>
    <w:p>
      <w:pPr>
        <w:pStyle w:val="BodyText"/>
        <w:spacing w:line="372" w:lineRule="auto"/>
        <w:ind w:left="217" w:right="0" w:firstLine="459"/>
        <w:jc w:val="left"/>
      </w:pPr>
      <w:r>
        <w:rPr>
          <w:spacing w:val="-3"/>
        </w:rPr>
        <w:t>作为高新技术产业领域的企业，公司十分重视研发投入，一方面努力做好提高、</w:t>
      </w:r>
      <w:r>
        <w:rPr>
          <w:w w:val="100"/>
        </w:rPr>
        <w:t> </w:t>
      </w:r>
      <w:r>
        <w:rPr/>
        <w:t>完善现有产品的各项技术和功能，另一方面大力开发新产品。目前公司除募集资金</w:t>
      </w:r>
      <w:r>
        <w:rPr>
          <w:spacing w:val="-87"/>
        </w:rPr>
        <w:t> </w:t>
      </w:r>
      <w:r>
        <w:rPr>
          <w:spacing w:val="-87"/>
        </w:rPr>
      </w:r>
      <w:r>
        <w:rPr/>
        <w:t>计划投资项目外，正在进行的研发项目主要包括：</w:t>
      </w:r>
    </w:p>
    <w:p>
      <w:pPr>
        <w:spacing w:after="0" w:line="372" w:lineRule="auto"/>
        <w:jc w:val="left"/>
        <w:sectPr>
          <w:pgSz w:w="11910" w:h="16840"/>
          <w:pgMar w:header="877" w:footer="982" w:top="1100" w:bottom="1180" w:left="1580" w:right="1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1970"/>
        <w:gridCol w:w="4870"/>
        <w:gridCol w:w="1933"/>
      </w:tblGrid>
      <w:tr>
        <w:trPr>
          <w:trHeight w:val="468" w:hRule="exact"/>
        </w:trPr>
        <w:tc>
          <w:tcPr>
            <w:tcW w:w="19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7"/>
              <w:ind w:left="56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8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技术目标</w:t>
            </w:r>
          </w:p>
        </w:tc>
        <w:tc>
          <w:tcPr>
            <w:tcW w:w="19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7"/>
              <w:ind w:left="541" w:right="0"/>
              <w:jc w:val="left"/>
              <w:rPr>
                <w:rFonts w:ascii="宋体" w:hAnsi="宋体" w:cs="宋体" w:eastAsia="宋体" w:hint="default"/>
                <w:sz w:val="21"/>
                <w:szCs w:val="21"/>
              </w:rPr>
            </w:pPr>
            <w:r>
              <w:rPr>
                <w:rFonts w:ascii="宋体" w:hAnsi="宋体" w:cs="宋体" w:eastAsia="宋体" w:hint="default"/>
                <w:sz w:val="21"/>
                <w:szCs w:val="21"/>
              </w:rPr>
              <w:t>业务目标</w:t>
            </w:r>
          </w:p>
        </w:tc>
      </w:tr>
      <w:tr>
        <w:trPr>
          <w:trHeight w:val="453" w:hRule="exact"/>
        </w:trPr>
        <w:tc>
          <w:tcPr>
            <w:tcW w:w="1970" w:type="dxa"/>
            <w:tcBorders>
              <w:top w:val="single" w:sz="4" w:space="0" w:color="000000"/>
              <w:left w:val="single" w:sz="4" w:space="0" w:color="000000"/>
              <w:bottom w:val="nil" w:sz="6" w:space="0" w:color="auto"/>
              <w:right w:val="single" w:sz="4" w:space="0" w:color="000000"/>
            </w:tcBorders>
          </w:tcPr>
          <w:p>
            <w:pPr/>
          </w:p>
        </w:tc>
        <w:tc>
          <w:tcPr>
            <w:tcW w:w="4870" w:type="dxa"/>
            <w:tcBorders>
              <w:top w:val="single" w:sz="4" w:space="0" w:color="000000"/>
              <w:left w:val="single" w:sz="4" w:space="0" w:color="000000"/>
              <w:bottom w:val="nil" w:sz="6" w:space="0" w:color="auto"/>
              <w:right w:val="single" w:sz="4" w:space="0" w:color="000000"/>
            </w:tcBorders>
          </w:tcPr>
          <w:p>
            <w:pPr>
              <w:pStyle w:val="TableParagraph"/>
              <w:tabs>
                <w:tab w:pos="463" w:val="left" w:leader="none"/>
              </w:tabs>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影像应用软件开发的平台级产品；</w:t>
            </w:r>
          </w:p>
        </w:tc>
        <w:tc>
          <w:tcPr>
            <w:tcW w:w="1933" w:type="dxa"/>
            <w:tcBorders>
              <w:top w:val="single" w:sz="4" w:space="0" w:color="000000"/>
              <w:left w:val="single" w:sz="4" w:space="0" w:color="000000"/>
              <w:bottom w:val="nil" w:sz="6" w:space="0" w:color="auto"/>
              <w:right w:val="single" w:sz="4" w:space="0" w:color="000000"/>
            </w:tcBorders>
          </w:tcPr>
          <w:p>
            <w:pPr/>
          </w:p>
        </w:tc>
      </w:tr>
      <w:tr>
        <w:trPr>
          <w:trHeight w:val="1146" w:hRule="exact"/>
        </w:trPr>
        <w:tc>
          <w:tcPr>
            <w:tcW w:w="197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72" w:lineRule="exact"/>
              <w:ind w:left="103" w:right="90"/>
              <w:jc w:val="left"/>
              <w:rPr>
                <w:rFonts w:ascii="宋体" w:hAnsi="宋体" w:cs="宋体" w:eastAsia="宋体" w:hint="default"/>
                <w:sz w:val="21"/>
                <w:szCs w:val="21"/>
              </w:rPr>
            </w:pPr>
            <w:r>
              <w:rPr>
                <w:rFonts w:ascii="宋体" w:hAnsi="宋体" w:cs="宋体" w:eastAsia="宋体" w:hint="default"/>
                <w:spacing w:val="9"/>
                <w:sz w:val="21"/>
                <w:szCs w:val="21"/>
              </w:rPr>
              <w:t>商业银行综合影像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作业平台</w:t>
            </w:r>
          </w:p>
        </w:tc>
        <w:tc>
          <w:tcPr>
            <w:tcW w:w="4870" w:type="dxa"/>
            <w:tcBorders>
              <w:top w:val="nil" w:sz="6" w:space="0" w:color="auto"/>
              <w:left w:val="single" w:sz="4" w:space="0" w:color="000000"/>
              <w:bottom w:val="nil" w:sz="6" w:space="0" w:color="auto"/>
              <w:right w:val="single" w:sz="4" w:space="0" w:color="000000"/>
            </w:tcBorders>
          </w:tcPr>
          <w:p>
            <w:pPr>
              <w:pStyle w:val="TableParagraph"/>
              <w:tabs>
                <w:tab w:pos="463" w:val="left" w:leader="none"/>
              </w:tabs>
              <w:spacing w:line="272" w:lineRule="exact" w:before="4"/>
              <w:ind w:left="463" w:right="95"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tab/>
            </w:r>
            <w:r>
              <w:rPr>
                <w:rFonts w:ascii="宋体" w:hAnsi="宋体" w:cs="宋体" w:eastAsia="宋体" w:hint="default"/>
                <w:spacing w:val="4"/>
                <w:sz w:val="21"/>
                <w:szCs w:val="21"/>
              </w:rPr>
              <w:t>应用工作流引擎提供灵活的业务规则设计和实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施；</w:t>
            </w:r>
          </w:p>
          <w:p>
            <w:pPr>
              <w:pStyle w:val="TableParagraph"/>
              <w:tabs>
                <w:tab w:pos="463" w:val="left" w:leader="none"/>
              </w:tabs>
              <w:spacing w:line="272" w:lineRule="exact" w:before="31"/>
              <w:ind w:left="463" w:right="95"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tab/>
            </w:r>
            <w:r>
              <w:rPr>
                <w:rFonts w:ascii="宋体" w:hAnsi="宋体" w:cs="宋体" w:eastAsia="宋体" w:hint="default"/>
                <w:spacing w:val="4"/>
                <w:sz w:val="21"/>
                <w:szCs w:val="21"/>
              </w:rPr>
              <w:t>应用内容管理技术为非结构化数据提供归档、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查询和备份；</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72" w:lineRule="exact" w:before="155"/>
              <w:ind w:left="103" w:right="61"/>
              <w:jc w:val="both"/>
              <w:rPr>
                <w:rFonts w:ascii="宋体" w:hAnsi="宋体" w:cs="宋体" w:eastAsia="宋体" w:hint="default"/>
                <w:sz w:val="21"/>
                <w:szCs w:val="21"/>
              </w:rPr>
            </w:pPr>
            <w:r>
              <w:rPr>
                <w:rFonts w:ascii="宋体" w:hAnsi="宋体" w:cs="宋体" w:eastAsia="宋体" w:hint="default"/>
                <w:spacing w:val="4"/>
                <w:sz w:val="21"/>
                <w:szCs w:val="21"/>
              </w:rPr>
              <w:t>使公司影像应用软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0"/>
                <w:sz w:val="21"/>
                <w:szCs w:val="21"/>
              </w:rPr>
              <w:t>件的开发</w:t>
            </w:r>
            <w:r>
              <w:rPr>
                <w:rFonts w:ascii="宋体" w:hAnsi="宋体" w:cs="宋体" w:eastAsia="宋体" w:hint="default"/>
                <w:spacing w:val="-63"/>
                <w:sz w:val="21"/>
                <w:szCs w:val="21"/>
              </w:rPr>
              <w:t> </w:t>
            </w:r>
            <w:r>
              <w:rPr>
                <w:rFonts w:ascii="宋体" w:hAnsi="宋体" w:cs="宋体" w:eastAsia="宋体" w:hint="default"/>
                <w:spacing w:val="26"/>
                <w:sz w:val="21"/>
                <w:szCs w:val="21"/>
              </w:rPr>
              <w:t>更加快</w:t>
            </w:r>
            <w:r>
              <w:rPr>
                <w:rFonts w:ascii="宋体" w:hAnsi="宋体" w:cs="宋体" w:eastAsia="宋体" w:hint="default"/>
                <w:spacing w:val="-65"/>
                <w:sz w:val="21"/>
                <w:szCs w:val="21"/>
              </w:rPr>
              <w:t> </w:t>
            </w:r>
            <w:r>
              <w:rPr>
                <w:rFonts w:ascii="宋体" w:hAnsi="宋体" w:cs="宋体" w:eastAsia="宋体" w:hint="default"/>
                <w:sz w:val="21"/>
                <w:szCs w:val="21"/>
              </w:rPr>
              <w:t>捷、高效</w:t>
            </w:r>
          </w:p>
        </w:tc>
      </w:tr>
      <w:tr>
        <w:trPr>
          <w:trHeight w:val="451" w:hRule="exact"/>
        </w:trPr>
        <w:tc>
          <w:tcPr>
            <w:tcW w:w="1970" w:type="dxa"/>
            <w:tcBorders>
              <w:top w:val="nil" w:sz="6" w:space="0" w:color="auto"/>
              <w:left w:val="single" w:sz="4" w:space="0" w:color="000000"/>
              <w:bottom w:val="single" w:sz="4" w:space="0" w:color="000000"/>
              <w:right w:val="single" w:sz="4" w:space="0" w:color="000000"/>
            </w:tcBorders>
          </w:tcPr>
          <w:p>
            <w:pPr/>
          </w:p>
        </w:tc>
        <w:tc>
          <w:tcPr>
            <w:tcW w:w="4870" w:type="dxa"/>
            <w:tcBorders>
              <w:top w:val="nil" w:sz="6" w:space="0" w:color="auto"/>
              <w:left w:val="single" w:sz="4" w:space="0" w:color="000000"/>
              <w:bottom w:val="single" w:sz="4" w:space="0" w:color="000000"/>
              <w:right w:val="single" w:sz="4" w:space="0" w:color="000000"/>
            </w:tcBorders>
          </w:tcPr>
          <w:p>
            <w:pPr>
              <w:pStyle w:val="TableParagraph"/>
              <w:tabs>
                <w:tab w:pos="463" w:val="left" w:leader="none"/>
              </w:tabs>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tab/>
            </w:r>
            <w:r>
              <w:rPr>
                <w:rFonts w:ascii="宋体" w:hAnsi="宋体" w:cs="宋体" w:eastAsia="宋体" w:hint="default"/>
                <w:sz w:val="21"/>
                <w:szCs w:val="21"/>
              </w:rPr>
              <w:t>为用户提供优化的业务处理模式和应用体验。</w:t>
            </w:r>
          </w:p>
        </w:tc>
        <w:tc>
          <w:tcPr>
            <w:tcW w:w="1933" w:type="dxa"/>
            <w:tcBorders>
              <w:top w:val="nil" w:sz="6" w:space="0" w:color="auto"/>
              <w:left w:val="single" w:sz="4" w:space="0" w:color="000000"/>
              <w:bottom w:val="single" w:sz="4" w:space="0" w:color="000000"/>
              <w:right w:val="single" w:sz="4" w:space="0" w:color="000000"/>
            </w:tcBorders>
          </w:tcPr>
          <w:p>
            <w:pPr/>
          </w:p>
        </w:tc>
      </w:tr>
      <w:tr>
        <w:trPr>
          <w:trHeight w:val="437" w:hRule="exact"/>
        </w:trPr>
        <w:tc>
          <w:tcPr>
            <w:tcW w:w="1970" w:type="dxa"/>
            <w:tcBorders>
              <w:top w:val="single" w:sz="4" w:space="0" w:color="000000"/>
              <w:left w:val="single" w:sz="4" w:space="0" w:color="000000"/>
              <w:bottom w:val="nil" w:sz="6" w:space="0" w:color="auto"/>
              <w:right w:val="single" w:sz="4" w:space="0" w:color="000000"/>
            </w:tcBorders>
          </w:tcPr>
          <w:p>
            <w:pPr/>
          </w:p>
        </w:tc>
        <w:tc>
          <w:tcPr>
            <w:tcW w:w="4870" w:type="dxa"/>
            <w:tcBorders>
              <w:top w:val="single" w:sz="4" w:space="0" w:color="000000"/>
              <w:left w:val="single" w:sz="4" w:space="0" w:color="000000"/>
              <w:bottom w:val="nil" w:sz="6" w:space="0" w:color="auto"/>
              <w:right w:val="single" w:sz="4" w:space="0" w:color="000000"/>
            </w:tcBorders>
          </w:tcPr>
          <w:p>
            <w:pPr>
              <w:pStyle w:val="TableParagraph"/>
              <w:tabs>
                <w:tab w:pos="463" w:val="left" w:leader="none"/>
              </w:tabs>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pacing w:val="4"/>
                <w:sz w:val="21"/>
                <w:szCs w:val="21"/>
              </w:rPr>
              <w:t>对图片、音频、视频、邮件、文件等海量非结</w:t>
            </w:r>
            <w:r>
              <w:rPr>
                <w:rFonts w:ascii="宋体" w:hAnsi="宋体" w:cs="宋体" w:eastAsia="宋体" w:hint="default"/>
                <w:sz w:val="21"/>
                <w:szCs w:val="21"/>
              </w:rPr>
            </w:r>
          </w:p>
        </w:tc>
        <w:tc>
          <w:tcPr>
            <w:tcW w:w="1933" w:type="dxa"/>
            <w:tcBorders>
              <w:top w:val="single" w:sz="4" w:space="0" w:color="000000"/>
              <w:left w:val="single" w:sz="4" w:space="0" w:color="000000"/>
              <w:bottom w:val="nil" w:sz="6" w:space="0" w:color="auto"/>
              <w:right w:val="single" w:sz="4" w:space="0" w:color="000000"/>
            </w:tcBorders>
          </w:tcPr>
          <w:p>
            <w:pPr/>
          </w:p>
        </w:tc>
      </w:tr>
      <w:tr>
        <w:trPr>
          <w:trHeight w:val="576" w:hRule="exact"/>
        </w:trPr>
        <w:tc>
          <w:tcPr>
            <w:tcW w:w="1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内容存储管理</w:t>
            </w: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460" w:right="0"/>
              <w:jc w:val="left"/>
              <w:rPr>
                <w:rFonts w:ascii="宋体" w:hAnsi="宋体" w:cs="宋体" w:eastAsia="宋体" w:hint="default"/>
                <w:sz w:val="21"/>
                <w:szCs w:val="21"/>
              </w:rPr>
            </w:pPr>
            <w:r>
              <w:rPr>
                <w:rFonts w:ascii="宋体" w:hAnsi="宋体" w:cs="宋体" w:eastAsia="宋体" w:hint="default"/>
                <w:sz w:val="21"/>
                <w:szCs w:val="21"/>
              </w:rPr>
              <w:t>构化电子数据对象提供存储功能；</w:t>
            </w:r>
          </w:p>
          <w:p>
            <w:pPr>
              <w:pStyle w:val="TableParagraph"/>
              <w:tabs>
                <w:tab w:pos="463" w:val="left" w:leader="none"/>
              </w:tabs>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tab/>
            </w:r>
            <w:r>
              <w:rPr>
                <w:rFonts w:ascii="宋体" w:hAnsi="宋体" w:cs="宋体" w:eastAsia="宋体" w:hint="default"/>
                <w:spacing w:val="4"/>
                <w:sz w:val="21"/>
                <w:szCs w:val="21"/>
              </w:rPr>
              <w:t>对所存储的对象提供安全、版本、搜索、生命</w:t>
            </w:r>
            <w:r>
              <w:rPr>
                <w:rFonts w:ascii="宋体" w:hAnsi="宋体" w:cs="宋体" w:eastAsia="宋体" w:hint="default"/>
                <w:sz w:val="21"/>
                <w:szCs w:val="21"/>
              </w:rPr>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72" w:lineRule="exact" w:before="4"/>
              <w:ind w:left="103" w:right="97"/>
              <w:jc w:val="left"/>
              <w:rPr>
                <w:rFonts w:ascii="宋体" w:hAnsi="宋体" w:cs="宋体" w:eastAsia="宋体" w:hint="default"/>
                <w:sz w:val="21"/>
                <w:szCs w:val="21"/>
              </w:rPr>
            </w:pPr>
            <w:r>
              <w:rPr>
                <w:rFonts w:ascii="宋体" w:hAnsi="宋体" w:cs="宋体" w:eastAsia="宋体" w:hint="default"/>
                <w:spacing w:val="4"/>
                <w:sz w:val="21"/>
                <w:szCs w:val="21"/>
              </w:rPr>
              <w:t>提升公司流程再造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软件的市场竞争力</w:t>
            </w:r>
          </w:p>
        </w:tc>
      </w:tr>
      <w:tr>
        <w:trPr>
          <w:trHeight w:val="429" w:hRule="exact"/>
        </w:trPr>
        <w:tc>
          <w:tcPr>
            <w:tcW w:w="1970" w:type="dxa"/>
            <w:tcBorders>
              <w:top w:val="nil" w:sz="6" w:space="0" w:color="auto"/>
              <w:left w:val="single" w:sz="4" w:space="0" w:color="000000"/>
              <w:bottom w:val="single" w:sz="4" w:space="0" w:color="000000"/>
              <w:right w:val="single" w:sz="4" w:space="0" w:color="000000"/>
            </w:tcBorders>
          </w:tcPr>
          <w:p>
            <w:pPr/>
          </w:p>
        </w:tc>
        <w:tc>
          <w:tcPr>
            <w:tcW w:w="487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460" w:right="0"/>
              <w:jc w:val="left"/>
              <w:rPr>
                <w:rFonts w:ascii="宋体" w:hAnsi="宋体" w:cs="宋体" w:eastAsia="宋体" w:hint="default"/>
                <w:sz w:val="21"/>
                <w:szCs w:val="21"/>
              </w:rPr>
            </w:pPr>
            <w:r>
              <w:rPr>
                <w:rFonts w:ascii="宋体" w:hAnsi="宋体" w:cs="宋体" w:eastAsia="宋体" w:hint="default"/>
                <w:sz w:val="21"/>
                <w:szCs w:val="21"/>
              </w:rPr>
              <w:t>周期管理、外部集成等系列功能。</w:t>
            </w:r>
          </w:p>
        </w:tc>
        <w:tc>
          <w:tcPr>
            <w:tcW w:w="1933" w:type="dxa"/>
            <w:tcBorders>
              <w:top w:val="nil" w:sz="6" w:space="0" w:color="auto"/>
              <w:left w:val="single" w:sz="4" w:space="0" w:color="000000"/>
              <w:bottom w:val="single" w:sz="4" w:space="0" w:color="000000"/>
              <w:right w:val="single" w:sz="4" w:space="0" w:color="000000"/>
            </w:tcBorders>
          </w:tcPr>
          <w:p>
            <w:pPr/>
          </w:p>
        </w:tc>
      </w:tr>
      <w:tr>
        <w:trPr>
          <w:trHeight w:val="453" w:hRule="exact"/>
        </w:trPr>
        <w:tc>
          <w:tcPr>
            <w:tcW w:w="1970" w:type="dxa"/>
            <w:tcBorders>
              <w:top w:val="single" w:sz="4" w:space="0" w:color="000000"/>
              <w:left w:val="single" w:sz="4" w:space="0" w:color="000000"/>
              <w:bottom w:val="nil" w:sz="6" w:space="0" w:color="auto"/>
              <w:right w:val="single" w:sz="4" w:space="0" w:color="000000"/>
            </w:tcBorders>
          </w:tcPr>
          <w:p>
            <w:pPr/>
          </w:p>
        </w:tc>
        <w:tc>
          <w:tcPr>
            <w:tcW w:w="4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对现有的工作流引擎进行功能和性能优化；</w:t>
            </w:r>
          </w:p>
        </w:tc>
        <w:tc>
          <w:tcPr>
            <w:tcW w:w="19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left="103" w:right="0"/>
              <w:jc w:val="left"/>
              <w:rPr>
                <w:rFonts w:ascii="宋体" w:hAnsi="宋体" w:cs="宋体" w:eastAsia="宋体" w:hint="default"/>
                <w:sz w:val="21"/>
                <w:szCs w:val="21"/>
              </w:rPr>
            </w:pPr>
            <w:r>
              <w:rPr>
                <w:rFonts w:ascii="宋体" w:hAnsi="宋体" w:cs="宋体" w:eastAsia="宋体" w:hint="default"/>
                <w:spacing w:val="4"/>
                <w:sz w:val="21"/>
                <w:szCs w:val="21"/>
              </w:rPr>
              <w:t>提升公司流程再造</w:t>
            </w:r>
            <w:r>
              <w:rPr>
                <w:rFonts w:ascii="宋体" w:hAnsi="宋体" w:cs="宋体" w:eastAsia="宋体" w:hint="default"/>
                <w:sz w:val="21"/>
                <w:szCs w:val="21"/>
              </w:rPr>
            </w:r>
          </w:p>
        </w:tc>
      </w:tr>
      <w:tr>
        <w:trPr>
          <w:trHeight w:val="288" w:hRule="exact"/>
        </w:trPr>
        <w:tc>
          <w:tcPr>
            <w:tcW w:w="197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影像工作流引擎优</w:t>
            </w:r>
            <w:r>
              <w:rPr>
                <w:rFonts w:ascii="宋体" w:hAnsi="宋体" w:cs="宋体" w:eastAsia="宋体" w:hint="default"/>
                <w:sz w:val="21"/>
                <w:szCs w:val="21"/>
              </w:rPr>
            </w: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pacing w:val="4"/>
                <w:sz w:val="21"/>
                <w:szCs w:val="21"/>
              </w:rPr>
              <w:t>以分布式缓存和传输服务技术为基础，为工作</w:t>
            </w:r>
            <w:r>
              <w:rPr>
                <w:rFonts w:ascii="宋体" w:hAnsi="宋体" w:cs="宋体" w:eastAsia="宋体" w:hint="default"/>
                <w:sz w:val="21"/>
                <w:szCs w:val="21"/>
              </w:rPr>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pacing w:val="30"/>
                <w:sz w:val="21"/>
                <w:szCs w:val="21"/>
              </w:rPr>
              <w:t>软件的市</w:t>
            </w:r>
            <w:r>
              <w:rPr>
                <w:rFonts w:ascii="宋体" w:hAnsi="宋体" w:cs="宋体" w:eastAsia="宋体" w:hint="default"/>
                <w:spacing w:val="-61"/>
                <w:sz w:val="21"/>
                <w:szCs w:val="21"/>
              </w:rPr>
              <w:t> </w:t>
            </w:r>
            <w:r>
              <w:rPr>
                <w:rFonts w:ascii="宋体" w:hAnsi="宋体" w:cs="宋体" w:eastAsia="宋体" w:hint="default"/>
                <w:spacing w:val="26"/>
                <w:sz w:val="21"/>
                <w:szCs w:val="21"/>
              </w:rPr>
              <w:t>场竞争</w:t>
            </w:r>
            <w:r>
              <w:rPr>
                <w:rFonts w:ascii="宋体" w:hAnsi="宋体" w:cs="宋体" w:eastAsia="宋体" w:hint="default"/>
                <w:spacing w:val="-65"/>
                <w:sz w:val="21"/>
                <w:szCs w:val="21"/>
              </w:rPr>
              <w:t> </w:t>
            </w:r>
            <w:r>
              <w:rPr>
                <w:rFonts w:ascii="宋体" w:hAnsi="宋体" w:cs="宋体" w:eastAsia="宋体" w:hint="default"/>
                <w:sz w:val="21"/>
                <w:szCs w:val="21"/>
              </w:rPr>
            </w:r>
          </w:p>
        </w:tc>
      </w:tr>
      <w:tr>
        <w:trPr>
          <w:trHeight w:val="277" w:hRule="exact"/>
        </w:trPr>
        <w:tc>
          <w:tcPr>
            <w:tcW w:w="19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化</w:t>
            </w: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463" w:right="0"/>
              <w:jc w:val="left"/>
              <w:rPr>
                <w:rFonts w:ascii="宋体" w:hAnsi="宋体" w:cs="宋体" w:eastAsia="宋体" w:hint="default"/>
                <w:sz w:val="21"/>
                <w:szCs w:val="21"/>
              </w:rPr>
            </w:pPr>
            <w:r>
              <w:rPr>
                <w:rFonts w:ascii="宋体" w:hAnsi="宋体" w:cs="宋体" w:eastAsia="宋体" w:hint="default"/>
                <w:sz w:val="21"/>
                <w:szCs w:val="21"/>
              </w:rPr>
              <w:t>流增加隐式传输、智能路由等功能；</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力，进而形成商品</w:t>
            </w:r>
            <w:r>
              <w:rPr>
                <w:rFonts w:ascii="宋体" w:hAnsi="宋体" w:cs="宋体" w:eastAsia="宋体" w:hint="default"/>
                <w:sz w:val="21"/>
                <w:szCs w:val="21"/>
              </w:rPr>
            </w:r>
          </w:p>
        </w:tc>
      </w:tr>
      <w:tr>
        <w:trPr>
          <w:trHeight w:val="456" w:hRule="exact"/>
        </w:trPr>
        <w:tc>
          <w:tcPr>
            <w:tcW w:w="1970" w:type="dxa"/>
            <w:tcBorders>
              <w:top w:val="nil" w:sz="6" w:space="0" w:color="auto"/>
              <w:left w:val="single" w:sz="4" w:space="0" w:color="000000"/>
              <w:bottom w:val="single" w:sz="4" w:space="0" w:color="000000"/>
              <w:right w:val="single" w:sz="4" w:space="0" w:color="000000"/>
            </w:tcBorders>
          </w:tcPr>
          <w:p>
            <w:pPr/>
          </w:p>
        </w:tc>
        <w:tc>
          <w:tcPr>
            <w:tcW w:w="4870"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添加对规则引擎的支持功能。</w:t>
            </w:r>
          </w:p>
        </w:tc>
        <w:tc>
          <w:tcPr>
            <w:tcW w:w="1933"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1"/>
                <w:szCs w:val="21"/>
              </w:rPr>
            </w:pPr>
            <w:r>
              <w:rPr>
                <w:rFonts w:ascii="宋体" w:hAnsi="宋体" w:cs="宋体" w:eastAsia="宋体" w:hint="default"/>
                <w:sz w:val="21"/>
                <w:szCs w:val="21"/>
              </w:rPr>
              <w:t>化独立产品</w:t>
            </w:r>
          </w:p>
        </w:tc>
      </w:tr>
      <w:tr>
        <w:trPr>
          <w:trHeight w:val="617"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1"/>
                <w:szCs w:val="21"/>
              </w:rPr>
            </w:pPr>
            <w:r>
              <w:rPr>
                <w:rFonts w:ascii="宋体" w:hAnsi="宋体" w:cs="宋体" w:eastAsia="宋体" w:hint="default"/>
                <w:sz w:val="21"/>
                <w:szCs w:val="21"/>
              </w:rPr>
              <w:t>集成桌面技术</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宋体" w:hAnsi="宋体" w:cs="宋体" w:eastAsia="宋体" w:hint="default"/>
                <w:sz w:val="21"/>
                <w:szCs w:val="21"/>
              </w:rPr>
              <w:t>实现集成桌面技术的产品化改造。</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3"/>
              <w:ind w:left="103" w:right="97"/>
              <w:jc w:val="left"/>
              <w:rPr>
                <w:rFonts w:ascii="宋体" w:hAnsi="宋体" w:cs="宋体" w:eastAsia="宋体" w:hint="default"/>
                <w:sz w:val="21"/>
                <w:szCs w:val="21"/>
              </w:rPr>
            </w:pPr>
            <w:r>
              <w:rPr>
                <w:rFonts w:ascii="宋体" w:hAnsi="宋体" w:cs="宋体" w:eastAsia="宋体" w:hint="default"/>
                <w:spacing w:val="4"/>
                <w:sz w:val="21"/>
                <w:szCs w:val="21"/>
              </w:rPr>
              <w:t>形成商品化独立产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品</w:t>
            </w:r>
          </w:p>
        </w:tc>
      </w:tr>
      <w:tr>
        <w:trPr>
          <w:trHeight w:val="2017"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71" w:lineRule="auto"/>
              <w:ind w:left="103" w:right="90"/>
              <w:jc w:val="left"/>
              <w:rPr>
                <w:rFonts w:ascii="宋体" w:hAnsi="宋体" w:cs="宋体" w:eastAsia="宋体" w:hint="default"/>
                <w:sz w:val="21"/>
                <w:szCs w:val="21"/>
              </w:rPr>
            </w:pPr>
            <w:r>
              <w:rPr>
                <w:rFonts w:ascii="宋体" w:hAnsi="宋体" w:cs="宋体" w:eastAsia="宋体" w:hint="default"/>
                <w:spacing w:val="9"/>
                <w:sz w:val="21"/>
                <w:szCs w:val="21"/>
              </w:rPr>
              <w:t>多功能影像采集平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台</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8"/>
              <w:ind w:left="460" w:right="95" w:hanging="35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pacing w:val="4"/>
                <w:sz w:val="21"/>
                <w:szCs w:val="21"/>
              </w:rPr>
              <w:t>为商业银行柜面提供适应多种应用的影像采集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设备；</w:t>
            </w:r>
          </w:p>
          <w:p>
            <w:pPr>
              <w:pStyle w:val="TableParagraph"/>
              <w:spacing w:line="272" w:lineRule="exact" w:before="31"/>
              <w:ind w:left="463" w:right="95"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pacing w:val="4"/>
                <w:sz w:val="21"/>
                <w:szCs w:val="21"/>
              </w:rPr>
              <w:t>具备电脑验印、远程影像授权、档案影像采集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等多种业务功能；</w:t>
            </w:r>
          </w:p>
          <w:p>
            <w:pPr>
              <w:pStyle w:val="TableParagraph"/>
              <w:spacing w:line="272" w:lineRule="exact" w:before="31"/>
              <w:ind w:left="460" w:right="98" w:hanging="358"/>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55"/>
                <w:sz w:val="21"/>
                <w:szCs w:val="21"/>
              </w:rPr>
              <w:t> </w:t>
            </w:r>
            <w:r>
              <w:rPr>
                <w:rFonts w:ascii="宋体" w:hAnsi="宋体" w:cs="宋体" w:eastAsia="宋体" w:hint="default"/>
                <w:sz w:val="21"/>
                <w:szCs w:val="21"/>
              </w:rPr>
              <w:t>支持票据、现金、文件、身份证、</w:t>
            </w:r>
            <w:r>
              <w:rPr>
                <w:rFonts w:ascii="Times New Roman" w:hAnsi="Times New Roman" w:cs="Times New Roman" w:eastAsia="Times New Roman" w:hint="default"/>
                <w:sz w:val="21"/>
                <w:szCs w:val="21"/>
              </w:rPr>
              <w:t>UKey</w:t>
            </w:r>
            <w:r>
              <w:rPr>
                <w:rFonts w:ascii="宋体" w:hAnsi="宋体" w:cs="宋体" w:eastAsia="宋体" w:hint="default"/>
                <w:sz w:val="21"/>
                <w:szCs w:val="21"/>
              </w:rPr>
              <w:t>、环境</w:t>
            </w:r>
            <w:r>
              <w:rPr>
                <w:rFonts w:ascii="宋体" w:hAnsi="宋体" w:cs="宋体" w:eastAsia="宋体" w:hint="default"/>
                <w:spacing w:val="-102"/>
                <w:sz w:val="21"/>
                <w:szCs w:val="21"/>
              </w:rPr>
              <w:t> </w:t>
            </w:r>
            <w:r>
              <w:rPr>
                <w:rFonts w:ascii="宋体" w:hAnsi="宋体" w:cs="宋体" w:eastAsia="宋体" w:hint="default"/>
                <w:sz w:val="21"/>
                <w:szCs w:val="21"/>
              </w:rPr>
              <w:t>等多种对象的高清影像采集。</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8"/>
              <w:ind w:left="103" w:right="61"/>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成为公司一个适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应客户柜面影像应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0"/>
                <w:sz w:val="21"/>
                <w:szCs w:val="21"/>
              </w:rPr>
              <w:t>用的多用</w:t>
            </w:r>
            <w:r>
              <w:rPr>
                <w:rFonts w:ascii="宋体" w:hAnsi="宋体" w:cs="宋体" w:eastAsia="宋体" w:hint="default"/>
                <w:spacing w:val="-63"/>
                <w:sz w:val="21"/>
                <w:szCs w:val="21"/>
              </w:rPr>
              <w:t> </w:t>
            </w:r>
            <w:r>
              <w:rPr>
                <w:rFonts w:ascii="宋体" w:hAnsi="宋体" w:cs="宋体" w:eastAsia="宋体" w:hint="default"/>
                <w:spacing w:val="26"/>
                <w:sz w:val="21"/>
                <w:szCs w:val="21"/>
              </w:rPr>
              <w:t>途新产</w:t>
            </w:r>
            <w:r>
              <w:rPr>
                <w:rFonts w:ascii="宋体" w:hAnsi="宋体" w:cs="宋体" w:eastAsia="宋体" w:hint="default"/>
                <w:spacing w:val="-65"/>
                <w:sz w:val="21"/>
                <w:szCs w:val="21"/>
              </w:rPr>
              <w:t> </w:t>
            </w:r>
            <w:r>
              <w:rPr>
                <w:rFonts w:ascii="宋体" w:hAnsi="宋体" w:cs="宋体" w:eastAsia="宋体" w:hint="default"/>
                <w:sz w:val="21"/>
                <w:szCs w:val="21"/>
              </w:rPr>
              <w:t>品；</w:t>
            </w:r>
          </w:p>
          <w:p>
            <w:pPr>
              <w:pStyle w:val="TableParagraph"/>
              <w:spacing w:line="272" w:lineRule="exact" w:before="57"/>
              <w:ind w:left="103" w:right="97"/>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成为公司核心产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品验印系统的升级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换代产品。</w:t>
            </w:r>
          </w:p>
        </w:tc>
      </w:tr>
      <w:tr>
        <w:trPr>
          <w:trHeight w:val="437" w:hRule="exact"/>
        </w:trPr>
        <w:tc>
          <w:tcPr>
            <w:tcW w:w="1970" w:type="dxa"/>
            <w:tcBorders>
              <w:top w:val="single" w:sz="4" w:space="0" w:color="000000"/>
              <w:left w:val="single" w:sz="4" w:space="0" w:color="000000"/>
              <w:bottom w:val="nil" w:sz="6" w:space="0" w:color="auto"/>
              <w:right w:val="single" w:sz="4" w:space="0" w:color="000000"/>
            </w:tcBorders>
          </w:tcPr>
          <w:p>
            <w:pPr/>
          </w:p>
        </w:tc>
        <w:tc>
          <w:tcPr>
            <w:tcW w:w="4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pacing w:val="4"/>
                <w:sz w:val="21"/>
                <w:szCs w:val="21"/>
              </w:rPr>
              <w:t>解决银行乃至其他大型组织机构中的重要印章</w:t>
            </w:r>
            <w:r>
              <w:rPr>
                <w:rFonts w:ascii="宋体" w:hAnsi="宋体" w:cs="宋体" w:eastAsia="宋体" w:hint="default"/>
                <w:sz w:val="21"/>
                <w:szCs w:val="21"/>
              </w:rPr>
            </w:r>
          </w:p>
        </w:tc>
        <w:tc>
          <w:tcPr>
            <w:tcW w:w="193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70" w:type="dxa"/>
            <w:tcBorders>
              <w:top w:val="nil" w:sz="6" w:space="0" w:color="auto"/>
              <w:left w:val="single" w:sz="4" w:space="0" w:color="000000"/>
              <w:bottom w:val="nil" w:sz="6" w:space="0" w:color="auto"/>
              <w:right w:val="single" w:sz="4" w:space="0" w:color="000000"/>
            </w:tcBorders>
          </w:tcPr>
          <w:p>
            <w:pP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460" w:right="0"/>
              <w:jc w:val="left"/>
              <w:rPr>
                <w:rFonts w:ascii="宋体" w:hAnsi="宋体" w:cs="宋体" w:eastAsia="宋体" w:hint="default"/>
                <w:sz w:val="21"/>
                <w:szCs w:val="21"/>
              </w:rPr>
            </w:pPr>
            <w:r>
              <w:rPr>
                <w:rFonts w:ascii="宋体" w:hAnsi="宋体" w:cs="宋体" w:eastAsia="宋体" w:hint="default"/>
                <w:sz w:val="21"/>
                <w:szCs w:val="21"/>
              </w:rPr>
              <w:t>的远程监管问题；</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pacing w:val="4"/>
                <w:sz w:val="21"/>
                <w:szCs w:val="21"/>
              </w:rPr>
              <w:t>形成符合市场应用</w:t>
            </w:r>
            <w:r>
              <w:rPr>
                <w:rFonts w:ascii="宋体" w:hAnsi="宋体" w:cs="宋体" w:eastAsia="宋体" w:hint="default"/>
                <w:sz w:val="21"/>
                <w:szCs w:val="21"/>
              </w:rPr>
            </w:r>
          </w:p>
        </w:tc>
      </w:tr>
      <w:tr>
        <w:trPr>
          <w:trHeight w:val="280" w:hRule="exact"/>
        </w:trPr>
        <w:tc>
          <w:tcPr>
            <w:tcW w:w="1970"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印章智能管理系统</w:t>
            </w: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采用安全设备保管印章；</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需求的新产品，拓</w:t>
            </w:r>
            <w:r>
              <w:rPr>
                <w:rFonts w:ascii="宋体" w:hAnsi="宋体" w:cs="宋体" w:eastAsia="宋体" w:hint="default"/>
                <w:sz w:val="21"/>
                <w:szCs w:val="21"/>
              </w:rPr>
            </w:r>
          </w:p>
        </w:tc>
      </w:tr>
      <w:tr>
        <w:trPr>
          <w:trHeight w:val="309" w:hRule="exact"/>
        </w:trPr>
        <w:tc>
          <w:tcPr>
            <w:tcW w:w="1970" w:type="dxa"/>
            <w:tcBorders>
              <w:top w:val="nil" w:sz="6" w:space="0" w:color="auto"/>
              <w:left w:val="single" w:sz="4" w:space="0" w:color="000000"/>
              <w:bottom w:val="nil" w:sz="6" w:space="0" w:color="auto"/>
              <w:right w:val="single" w:sz="4" w:space="0" w:color="000000"/>
            </w:tcBorders>
          </w:tcPr>
          <w:p>
            <w:pPr/>
          </w:p>
        </w:tc>
        <w:tc>
          <w:tcPr>
            <w:tcW w:w="4870"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计算机智能控制提取、加盖印章功能；</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宽公司产品线</w:t>
            </w:r>
          </w:p>
        </w:tc>
      </w:tr>
      <w:tr>
        <w:trPr>
          <w:trHeight w:val="445" w:hRule="exact"/>
        </w:trPr>
        <w:tc>
          <w:tcPr>
            <w:tcW w:w="1970" w:type="dxa"/>
            <w:tcBorders>
              <w:top w:val="nil" w:sz="6" w:space="0" w:color="auto"/>
              <w:left w:val="single" w:sz="4" w:space="0" w:color="000000"/>
              <w:bottom w:val="single" w:sz="4" w:space="0" w:color="000000"/>
              <w:right w:val="single" w:sz="4" w:space="0" w:color="000000"/>
            </w:tcBorders>
          </w:tcPr>
          <w:p>
            <w:pPr/>
          </w:p>
        </w:tc>
        <w:tc>
          <w:tcPr>
            <w:tcW w:w="4870"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自动留存印章使用记录。</w:t>
            </w:r>
          </w:p>
        </w:tc>
        <w:tc>
          <w:tcPr>
            <w:tcW w:w="1933" w:type="dxa"/>
            <w:tcBorders>
              <w:top w:val="nil" w:sz="6" w:space="0" w:color="auto"/>
              <w:left w:val="single" w:sz="4" w:space="0" w:color="000000"/>
              <w:bottom w:val="single" w:sz="4" w:space="0" w:color="000000"/>
              <w:right w:val="single" w:sz="4" w:space="0" w:color="000000"/>
            </w:tcBorders>
          </w:tcPr>
          <w:p>
            <w:pPr/>
          </w:p>
        </w:tc>
      </w:tr>
      <w:tr>
        <w:trPr>
          <w:trHeight w:val="1505"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sz w:val="21"/>
                <w:szCs w:val="21"/>
              </w:rPr>
              <w:t>自助回单打印系统</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开发一种银行开户客户回单自助打印系统；</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提供对公回单、对账单按需打印服务；</w:t>
            </w:r>
          </w:p>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按时间段、业务类型等自助打印业务回单；</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多种方式用户登录、实时客户信息查询功能。</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2" w:lineRule="exact"/>
              <w:ind w:left="103" w:right="97"/>
              <w:jc w:val="both"/>
              <w:rPr>
                <w:rFonts w:ascii="宋体" w:hAnsi="宋体" w:cs="宋体" w:eastAsia="宋体" w:hint="default"/>
                <w:sz w:val="21"/>
                <w:szCs w:val="21"/>
              </w:rPr>
            </w:pPr>
            <w:r>
              <w:rPr>
                <w:rFonts w:ascii="宋体" w:hAnsi="宋体" w:cs="宋体" w:eastAsia="宋体" w:hint="default"/>
                <w:spacing w:val="4"/>
                <w:sz w:val="21"/>
                <w:szCs w:val="21"/>
              </w:rPr>
              <w:t>形成符合市场应用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需求的新产品，拓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宽公司产品线</w:t>
            </w:r>
          </w:p>
        </w:tc>
      </w:tr>
      <w:tr>
        <w:trPr>
          <w:trHeight w:val="150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1" w:lineRule="auto"/>
              <w:ind w:left="103" w:right="90"/>
              <w:jc w:val="left"/>
              <w:rPr>
                <w:rFonts w:ascii="宋体" w:hAnsi="宋体" w:cs="宋体" w:eastAsia="宋体" w:hint="default"/>
                <w:sz w:val="21"/>
                <w:szCs w:val="21"/>
              </w:rPr>
            </w:pPr>
            <w:r>
              <w:rPr>
                <w:rFonts w:ascii="宋体" w:hAnsi="宋体" w:cs="宋体" w:eastAsia="宋体" w:hint="default"/>
                <w:spacing w:val="9"/>
                <w:sz w:val="21"/>
                <w:szCs w:val="21"/>
              </w:rPr>
              <w:t>印鉴卡智能管理系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统</w:t>
            </w:r>
          </w:p>
        </w:tc>
        <w:tc>
          <w:tcPr>
            <w:tcW w:w="4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解决银行纸质印鉴卡的高效管理和应用问题；</w:t>
            </w:r>
          </w:p>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实现印鉴卡集中管理与规范操作；</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智能控制印鉴卡片的存放和调用；</w:t>
            </w:r>
          </w:p>
          <w:p>
            <w:pPr>
              <w:pStyle w:val="TableParagraph"/>
              <w:spacing w:line="240" w:lineRule="auto" w:before="1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印鉴卡使用情况自动记录及统计、查询功能。</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pacing w:val="4"/>
                <w:sz w:val="21"/>
                <w:szCs w:val="21"/>
              </w:rPr>
              <w:t>形成符合市场应用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需求的新产品，拓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宽公司产品线</w:t>
            </w:r>
          </w:p>
        </w:tc>
      </w:tr>
    </w:tbl>
    <w:p>
      <w:pPr>
        <w:spacing w:after="0" w:line="237" w:lineRule="auto"/>
        <w:jc w:val="both"/>
        <w:rPr>
          <w:rFonts w:ascii="宋体" w:hAnsi="宋体" w:cs="宋体" w:eastAsia="宋体" w:hint="default"/>
          <w:sz w:val="21"/>
          <w:szCs w:val="21"/>
        </w:rPr>
        <w:sectPr>
          <w:pgSz w:w="11910" w:h="16840"/>
          <w:pgMar w:header="877" w:footer="982" w:top="1100" w:bottom="1180" w:left="1500" w:right="140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ind w:left="217" w:right="113"/>
        <w:jc w:val="left"/>
      </w:pPr>
      <w:r>
        <w:rPr/>
        <w:t>（七）</w:t>
      </w:r>
      <w:r>
        <w:rPr>
          <w:spacing w:val="-90"/>
        </w:rPr>
        <w:t> </w:t>
      </w:r>
      <w:r>
        <w:rPr/>
        <w:t>现金流量构成情况及分析</w:t>
      </w:r>
    </w:p>
    <w:p>
      <w:pPr>
        <w:pStyle w:val="BodyText"/>
        <w:spacing w:line="240" w:lineRule="auto" w:before="89"/>
        <w:ind w:left="0" w:right="152"/>
        <w:jc w:val="right"/>
      </w:pPr>
      <w:r>
        <w:rPr/>
        <w:t>单位：元</w:t>
      </w:r>
    </w:p>
    <w:p>
      <w:pPr>
        <w:spacing w:line="240" w:lineRule="auto" w:before="12"/>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3528"/>
        <w:gridCol w:w="1654"/>
        <w:gridCol w:w="1620"/>
        <w:gridCol w:w="1620"/>
      </w:tblGrid>
      <w:tr>
        <w:trPr>
          <w:trHeight w:val="478"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4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left="38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19,093,710.87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19,923,255.14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-4.16%</w:t>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97,918,463.55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82,263,259.64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19.03%</w:t>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78,824,752.68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62,340,004.50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26.44%</w:t>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-4,703,840.81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-538,201.37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773.99%</w:t>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1"/>
                <w:szCs w:val="21"/>
              </w:rPr>
            </w:pPr>
            <w:r>
              <w:rPr>
                <w:rFonts w:ascii="Times New Roman"/>
                <w:spacing w:val="-1"/>
                <w:sz w:val="21"/>
              </w:rPr>
              <w:t>9,990.00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4,713,830.81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538,201.37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775.85%</w:t>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1"/>
                <w:szCs w:val="21"/>
              </w:rPr>
            </w:pPr>
            <w:r>
              <w:rPr>
                <w:rFonts w:ascii="Times New Roman"/>
                <w:spacing w:val="-1"/>
                <w:sz w:val="21"/>
              </w:rPr>
              <w:t>369,011,787.12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-2,661,424.78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13965.20%</w:t>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394,800,000.00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1874.00%</w:t>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25,788,212.88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22,661,424.78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13.80%</w:t>
            </w:r>
          </w:p>
        </w:tc>
      </w:tr>
      <w:tr>
        <w:trPr>
          <w:trHeight w:val="384" w:hRule="exact"/>
        </w:trPr>
        <w:tc>
          <w:tcPr>
            <w:tcW w:w="35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383,401,657.18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16,723,628.99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2192.57%</w:t>
            </w:r>
          </w:p>
        </w:tc>
      </w:tr>
    </w:tbl>
    <w:p>
      <w:pPr>
        <w:spacing w:line="240" w:lineRule="auto" w:before="5"/>
        <w:rPr>
          <w:rFonts w:ascii="宋体" w:hAnsi="宋体" w:cs="宋体" w:eastAsia="宋体" w:hint="default"/>
          <w:sz w:val="13"/>
          <w:szCs w:val="13"/>
        </w:rPr>
      </w:pPr>
    </w:p>
    <w:p>
      <w:pPr>
        <w:pStyle w:val="BodyText"/>
        <w:spacing w:line="355" w:lineRule="auto"/>
        <w:ind w:left="217" w:right="152" w:firstLine="459"/>
        <w:jc w:val="both"/>
      </w:pPr>
      <w:r>
        <w:rPr/>
        <w:t>报告期内，公司销售商品、提供劳务收到的现金为 </w:t>
      </w:r>
      <w:r>
        <w:rPr>
          <w:rFonts w:ascii="Times New Roman" w:hAnsi="Times New Roman" w:cs="Times New Roman" w:eastAsia="Times New Roman" w:hint="default"/>
        </w:rPr>
        <w:t>8,381.34</w:t>
      </w:r>
      <w:r>
        <w:rPr>
          <w:rFonts w:ascii="Times New Roman" w:hAnsi="Times New Roman" w:cs="Times New Roman" w:eastAsia="Times New Roman" w:hint="default"/>
          <w:spacing w:val="-33"/>
        </w:rPr>
        <w:t> </w:t>
      </w:r>
      <w:r>
        <w:rPr/>
        <w:t>万元，较上年度增</w:t>
      </w:r>
      <w:r>
        <w:rPr>
          <w:w w:val="100"/>
        </w:rPr>
        <w:t> </w:t>
      </w:r>
      <w:r>
        <w:rPr/>
        <w:t>加</w:t>
      </w:r>
      <w:r>
        <w:rPr>
          <w:spacing w:val="-69"/>
        </w:rPr>
        <w:t> </w:t>
      </w:r>
      <w:r>
        <w:rPr>
          <w:rFonts w:ascii="Times New Roman" w:hAnsi="Times New Roman" w:cs="Times New Roman" w:eastAsia="Times New Roman" w:hint="default"/>
        </w:rPr>
        <w:t>1,329.88</w:t>
      </w:r>
      <w:r>
        <w:rPr>
          <w:rFonts w:ascii="Times New Roman" w:hAnsi="Times New Roman" w:cs="Times New Roman" w:eastAsia="Times New Roman" w:hint="default"/>
          <w:spacing w:val="-12"/>
        </w:rPr>
        <w:t> </w:t>
      </w:r>
      <w:r>
        <w:rPr>
          <w:spacing w:val="-4"/>
        </w:rPr>
        <w:t>万元，增长</w:t>
      </w:r>
      <w:r>
        <w:rPr>
          <w:spacing w:val="-69"/>
        </w:rPr>
        <w:t> </w:t>
      </w:r>
      <w:r>
        <w:rPr>
          <w:rFonts w:ascii="Times New Roman" w:hAnsi="Times New Roman" w:cs="Times New Roman" w:eastAsia="Times New Roman" w:hint="default"/>
        </w:rPr>
        <w:t>18.86%</w:t>
      </w:r>
      <w:r>
        <w:rPr/>
        <w:t>，略高于营业利润的增长幅度。但由于支付给职工以</w:t>
      </w:r>
      <w:r>
        <w:rPr>
          <w:w w:val="100"/>
        </w:rPr>
        <w:t> </w:t>
      </w:r>
      <w:r>
        <w:rPr/>
        <w:t>及为职工支付的现金增加</w:t>
      </w:r>
      <w:r>
        <w:rPr>
          <w:spacing w:val="-52"/>
        </w:rPr>
        <w:t> </w:t>
      </w:r>
      <w:r>
        <w:rPr>
          <w:rFonts w:ascii="Times New Roman" w:hAnsi="Times New Roman" w:cs="Times New Roman" w:eastAsia="Times New Roman" w:hint="default"/>
        </w:rPr>
        <w:t>382.91</w:t>
      </w:r>
      <w:r>
        <w:rPr>
          <w:rFonts w:ascii="Times New Roman" w:hAnsi="Times New Roman" w:cs="Times New Roman" w:eastAsia="Times New Roman" w:hint="default"/>
          <w:spacing w:val="3"/>
        </w:rPr>
        <w:t> </w:t>
      </w:r>
      <w:r>
        <w:rPr>
          <w:spacing w:val="-3"/>
        </w:rPr>
        <w:t>万元，支付的各项税费因为收入增加而增加</w:t>
      </w:r>
      <w:r>
        <w:rPr>
          <w:spacing w:val="-52"/>
        </w:rPr>
        <w:t> </w:t>
      </w:r>
      <w:r>
        <w:rPr>
          <w:rFonts w:ascii="Times New Roman" w:hAnsi="Times New Roman" w:cs="Times New Roman" w:eastAsia="Times New Roman" w:hint="default"/>
        </w:rPr>
        <w:t>323.29</w:t>
      </w:r>
      <w:r>
        <w:rPr>
          <w:rFonts w:ascii="Times New Roman" w:hAnsi="Times New Roman" w:cs="Times New Roman" w:eastAsia="Times New Roman" w:hint="default"/>
          <w:spacing w:val="-56"/>
        </w:rPr>
        <w:t> </w:t>
      </w:r>
      <w:r>
        <w:rPr>
          <w:rFonts w:ascii="Times New Roman" w:hAnsi="Times New Roman" w:cs="Times New Roman" w:eastAsia="Times New Roman" w:hint="default"/>
          <w:spacing w:val="-56"/>
        </w:rPr>
      </w:r>
      <w:r>
        <w:rPr/>
        <w:t>万元，支付的其他与经营活动有关的现金因为销售费用、管理费用、及除工资、采</w:t>
      </w:r>
      <w:r>
        <w:rPr>
          <w:spacing w:val="-87"/>
        </w:rPr>
        <w:t> </w:t>
      </w:r>
      <w:r>
        <w:rPr>
          <w:spacing w:val="-87"/>
        </w:rPr>
      </w:r>
      <w:r>
        <w:rPr/>
        <w:t>购成本劳务外付现营业成本增加而增加</w:t>
      </w:r>
      <w:r>
        <w:rPr>
          <w:spacing w:val="-47"/>
        </w:rPr>
        <w:t> </w:t>
      </w:r>
      <w:r>
        <w:rPr>
          <w:rFonts w:ascii="Times New Roman" w:hAnsi="Times New Roman" w:cs="Times New Roman" w:eastAsia="Times New Roman" w:hint="default"/>
        </w:rPr>
        <w:t>1,250.49</w:t>
      </w:r>
      <w:r>
        <w:rPr>
          <w:rFonts w:ascii="Times New Roman" w:hAnsi="Times New Roman" w:cs="Times New Roman" w:eastAsia="Times New Roman" w:hint="default"/>
          <w:spacing w:val="10"/>
        </w:rPr>
        <w:t> </w:t>
      </w:r>
      <w:r>
        <w:rPr/>
        <w:t>万元等原因，经营活动的现金流出</w:t>
      </w:r>
      <w:r>
        <w:rPr>
          <w:w w:val="100"/>
        </w:rPr>
        <w:t> </w:t>
      </w:r>
      <w:r>
        <w:rPr/>
        <w:t>总体增长</w:t>
      </w:r>
      <w:r>
        <w:rPr>
          <w:spacing w:val="-65"/>
        </w:rPr>
        <w:t> </w:t>
      </w:r>
      <w:r>
        <w:rPr>
          <w:rFonts w:ascii="Times New Roman" w:hAnsi="Times New Roman" w:cs="Times New Roman" w:eastAsia="Times New Roman" w:hint="default"/>
        </w:rPr>
        <w:t>26.44%</w:t>
      </w:r>
      <w:r>
        <w:rPr/>
        <w:t>，致使经营活动产生的现金流量净额较上年度下降</w:t>
      </w:r>
      <w:r>
        <w:rPr>
          <w:spacing w:val="-65"/>
        </w:rPr>
        <w:t> </w:t>
      </w:r>
      <w:r>
        <w:rPr>
          <w:rFonts w:ascii="Times New Roman" w:hAnsi="Times New Roman" w:cs="Times New Roman" w:eastAsia="Times New Roman" w:hint="default"/>
        </w:rPr>
        <w:t>4.16%</w:t>
      </w:r>
      <w:r>
        <w:rPr/>
        <w:t>。报告期</w:t>
      </w:r>
      <w:r>
        <w:rPr>
          <w:w w:val="100"/>
        </w:rPr>
        <w:t> </w:t>
      </w:r>
      <w:r>
        <w:rPr/>
        <w:t>公司经营活动产生的现金流量净额低于报告期净利润</w:t>
      </w:r>
      <w:r>
        <w:rPr>
          <w:spacing w:val="-47"/>
        </w:rPr>
        <w:t> </w:t>
      </w:r>
      <w:r>
        <w:rPr>
          <w:rFonts w:ascii="Times New Roman" w:hAnsi="Times New Roman" w:cs="Times New Roman" w:eastAsia="Times New Roman" w:hint="default"/>
        </w:rPr>
        <w:t>1,487.98</w:t>
      </w:r>
      <w:r>
        <w:rPr>
          <w:rFonts w:ascii="Times New Roman" w:hAnsi="Times New Roman" w:cs="Times New Roman" w:eastAsia="Times New Roman" w:hint="default"/>
          <w:spacing w:val="10"/>
        </w:rPr>
        <w:t> </w:t>
      </w:r>
      <w:r>
        <w:rPr/>
        <w:t>万元，主要是一年期</w:t>
      </w:r>
      <w:r>
        <w:rPr>
          <w:w w:val="100"/>
        </w:rPr>
        <w:t> </w:t>
      </w:r>
      <w:r>
        <w:rPr/>
        <w:t>内应收账款以及资本化的产品开发支出等因素的影响。</w:t>
      </w:r>
    </w:p>
    <w:p>
      <w:pPr>
        <w:pStyle w:val="BodyText"/>
        <w:spacing w:line="352" w:lineRule="auto" w:before="56"/>
        <w:ind w:left="217" w:right="152" w:firstLine="459"/>
        <w:jc w:val="both"/>
      </w:pPr>
      <w:r>
        <w:rPr/>
        <w:t>报告期内投资活动现金流出增加</w:t>
      </w:r>
      <w:r>
        <w:rPr>
          <w:spacing w:val="-56"/>
        </w:rPr>
        <w:t> </w:t>
      </w:r>
      <w:r>
        <w:rPr>
          <w:rFonts w:ascii="Times New Roman" w:hAnsi="Times New Roman" w:cs="Times New Roman" w:eastAsia="Times New Roman" w:hint="default"/>
        </w:rPr>
        <w:t>417.56</w:t>
      </w:r>
      <w:r>
        <w:rPr>
          <w:rFonts w:ascii="Times New Roman" w:hAnsi="Times New Roman" w:cs="Times New Roman" w:eastAsia="Times New Roman" w:hint="default"/>
          <w:spacing w:val="1"/>
        </w:rPr>
        <w:t> </w:t>
      </w:r>
      <w:r>
        <w:rPr/>
        <w:t>万元，增幅</w:t>
      </w:r>
      <w:r>
        <w:rPr>
          <w:spacing w:val="-56"/>
        </w:rPr>
        <w:t> </w:t>
      </w:r>
      <w:r>
        <w:rPr>
          <w:rFonts w:ascii="Times New Roman" w:hAnsi="Times New Roman" w:cs="Times New Roman" w:eastAsia="Times New Roman" w:hint="default"/>
        </w:rPr>
        <w:t>775.85%</w:t>
      </w:r>
      <w:r>
        <w:rPr/>
        <w:t>，主要是购置固定</w:t>
      </w:r>
      <w:r>
        <w:rPr>
          <w:w w:val="100"/>
        </w:rPr>
        <w:t> </w:t>
      </w:r>
      <w:r>
        <w:rPr/>
        <w:t>资产以及由于公司在 </w:t>
      </w:r>
      <w:r>
        <w:rPr>
          <w:rFonts w:ascii="Times New Roman" w:hAnsi="Times New Roman" w:cs="Times New Roman" w:eastAsia="Times New Roman" w:hint="default"/>
        </w:rPr>
        <w:t>2008</w:t>
      </w:r>
      <w:r>
        <w:rPr>
          <w:rFonts w:ascii="Times New Roman" w:hAnsi="Times New Roman" w:cs="Times New Roman" w:eastAsia="Times New Roman" w:hint="default"/>
          <w:spacing w:val="25"/>
        </w:rPr>
        <w:t> </w:t>
      </w:r>
      <w:r>
        <w:rPr/>
        <w:t>年购置的房产在报告期内因办理房地产产权登记时支付</w:t>
      </w:r>
      <w:r>
        <w:rPr>
          <w:w w:val="100"/>
        </w:rPr>
        <w:t> </w:t>
      </w:r>
      <w:r>
        <w:rPr/>
        <w:t>契税等各项税费的原因。</w:t>
      </w:r>
    </w:p>
    <w:p>
      <w:pPr>
        <w:pStyle w:val="BodyText"/>
        <w:spacing w:line="362" w:lineRule="auto" w:before="59"/>
        <w:ind w:left="217" w:right="152" w:firstLine="459"/>
        <w:jc w:val="both"/>
      </w:pPr>
      <w:r>
        <w:rPr/>
        <w:t>报告期内筹资活动现金流入大幅增加主要是因为公司公开发行股票募集资金的</w:t>
      </w:r>
      <w:r>
        <w:rPr>
          <w:w w:val="100"/>
        </w:rPr>
        <w:t> </w:t>
      </w:r>
      <w:r>
        <w:rPr/>
        <w:t>增加；筹资活动现金流出主要是报告期内公司偿还了银行长期借款以及</w:t>
      </w:r>
      <w:r>
        <w:rPr>
          <w:spacing w:val="-59"/>
        </w:rPr>
        <w:t> </w:t>
      </w:r>
      <w:r>
        <w:rPr>
          <w:rFonts w:ascii="Times New Roman" w:hAnsi="Times New Roman" w:cs="Times New Roman" w:eastAsia="Times New Roman" w:hint="default"/>
        </w:rPr>
        <w:t>IPO</w:t>
      </w:r>
      <w:r>
        <w:rPr>
          <w:rFonts w:ascii="Times New Roman" w:hAnsi="Times New Roman" w:cs="Times New Roman" w:eastAsia="Times New Roman" w:hint="default"/>
          <w:spacing w:val="-3"/>
        </w:rPr>
        <w:t> </w:t>
      </w:r>
      <w:r>
        <w:rPr/>
        <w:t>过程中</w:t>
      </w:r>
      <w:r>
        <w:rPr>
          <w:w w:val="100"/>
        </w:rPr>
        <w:t> </w:t>
      </w:r>
      <w:r>
        <w:rPr/>
        <w:t>支付的发行费用。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7"/>
          <w:szCs w:val="17"/>
        </w:rPr>
      </w:pPr>
    </w:p>
    <w:p>
      <w:pPr>
        <w:pStyle w:val="BodyText"/>
        <w:spacing w:line="372" w:lineRule="auto" w:before="0"/>
        <w:ind w:left="677" w:right="113" w:hanging="460"/>
        <w:jc w:val="left"/>
      </w:pPr>
      <w:r>
        <w:rPr/>
        <w:t>（八）</w:t>
      </w:r>
      <w:r>
        <w:rPr>
          <w:spacing w:val="-88"/>
        </w:rPr>
        <w:t> </w:t>
      </w:r>
      <w:r>
        <w:rPr/>
        <w:t>公司主要子公司、参股公司的经营情况及业绩</w:t>
      </w:r>
      <w:r>
        <w:rPr>
          <w:w w:val="100"/>
        </w:rPr>
        <w:t> </w:t>
      </w:r>
      <w:r>
        <w:rPr>
          <w:spacing w:val="-3"/>
        </w:rPr>
        <w:t>报告期内，公司控股的子公司仅深圳市银之杰软件技术有限公司（以下简称</w:t>
      </w:r>
      <w:r>
        <w:rPr>
          <w:rFonts w:ascii="Times New Roman" w:hAnsi="Times New Roman" w:cs="Times New Roman" w:eastAsia="Times New Roman" w:hint="default"/>
          <w:spacing w:val="-3"/>
        </w:rPr>
        <w:t>“</w:t>
      </w:r>
      <w:r>
        <w:rPr>
          <w:spacing w:val="-3"/>
        </w:rPr>
        <w:t>银</w:t>
      </w:r>
    </w:p>
    <w:p>
      <w:pPr>
        <w:pStyle w:val="BodyText"/>
        <w:spacing w:line="240" w:lineRule="auto" w:before="9"/>
        <w:ind w:left="217" w:right="113"/>
        <w:jc w:val="left"/>
      </w:pPr>
      <w:r>
        <w:rPr/>
        <w:t>之杰软件</w:t>
      </w:r>
      <w:r>
        <w:rPr>
          <w:rFonts w:ascii="Times New Roman" w:hAnsi="Times New Roman" w:cs="Times New Roman" w:eastAsia="Times New Roman" w:hint="default"/>
        </w:rPr>
        <w:t>”</w:t>
      </w:r>
      <w:r>
        <w:rPr/>
        <w:t>一家，无参股公司。</w:t>
      </w:r>
    </w:p>
    <w:p>
      <w:pPr>
        <w:spacing w:after="0" w:line="240" w:lineRule="auto"/>
        <w:jc w:val="left"/>
        <w:sectPr>
          <w:pgSz w:w="11910" w:h="16840"/>
          <w:pgMar w:header="877" w:footer="982" w:top="1100" w:bottom="1180" w:left="1580" w:right="1640"/>
        </w:sectPr>
      </w:pPr>
    </w:p>
    <w:p>
      <w:pPr>
        <w:spacing w:line="240" w:lineRule="auto" w:before="12"/>
        <w:rPr>
          <w:rFonts w:ascii="宋体" w:hAnsi="宋体" w:cs="宋体" w:eastAsia="宋体" w:hint="default"/>
          <w:sz w:val="25"/>
          <w:szCs w:val="25"/>
        </w:rPr>
      </w:pPr>
    </w:p>
    <w:p>
      <w:pPr>
        <w:pStyle w:val="BodyText"/>
        <w:spacing w:line="240" w:lineRule="auto"/>
        <w:ind w:left="597" w:right="113"/>
        <w:jc w:val="left"/>
      </w:pPr>
      <w:r>
        <w:rPr/>
        <w:t>银之杰软件成立于</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6"/>
        </w:rPr>
        <w:t>日，注册地为深圳市南山区科发路</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号金融</w:t>
      </w:r>
    </w:p>
    <w:p>
      <w:pPr>
        <w:pStyle w:val="BodyText"/>
        <w:spacing w:line="352" w:lineRule="auto" w:before="149"/>
        <w:ind w:right="232"/>
        <w:jc w:val="both"/>
      </w:pPr>
      <w:r>
        <w:rPr/>
        <w:t>服务技术创新基地</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栋</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楼</w:t>
      </w:r>
      <w:r>
        <w:rPr>
          <w:spacing w:val="-57"/>
        </w:rPr>
        <w:t> </w:t>
      </w:r>
      <w:r>
        <w:rPr>
          <w:rFonts w:ascii="Times New Roman" w:hAnsi="Times New Roman" w:cs="Times New Roman" w:eastAsia="Times New Roman" w:hint="default"/>
        </w:rPr>
        <w:t>F1</w:t>
      </w:r>
      <w:r>
        <w:rPr>
          <w:rFonts w:ascii="Times New Roman" w:hAnsi="Times New Roman" w:cs="Times New Roman" w:eastAsia="Times New Roman" w:hint="default"/>
          <w:spacing w:val="-1"/>
        </w:rPr>
        <w:t> </w:t>
      </w:r>
      <w:r>
        <w:rPr>
          <w:spacing w:val="-6"/>
        </w:rPr>
        <w:t>单元，注册资本人民币</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5"/>
        </w:rPr>
        <w:t>万元，法定代表人为陈向</w:t>
      </w:r>
      <w:r>
        <w:rPr>
          <w:w w:val="100"/>
        </w:rPr>
        <w:t> </w:t>
      </w:r>
      <w:r>
        <w:rPr/>
        <w:t>军，企业法人营业执照注册号为</w:t>
      </w:r>
      <w:r>
        <w:rPr>
          <w:spacing w:val="21"/>
        </w:rPr>
        <w:t> </w:t>
      </w:r>
      <w:r>
        <w:rPr>
          <w:rFonts w:ascii="Times New Roman" w:hAnsi="Times New Roman" w:cs="Times New Roman" w:eastAsia="Times New Roman" w:hint="default"/>
        </w:rPr>
        <w:t>440301103717058</w:t>
      </w:r>
      <w:r>
        <w:rPr/>
        <w:t>，是本公司的全资子公司。经营</w:t>
      </w:r>
      <w:r>
        <w:rPr>
          <w:spacing w:val="-113"/>
        </w:rPr>
        <w:t> </w:t>
      </w:r>
      <w:r>
        <w:rPr>
          <w:spacing w:val="-113"/>
        </w:rPr>
      </w:r>
      <w:r>
        <w:rPr/>
        <w:t>范围：金融应用软件技术开发、销售；计算机软、硬件技术开发、技术咨询。</w:t>
      </w:r>
    </w:p>
    <w:p>
      <w:pPr>
        <w:pStyle w:val="BodyText"/>
        <w:spacing w:line="372" w:lineRule="auto" w:before="59"/>
        <w:ind w:right="232" w:firstLine="459"/>
        <w:jc w:val="both"/>
      </w:pPr>
      <w:r>
        <w:rPr/>
        <w:t>银之杰软件主要为本公司提供影像应用软件产品的核心算法技术及基础平台技</w:t>
      </w:r>
      <w:r>
        <w:rPr>
          <w:w w:val="100"/>
        </w:rPr>
        <w:t> </w:t>
      </w:r>
      <w:r>
        <w:rPr/>
        <w:t>术的开发服务，其收入销售对象是本公司，再由本公司组成软件产品对外销售，对</w:t>
      </w:r>
      <w:r>
        <w:rPr>
          <w:spacing w:val="-87"/>
        </w:rPr>
        <w:t> </w:t>
      </w:r>
      <w:r>
        <w:rPr>
          <w:spacing w:val="-87"/>
        </w:rPr>
      </w:r>
      <w:r>
        <w:rPr/>
        <w:t>合并经营业绩的影响较小。</w:t>
      </w:r>
    </w:p>
    <w:p>
      <w:pPr>
        <w:pStyle w:val="BodyText"/>
        <w:spacing w:line="240" w:lineRule="auto" w:before="40"/>
        <w:ind w:left="597" w:right="113"/>
        <w:jc w:val="left"/>
      </w:pPr>
      <w:r>
        <w:rPr/>
        <w:t>报告期内，银之杰软件的财务数据如下：</w:t>
      </w:r>
    </w:p>
    <w:p>
      <w:pPr>
        <w:spacing w:line="240" w:lineRule="auto" w:before="0"/>
        <w:rPr>
          <w:rFonts w:ascii="宋体" w:hAnsi="宋体" w:cs="宋体" w:eastAsia="宋体" w:hint="default"/>
          <w:sz w:val="21"/>
          <w:szCs w:val="21"/>
        </w:rPr>
      </w:pPr>
    </w:p>
    <w:tbl>
      <w:tblPr>
        <w:tblW w:w="0" w:type="auto"/>
        <w:jc w:val="left"/>
        <w:tblInd w:w="143" w:type="dxa"/>
        <w:tblLayout w:type="fixed"/>
        <w:tblCellMar>
          <w:top w:w="0" w:type="dxa"/>
          <w:left w:w="0" w:type="dxa"/>
          <w:bottom w:w="0" w:type="dxa"/>
          <w:right w:w="0" w:type="dxa"/>
        </w:tblCellMar>
        <w:tblLook w:val="01E0"/>
      </w:tblPr>
      <w:tblGrid>
        <w:gridCol w:w="2312"/>
        <w:gridCol w:w="1997"/>
        <w:gridCol w:w="1800"/>
        <w:gridCol w:w="2048"/>
      </w:tblGrid>
      <w:tr>
        <w:trPr>
          <w:trHeight w:val="384"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6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8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主营业务收入（元）</w:t>
            </w:r>
          </w:p>
        </w:tc>
        <w:tc>
          <w:tcPr>
            <w:tcW w:w="199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18,126,325.31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9,416,752.38</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92.49%</w:t>
            </w:r>
          </w:p>
        </w:tc>
      </w:tr>
      <w:tr>
        <w:trPr>
          <w:trHeight w:val="384"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99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15,097,752.52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7,679,458.13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21"/>
                <w:szCs w:val="21"/>
              </w:rPr>
            </w:pPr>
            <w:r>
              <w:rPr>
                <w:rFonts w:ascii="Times New Roman"/>
                <w:spacing w:val="-1"/>
                <w:sz w:val="21"/>
              </w:rPr>
              <w:t>96.60%</w:t>
            </w:r>
          </w:p>
        </w:tc>
      </w:tr>
      <w:tr>
        <w:trPr>
          <w:trHeight w:val="384"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净利润（元）</w:t>
            </w:r>
          </w:p>
        </w:tc>
        <w:tc>
          <w:tcPr>
            <w:tcW w:w="199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21"/>
                <w:szCs w:val="21"/>
              </w:rPr>
            </w:pPr>
            <w:r>
              <w:rPr>
                <w:rFonts w:ascii="Times New Roman"/>
                <w:spacing w:val="-1"/>
                <w:sz w:val="21"/>
              </w:rPr>
              <w:t>17,164,707.58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7,795,442.72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120.19%</w:t>
            </w:r>
          </w:p>
        </w:tc>
      </w:tr>
      <w:tr>
        <w:trPr>
          <w:trHeight w:val="384"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5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8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84"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99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2"/>
                <w:sz w:val="21"/>
              </w:rPr>
              <w:t>26,111,282.60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spacing w:val="-1"/>
                <w:sz w:val="21"/>
              </w:rPr>
              <w:t>10,079,195.63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159.06%</w:t>
            </w:r>
          </w:p>
        </w:tc>
      </w:tr>
      <w:tr>
        <w:trPr>
          <w:trHeight w:val="384"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0" w:right="0"/>
              <w:jc w:val="left"/>
              <w:rPr>
                <w:rFonts w:ascii="宋体" w:hAnsi="宋体" w:cs="宋体" w:eastAsia="宋体" w:hint="default"/>
                <w:sz w:val="21"/>
                <w:szCs w:val="21"/>
              </w:rPr>
            </w:pPr>
            <w:r>
              <w:rPr>
                <w:rFonts w:ascii="宋体" w:hAnsi="宋体" w:cs="宋体" w:eastAsia="宋体" w:hint="default"/>
                <w:sz w:val="21"/>
                <w:szCs w:val="21"/>
              </w:rPr>
              <w:t>净资产（元）</w:t>
            </w:r>
          </w:p>
        </w:tc>
        <w:tc>
          <w:tcPr>
            <w:tcW w:w="199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2,958,680.36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8,793,972.78</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21"/>
                <w:szCs w:val="21"/>
              </w:rPr>
            </w:pPr>
            <w:r>
              <w:rPr>
                <w:rFonts w:ascii="Times New Roman"/>
                <w:spacing w:val="-1"/>
                <w:sz w:val="21"/>
              </w:rPr>
              <w:t>-66.36%</w:t>
            </w:r>
          </w:p>
        </w:tc>
      </w:tr>
    </w:tbl>
    <w:p>
      <w:pPr>
        <w:spacing w:line="240" w:lineRule="auto" w:before="5"/>
        <w:rPr>
          <w:rFonts w:ascii="宋体" w:hAnsi="宋体" w:cs="宋体" w:eastAsia="宋体" w:hint="default"/>
          <w:sz w:val="13"/>
          <w:szCs w:val="13"/>
        </w:rPr>
      </w:pPr>
    </w:p>
    <w:p>
      <w:pPr>
        <w:pStyle w:val="BodyText"/>
        <w:spacing w:line="240" w:lineRule="auto"/>
        <w:ind w:left="597" w:right="113"/>
        <w:jc w:val="left"/>
      </w:pPr>
      <w:r>
        <w:rPr>
          <w:rFonts w:ascii="Times New Roman" w:hAnsi="Times New Roman" w:cs="Times New Roman" w:eastAsia="Times New Roman" w:hint="default"/>
        </w:rPr>
        <w:t>2010 </w:t>
      </w:r>
      <w:r>
        <w:rPr/>
        <w:t>年末净资产为同比上年期末减少</w:t>
      </w:r>
      <w:r>
        <w:rPr>
          <w:spacing w:val="-58"/>
        </w:rPr>
        <w:t> </w:t>
      </w:r>
      <w:r>
        <w:rPr>
          <w:rFonts w:ascii="Times New Roman" w:hAnsi="Times New Roman" w:cs="Times New Roman" w:eastAsia="Times New Roman" w:hint="default"/>
        </w:rPr>
        <w:t>66.36%</w:t>
      </w:r>
      <w:r>
        <w:rPr/>
        <w:t>，系根据</w:t>
      </w:r>
      <w:r>
        <w:rPr>
          <w:spacing w:val="-58"/>
        </w:rPr>
        <w:t> </w:t>
      </w:r>
      <w:r>
        <w:rPr>
          <w:rFonts w:ascii="Times New Roman" w:hAnsi="Times New Roman" w:cs="Times New Roman" w:eastAsia="Times New Roman" w:hint="default"/>
        </w:rPr>
        <w:t>2010 </w:t>
      </w:r>
      <w:r>
        <w:rPr/>
        <w:t>年</w:t>
      </w:r>
      <w:r>
        <w:rPr>
          <w:spacing w:val="-58"/>
        </w:rPr>
        <w:t> </w:t>
      </w:r>
      <w:r>
        <w:rPr>
          <w:rFonts w:ascii="Times New Roman" w:hAnsi="Times New Roman" w:cs="Times New Roman" w:eastAsia="Times New Roman" w:hint="default"/>
        </w:rPr>
        <w:t>12 </w:t>
      </w:r>
      <w:r>
        <w:rPr/>
        <w:t>月</w:t>
      </w:r>
      <w:r>
        <w:rPr>
          <w:spacing w:val="-58"/>
        </w:rPr>
        <w:t> </w:t>
      </w:r>
      <w:r>
        <w:rPr>
          <w:rFonts w:ascii="Times New Roman" w:hAnsi="Times New Roman" w:cs="Times New Roman" w:eastAsia="Times New Roman" w:hint="default"/>
        </w:rPr>
        <w:t>31 </w:t>
      </w:r>
      <w:r>
        <w:rPr/>
        <w:t>日银之</w:t>
      </w:r>
    </w:p>
    <w:p>
      <w:pPr>
        <w:pStyle w:val="BodyText"/>
        <w:spacing w:line="240" w:lineRule="auto" w:before="149"/>
        <w:ind w:right="113"/>
        <w:jc w:val="left"/>
      </w:pPr>
      <w:r>
        <w:rPr>
          <w:spacing w:val="-6"/>
        </w:rPr>
        <w:t>杰软件股东会决议，将银之杰软件截至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年末累计税后可分配利润中的货币资金</w:t>
      </w:r>
    </w:p>
    <w:p>
      <w:pPr>
        <w:pStyle w:val="BodyText"/>
        <w:spacing w:line="240" w:lineRule="auto" w:before="149"/>
        <w:ind w:right="113"/>
        <w:jc w:val="left"/>
      </w:pPr>
      <w:r>
        <w:rPr>
          <w:rFonts w:ascii="Times New Roman" w:hAnsi="Times New Roman" w:cs="Times New Roman" w:eastAsia="Times New Roman" w:hint="default"/>
        </w:rPr>
        <w:t>23,000,000.00</w:t>
      </w:r>
      <w:r>
        <w:rPr>
          <w:rFonts w:ascii="Times New Roman" w:hAnsi="Times New Roman" w:cs="Times New Roman" w:eastAsia="Times New Roman" w:hint="default"/>
          <w:spacing w:val="-3"/>
        </w:rPr>
        <w:t> </w:t>
      </w:r>
      <w:r>
        <w:rPr/>
        <w:t>元分配给本公司。</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372" w:lineRule="auto" w:before="0"/>
        <w:ind w:left="597" w:right="113" w:hanging="460"/>
        <w:jc w:val="left"/>
      </w:pPr>
      <w:r>
        <w:rPr/>
        <w:t>（九）</w:t>
      </w:r>
      <w:r>
        <w:rPr>
          <w:spacing w:val="-87"/>
        </w:rPr>
        <w:t> </w:t>
      </w:r>
      <w:r>
        <w:rPr/>
        <w:t>公司控制的特殊目的主体情况</w:t>
      </w:r>
      <w:r>
        <w:rPr>
          <w:w w:val="100"/>
        </w:rPr>
        <w:t> </w:t>
      </w:r>
      <w:r>
        <w:rPr>
          <w:spacing w:val="-1"/>
        </w:rPr>
        <w:t>报告期内，公司不存在公司控制下的特殊目的主体。</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Heading5"/>
        <w:spacing w:line="240" w:lineRule="auto"/>
        <w:ind w:left="137" w:right="113"/>
        <w:jc w:val="left"/>
        <w:rPr>
          <w:b w:val="0"/>
          <w:bCs w:val="0"/>
        </w:rPr>
      </w:pPr>
      <w:r>
        <w:rPr/>
        <w:t>二、公司未来发展展望</w:t>
      </w:r>
      <w:r>
        <w:rPr>
          <w:b w:val="0"/>
          <w:bCs w:val="0"/>
        </w:rPr>
      </w:r>
    </w:p>
    <w:p>
      <w:pPr>
        <w:pStyle w:val="BodyText"/>
        <w:spacing w:line="372" w:lineRule="auto" w:before="167"/>
        <w:ind w:left="597" w:right="113" w:hanging="460"/>
        <w:jc w:val="left"/>
        <w:rPr>
          <w:rFonts w:ascii="Times New Roman" w:hAnsi="Times New Roman" w:cs="Times New Roman" w:eastAsia="Times New Roman" w:hint="default"/>
        </w:rPr>
      </w:pPr>
      <w:r>
        <w:rPr/>
        <w:t>（一）</w:t>
      </w:r>
      <w:r>
        <w:rPr>
          <w:spacing w:val="-87"/>
        </w:rPr>
        <w:t> </w:t>
      </w:r>
      <w:r>
        <w:rPr/>
        <w:t>外部经营环境发展现状和变化趋势</w:t>
      </w:r>
      <w:r>
        <w:rPr>
          <w:w w:val="100"/>
        </w:rPr>
        <w:t> </w:t>
      </w:r>
      <w:r>
        <w:rPr/>
        <w:t>公司属于计算机应用服务业中的软件行业、金融信息化行业。</w:t>
      </w:r>
      <w:r>
        <w:rPr>
          <w:w w:val="100"/>
        </w:rPr>
        <w:t> </w:t>
      </w:r>
      <w:r>
        <w:rPr/>
        <w:t>软件产业是国家战略性新兴产业，是国民经济和社会信息化的重要基础。</w:t>
      </w:r>
      <w:r>
        <w:rPr>
          <w:rFonts w:ascii="Times New Roman" w:hAnsi="Times New Roman" w:cs="Times New Roman" w:eastAsia="Times New Roman" w:hint="default"/>
        </w:rPr>
        <w:t>2011</w:t>
      </w:r>
    </w:p>
    <w:p>
      <w:pPr>
        <w:pStyle w:val="BodyText"/>
        <w:spacing w:line="360" w:lineRule="auto" w:before="9"/>
        <w:ind w:right="115"/>
        <w:jc w:val="left"/>
      </w:pPr>
      <w:r>
        <w:rPr>
          <w:w w:val="100"/>
        </w:rPr>
        <w:t>年</w:t>
      </w:r>
      <w:r>
        <w:rPr>
          <w:spacing w:val="-56"/>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6"/>
          <w:w w:val="100"/>
        </w:rPr>
        <w:t> </w:t>
      </w:r>
      <w:r>
        <w:rPr>
          <w:rFonts w:ascii="Times New Roman" w:hAnsi="Times New Roman" w:cs="Times New Roman" w:eastAsia="Times New Roman" w:hint="default"/>
          <w:spacing w:val="-1"/>
          <w:w w:val="100"/>
        </w:rPr>
        <w:t>28</w:t>
      </w:r>
      <w:r>
        <w:rPr>
          <w:rFonts w:ascii="Times New Roman" w:hAnsi="Times New Roman" w:cs="Times New Roman" w:eastAsia="Times New Roman" w:hint="default"/>
          <w:w w:val="100"/>
        </w:rPr>
        <w:t> </w:t>
      </w:r>
      <w:r>
        <w:rPr>
          <w:spacing w:val="-7"/>
          <w:w w:val="100"/>
        </w:rPr>
        <w:t>日，国务院印发了《进一步鼓励软件产业和集成电路产业发展的若干政策》</w:t>
      </w:r>
      <w:r>
        <w:rPr>
          <w:w w:val="100"/>
        </w:rPr>
        <w:t> </w:t>
      </w:r>
      <w:r>
        <w:rPr>
          <w:spacing w:val="-2"/>
          <w:w w:val="100"/>
        </w:rPr>
        <w:t>的通知（国发</w:t>
      </w:r>
      <w:r>
        <w:rPr>
          <w:rFonts w:ascii="Times New Roman" w:hAnsi="Times New Roman" w:cs="Times New Roman" w:eastAsia="Times New Roman" w:hint="default"/>
          <w:spacing w:val="-2"/>
          <w:w w:val="100"/>
        </w:rPr>
        <w:t>[2011]4</w:t>
      </w:r>
      <w:r>
        <w:rPr>
          <w:rFonts w:ascii="Times New Roman" w:hAnsi="Times New Roman" w:cs="Times New Roman" w:eastAsia="Times New Roman" w:hint="default"/>
          <w:w w:val="100"/>
        </w:rPr>
        <w:t> </w:t>
      </w:r>
      <w:r>
        <w:rPr>
          <w:spacing w:val="-5"/>
          <w:w w:val="100"/>
        </w:rPr>
        <w:t>号），进一步优化软件产业发展环境，提高产业发展质量和水</w:t>
      </w:r>
      <w:r>
        <w:rPr>
          <w:spacing w:val="-98"/>
          <w:w w:val="100"/>
        </w:rPr>
        <w:t> </w:t>
      </w:r>
      <w:r>
        <w:rPr>
          <w:spacing w:val="-98"/>
          <w:w w:val="100"/>
        </w:rPr>
      </w:r>
      <w:r>
        <w:rPr/>
        <w:t>平，培育一批有实力和影响力的行业领先企业。公司是国家规划布局内的重点软件</w:t>
      </w:r>
      <w:r>
        <w:rPr>
          <w:spacing w:val="-87"/>
        </w:rPr>
        <w:t> </w:t>
      </w:r>
      <w:r>
        <w:rPr>
          <w:spacing w:val="-87"/>
        </w:rPr>
      </w:r>
      <w:r>
        <w:rPr>
          <w:spacing w:val="-4"/>
        </w:rPr>
        <w:t>企业，随着国发</w:t>
      </w:r>
      <w:r>
        <w:rPr>
          <w:rFonts w:ascii="Times New Roman" w:hAnsi="Times New Roman" w:cs="Times New Roman" w:eastAsia="Times New Roman" w:hint="default"/>
          <w:spacing w:val="-4"/>
        </w:rPr>
        <w:t>[2011]4</w:t>
      </w:r>
      <w:r>
        <w:rPr>
          <w:rFonts w:ascii="Times New Roman" w:hAnsi="Times New Roman" w:cs="Times New Roman" w:eastAsia="Times New Roman" w:hint="default"/>
          <w:spacing w:val="-22"/>
        </w:rPr>
        <w:t> </w:t>
      </w:r>
      <w:r>
        <w:rPr/>
        <w:t>号文件的执行，公司将继续获得国家对于软件企业的扶持和</w:t>
      </w:r>
    </w:p>
    <w:p>
      <w:pPr>
        <w:spacing w:after="0" w:line="360" w:lineRule="auto"/>
        <w:jc w:val="left"/>
        <w:sectPr>
          <w:pgSz w:w="11910" w:h="16840"/>
          <w:pgMar w:header="877" w:footer="982" w:top="1100" w:bottom="1180" w:left="1660" w:right="1560"/>
        </w:sectPr>
      </w:pPr>
    </w:p>
    <w:p>
      <w:pPr>
        <w:spacing w:line="240" w:lineRule="auto" w:before="12"/>
        <w:rPr>
          <w:rFonts w:ascii="宋体" w:hAnsi="宋体" w:cs="宋体" w:eastAsia="宋体" w:hint="default"/>
          <w:sz w:val="25"/>
          <w:szCs w:val="25"/>
        </w:rPr>
      </w:pPr>
    </w:p>
    <w:p>
      <w:pPr>
        <w:pStyle w:val="BodyText"/>
        <w:spacing w:line="372" w:lineRule="auto"/>
        <w:ind w:right="113"/>
        <w:jc w:val="left"/>
      </w:pPr>
      <w:r>
        <w:rPr/>
        <w:t>优惠政策支持，包括继续享受软件增值税优惠政策，进一步享受营业税优惠政策，</w:t>
      </w:r>
      <w:r>
        <w:rPr>
          <w:spacing w:val="-87"/>
        </w:rPr>
        <w:t> </w:t>
      </w:r>
      <w:r>
        <w:rPr>
          <w:spacing w:val="-87"/>
        </w:rPr>
      </w:r>
      <w:r>
        <w:rPr/>
        <w:t>继续享受企业所得税的优惠税率，在国家鼓励、支持软件企业通过资源整合做大做</w:t>
      </w:r>
      <w:r>
        <w:rPr>
          <w:spacing w:val="-87"/>
        </w:rPr>
        <w:t> </w:t>
      </w:r>
      <w:r>
        <w:rPr>
          <w:spacing w:val="-87"/>
        </w:rPr>
      </w:r>
      <w:r>
        <w:rPr>
          <w:spacing w:val="-3"/>
        </w:rPr>
        <w:t>强的政策环境下，更加顺利地实施重组并购，以及其他人才引进和知识产权保护等。</w:t>
      </w:r>
      <w:r>
        <w:rPr>
          <w:spacing w:val="-97"/>
        </w:rPr>
        <w:t> </w:t>
      </w:r>
      <w:r>
        <w:rPr>
          <w:spacing w:val="-97"/>
        </w:rPr>
      </w:r>
      <w:r>
        <w:rPr/>
        <w:t>这些政策的出台和执行，为公司创造了良好的经营环境，并将在较长时期内得到保</w:t>
      </w:r>
      <w:r>
        <w:rPr>
          <w:spacing w:val="-87"/>
        </w:rPr>
        <w:t> </w:t>
      </w:r>
      <w:r>
        <w:rPr>
          <w:spacing w:val="-87"/>
        </w:rPr>
      </w:r>
      <w:r>
        <w:rPr/>
        <w:t>持。</w:t>
      </w:r>
    </w:p>
    <w:p>
      <w:pPr>
        <w:pStyle w:val="BodyText"/>
        <w:spacing w:line="364" w:lineRule="auto" w:before="40"/>
        <w:ind w:right="113" w:firstLine="459"/>
        <w:jc w:val="left"/>
      </w:pPr>
      <w:r>
        <w:rPr/>
        <w:t>另一方面，金融信息化行业有广泛的发展前景。金融行业是现代经济的支柱行</w:t>
      </w:r>
      <w:r>
        <w:rPr>
          <w:w w:val="100"/>
        </w:rPr>
        <w:t> </w:t>
      </w:r>
      <w:r>
        <w:rPr>
          <w:spacing w:val="-4"/>
        </w:rPr>
        <w:t>业，而金融行业也一直以来是在</w:t>
      </w:r>
      <w:r>
        <w:rPr>
          <w:spacing w:val="-50"/>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spacing w:val="-3"/>
        </w:rPr>
        <w:t>方面投入最大的行业之一，信息化成为引领金融</w:t>
      </w:r>
      <w:r>
        <w:rPr>
          <w:spacing w:val="-93"/>
        </w:rPr>
        <w:t> </w:t>
      </w:r>
      <w:r>
        <w:rPr>
          <w:spacing w:val="-93"/>
        </w:rPr>
      </w:r>
      <w:r>
        <w:rPr/>
        <w:t>行业现代化建设的重要手段。虽然中国金融信息化建设已经经过了多年的发展，取</w:t>
      </w:r>
      <w:r>
        <w:rPr>
          <w:spacing w:val="-87"/>
        </w:rPr>
        <w:t> </w:t>
      </w:r>
      <w:r>
        <w:rPr>
          <w:spacing w:val="-87"/>
        </w:rPr>
      </w:r>
      <w:r>
        <w:rPr>
          <w:spacing w:val="-3"/>
        </w:rPr>
        <w:t>得了长足的进步，但与国外发达国家相比，仍然存在很大的差距。据《计算机世界》</w:t>
      </w:r>
      <w:r>
        <w:rPr>
          <w:spacing w:val="-99"/>
        </w:rPr>
        <w:t> </w:t>
      </w:r>
      <w:r>
        <w:rPr>
          <w:spacing w:val="-99"/>
        </w:rPr>
      </w:r>
      <w:r>
        <w:rPr/>
        <w:t>的报道，中国银行业</w:t>
      </w:r>
      <w:r>
        <w:rPr>
          <w:spacing w:val="-62"/>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投入只占营业收入的</w:t>
      </w:r>
      <w:r>
        <w:rPr>
          <w:spacing w:val="-62"/>
        </w:rPr>
        <w:t> </w:t>
      </w:r>
      <w:r>
        <w:rPr>
          <w:rFonts w:ascii="Times New Roman" w:hAnsi="Times New Roman" w:cs="Times New Roman" w:eastAsia="Times New Roman" w:hint="default"/>
        </w:rPr>
        <w:t>2.2%</w:t>
      </w:r>
      <w:r>
        <w:rPr/>
        <w:t>，而美国银行业</w:t>
      </w:r>
      <w:r>
        <w:rPr>
          <w:spacing w:val="-62"/>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投入占营业收</w:t>
      </w:r>
      <w:r>
        <w:rPr>
          <w:w w:val="100"/>
        </w:rPr>
        <w:t> </w:t>
      </w:r>
      <w:r>
        <w:rPr/>
        <w:t>入的比例达</w:t>
      </w:r>
      <w:r>
        <w:rPr>
          <w:spacing w:val="-56"/>
        </w:rPr>
        <w:t> </w:t>
      </w:r>
      <w:r>
        <w:rPr>
          <w:rFonts w:ascii="Times New Roman" w:hAnsi="Times New Roman" w:cs="Times New Roman" w:eastAsia="Times New Roman" w:hint="default"/>
        </w:rPr>
        <w:t>6.5%</w:t>
      </w:r>
      <w:r>
        <w:rPr/>
        <w:t>。美国</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年度前十名金融</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企业的营业收入在</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亿美元至</w:t>
      </w:r>
      <w:r>
        <w:rPr>
          <w:spacing w:val="-55"/>
        </w:rPr>
        <w:t> </w:t>
      </w:r>
      <w:r>
        <w:rPr>
          <w:rFonts w:ascii="Times New Roman" w:hAnsi="Times New Roman" w:cs="Times New Roman" w:eastAsia="Times New Roman" w:hint="default"/>
        </w:rPr>
        <w:t>42</w:t>
      </w:r>
      <w:r>
        <w:rPr>
          <w:rFonts w:ascii="Times New Roman" w:hAnsi="Times New Roman" w:cs="Times New Roman" w:eastAsia="Times New Roman" w:hint="default"/>
          <w:w w:val="100"/>
        </w:rPr>
        <w:t> </w:t>
      </w:r>
      <w:r>
        <w:rPr/>
        <w:t>亿美元之间，而中国这一领域的数据还相差甚远。随着中国经济的不断发展，国内</w:t>
      </w:r>
      <w:r>
        <w:rPr>
          <w:spacing w:val="-87"/>
        </w:rPr>
        <w:t> </w:t>
      </w:r>
      <w:r>
        <w:rPr>
          <w:spacing w:val="-87"/>
        </w:rPr>
      </w:r>
      <w:r>
        <w:rPr/>
        <w:t>金融信息化行业也大有可为。</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7"/>
          <w:szCs w:val="17"/>
        </w:rPr>
      </w:pPr>
    </w:p>
    <w:p>
      <w:pPr>
        <w:pStyle w:val="BodyText"/>
        <w:spacing w:line="372" w:lineRule="auto" w:before="0"/>
        <w:ind w:left="597" w:right="113" w:hanging="460"/>
        <w:jc w:val="left"/>
      </w:pPr>
      <w:r>
        <w:rPr/>
        <w:t>（二）</w:t>
      </w:r>
      <w:r>
        <w:rPr>
          <w:spacing w:val="-87"/>
        </w:rPr>
        <w:t> </w:t>
      </w:r>
      <w:r>
        <w:rPr/>
        <w:t>市场格局及变化趋势</w:t>
      </w:r>
      <w:r>
        <w:rPr>
          <w:w w:val="100"/>
        </w:rPr>
        <w:t> </w:t>
      </w:r>
      <w:r>
        <w:rPr/>
        <w:t>报告期内公司主营业务稳定增长。从经营区域来看，仍然保持了全国各区域比</w:t>
      </w:r>
    </w:p>
    <w:p>
      <w:pPr>
        <w:pStyle w:val="BodyText"/>
        <w:spacing w:line="362" w:lineRule="auto" w:before="40"/>
        <w:ind w:right="232"/>
        <w:jc w:val="both"/>
      </w:pPr>
      <w:r>
        <w:rPr/>
        <w:t>较全面、平衡的发展，大部分经营区域呈现业务增长的势态。尤其是华东、华中地</w:t>
      </w:r>
      <w:r>
        <w:rPr>
          <w:spacing w:val="-87"/>
        </w:rPr>
        <w:t> </w:t>
      </w:r>
      <w:r>
        <w:rPr>
          <w:spacing w:val="-87"/>
        </w:rPr>
      </w:r>
      <w:r>
        <w:rPr/>
        <w:t>区分别实现了</w:t>
      </w:r>
      <w:r>
        <w:rPr>
          <w:spacing w:val="-65"/>
        </w:rPr>
        <w:t> </w:t>
      </w:r>
      <w:r>
        <w:rPr>
          <w:rFonts w:ascii="Times New Roman" w:hAnsi="Times New Roman" w:cs="Times New Roman" w:eastAsia="Times New Roman" w:hint="default"/>
        </w:rPr>
        <w:t>72.70%</w:t>
      </w:r>
      <w:r>
        <w:rPr/>
        <w:t>和</w:t>
      </w:r>
      <w:r>
        <w:rPr>
          <w:spacing w:val="-65"/>
        </w:rPr>
        <w:t> </w:t>
      </w:r>
      <w:r>
        <w:rPr>
          <w:rFonts w:ascii="Times New Roman" w:hAnsi="Times New Roman" w:cs="Times New Roman" w:eastAsia="Times New Roman" w:hint="default"/>
        </w:rPr>
        <w:t>140.53%</w:t>
      </w:r>
      <w:r>
        <w:rPr/>
        <w:t>的业务增长；从产品线角度来看，公司电脑验印系</w:t>
      </w:r>
      <w:r>
        <w:rPr>
          <w:w w:val="100"/>
        </w:rPr>
        <w:t> </w:t>
      </w:r>
      <w:r>
        <w:rPr>
          <w:spacing w:val="-3"/>
        </w:rPr>
        <w:t>统、票据影像处理软件、远程影像授权等软件产品仍然保持了</w:t>
      </w:r>
      <w:r>
        <w:rPr>
          <w:spacing w:val="-40"/>
        </w:rPr>
        <w:t> </w:t>
      </w:r>
      <w:r>
        <w:rPr>
          <w:rFonts w:ascii="Times New Roman" w:hAnsi="Times New Roman" w:cs="Times New Roman" w:eastAsia="Times New Roman" w:hint="default"/>
        </w:rPr>
        <w:t>59.10%</w:t>
      </w:r>
      <w:r>
        <w:rPr/>
        <w:t>的较大幅度的</w:t>
      </w:r>
      <w:r>
        <w:rPr>
          <w:spacing w:val="-109"/>
        </w:rPr>
        <w:t> </w:t>
      </w:r>
      <w:r>
        <w:rPr>
          <w:spacing w:val="-109"/>
        </w:rPr>
      </w:r>
      <w:r>
        <w:rPr/>
        <w:t>增长。随着公司加强在新产品开发上的重视和投入，正在研发的新产品陆续推向市</w:t>
      </w:r>
      <w:r>
        <w:rPr>
          <w:spacing w:val="-87"/>
        </w:rPr>
        <w:t> </w:t>
      </w:r>
      <w:r>
        <w:rPr>
          <w:spacing w:val="-87"/>
        </w:rPr>
      </w:r>
      <w:r>
        <w:rPr/>
        <w:t>场，将进一步为公司带来经营业绩的提升。</w:t>
      </w:r>
    </w:p>
    <w:p>
      <w:pPr>
        <w:pStyle w:val="BodyText"/>
        <w:spacing w:line="364" w:lineRule="auto" w:before="49"/>
        <w:ind w:right="232" w:firstLine="459"/>
        <w:jc w:val="both"/>
      </w:pPr>
      <w:r>
        <w:rPr/>
        <w:t>另一方面，公司各产品线的毛利润率由于产品售价行业规律性地下调，以及软</w:t>
      </w:r>
      <w:r>
        <w:rPr>
          <w:w w:val="100"/>
        </w:rPr>
        <w:t> </w:t>
      </w:r>
      <w:r>
        <w:rPr/>
        <w:t>件项目人力成本的增加，而略呈下降的趋势。报告期内软件产品和定制软件开发业</w:t>
      </w:r>
      <w:r>
        <w:rPr>
          <w:spacing w:val="-87"/>
        </w:rPr>
        <w:t> </w:t>
      </w:r>
      <w:r>
        <w:rPr>
          <w:spacing w:val="-87"/>
        </w:rPr>
      </w:r>
      <w:r>
        <w:rPr/>
        <w:t>务的毛利润率分别下降了</w:t>
      </w:r>
      <w:r>
        <w:rPr>
          <w:spacing w:val="-57"/>
        </w:rPr>
        <w:t> </w:t>
      </w:r>
      <w:r>
        <w:rPr>
          <w:rFonts w:ascii="Times New Roman" w:hAnsi="Times New Roman" w:cs="Times New Roman" w:eastAsia="Times New Roman" w:hint="default"/>
        </w:rPr>
        <w:t>5.15</w:t>
      </w:r>
      <w:r>
        <w:rPr>
          <w:rFonts w:ascii="Times New Roman" w:hAnsi="Times New Roman" w:cs="Times New Roman" w:eastAsia="Times New Roman" w:hint="default"/>
          <w:spacing w:val="1"/>
        </w:rPr>
        <w:t> </w:t>
      </w:r>
      <w:r>
        <w:rPr/>
        <w:t>个百分点和</w:t>
      </w:r>
      <w:r>
        <w:rPr>
          <w:spacing w:val="-57"/>
        </w:rPr>
        <w:t> </w:t>
      </w:r>
      <w:r>
        <w:rPr>
          <w:rFonts w:ascii="Times New Roman" w:hAnsi="Times New Roman" w:cs="Times New Roman" w:eastAsia="Times New Roman" w:hint="default"/>
        </w:rPr>
        <w:t>7.71</w:t>
      </w:r>
      <w:r>
        <w:rPr>
          <w:rFonts w:ascii="Times New Roman" w:hAnsi="Times New Roman" w:cs="Times New Roman" w:eastAsia="Times New Roman" w:hint="default"/>
          <w:spacing w:val="-2"/>
        </w:rPr>
        <w:t> </w:t>
      </w:r>
      <w:r>
        <w:rPr>
          <w:spacing w:val="-6"/>
        </w:rPr>
        <w:t>个百分点。但由于公司加强了软件标</w:t>
      </w:r>
      <w:r>
        <w:rPr>
          <w:w w:val="100"/>
        </w:rPr>
        <w:t> </w:t>
      </w:r>
      <w:r>
        <w:rPr/>
        <w:t>准化的技术改进，产品化的软件收入增长，因此公司主营业务的整体毛利润率仅下</w:t>
      </w:r>
      <w:r>
        <w:rPr>
          <w:spacing w:val="-87"/>
        </w:rPr>
        <w:t> </w:t>
      </w:r>
      <w:r>
        <w:rPr>
          <w:spacing w:val="-87"/>
        </w:rPr>
      </w:r>
      <w:r>
        <w:rPr/>
        <w:t>降了</w:t>
      </w:r>
      <w:r>
        <w:rPr>
          <w:spacing w:val="-74"/>
        </w:rPr>
        <w:t> </w:t>
      </w:r>
      <w:r>
        <w:rPr>
          <w:rFonts w:ascii="Times New Roman" w:hAnsi="Times New Roman" w:cs="Times New Roman" w:eastAsia="Times New Roman" w:hint="default"/>
        </w:rPr>
        <w:t>0.66</w:t>
      </w:r>
      <w:r>
        <w:rPr>
          <w:rFonts w:ascii="Times New Roman" w:hAnsi="Times New Roman" w:cs="Times New Roman" w:eastAsia="Times New Roman" w:hint="default"/>
          <w:spacing w:val="-17"/>
        </w:rPr>
        <w:t> </w:t>
      </w:r>
      <w:r>
        <w:rPr/>
        <w:t>个百分点。今后公司仍将加强产品标准化的工作，避免主营业务毛利率出</w:t>
      </w:r>
      <w:r>
        <w:rPr>
          <w:w w:val="100"/>
        </w:rPr>
        <w:t> </w:t>
      </w:r>
      <w:r>
        <w:rPr/>
        <w:t>现较大幅度的下滑。</w:t>
      </w:r>
    </w:p>
    <w:p>
      <w:pPr>
        <w:pStyle w:val="BodyText"/>
        <w:spacing w:line="372" w:lineRule="auto" w:before="47"/>
        <w:ind w:right="232" w:firstLine="459"/>
        <w:jc w:val="both"/>
      </w:pPr>
      <w:r>
        <w:rPr/>
        <w:t>报告期内，随着公司核心产品销售收入的增长以及市场开拓产生的客户数量的</w:t>
      </w:r>
      <w:r>
        <w:rPr>
          <w:w w:val="100"/>
        </w:rPr>
        <w:t> </w:t>
      </w:r>
      <w:r>
        <w:rPr/>
        <w:t>进一步增加，尤其是公司上市以后在行业内品牌形象的大幅提升，公司在行业领先</w:t>
      </w:r>
      <w:r>
        <w:rPr>
          <w:spacing w:val="-87"/>
        </w:rPr>
        <w:t> </w:t>
      </w:r>
      <w:r>
        <w:rPr>
          <w:spacing w:val="-87"/>
        </w:rPr>
      </w:r>
      <w:r>
        <w:rPr/>
        <w:t>的市场地位得到进一步的巩固和加强。同时，随着产品线的逐步拓宽，公司在新的</w:t>
      </w:r>
    </w:p>
    <w:p>
      <w:pPr>
        <w:spacing w:after="0" w:line="372" w:lineRule="auto"/>
        <w:jc w:val="both"/>
        <w:sectPr>
          <w:pgSz w:w="11910" w:h="16840"/>
          <w:pgMar w:header="877" w:footer="982" w:top="1100" w:bottom="1180" w:left="1660" w:right="1560"/>
        </w:sectPr>
      </w:pPr>
    </w:p>
    <w:p>
      <w:pPr>
        <w:spacing w:line="240" w:lineRule="auto" w:before="12"/>
        <w:rPr>
          <w:rFonts w:ascii="宋体" w:hAnsi="宋体" w:cs="宋体" w:eastAsia="宋体" w:hint="default"/>
          <w:sz w:val="25"/>
          <w:szCs w:val="25"/>
        </w:rPr>
      </w:pPr>
    </w:p>
    <w:p>
      <w:pPr>
        <w:pStyle w:val="BodyText"/>
        <w:spacing w:line="372" w:lineRule="auto"/>
        <w:ind w:right="233"/>
        <w:jc w:val="both"/>
      </w:pPr>
      <w:r>
        <w:rPr/>
        <w:t>产品市场上也面临着更多的市场竞争者。比如，在远程影像授权产品市场上，江苏</w:t>
      </w:r>
      <w:r>
        <w:rPr>
          <w:spacing w:val="-87"/>
        </w:rPr>
        <w:t> </w:t>
      </w:r>
      <w:r>
        <w:rPr>
          <w:spacing w:val="-87"/>
        </w:rPr>
      </w:r>
      <w:r>
        <w:rPr/>
        <w:t>国光、福州节点等厂商是公司新的竞争对手。但从银行影像应用类产品的细分市场</w:t>
      </w:r>
      <w:r>
        <w:rPr>
          <w:spacing w:val="-87"/>
        </w:rPr>
        <w:t> </w:t>
      </w:r>
      <w:r>
        <w:rPr>
          <w:spacing w:val="-87"/>
        </w:rPr>
      </w:r>
      <w:r>
        <w:rPr/>
        <w:t>整体来看，公司仍然在产品线和解决方案完整性、客户数量、成功案例、品牌等方</w:t>
      </w:r>
      <w:r>
        <w:rPr>
          <w:spacing w:val="-87"/>
        </w:rPr>
        <w:t> </w:t>
      </w:r>
      <w:r>
        <w:rPr>
          <w:spacing w:val="-87"/>
        </w:rPr>
      </w:r>
      <w:r>
        <w:rPr/>
        <w:t>面具有综合的优势。</w:t>
      </w:r>
    </w:p>
    <w:p>
      <w:pPr>
        <w:pStyle w:val="BodyText"/>
        <w:spacing w:line="367" w:lineRule="auto" w:before="40"/>
        <w:ind w:right="112" w:firstLine="459"/>
        <w:jc w:val="left"/>
      </w:pPr>
      <w:r>
        <w:rPr/>
        <w:t>截止报告期末，公司员工人数为</w:t>
      </w:r>
      <w:r>
        <w:rPr>
          <w:spacing w:val="-60"/>
        </w:rPr>
        <w:t> </w:t>
      </w:r>
      <w:r>
        <w:rPr>
          <w:rFonts w:ascii="Times New Roman" w:hAnsi="Times New Roman" w:cs="Times New Roman" w:eastAsia="Times New Roman" w:hint="default"/>
        </w:rPr>
        <w:t>356</w:t>
      </w:r>
      <w:r>
        <w:rPr>
          <w:rFonts w:ascii="Times New Roman" w:hAnsi="Times New Roman" w:cs="Times New Roman" w:eastAsia="Times New Roman" w:hint="default"/>
          <w:spacing w:val="-1"/>
        </w:rPr>
        <w:t> </w:t>
      </w:r>
      <w:r>
        <w:rPr>
          <w:spacing w:val="-3"/>
        </w:rPr>
        <w:t>人，较上年期末增加</w:t>
      </w:r>
      <w:r>
        <w:rPr>
          <w:spacing w:val="-60"/>
        </w:rPr>
        <w:t> </w:t>
      </w:r>
      <w:r>
        <w:rPr>
          <w:rFonts w:ascii="Times New Roman" w:hAnsi="Times New Roman" w:cs="Times New Roman" w:eastAsia="Times New Roman" w:hint="default"/>
        </w:rPr>
        <w:t>67</w:t>
      </w:r>
      <w:r>
        <w:rPr>
          <w:rFonts w:ascii="Times New Roman" w:hAnsi="Times New Roman" w:cs="Times New Roman" w:eastAsia="Times New Roman" w:hint="default"/>
          <w:spacing w:val="-1"/>
        </w:rPr>
        <w:t> </w:t>
      </w:r>
      <w:r>
        <w:rPr>
          <w:spacing w:val="-5"/>
        </w:rPr>
        <w:t>人，增长</w:t>
      </w:r>
      <w:r>
        <w:rPr>
          <w:spacing w:val="-59"/>
        </w:rPr>
        <w:t> </w:t>
      </w:r>
      <w:r>
        <w:rPr>
          <w:rFonts w:ascii="Times New Roman" w:hAnsi="Times New Roman" w:cs="Times New Roman" w:eastAsia="Times New Roman" w:hint="default"/>
        </w:rPr>
        <w:t>23.18%</w:t>
      </w:r>
      <w:r>
        <w:rPr/>
        <w:t>，</w:t>
      </w:r>
      <w:r>
        <w:rPr>
          <w:w w:val="100"/>
        </w:rPr>
        <w:t> </w:t>
      </w:r>
      <w:r>
        <w:rPr/>
        <w:t>增加的人员主要是技术人员。目前公司核心技术人员稳定，公司将通过建立和完善</w:t>
      </w:r>
      <w:r>
        <w:rPr>
          <w:spacing w:val="-87"/>
        </w:rPr>
        <w:t> </w:t>
      </w:r>
      <w:r>
        <w:rPr>
          <w:spacing w:val="-87"/>
        </w:rPr>
      </w:r>
      <w:r>
        <w:rPr/>
        <w:t>科学的人力资源管理体系，一方面引进和留住人才，为员工创造良好的工作环境和</w:t>
      </w:r>
      <w:r>
        <w:rPr>
          <w:spacing w:val="-87"/>
        </w:rPr>
        <w:t> </w:t>
      </w:r>
      <w:r>
        <w:rPr>
          <w:spacing w:val="-87"/>
        </w:rPr>
      </w:r>
      <w:r>
        <w:rPr/>
        <w:t>职业发展通道，另一方面加强绩效管理，提升公司整体的组织效率，推动公司业务</w:t>
      </w:r>
      <w:r>
        <w:rPr>
          <w:spacing w:val="-87"/>
        </w:rPr>
        <w:t> </w:t>
      </w:r>
      <w:r>
        <w:rPr>
          <w:spacing w:val="-87"/>
        </w:rPr>
      </w:r>
      <w:r>
        <w:rPr/>
        <w:t>持续、健康发展。</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7"/>
          <w:szCs w:val="17"/>
        </w:rPr>
      </w:pPr>
    </w:p>
    <w:p>
      <w:pPr>
        <w:pStyle w:val="BodyText"/>
        <w:spacing w:line="240" w:lineRule="auto" w:before="0"/>
        <w:ind w:right="0"/>
        <w:jc w:val="both"/>
      </w:pPr>
      <w:r>
        <w:rPr/>
        <w:t>（三）</w:t>
      </w:r>
      <w:r>
        <w:rPr>
          <w:spacing w:val="-90"/>
        </w:rPr>
        <w:t> </w:t>
      </w:r>
      <w:r>
        <w:rPr/>
        <w:t>公司未来发展的风险因素</w:t>
      </w:r>
    </w:p>
    <w:p>
      <w:pPr>
        <w:pStyle w:val="BodyText"/>
        <w:spacing w:line="352" w:lineRule="auto" w:before="167"/>
        <w:ind w:left="597" w:right="113"/>
        <w:jc w:val="left"/>
      </w:pPr>
      <w:r>
        <w:rPr>
          <w:rFonts w:ascii="Times New Roman" w:hAnsi="Times New Roman" w:cs="Times New Roman" w:eastAsia="Times New Roman" w:hint="default"/>
        </w:rPr>
        <w:t>1</w:t>
      </w:r>
      <w:r>
        <w:rPr/>
        <w:t>．市场竞争风险</w:t>
      </w:r>
      <w:r>
        <w:rPr>
          <w:spacing w:val="-102"/>
        </w:rPr>
        <w:t> </w:t>
      </w:r>
      <w:r>
        <w:rPr>
          <w:spacing w:val="-102"/>
        </w:rPr>
      </w:r>
      <w:r>
        <w:rPr/>
        <w:t>公司主营业务一直专注于银行影像应用软件领域，目前在领域中由于技术和市</w:t>
      </w:r>
    </w:p>
    <w:p>
      <w:pPr>
        <w:pStyle w:val="BodyText"/>
        <w:spacing w:line="372" w:lineRule="auto" w:before="59"/>
        <w:ind w:right="233"/>
        <w:jc w:val="both"/>
      </w:pPr>
      <w:r>
        <w:rPr/>
        <w:t>场进入门槛的原因，竞争对手主要是公司在招股说明书中列示的几家厂商。但随着</w:t>
      </w:r>
      <w:r>
        <w:rPr>
          <w:spacing w:val="-87"/>
        </w:rPr>
        <w:t> </w:t>
      </w:r>
      <w:r>
        <w:rPr>
          <w:spacing w:val="-87"/>
        </w:rPr>
      </w:r>
      <w:r>
        <w:rPr/>
        <w:t>公司产品线逐步拓宽，业务向更广阔的金融信息化领域拓展，公司新的产品或服务</w:t>
      </w:r>
      <w:r>
        <w:rPr>
          <w:spacing w:val="-87"/>
        </w:rPr>
        <w:t> </w:t>
      </w:r>
      <w:r>
        <w:rPr>
          <w:spacing w:val="-87"/>
        </w:rPr>
      </w:r>
      <w:r>
        <w:rPr/>
        <w:t>可能将面临更多的市场竞争者，甚至是来自国外的竞争对手，这将使公司未来面临</w:t>
      </w:r>
      <w:r>
        <w:rPr>
          <w:spacing w:val="-87"/>
        </w:rPr>
        <w:t> </w:t>
      </w:r>
      <w:r>
        <w:rPr>
          <w:spacing w:val="-87"/>
        </w:rPr>
      </w:r>
      <w:r>
        <w:rPr/>
        <w:t>的市场竞争更加激烈。市场竞争的日趋激烈，将可能影响公司未来的盈利能力。</w:t>
      </w:r>
    </w:p>
    <w:p>
      <w:pPr>
        <w:pStyle w:val="BodyText"/>
        <w:spacing w:line="352" w:lineRule="auto" w:before="40"/>
        <w:ind w:left="597" w:right="113"/>
        <w:jc w:val="left"/>
      </w:pPr>
      <w:r>
        <w:rPr>
          <w:rFonts w:ascii="Times New Roman" w:hAnsi="Times New Roman" w:cs="Times New Roman" w:eastAsia="Times New Roman" w:hint="default"/>
        </w:rPr>
        <w:t>2</w:t>
      </w:r>
      <w:r>
        <w:rPr/>
        <w:t>．产品价格风险</w:t>
      </w:r>
      <w:r>
        <w:rPr>
          <w:spacing w:val="-102"/>
        </w:rPr>
        <w:t> </w:t>
      </w:r>
      <w:r>
        <w:rPr>
          <w:spacing w:val="-102"/>
        </w:rPr>
      </w:r>
      <w:r>
        <w:rPr>
          <w:spacing w:val="-4"/>
        </w:rPr>
        <w:t>公司主要为银行提供软件产品和技术服务。银行客户的采购决策程序比较规范，</w:t>
      </w:r>
    </w:p>
    <w:p>
      <w:pPr>
        <w:pStyle w:val="BodyText"/>
        <w:spacing w:line="372" w:lineRule="auto" w:before="59"/>
        <w:ind w:right="233"/>
        <w:jc w:val="both"/>
      </w:pPr>
      <w:r>
        <w:rPr/>
        <w:t>对于新项目或者金额比较大的项目一般采取招投标的方式进行采购，这将进一步加</w:t>
      </w:r>
      <w:r>
        <w:rPr>
          <w:spacing w:val="-87"/>
        </w:rPr>
        <w:t> </w:t>
      </w:r>
      <w:r>
        <w:rPr>
          <w:spacing w:val="-87"/>
        </w:rPr>
      </w:r>
      <w:r>
        <w:rPr/>
        <w:t>剧厂商间的竞争，降低产品的价格。如果公司产品价格的降低幅度较大，将可能影</w:t>
      </w:r>
      <w:r>
        <w:rPr>
          <w:spacing w:val="-87"/>
        </w:rPr>
        <w:t> </w:t>
      </w:r>
      <w:r>
        <w:rPr>
          <w:spacing w:val="-87"/>
        </w:rPr>
      </w:r>
      <w:r>
        <w:rPr/>
        <w:t>响公司未来的盈利能力。面对产品价格风险对盈利能力可能的影响，公司将采取以</w:t>
      </w:r>
      <w:r>
        <w:rPr>
          <w:spacing w:val="-87"/>
        </w:rPr>
        <w:t> </w:t>
      </w:r>
      <w:r>
        <w:rPr>
          <w:spacing w:val="-87"/>
        </w:rPr>
      </w:r>
      <w:r>
        <w:rPr/>
        <w:t>下措施：一是通过不断改进技术、提高质量和提供更优质的售后服务等措施，实现</w:t>
      </w:r>
      <w:r>
        <w:rPr>
          <w:spacing w:val="-87"/>
        </w:rPr>
        <w:t> </w:t>
      </w:r>
      <w:r>
        <w:rPr>
          <w:spacing w:val="-87"/>
        </w:rPr>
      </w:r>
      <w:r>
        <w:rPr/>
        <w:t>产品和服务的差异化，形成公司产品在市场上的品牌效应；二是努力开拓市场，扩</w:t>
      </w:r>
      <w:r>
        <w:rPr>
          <w:spacing w:val="-87"/>
        </w:rPr>
        <w:t> </w:t>
      </w:r>
      <w:r>
        <w:rPr>
          <w:spacing w:val="-87"/>
        </w:rPr>
      </w:r>
      <w:r>
        <w:rPr/>
        <w:t>大业务规模，提高盈利水平；三是通过加强管理控制材料成本和费用成本。</w:t>
      </w:r>
    </w:p>
    <w:p>
      <w:pPr>
        <w:pStyle w:val="BodyText"/>
        <w:spacing w:line="362" w:lineRule="auto" w:before="40"/>
        <w:ind w:left="597" w:right="4403"/>
        <w:jc w:val="left"/>
      </w:pPr>
      <w:r>
        <w:rPr>
          <w:rFonts w:ascii="Times New Roman" w:hAnsi="Times New Roman" w:cs="Times New Roman" w:eastAsia="Times New Roman" w:hint="default"/>
        </w:rPr>
        <w:t>3</w:t>
      </w:r>
      <w:r>
        <w:rPr/>
        <w:t>．税收优惠风险</w:t>
      </w:r>
      <w:r>
        <w:rPr>
          <w:spacing w:val="-102"/>
        </w:rPr>
        <w:t> </w:t>
      </w:r>
      <w:r>
        <w:rPr>
          <w:spacing w:val="-102"/>
        </w:rPr>
      </w:r>
      <w:r>
        <w:rPr>
          <w:spacing w:val="-1"/>
        </w:rPr>
        <w:t>公司目前享受的税收优惠政策包括：</w:t>
      </w:r>
      <w:r>
        <w:rPr>
          <w:spacing w:val="-105"/>
        </w:rPr>
        <w:t> </w:t>
      </w:r>
      <w:r>
        <w:rPr>
          <w:spacing w:val="-105"/>
        </w:rPr>
      </w:r>
      <w:r>
        <w:rPr>
          <w:rFonts w:ascii="Times New Roman" w:hAnsi="Times New Roman" w:cs="Times New Roman" w:eastAsia="Times New Roman" w:hint="default"/>
        </w:rPr>
        <w:t>1</w:t>
      </w:r>
      <w:r>
        <w:rPr/>
        <w:t>）增值税优惠</w:t>
      </w:r>
    </w:p>
    <w:p>
      <w:pPr>
        <w:pStyle w:val="BodyText"/>
        <w:spacing w:line="372" w:lineRule="auto" w:before="19"/>
        <w:ind w:right="113" w:firstLine="459"/>
        <w:jc w:val="left"/>
      </w:pPr>
      <w:r>
        <w:rPr/>
        <w:t>根据《财政部、国家税务总局、海关总署关于鼓励软件产业和集成电路产业发</w:t>
      </w:r>
      <w:r>
        <w:rPr>
          <w:w w:val="100"/>
        </w:rPr>
        <w:t> </w:t>
      </w:r>
      <w:r>
        <w:rPr/>
        <w:t>展有关税收政策问题的通知》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[2000]25 </w:t>
      </w:r>
      <w:r>
        <w:rPr/>
        <w:t>号</w:t>
      </w:r>
      <w:r>
        <w:rPr>
          <w:rFonts w:ascii="Times New Roman" w:hAnsi="Times New Roman" w:cs="Times New Roman" w:eastAsia="Times New Roman" w:hint="default"/>
        </w:rPr>
        <w:t>)</w:t>
      </w:r>
      <w:r>
        <w:rPr/>
        <w:t>，自</w:t>
      </w:r>
      <w:r>
        <w:rPr>
          <w:spacing w:val="-5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6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日起至</w:t>
      </w:r>
      <w:r>
        <w:rPr>
          <w:spacing w:val="-58"/>
        </w:rPr>
        <w:t> </w:t>
      </w:r>
      <w:r>
        <w:rPr>
          <w:rFonts w:ascii="Times New Roman" w:hAnsi="Times New Roman" w:cs="Times New Roman" w:eastAsia="Times New Roman" w:hint="default"/>
        </w:rPr>
        <w:t>2010 </w:t>
      </w:r>
      <w:r>
        <w:rPr/>
        <w:t>年</w:t>
      </w:r>
    </w:p>
    <w:p>
      <w:pPr>
        <w:spacing w:after="0" w:line="372" w:lineRule="auto"/>
        <w:jc w:val="left"/>
        <w:sectPr>
          <w:footerReference w:type="default" r:id="rId12"/>
          <w:pgSz w:w="11910" w:h="16840"/>
          <w:pgMar w:footer="982" w:header="877" w:top="1100" w:bottom="1180" w:left="1660" w:right="1560"/>
          <w:pgNumType w:start="20"/>
        </w:sectPr>
      </w:pPr>
    </w:p>
    <w:p>
      <w:pPr>
        <w:spacing w:line="240" w:lineRule="auto" w:before="12"/>
        <w:rPr>
          <w:rFonts w:ascii="宋体" w:hAnsi="宋体" w:cs="宋体" w:eastAsia="宋体" w:hint="default"/>
          <w:sz w:val="25"/>
          <w:szCs w:val="25"/>
        </w:rPr>
      </w:pPr>
    </w:p>
    <w:p>
      <w:pPr>
        <w:pStyle w:val="BodyText"/>
        <w:spacing w:line="360" w:lineRule="auto"/>
        <w:ind w:right="153"/>
        <w:jc w:val="both"/>
      </w:pPr>
      <w:r>
        <w:rPr/>
        <w:t>底以前对增值税一般纳税人销售其自行开发生产的软件产品，按</w:t>
      </w:r>
      <w:r>
        <w:rPr>
          <w:spacing w:val="-86"/>
        </w:rPr>
        <w:t> </w:t>
      </w:r>
      <w:r>
        <w:rPr>
          <w:rFonts w:ascii="Times New Roman" w:hAnsi="Times New Roman" w:cs="Times New Roman" w:eastAsia="Times New Roman" w:hint="default"/>
        </w:rPr>
        <w:t>17</w:t>
      </w:r>
      <w:r>
        <w:rPr/>
        <w:t>％的法定税率征</w:t>
      </w:r>
      <w:r>
        <w:rPr>
          <w:w w:val="100"/>
        </w:rPr>
        <w:t> </w:t>
      </w:r>
      <w:r>
        <w:rPr/>
        <w:t>收增值税后，对其增值税实际税负超过</w:t>
      </w:r>
      <w:r>
        <w:rPr>
          <w:spacing w:val="25"/>
        </w:rPr>
        <w:t> </w:t>
      </w:r>
      <w:r>
        <w:rPr>
          <w:rFonts w:ascii="Times New Roman" w:hAnsi="Times New Roman" w:cs="Times New Roman" w:eastAsia="Times New Roman" w:hint="default"/>
        </w:rPr>
        <w:t>3</w:t>
      </w:r>
      <w:r>
        <w:rPr/>
        <w:t>％的部分实行即征即退政策。所退税款由</w:t>
      </w:r>
      <w:r>
        <w:rPr>
          <w:spacing w:val="-113"/>
        </w:rPr>
        <w:t> </w:t>
      </w:r>
      <w:r>
        <w:rPr>
          <w:spacing w:val="-113"/>
        </w:rPr>
      </w:r>
      <w:r>
        <w:rPr/>
        <w:t>企业用于研究开发软件产品和扩大再生产，不作为企业所得税应税收入，不予征收</w:t>
      </w:r>
      <w:r>
        <w:rPr>
          <w:spacing w:val="-87"/>
        </w:rPr>
        <w:t> </w:t>
      </w:r>
      <w:r>
        <w:rPr>
          <w:spacing w:val="-87"/>
        </w:rPr>
      </w:r>
      <w:r>
        <w:rPr/>
        <w:t>企业所得税。</w:t>
      </w:r>
    </w:p>
    <w:p>
      <w:pPr>
        <w:pStyle w:val="BodyText"/>
        <w:spacing w:line="240" w:lineRule="auto" w:before="52"/>
        <w:ind w:left="597" w:right="0"/>
        <w:jc w:val="left"/>
      </w:pPr>
      <w:r>
        <w:rPr>
          <w:rFonts w:ascii="Times New Roman" w:hAnsi="Times New Roman" w:cs="Times New Roman" w:eastAsia="Times New Roman" w:hint="default"/>
        </w:rPr>
        <w:t>2</w:t>
      </w:r>
      <w:r>
        <w:rPr/>
        <w:t>）营业税优惠</w:t>
      </w:r>
    </w:p>
    <w:p>
      <w:pPr>
        <w:pStyle w:val="BodyText"/>
        <w:spacing w:line="357" w:lineRule="auto" w:before="149"/>
        <w:ind w:right="151" w:firstLine="459"/>
        <w:jc w:val="both"/>
      </w:pPr>
      <w:r>
        <w:rPr/>
        <w:t>公司营业税按应税劳务收入的</w:t>
      </w:r>
      <w:r>
        <w:rPr>
          <w:spacing w:val="-41"/>
        </w:rPr>
        <w:t> </w:t>
      </w:r>
      <w:r>
        <w:rPr>
          <w:rFonts w:ascii="Times New Roman" w:hAnsi="Times New Roman" w:cs="Times New Roman" w:eastAsia="Times New Roman" w:hint="default"/>
          <w:spacing w:val="-6"/>
        </w:rPr>
        <w:t>5%</w:t>
      </w:r>
      <w:r>
        <w:rPr>
          <w:spacing w:val="-6"/>
        </w:rPr>
        <w:t>计征。根据《财政部、国家税务总局关于贯彻</w:t>
      </w:r>
      <w:r>
        <w:rPr>
          <w:w w:val="100"/>
        </w:rPr>
        <w:t> </w:t>
      </w:r>
      <w:r>
        <w:rPr>
          <w:spacing w:val="-1"/>
        </w:rPr>
        <w:t>落实</w:t>
      </w:r>
      <w:r>
        <w:rPr>
          <w:rFonts w:ascii="Times New Roman" w:hAnsi="Times New Roman" w:cs="Times New Roman" w:eastAsia="Times New Roman" w:hint="default"/>
          <w:spacing w:val="-1"/>
        </w:rPr>
        <w:t>&lt;</w:t>
      </w:r>
      <w:r>
        <w:rPr>
          <w:spacing w:val="-1"/>
        </w:rPr>
        <w:t>中共中央国务院关于加强技术创新，发展高科技，实现产业化的决定</w:t>
      </w:r>
      <w:r>
        <w:rPr>
          <w:rFonts w:ascii="Times New Roman" w:hAnsi="Times New Roman" w:cs="Times New Roman" w:eastAsia="Times New Roman" w:hint="default"/>
          <w:spacing w:val="-1"/>
        </w:rPr>
        <w:t>&gt;</w:t>
      </w:r>
      <w:r>
        <w:rPr>
          <w:spacing w:val="-1"/>
        </w:rPr>
        <w:t>有关税</w:t>
      </w:r>
      <w:r>
        <w:rPr>
          <w:spacing w:val="-80"/>
        </w:rPr>
        <w:t> </w:t>
      </w:r>
      <w:r>
        <w:rPr>
          <w:spacing w:val="-80"/>
        </w:rPr>
      </w:r>
      <w:r>
        <w:rPr/>
        <w:t>收问题的通知》</w:t>
      </w:r>
      <w:r>
        <w:rPr>
          <w:rFonts w:ascii="Times New Roman" w:hAnsi="Times New Roman" w:cs="Times New Roman" w:eastAsia="Times New Roman" w:hint="default"/>
        </w:rPr>
        <w:t>(</w:t>
      </w:r>
      <w:r>
        <w:rPr/>
        <w:t>财税字</w:t>
      </w:r>
      <w:r>
        <w:rPr>
          <w:rFonts w:ascii="Times New Roman" w:hAnsi="Times New Roman" w:cs="Times New Roman" w:eastAsia="Times New Roman" w:hint="default"/>
        </w:rPr>
        <w:t>[1999]</w:t>
      </w:r>
      <w:r>
        <w:rPr/>
        <w:t>第 </w:t>
      </w:r>
      <w:r>
        <w:rPr>
          <w:rFonts w:ascii="Times New Roman" w:hAnsi="Times New Roman" w:cs="Times New Roman" w:eastAsia="Times New Roman" w:hint="default"/>
        </w:rPr>
        <w:t>273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及《深圳市技术转让技术开发及相关服务</w:t>
      </w:r>
      <w:r>
        <w:rPr>
          <w:w w:val="100"/>
        </w:rPr>
        <w:t> </w:t>
      </w:r>
      <w:r>
        <w:rPr>
          <w:spacing w:val="-6"/>
          <w:w w:val="100"/>
        </w:rPr>
        <w:t>性收入免征营业税审批管理办法》（深地税发〔</w:t>
      </w:r>
      <w:r>
        <w:rPr>
          <w:rFonts w:ascii="Times New Roman" w:hAnsi="Times New Roman" w:cs="Times New Roman" w:eastAsia="Times New Roman" w:hint="default"/>
          <w:spacing w:val="-6"/>
          <w:w w:val="100"/>
        </w:rPr>
        <w:t>2003</w:t>
      </w:r>
      <w:r>
        <w:rPr>
          <w:spacing w:val="-6"/>
          <w:w w:val="100"/>
        </w:rPr>
        <w:t>〕</w:t>
      </w:r>
      <w:r>
        <w:rPr>
          <w:rFonts w:ascii="Times New Roman" w:hAnsi="Times New Roman" w:cs="Times New Roman" w:eastAsia="Times New Roman" w:hint="default"/>
          <w:spacing w:val="-6"/>
          <w:w w:val="100"/>
        </w:rPr>
        <w:t>348</w:t>
      </w:r>
      <w:r>
        <w:rPr>
          <w:rFonts w:ascii="Times New Roman" w:hAnsi="Times New Roman" w:cs="Times New Roman" w:eastAsia="Times New Roman" w:hint="default"/>
          <w:spacing w:val="23"/>
          <w:w w:val="100"/>
        </w:rPr>
        <w:t> </w:t>
      </w:r>
      <w:r>
        <w:rPr>
          <w:spacing w:val="-2"/>
          <w:w w:val="100"/>
        </w:rPr>
        <w:t>号）规定：对单位和个人</w:t>
      </w:r>
      <w:r>
        <w:rPr>
          <w:spacing w:val="-108"/>
          <w:w w:val="100"/>
        </w:rPr>
        <w:t> </w:t>
      </w:r>
      <w:r>
        <w:rPr>
          <w:spacing w:val="-108"/>
          <w:w w:val="100"/>
        </w:rPr>
      </w:r>
      <w:r>
        <w:rPr/>
        <w:t>从事技术转让、技术开发业务和与之相关的技术咨询、技术服务业务取得的收入，</w:t>
      </w:r>
      <w:r>
        <w:rPr>
          <w:spacing w:val="-87"/>
        </w:rPr>
        <w:t> </w:t>
      </w:r>
      <w:r>
        <w:rPr>
          <w:spacing w:val="-87"/>
        </w:rPr>
      </w:r>
      <w:r>
        <w:rPr/>
        <w:t>免征营业税。</w:t>
      </w:r>
    </w:p>
    <w:p>
      <w:pPr>
        <w:pStyle w:val="BodyText"/>
        <w:spacing w:line="240" w:lineRule="auto" w:before="54"/>
        <w:ind w:left="597" w:right="0"/>
        <w:jc w:val="left"/>
      </w:pPr>
      <w:r>
        <w:rPr>
          <w:rFonts w:ascii="Times New Roman" w:hAnsi="Times New Roman" w:cs="Times New Roman" w:eastAsia="Times New Roman" w:hint="default"/>
        </w:rPr>
        <w:t>3</w:t>
      </w:r>
      <w:r>
        <w:rPr/>
        <w:t>）所得税优惠</w:t>
      </w:r>
    </w:p>
    <w:p>
      <w:pPr>
        <w:pStyle w:val="BodyText"/>
        <w:spacing w:line="352" w:lineRule="auto" w:before="149"/>
        <w:ind w:right="152" w:firstLine="459"/>
        <w:jc w:val="both"/>
      </w:pPr>
      <w:r>
        <w:rPr/>
        <w:t>公司 </w:t>
      </w:r>
      <w:r>
        <w:rPr>
          <w:rFonts w:ascii="Times New Roman" w:hAnsi="Times New Roman" w:cs="Times New Roman" w:eastAsia="Times New Roman" w:hint="default"/>
          <w:spacing w:val="-4"/>
        </w:rPr>
        <w:t>2008</w:t>
      </w:r>
      <w:r>
        <w:rPr>
          <w:spacing w:val="-4"/>
        </w:rPr>
        <w:t>、</w:t>
      </w:r>
      <w:r>
        <w:rPr>
          <w:rFonts w:ascii="Times New Roman" w:hAnsi="Times New Roman" w:cs="Times New Roman" w:eastAsia="Times New Roman" w:hint="default"/>
          <w:spacing w:val="-4"/>
        </w:rPr>
        <w:t>2009</w:t>
      </w:r>
      <w:r>
        <w:rPr>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29"/>
        </w:rPr>
        <w:t> </w:t>
      </w:r>
      <w:r>
        <w:rPr>
          <w:spacing w:val="-3"/>
        </w:rPr>
        <w:t>年度均被国家发展改革委员会、工业和信息化部、商务</w:t>
      </w:r>
      <w:r>
        <w:rPr>
          <w:w w:val="100"/>
        </w:rPr>
        <w:t> </w:t>
      </w:r>
      <w:r>
        <w:rPr/>
        <w:t>部、国家税务总局联合认定为国家规划布局内重点软件企业（发改高技</w:t>
      </w:r>
      <w:r>
        <w:rPr>
          <w:rFonts w:ascii="Times New Roman" w:hAnsi="Times New Roman" w:cs="Times New Roman" w:eastAsia="Times New Roman" w:hint="default"/>
        </w:rPr>
        <w:t>[2008]3700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1"/>
          <w:w w:val="100"/>
        </w:rPr>
        <w:t>号、发改高技</w:t>
      </w:r>
      <w:r>
        <w:rPr>
          <w:rFonts w:ascii="Times New Roman" w:hAnsi="Times New Roman" w:cs="Times New Roman" w:eastAsia="Times New Roman" w:hint="default"/>
          <w:spacing w:val="-1"/>
          <w:w w:val="100"/>
        </w:rPr>
        <w:t>[2009]3357</w:t>
      </w:r>
      <w:r>
        <w:rPr>
          <w:rFonts w:ascii="Times New Roman" w:hAnsi="Times New Roman" w:cs="Times New Roman" w:eastAsia="Times New Roman" w:hint="default"/>
          <w:spacing w:val="48"/>
          <w:w w:val="100"/>
        </w:rPr>
        <w:t> </w:t>
      </w:r>
      <w:r>
        <w:rPr>
          <w:spacing w:val="-2"/>
          <w:w w:val="100"/>
        </w:rPr>
        <w:t>号、发改高技</w:t>
      </w:r>
      <w:r>
        <w:rPr>
          <w:rFonts w:ascii="Times New Roman" w:hAnsi="Times New Roman" w:cs="Times New Roman" w:eastAsia="Times New Roman" w:hint="default"/>
          <w:spacing w:val="-2"/>
          <w:w w:val="100"/>
        </w:rPr>
        <w:t>[2011]342</w:t>
      </w:r>
      <w:r>
        <w:rPr>
          <w:rFonts w:ascii="Times New Roman" w:hAnsi="Times New Roman" w:cs="Times New Roman" w:eastAsia="Times New Roman" w:hint="default"/>
          <w:spacing w:val="48"/>
          <w:w w:val="100"/>
        </w:rPr>
        <w:t> </w:t>
      </w:r>
      <w:r>
        <w:rPr>
          <w:spacing w:val="-9"/>
          <w:w w:val="100"/>
        </w:rPr>
        <w:t>号），根据《财政部、国家税务总</w:t>
      </w:r>
      <w:r>
        <w:rPr>
          <w:spacing w:val="-112"/>
          <w:w w:val="100"/>
        </w:rPr>
        <w:t> </w:t>
      </w:r>
      <w:r>
        <w:rPr>
          <w:spacing w:val="-112"/>
          <w:w w:val="100"/>
        </w:rPr>
      </w:r>
      <w:r>
        <w:rPr>
          <w:spacing w:val="-5"/>
          <w:w w:val="100"/>
        </w:rPr>
        <w:t>局关于企业所得税若干优惠政策的通知》（财税</w:t>
      </w:r>
      <w:r>
        <w:rPr>
          <w:rFonts w:ascii="Times New Roman" w:hAnsi="Times New Roman" w:cs="Times New Roman" w:eastAsia="Times New Roman" w:hint="default"/>
          <w:spacing w:val="-5"/>
          <w:w w:val="100"/>
        </w:rPr>
        <w:t>[2008]1</w:t>
      </w:r>
      <w:r>
        <w:rPr>
          <w:rFonts w:ascii="Times New Roman" w:hAnsi="Times New Roman" w:cs="Times New Roman" w:eastAsia="Times New Roman" w:hint="default"/>
          <w:spacing w:val="1"/>
          <w:w w:val="100"/>
        </w:rPr>
        <w:t> </w:t>
      </w:r>
      <w:r>
        <w:rPr>
          <w:spacing w:val="-1"/>
          <w:w w:val="100"/>
        </w:rPr>
        <w:t>号）的有关规定，国家规划</w:t>
      </w:r>
      <w:r>
        <w:rPr>
          <w:w w:val="100"/>
        </w:rPr>
        <w:t> </w:t>
      </w:r>
      <w:r>
        <w:rPr/>
        <w:t>布局内重点软件生产企业，如当年未享受免税优惠的，减按</w:t>
      </w:r>
      <w:r>
        <w:rPr>
          <w:spacing w:val="-54"/>
        </w:rPr>
        <w:t> </w:t>
      </w:r>
      <w:r>
        <w:rPr>
          <w:rFonts w:ascii="Times New Roman" w:hAnsi="Times New Roman" w:cs="Times New Roman" w:eastAsia="Times New Roman" w:hint="default"/>
        </w:rPr>
        <w:t>10%</w:t>
      </w:r>
      <w:r>
        <w:rPr/>
        <w:t>的税率征收企业所</w:t>
      </w:r>
      <w:r>
        <w:rPr>
          <w:w w:val="100"/>
        </w:rPr>
        <w:t> </w:t>
      </w:r>
      <w:r>
        <w:rPr/>
        <w:t>得税。</w:t>
      </w:r>
    </w:p>
    <w:p>
      <w:pPr>
        <w:pStyle w:val="BodyText"/>
        <w:spacing w:line="240" w:lineRule="auto" w:before="59"/>
        <w:ind w:left="597" w:right="0"/>
        <w:jc w:val="left"/>
      </w:pPr>
      <w:r>
        <w:rPr/>
        <w:t>如果上述税收优惠政策发生变化，将对公司未来的经营业绩产生一定影响。</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BodyText"/>
        <w:spacing w:line="372" w:lineRule="auto" w:before="0"/>
        <w:ind w:left="597" w:right="4094" w:hanging="460"/>
        <w:jc w:val="left"/>
      </w:pPr>
      <w:r>
        <w:rPr/>
        <w:t>（四）</w:t>
      </w:r>
      <w:r>
        <w:rPr>
          <w:spacing w:val="-88"/>
        </w:rPr>
        <w:t> </w:t>
      </w:r>
      <w:r>
        <w:rPr/>
        <w:t>未来公司发展机遇和挑战</w:t>
      </w:r>
      <w:r>
        <w:rPr>
          <w:w w:val="100"/>
        </w:rPr>
        <w:t> </w:t>
      </w:r>
      <w:r>
        <w:rPr>
          <w:spacing w:val="-1"/>
        </w:rPr>
        <w:t>管理层关注的公司未来发展的机遇是：</w:t>
      </w:r>
    </w:p>
    <w:p>
      <w:pPr>
        <w:pStyle w:val="BodyText"/>
        <w:spacing w:line="352" w:lineRule="auto" w:before="40"/>
        <w:ind w:right="152" w:firstLine="459"/>
        <w:jc w:val="both"/>
      </w:pPr>
      <w:r>
        <w:rPr>
          <w:rFonts w:ascii="Times New Roman" w:hAnsi="Times New Roman" w:cs="Times New Roman" w:eastAsia="Times New Roman" w:hint="default"/>
          <w:spacing w:val="-4"/>
        </w:rPr>
        <w:t>1</w:t>
      </w:r>
      <w:r>
        <w:rPr>
          <w:spacing w:val="-4"/>
        </w:rPr>
        <w:t>．金融信息化领域有着广阔的发展前景。金融行业是现代经济的支柱行业，伴</w:t>
      </w:r>
      <w:r>
        <w:rPr>
          <w:w w:val="100"/>
        </w:rPr>
        <w:t> </w:t>
      </w:r>
      <w:r>
        <w:rPr>
          <w:spacing w:val="6"/>
        </w:rPr>
        <w:t>随着中国经济的持续稳定发展，到</w:t>
      </w:r>
      <w:r>
        <w:rPr>
          <w:spacing w:val="2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spacing w:val="6"/>
        </w:rPr>
        <w:t>年末，中国银行业金融机构网点数已达</w:t>
      </w:r>
      <w:r>
        <w:rPr>
          <w:spacing w:val="-112"/>
        </w:rPr>
        <w:t> </w:t>
      </w:r>
      <w:r>
        <w:rPr>
          <w:spacing w:val="-112"/>
        </w:rPr>
      </w:r>
      <w:r>
        <w:rPr>
          <w:rFonts w:ascii="Times New Roman" w:hAnsi="Times New Roman" w:cs="Times New Roman" w:eastAsia="Times New Roman" w:hint="default"/>
        </w:rPr>
        <w:t>193,000 </w:t>
      </w:r>
      <w:r>
        <w:rPr/>
        <w:t>个，并且仍然持续保持增加。同时，银行业 </w:t>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t>投入持续稳定增长。根据赛</w:t>
      </w:r>
      <w:r>
        <w:rPr>
          <w:w w:val="100"/>
        </w:rPr>
        <w:t> </w:t>
      </w:r>
      <w:r>
        <w:rPr/>
        <w:t>迪顾问的研究报告，</w:t>
      </w:r>
      <w:r>
        <w:rPr>
          <w:rFonts w:ascii="Times New Roman" w:hAnsi="Times New Roman" w:cs="Times New Roman" w:eastAsia="Times New Roman" w:hint="default"/>
        </w:rPr>
        <w:t>2008 </w:t>
      </w:r>
      <w:r>
        <w:rPr/>
        <w:t>年中国银行业 </w:t>
      </w:r>
      <w:r>
        <w:rPr>
          <w:rFonts w:ascii="Times New Roman" w:hAnsi="Times New Roman" w:cs="Times New Roman" w:eastAsia="Times New Roman" w:hint="default"/>
        </w:rPr>
        <w:t>IT </w:t>
      </w:r>
      <w:r>
        <w:rPr/>
        <w:t>投入总金额达 </w:t>
      </w:r>
      <w:r>
        <w:rPr>
          <w:rFonts w:ascii="Times New Roman" w:hAnsi="Times New Roman" w:cs="Times New Roman" w:eastAsia="Times New Roman" w:hint="default"/>
        </w:rPr>
        <w:t>484</w:t>
      </w:r>
      <w:r>
        <w:rPr>
          <w:rFonts w:ascii="Times New Roman" w:hAnsi="Times New Roman" w:cs="Times New Roman" w:eastAsia="Times New Roman" w:hint="default"/>
          <w:spacing w:val="-24"/>
        </w:rPr>
        <w:t> </w:t>
      </w:r>
      <w:r>
        <w:rPr/>
        <w:t>亿元，其中软件投入</w:t>
      </w:r>
      <w:r>
        <w:rPr>
          <w:w w:val="100"/>
        </w:rPr>
        <w:t> </w:t>
      </w:r>
      <w:r>
        <w:rPr/>
        <w:t>金额达</w:t>
      </w:r>
      <w:r>
        <w:rPr>
          <w:spacing w:val="-54"/>
        </w:rPr>
        <w:t> </w:t>
      </w:r>
      <w:r>
        <w:rPr>
          <w:rFonts w:ascii="Times New Roman" w:hAnsi="Times New Roman" w:cs="Times New Roman" w:eastAsia="Times New Roman" w:hint="default"/>
        </w:rPr>
        <w:t>59</w:t>
      </w:r>
      <w:r>
        <w:rPr>
          <w:rFonts w:ascii="Times New Roman" w:hAnsi="Times New Roman" w:cs="Times New Roman" w:eastAsia="Times New Roman" w:hint="default"/>
          <w:spacing w:val="2"/>
        </w:rPr>
        <w:t> </w:t>
      </w:r>
      <w:r>
        <w:rPr/>
        <w:t>亿元。预计未来三年，中国银行业</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投入将以平均每年</w:t>
      </w:r>
      <w:r>
        <w:rPr>
          <w:spacing w:val="-54"/>
        </w:rPr>
        <w:t> </w:t>
      </w:r>
      <w:r>
        <w:rPr>
          <w:rFonts w:ascii="Times New Roman" w:hAnsi="Times New Roman" w:cs="Times New Roman" w:eastAsia="Times New Roman" w:hint="default"/>
        </w:rPr>
        <w:t>15%</w:t>
      </w:r>
      <w:r>
        <w:rPr/>
        <w:t>左右的速度</w:t>
      </w:r>
      <w:r>
        <w:rPr>
          <w:spacing w:val="-2"/>
          <w:w w:val="100"/>
        </w:rPr>
        <w:t> </w:t>
      </w:r>
      <w:r>
        <w:rPr/>
        <w:t>持续稳定增长。</w:t>
      </w:r>
    </w:p>
    <w:p>
      <w:pPr>
        <w:pStyle w:val="BodyText"/>
        <w:spacing w:line="352" w:lineRule="auto" w:before="59"/>
        <w:ind w:right="152" w:firstLine="459"/>
        <w:jc w:val="both"/>
      </w:pPr>
      <w:r>
        <w:rPr>
          <w:rFonts w:ascii="Times New Roman" w:hAnsi="Times New Roman" w:cs="Times New Roman" w:eastAsia="Times New Roman" w:hint="default"/>
          <w:spacing w:val="-3"/>
        </w:rPr>
        <w:t>2</w:t>
      </w:r>
      <w:r>
        <w:rPr>
          <w:spacing w:val="-3"/>
        </w:rPr>
        <w:t>．公司总体业务已初具规模，拥有广泛的客户资源，开创了持续发展的良好局</w:t>
      </w:r>
      <w:r>
        <w:rPr>
          <w:w w:val="100"/>
        </w:rPr>
        <w:t> </w:t>
      </w:r>
      <w:r>
        <w:rPr/>
        <w:t>面。伴随现有产品的经营，公司已形成了良好的市场影响力和客户关系，新产品的</w:t>
      </w:r>
    </w:p>
    <w:p>
      <w:pPr>
        <w:spacing w:after="0" w:line="352" w:lineRule="auto"/>
        <w:jc w:val="both"/>
        <w:sectPr>
          <w:footerReference w:type="default" r:id="rId13"/>
          <w:pgSz w:w="11910" w:h="16840"/>
          <w:pgMar w:footer="982" w:header="877" w:top="1100" w:bottom="1180" w:left="1660" w:right="1640"/>
          <w:pgNumType w:start="21"/>
        </w:sectPr>
      </w:pPr>
    </w:p>
    <w:p>
      <w:pPr>
        <w:spacing w:line="240" w:lineRule="auto" w:before="12"/>
        <w:rPr>
          <w:rFonts w:ascii="宋体" w:hAnsi="宋体" w:cs="宋体" w:eastAsia="宋体" w:hint="default"/>
          <w:sz w:val="25"/>
          <w:szCs w:val="25"/>
        </w:rPr>
      </w:pPr>
    </w:p>
    <w:p>
      <w:pPr>
        <w:pStyle w:val="BodyText"/>
        <w:spacing w:line="240" w:lineRule="auto"/>
        <w:ind w:right="0"/>
        <w:jc w:val="both"/>
      </w:pPr>
      <w:r>
        <w:rPr/>
        <w:t>市场准入已经具备诸多的机会和条件。</w:t>
      </w:r>
    </w:p>
    <w:p>
      <w:pPr>
        <w:pStyle w:val="BodyText"/>
        <w:spacing w:line="362" w:lineRule="auto" w:before="167"/>
        <w:ind w:right="152" w:firstLine="459"/>
        <w:jc w:val="both"/>
      </w:pPr>
      <w:r>
        <w:rPr>
          <w:rFonts w:ascii="Times New Roman" w:hAnsi="Times New Roman" w:cs="Times New Roman" w:eastAsia="Times New Roman" w:hint="default"/>
          <w:spacing w:val="-4"/>
        </w:rPr>
        <w:t>3</w:t>
      </w:r>
      <w:r>
        <w:rPr>
          <w:spacing w:val="-4"/>
        </w:rPr>
        <w:t>．公司上市后，在资金和品牌形象方面获得大幅提升，在行业和客户中已经形</w:t>
      </w:r>
      <w:r>
        <w:rPr>
          <w:w w:val="100"/>
        </w:rPr>
        <w:t> </w:t>
      </w:r>
      <w:r>
        <w:rPr/>
        <w:t>成了运作规范、信誉度高、综合实力较强的良好形象，将对公司业务发展产生积极</w:t>
      </w:r>
      <w:r>
        <w:rPr>
          <w:spacing w:val="-87"/>
        </w:rPr>
        <w:t> </w:t>
      </w:r>
      <w:r>
        <w:rPr>
          <w:spacing w:val="-87"/>
        </w:rPr>
      </w:r>
      <w:r>
        <w:rPr/>
        <w:t>的影响。</w:t>
      </w:r>
    </w:p>
    <w:p>
      <w:pPr>
        <w:pStyle w:val="BodyText"/>
        <w:spacing w:line="372" w:lineRule="auto" w:before="49"/>
        <w:ind w:left="597" w:right="0"/>
        <w:jc w:val="left"/>
      </w:pPr>
      <w:r>
        <w:rPr/>
        <w:t>公司未来发展的挑战：</w:t>
      </w:r>
      <w:r>
        <w:rPr>
          <w:w w:val="100"/>
        </w:rPr>
        <w:t> </w:t>
      </w:r>
      <w:r>
        <w:rPr/>
        <w:t>一是要能够迅速开发出新的产品和服务，以满足金融行业的信息化建设以及公</w:t>
      </w:r>
    </w:p>
    <w:p>
      <w:pPr>
        <w:pStyle w:val="BodyText"/>
        <w:spacing w:line="372" w:lineRule="auto" w:before="40"/>
        <w:ind w:right="153"/>
        <w:jc w:val="both"/>
      </w:pPr>
      <w:r>
        <w:rPr/>
        <w:t>司业务发展的需要；二是随着业务规模的继续扩大，公司在运营成本、管理方面的</w:t>
      </w:r>
      <w:r>
        <w:rPr>
          <w:spacing w:val="-87"/>
        </w:rPr>
        <w:t> </w:t>
      </w:r>
      <w:r>
        <w:rPr>
          <w:spacing w:val="-87"/>
        </w:rPr>
      </w:r>
      <w:r>
        <w:rPr/>
        <w:t>压力加大；三是随着业务领域的不断拓展，公司面临的竞争将更加激烈；四是作为</w:t>
      </w:r>
      <w:r>
        <w:rPr>
          <w:spacing w:val="-87"/>
        </w:rPr>
        <w:t> </w:t>
      </w:r>
      <w:r>
        <w:rPr>
          <w:spacing w:val="-87"/>
        </w:rPr>
      </w:r>
      <w:r>
        <w:rPr/>
        <w:t>公众上市公司，公司也将面临经营信息更加透明所带来的经营压力。</w:t>
      </w:r>
    </w:p>
    <w:p>
      <w:pPr>
        <w:pStyle w:val="BodyText"/>
        <w:spacing w:line="372" w:lineRule="auto" w:before="40"/>
        <w:ind w:right="152" w:firstLine="459"/>
        <w:jc w:val="both"/>
      </w:pPr>
      <w:r>
        <w:rPr/>
        <w:t>针对企业经营面临的挑战和风险，公司将坚持自主创新，研发具有领先性的技</w:t>
      </w:r>
      <w:r>
        <w:rPr>
          <w:w w:val="100"/>
        </w:rPr>
        <w:t> </w:t>
      </w:r>
      <w:r>
        <w:rPr/>
        <w:t>术、产品解决方案，同时通过进一步加强项目管理体系、绩效管理体系等方面的建</w:t>
      </w:r>
      <w:r>
        <w:rPr>
          <w:spacing w:val="-87"/>
        </w:rPr>
        <w:t> </w:t>
      </w:r>
      <w:r>
        <w:rPr>
          <w:spacing w:val="-87"/>
        </w:rPr>
      </w:r>
      <w:r>
        <w:rPr/>
        <w:t>设，提升公司内部组织效率，继续沿着充分发挥现有产品潜力、大力开发新产品、</w:t>
      </w:r>
      <w:r>
        <w:rPr>
          <w:spacing w:val="-87"/>
        </w:rPr>
        <w:t> </w:t>
      </w:r>
      <w:r>
        <w:rPr>
          <w:spacing w:val="-87"/>
        </w:rPr>
      </w:r>
      <w:r>
        <w:rPr/>
        <w:t>努力开拓新业务模式的既定经营战略，努力成为推动行业发展的开拓者和领导者，</w:t>
      </w:r>
      <w:r>
        <w:rPr>
          <w:spacing w:val="-87"/>
        </w:rPr>
        <w:t> </w:t>
      </w:r>
      <w:r>
        <w:rPr>
          <w:spacing w:val="-87"/>
        </w:rPr>
      </w:r>
      <w:r>
        <w:rPr/>
        <w:t>实现公司整体业务规模和产业升级，从而提升公司核心竞争能力，提高公司效益，</w:t>
      </w:r>
      <w:r>
        <w:rPr>
          <w:spacing w:val="-87"/>
        </w:rPr>
        <w:t> </w:t>
      </w:r>
      <w:r>
        <w:rPr>
          <w:spacing w:val="-87"/>
        </w:rPr>
      </w:r>
      <w:r>
        <w:rPr/>
        <w:t>为股东及利益相关者创造更大的价值。</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before="0"/>
        <w:ind w:right="0"/>
        <w:jc w:val="both"/>
      </w:pPr>
      <w:r>
        <w:rPr/>
        <w:t>（五）</w:t>
      </w:r>
      <w:r>
        <w:rPr>
          <w:spacing w:val="-8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年度经营计划</w:t>
      </w:r>
    </w:p>
    <w:p>
      <w:pPr>
        <w:pStyle w:val="BodyText"/>
        <w:spacing w:line="367" w:lineRule="auto" w:before="149"/>
        <w:ind w:right="152" w:firstLine="459"/>
        <w:jc w:val="both"/>
      </w:pPr>
      <w:r>
        <w:rPr/>
        <w:t>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4"/>
        </w:rPr>
        <w:t> </w:t>
      </w:r>
      <w:r>
        <w:rPr>
          <w:spacing w:val="-4"/>
        </w:rPr>
        <w:t>年度的经营思路是：以做好新产品开发和市场推广工作为重点，以完</w:t>
      </w:r>
      <w:r>
        <w:rPr>
          <w:w w:val="100"/>
        </w:rPr>
        <w:t> </w:t>
      </w:r>
      <w:r>
        <w:rPr/>
        <w:t>善科学的管理体制为推动力，在新的发展平台上，进一步完善人力资源激励和考核</w:t>
      </w:r>
      <w:r>
        <w:rPr>
          <w:spacing w:val="-87"/>
        </w:rPr>
        <w:t> </w:t>
      </w:r>
      <w:r>
        <w:rPr>
          <w:spacing w:val="-87"/>
        </w:rPr>
      </w:r>
      <w:r>
        <w:rPr/>
        <w:t>制度，大力培养经营管理后备人才，开发新产品，巩固老产品，开拓新领域，努力</w:t>
      </w:r>
      <w:r>
        <w:rPr>
          <w:spacing w:val="-87"/>
        </w:rPr>
        <w:t> </w:t>
      </w:r>
      <w:r>
        <w:rPr>
          <w:spacing w:val="-87"/>
        </w:rPr>
      </w:r>
      <w:r>
        <w:rPr/>
        <w:t>开创公司业务发展的新局面。</w:t>
      </w:r>
    </w:p>
    <w:p>
      <w:pPr>
        <w:pStyle w:val="BodyText"/>
        <w:spacing w:line="352" w:lineRule="auto" w:before="45"/>
        <w:ind w:right="152" w:firstLine="459"/>
        <w:jc w:val="both"/>
      </w:pPr>
      <w:r>
        <w:rPr/>
        <w:t>为落实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8"/>
        </w:rPr>
        <w:t> </w:t>
      </w:r>
      <w:r>
        <w:rPr>
          <w:spacing w:val="-4"/>
        </w:rPr>
        <w:t>年度的经营思路，实现经营目标，新的一年中公司将重点实施好以</w:t>
      </w:r>
      <w:r>
        <w:rPr>
          <w:w w:val="100"/>
        </w:rPr>
        <w:t> </w:t>
      </w:r>
      <w:r>
        <w:rPr/>
        <w:t>下工作计划：</w:t>
      </w:r>
    </w:p>
    <w:p>
      <w:pPr>
        <w:pStyle w:val="BodyText"/>
        <w:spacing w:line="240" w:lineRule="auto" w:before="59"/>
        <w:ind w:left="597" w:right="0"/>
        <w:jc w:val="left"/>
      </w:pPr>
      <w:r>
        <w:rPr>
          <w:rFonts w:ascii="Times New Roman" w:hAnsi="Times New Roman" w:cs="Times New Roman" w:eastAsia="Times New Roman" w:hint="default"/>
        </w:rPr>
        <w:t>1</w:t>
      </w:r>
      <w:r>
        <w:rPr/>
        <w:t>．产品开发计划</w:t>
      </w:r>
    </w:p>
    <w:p>
      <w:pPr>
        <w:pStyle w:val="BodyText"/>
        <w:spacing w:line="367" w:lineRule="auto" w:before="149"/>
        <w:ind w:right="152" w:firstLine="459"/>
        <w:jc w:val="both"/>
      </w:pPr>
      <w:r>
        <w:rPr/>
        <w:t>新产品开发是公司未来发展的关键任务。</w:t>
      </w:r>
      <w:r>
        <w:rPr>
          <w:rFonts w:ascii="Times New Roman" w:hAnsi="Times New Roman" w:cs="Times New Roman" w:eastAsia="Times New Roman" w:hint="default"/>
        </w:rPr>
        <w:t>2011</w:t>
      </w:r>
      <w:r>
        <w:rPr>
          <w:rFonts w:ascii="Times New Roman" w:hAnsi="Times New Roman" w:cs="Times New Roman" w:eastAsia="Times New Roman" w:hint="default"/>
          <w:spacing w:val="-27"/>
        </w:rPr>
        <w:t> </w:t>
      </w:r>
      <w:r>
        <w:rPr/>
        <w:t>年，公司将在新成立的产品管理</w:t>
      </w:r>
      <w:r>
        <w:rPr>
          <w:w w:val="100"/>
        </w:rPr>
        <w:t> </w:t>
      </w:r>
      <w:r>
        <w:rPr/>
        <w:t>委员会的有效运作下，重点做好多功能影像采集平台、印章智能管理系统、自助回</w:t>
      </w:r>
      <w:r>
        <w:rPr>
          <w:spacing w:val="-87"/>
        </w:rPr>
        <w:t> </w:t>
      </w:r>
      <w:r>
        <w:rPr>
          <w:spacing w:val="-87"/>
        </w:rPr>
      </w:r>
      <w:r>
        <w:rPr/>
        <w:t>单打印系统、综合影像作业平台、影像工作流引擎等新产品、技术的开发工作，为</w:t>
      </w:r>
      <w:r>
        <w:rPr>
          <w:spacing w:val="-87"/>
        </w:rPr>
        <w:t> </w:t>
      </w:r>
      <w:r>
        <w:rPr>
          <w:spacing w:val="-87"/>
        </w:rPr>
      </w:r>
      <w:r>
        <w:rPr/>
        <w:t>公司业务提供新的业绩增长点，并进一步形成新产品开发的长效机制和流程。</w:t>
      </w:r>
    </w:p>
    <w:p>
      <w:pPr>
        <w:pStyle w:val="BodyText"/>
        <w:spacing w:line="352" w:lineRule="auto" w:before="45"/>
        <w:ind w:left="597" w:right="0"/>
        <w:jc w:val="left"/>
      </w:pPr>
      <w:r>
        <w:rPr>
          <w:rFonts w:ascii="Times New Roman" w:hAnsi="Times New Roman" w:cs="Times New Roman" w:eastAsia="Times New Roman" w:hint="default"/>
        </w:rPr>
        <w:t>2</w:t>
      </w:r>
      <w:r>
        <w:rPr/>
        <w:t>．市场推广计划</w:t>
      </w:r>
      <w:r>
        <w:rPr>
          <w:w w:val="100"/>
        </w:rPr>
        <w:t> </w:t>
      </w:r>
      <w:r>
        <w:rPr/>
        <w:t>在产品推广方面，传统优势产品的营销将从挖掘既有客户潜力和继续开拓新客</w:t>
      </w:r>
    </w:p>
    <w:p>
      <w:pPr>
        <w:spacing w:after="0" w:line="352" w:lineRule="auto"/>
        <w:jc w:val="left"/>
        <w:sectPr>
          <w:footerReference w:type="default" r:id="rId14"/>
          <w:pgSz w:w="11910" w:h="16840"/>
          <w:pgMar w:footer="982" w:header="877" w:top="1100" w:bottom="1180" w:left="1660" w:right="1640"/>
          <w:pgNumType w:start="22"/>
        </w:sectPr>
      </w:pPr>
    </w:p>
    <w:p>
      <w:pPr>
        <w:spacing w:line="240" w:lineRule="auto" w:before="12"/>
        <w:rPr>
          <w:rFonts w:ascii="宋体" w:hAnsi="宋体" w:cs="宋体" w:eastAsia="宋体" w:hint="default"/>
          <w:sz w:val="25"/>
          <w:szCs w:val="25"/>
        </w:rPr>
      </w:pPr>
    </w:p>
    <w:p>
      <w:pPr>
        <w:pStyle w:val="BodyText"/>
        <w:spacing w:line="364" w:lineRule="auto"/>
        <w:ind w:right="232"/>
        <w:jc w:val="both"/>
      </w:pPr>
      <w:r>
        <w:rPr/>
        <w:t>户两方面入手，努力拓展城市商业银行和农村信用联社的市场，进一步扩大公司传</w:t>
      </w:r>
      <w:r>
        <w:rPr>
          <w:spacing w:val="-87"/>
        </w:rPr>
        <w:t> </w:t>
      </w:r>
      <w:r>
        <w:rPr>
          <w:spacing w:val="-87"/>
        </w:rPr>
      </w:r>
      <w:r>
        <w:rPr>
          <w:spacing w:val="-4"/>
        </w:rPr>
        <w:t>统优势产品的市场份额。新产品中，远程影像授权系统在</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年度的基础上进一步</w:t>
      </w:r>
      <w:r>
        <w:rPr>
          <w:spacing w:val="-2"/>
          <w:w w:val="100"/>
        </w:rPr>
        <w:t> </w:t>
      </w:r>
      <w:r>
        <w:rPr/>
        <w:t>扩大销售收入，多功能影像平台、印章智能管理系统、自助回单打印系统等新产品</w:t>
      </w:r>
      <w:r>
        <w:rPr>
          <w:spacing w:val="-87"/>
        </w:rPr>
        <w:t> </w:t>
      </w:r>
      <w:r>
        <w:rPr>
          <w:spacing w:val="-87"/>
        </w:rPr>
      </w:r>
      <w:r>
        <w:rPr/>
        <w:t>力争在</w:t>
      </w:r>
      <w:r>
        <w:rPr>
          <w:spacing w:val="-4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spacing w:val="-4"/>
        </w:rPr>
        <w:t>年度实现销售收入。公司将在人员调配、激励政策和服务保障上进一步</w:t>
      </w:r>
      <w:r>
        <w:rPr>
          <w:spacing w:val="-109"/>
        </w:rPr>
        <w:t> </w:t>
      </w:r>
      <w:r>
        <w:rPr>
          <w:spacing w:val="-109"/>
        </w:rPr>
      </w:r>
      <w:r>
        <w:rPr/>
        <w:t>加强对新产品市场工作的支持力度。在客户领域方面将继续尝试开拓除银行以外的</w:t>
      </w:r>
      <w:r>
        <w:rPr>
          <w:spacing w:val="-87"/>
        </w:rPr>
        <w:t> </w:t>
      </w:r>
      <w:r>
        <w:rPr>
          <w:spacing w:val="-87"/>
        </w:rPr>
      </w:r>
      <w:r>
        <w:rPr/>
        <w:t>保险、证券等金融行业用户。</w:t>
      </w:r>
    </w:p>
    <w:p>
      <w:pPr>
        <w:pStyle w:val="BodyText"/>
        <w:spacing w:line="352" w:lineRule="auto" w:before="47"/>
        <w:ind w:left="597" w:right="113"/>
        <w:jc w:val="left"/>
      </w:pPr>
      <w:r>
        <w:rPr>
          <w:rFonts w:ascii="Times New Roman" w:hAnsi="Times New Roman" w:cs="Times New Roman" w:eastAsia="Times New Roman" w:hint="default"/>
        </w:rPr>
        <w:t>3</w:t>
      </w:r>
      <w:r>
        <w:rPr/>
        <w:t>．人力资源发展计划</w:t>
      </w:r>
      <w:r>
        <w:rPr>
          <w:w w:val="100"/>
        </w:rPr>
        <w:t> </w:t>
      </w:r>
      <w:r>
        <w:rPr/>
        <w:t>人才是公司赖以发展的基石。公司将大力引进和培养各方面的人才，尤其是技</w:t>
      </w:r>
    </w:p>
    <w:p>
      <w:pPr>
        <w:pStyle w:val="BodyText"/>
        <w:spacing w:line="372" w:lineRule="auto" w:before="59"/>
        <w:ind w:right="233"/>
        <w:jc w:val="both"/>
      </w:pPr>
      <w:r>
        <w:rPr/>
        <w:t>术和营销人才。在人才培养方面，要优先选拔德才兼备、责任感强、有上进心、能</w:t>
      </w:r>
      <w:r>
        <w:rPr>
          <w:spacing w:val="-87"/>
        </w:rPr>
        <w:t> </w:t>
      </w:r>
      <w:r>
        <w:rPr>
          <w:spacing w:val="-87"/>
        </w:rPr>
      </w:r>
      <w:r>
        <w:rPr/>
        <w:t>够与公司共同发展的员工做为后备干部，并进行重点培养，帮助他们在技能和视野</w:t>
      </w:r>
      <w:r>
        <w:rPr>
          <w:spacing w:val="-87"/>
        </w:rPr>
        <w:t> </w:t>
      </w:r>
      <w:r>
        <w:rPr>
          <w:spacing w:val="-87"/>
        </w:rPr>
      </w:r>
      <w:r>
        <w:rPr/>
        <w:t>上达到行业乃至国内先进水平。公司将继续完善科学合理的薪酬与绩效考核体系，</w:t>
      </w:r>
      <w:r>
        <w:rPr>
          <w:spacing w:val="-87"/>
        </w:rPr>
        <w:t> </w:t>
      </w:r>
      <w:r>
        <w:rPr>
          <w:spacing w:val="-87"/>
        </w:rPr>
      </w:r>
      <w:r>
        <w:rPr/>
        <w:t>在岗位划分、工作质量评估、工作质量跟踪和业绩评价等方面建立符合公司特性的</w:t>
      </w:r>
      <w:r>
        <w:rPr>
          <w:spacing w:val="-87"/>
        </w:rPr>
        <w:t> </w:t>
      </w:r>
      <w:r>
        <w:rPr>
          <w:spacing w:val="-87"/>
        </w:rPr>
      </w:r>
      <w:r>
        <w:rPr/>
        <w:t>一整套体系，更好地为公司业务发展服务。</w:t>
      </w:r>
    </w:p>
    <w:p>
      <w:pPr>
        <w:pStyle w:val="BodyText"/>
        <w:spacing w:line="352" w:lineRule="auto" w:before="40"/>
        <w:ind w:left="597" w:right="113"/>
        <w:jc w:val="left"/>
      </w:pPr>
      <w:r>
        <w:rPr>
          <w:rFonts w:ascii="Times New Roman" w:hAnsi="Times New Roman" w:cs="Times New Roman" w:eastAsia="Times New Roman" w:hint="default"/>
        </w:rPr>
        <w:t>4</w:t>
      </w:r>
      <w:r>
        <w:rPr/>
        <w:t>．管理提升计划</w:t>
      </w:r>
      <w:r>
        <w:rPr>
          <w:w w:val="100"/>
        </w:rPr>
        <w:t> </w:t>
      </w:r>
      <w:r>
        <w:rPr/>
        <w:t>公司将根据经营管理发展的新特点，建立和完善较为全面的技术管理、营销管</w:t>
      </w:r>
    </w:p>
    <w:p>
      <w:pPr>
        <w:pStyle w:val="BodyText"/>
        <w:spacing w:line="369" w:lineRule="auto" w:before="59"/>
        <w:ind w:right="233"/>
        <w:jc w:val="both"/>
      </w:pPr>
      <w:r>
        <w:rPr/>
        <w:t>理、财务管理和行政管理制度，以及与之配套的流程规范，并在实际工作中不断征</w:t>
      </w:r>
      <w:r>
        <w:rPr>
          <w:spacing w:val="-87"/>
        </w:rPr>
        <w:t> </w:t>
      </w:r>
      <w:r>
        <w:rPr>
          <w:spacing w:val="-87"/>
        </w:rPr>
      </w:r>
      <w:r>
        <w:rPr>
          <w:spacing w:val="-2"/>
        </w:rPr>
        <w:t>询员工意见予以改进。</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8"/>
        </w:rPr>
        <w:t> </w:t>
      </w:r>
      <w:r>
        <w:rPr>
          <w:spacing w:val="-2"/>
        </w:rPr>
        <w:t>年公司计划加大信息化管理的建设，优先考虑营销管理</w:t>
      </w:r>
      <w:r>
        <w:rPr>
          <w:spacing w:val="-106"/>
        </w:rPr>
        <w:t> </w:t>
      </w:r>
      <w:r>
        <w:rPr>
          <w:spacing w:val="-106"/>
        </w:rPr>
      </w:r>
      <w:r>
        <w:rPr/>
        <w:t>系统和办公管理系统的建设。营销管理系统的立足点是加强营销数据统计分析、提</w:t>
      </w:r>
      <w:r>
        <w:rPr>
          <w:spacing w:val="-87"/>
        </w:rPr>
        <w:t> </w:t>
      </w:r>
      <w:r>
        <w:rPr>
          <w:spacing w:val="-87"/>
        </w:rPr>
      </w:r>
      <w:r>
        <w:rPr/>
        <w:t>升营销工作效率、强化营销工作质量检查与考核；办公管理系统的立足点是提高内</w:t>
      </w:r>
      <w:r>
        <w:rPr>
          <w:spacing w:val="-87"/>
        </w:rPr>
        <w:t> </w:t>
      </w:r>
      <w:r>
        <w:rPr>
          <w:spacing w:val="-87"/>
        </w:rPr>
      </w:r>
      <w:r>
        <w:rPr/>
        <w:t>部流程效率，加强沟通和交流，提高日常工作效率。目标是实现更加规范、高效和</w:t>
      </w:r>
      <w:r>
        <w:rPr>
          <w:spacing w:val="-87"/>
        </w:rPr>
        <w:t> </w:t>
      </w:r>
      <w:r>
        <w:rPr>
          <w:spacing w:val="-87"/>
        </w:rPr>
      </w:r>
      <w:r>
        <w:rPr/>
        <w:t>精细化的管理，提高管理效率，降低管理成本。</w:t>
      </w:r>
    </w:p>
    <w:p>
      <w:pPr>
        <w:pStyle w:val="BodyText"/>
        <w:spacing w:line="352" w:lineRule="auto" w:before="43"/>
        <w:ind w:left="597" w:right="113"/>
        <w:jc w:val="left"/>
      </w:pPr>
      <w:r>
        <w:rPr>
          <w:rFonts w:ascii="Times New Roman" w:hAnsi="Times New Roman" w:cs="Times New Roman" w:eastAsia="Times New Roman" w:hint="default"/>
        </w:rPr>
        <w:t>5</w:t>
      </w:r>
      <w:r>
        <w:rPr/>
        <w:t>．适时实施收购兼并扩大业务范围和规模</w:t>
      </w:r>
      <w:r>
        <w:rPr>
          <w:w w:val="100"/>
        </w:rPr>
        <w:t> </w:t>
      </w:r>
      <w:r>
        <w:rPr/>
        <w:t>公司将借助成功登陆资本市场、综合实力进一步增强的契机，选择收购、兼并</w:t>
      </w:r>
    </w:p>
    <w:p>
      <w:pPr>
        <w:pStyle w:val="BodyText"/>
        <w:spacing w:line="362" w:lineRule="auto" w:before="59"/>
        <w:ind w:left="597" w:right="113" w:hanging="460"/>
        <w:jc w:val="left"/>
      </w:pPr>
      <w:r>
        <w:rPr/>
        <w:t>与公司主营业务相关联或互补的优质企业，促进公司继续做大做强。</w:t>
      </w:r>
      <w:r>
        <w:rPr>
          <w:w w:val="100"/>
        </w:rPr>
        <w:t> </w:t>
      </w:r>
      <w:r>
        <w:rPr>
          <w:rFonts w:ascii="Times New Roman" w:hAnsi="Times New Roman" w:cs="Times New Roman" w:eastAsia="Times New Roman" w:hint="default"/>
        </w:rPr>
        <w:t>6</w:t>
      </w:r>
      <w:r>
        <w:rPr/>
        <w:t>．投资者关系管理</w:t>
      </w:r>
      <w:r>
        <w:rPr>
          <w:w w:val="100"/>
        </w:rPr>
        <w:t> </w:t>
      </w:r>
      <w:r>
        <w:rPr/>
        <w:t>作为一家上市公司，公司将进一步完善公司的治理结构，建立和健全投资者沟</w:t>
      </w:r>
    </w:p>
    <w:p>
      <w:pPr>
        <w:pStyle w:val="BodyText"/>
        <w:spacing w:line="372" w:lineRule="auto" w:before="49"/>
        <w:ind w:right="113"/>
        <w:jc w:val="left"/>
      </w:pPr>
      <w:r>
        <w:rPr/>
        <w:t>通平台，规范公司投资者关系工作，加强公司与投资者和潜在投资者之间的沟通，</w:t>
      </w:r>
      <w:r>
        <w:rPr>
          <w:spacing w:val="-87"/>
        </w:rPr>
        <w:t> </w:t>
      </w:r>
      <w:r>
        <w:rPr>
          <w:spacing w:val="-87"/>
        </w:rPr>
      </w:r>
      <w:r>
        <w:rPr>
          <w:spacing w:val="-3"/>
        </w:rPr>
        <w:t>加深投资者对公司的了解和认同，促进公司与投资者之间长期、良好、稳定的关系，</w:t>
      </w:r>
      <w:r>
        <w:rPr>
          <w:spacing w:val="-98"/>
        </w:rPr>
        <w:t> </w:t>
      </w:r>
      <w:r>
        <w:rPr>
          <w:spacing w:val="-98"/>
        </w:rPr>
      </w:r>
      <w:r>
        <w:rPr/>
        <w:t>提升公司的诚信度、核心竞争能力和持续发展能力，实现公司价值最大化和股东利</w:t>
      </w:r>
      <w:r>
        <w:rPr>
          <w:spacing w:val="-87"/>
        </w:rPr>
        <w:t> </w:t>
      </w:r>
      <w:r>
        <w:rPr>
          <w:spacing w:val="-87"/>
        </w:rPr>
      </w:r>
      <w:r>
        <w:rPr/>
        <w:t>益最大化。</w:t>
      </w:r>
    </w:p>
    <w:p>
      <w:pPr>
        <w:spacing w:after="0" w:line="372" w:lineRule="auto"/>
        <w:jc w:val="left"/>
        <w:sectPr>
          <w:pgSz w:w="11910" w:h="16840"/>
          <w:pgMar w:header="877" w:footer="982" w:top="110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before="29"/>
        <w:ind w:left="217" w:right="0"/>
        <w:jc w:val="both"/>
        <w:rPr>
          <w:b w:val="0"/>
          <w:bCs w:val="0"/>
        </w:rPr>
      </w:pPr>
      <w:r>
        <w:rPr/>
        <w:t>三、报告期内投资情况</w:t>
      </w:r>
      <w:r>
        <w:rPr>
          <w:b w:val="0"/>
          <w:bCs w:val="0"/>
        </w:rPr>
      </w:r>
    </w:p>
    <w:p>
      <w:pPr>
        <w:pStyle w:val="BodyText"/>
        <w:spacing w:line="240" w:lineRule="auto" w:before="167"/>
        <w:ind w:left="217" w:right="0"/>
        <w:jc w:val="both"/>
      </w:pPr>
      <w:r>
        <w:rPr/>
        <w:t>（一）</w:t>
      </w:r>
      <w:r>
        <w:rPr>
          <w:spacing w:val="-87"/>
        </w:rPr>
        <w:t> </w:t>
      </w:r>
      <w:r>
        <w:rPr/>
        <w:t>募集资金使用情况</w:t>
      </w:r>
    </w:p>
    <w:p>
      <w:pPr>
        <w:pStyle w:val="BodyText"/>
        <w:spacing w:line="352" w:lineRule="auto" w:before="167"/>
        <w:ind w:left="677" w:right="155"/>
        <w:jc w:val="left"/>
      </w:pPr>
      <w:r>
        <w:rPr>
          <w:rFonts w:ascii="Times New Roman" w:hAnsi="Times New Roman" w:cs="Times New Roman" w:eastAsia="Times New Roman" w:hint="default"/>
        </w:rPr>
        <w:t>1</w:t>
      </w:r>
      <w:r>
        <w:rPr/>
        <w:t>．募集资金到位情况</w:t>
      </w:r>
      <w:r>
        <w:rPr>
          <w:spacing w:val="-102"/>
        </w:rPr>
        <w:t> </w:t>
      </w:r>
      <w:r>
        <w:rPr>
          <w:spacing w:val="-102"/>
        </w:rPr>
      </w:r>
      <w:r>
        <w:rPr/>
        <w:t>报告期内，公司经中国证券监督管理委员会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[2010]548  </w:t>
      </w:r>
      <w:r>
        <w:rPr>
          <w:rFonts w:ascii="Times New Roman" w:hAnsi="Times New Roman" w:cs="Times New Roman" w:eastAsia="Times New Roman" w:hint="default"/>
          <w:spacing w:val="37"/>
        </w:rPr>
        <w:t> </w:t>
      </w:r>
      <w:r>
        <w:rPr>
          <w:spacing w:val="3"/>
        </w:rPr>
        <w:t>号</w:t>
      </w:r>
      <w:r>
        <w:rPr>
          <w:rFonts w:ascii="Times New Roman" w:hAnsi="Times New Roman" w:cs="Times New Roman" w:eastAsia="Times New Roman" w:hint="default"/>
          <w:spacing w:val="3"/>
        </w:rPr>
        <w:t>”</w:t>
      </w:r>
      <w:r>
        <w:rPr>
          <w:spacing w:val="3"/>
        </w:rPr>
        <w:t>核准，于</w:t>
      </w:r>
      <w:r>
        <w:rPr/>
      </w:r>
    </w:p>
    <w:p>
      <w:pPr>
        <w:pStyle w:val="BodyText"/>
        <w:spacing w:line="240" w:lineRule="auto" w:before="30"/>
        <w:ind w:left="217"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日首次向社会公开发行人民币普通股（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1"/>
        </w:rPr>
        <w:t> </w:t>
      </w:r>
      <w:r>
        <w:rPr/>
        <w:t>股）</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t>万股，发行价格</w:t>
      </w:r>
    </w:p>
    <w:p>
      <w:pPr>
        <w:pStyle w:val="BodyText"/>
        <w:spacing w:line="240" w:lineRule="auto" w:before="149"/>
        <w:ind w:left="217" w:right="0"/>
        <w:jc w:val="both"/>
      </w:pPr>
      <w:r>
        <w:rPr/>
        <w:t>每股</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4"/>
        </w:rPr>
        <w:t>元，募集资金总额为</w:t>
      </w:r>
      <w:r>
        <w:rPr>
          <w:spacing w:val="-57"/>
        </w:rPr>
        <w:t> </w:t>
      </w:r>
      <w:r>
        <w:rPr>
          <w:rFonts w:ascii="Times New Roman" w:hAnsi="Times New Roman" w:cs="Times New Roman" w:eastAsia="Times New Roman" w:hint="default"/>
        </w:rPr>
        <w:t>420,000,000.00</w:t>
      </w:r>
      <w:r>
        <w:rPr>
          <w:rFonts w:ascii="Times New Roman" w:hAnsi="Times New Roman" w:cs="Times New Roman" w:eastAsia="Times New Roman" w:hint="default"/>
          <w:spacing w:val="-1"/>
        </w:rPr>
        <w:t> </w:t>
      </w:r>
      <w:r>
        <w:rPr>
          <w:spacing w:val="-4"/>
        </w:rPr>
        <w:t>元，扣除发行费用</w:t>
      </w:r>
      <w:r>
        <w:rPr>
          <w:spacing w:val="-57"/>
        </w:rPr>
        <w:t> </w:t>
      </w:r>
      <w:r>
        <w:rPr>
          <w:rFonts w:ascii="Times New Roman" w:hAnsi="Times New Roman" w:cs="Times New Roman" w:eastAsia="Times New Roman" w:hint="default"/>
        </w:rPr>
        <w:t>35,242,475.00</w:t>
      </w:r>
      <w:r>
        <w:rPr>
          <w:rFonts w:ascii="Times New Roman" w:hAnsi="Times New Roman" w:cs="Times New Roman" w:eastAsia="Times New Roman" w:hint="default"/>
          <w:spacing w:val="-1"/>
        </w:rPr>
        <w:t> </w:t>
      </w:r>
      <w:r>
        <w:rPr>
          <w:spacing w:val="-9"/>
        </w:rPr>
        <w:t>元，募</w:t>
      </w:r>
    </w:p>
    <w:p>
      <w:pPr>
        <w:pStyle w:val="BodyText"/>
        <w:spacing w:line="362" w:lineRule="auto" w:before="149"/>
        <w:ind w:left="217" w:right="272" w:hanging="1"/>
        <w:jc w:val="both"/>
      </w:pPr>
      <w:r>
        <w:rPr/>
        <w:t>集资金净额为</w:t>
      </w:r>
      <w:r>
        <w:rPr>
          <w:spacing w:val="-48"/>
        </w:rPr>
        <w:t> </w:t>
      </w:r>
      <w:r>
        <w:rPr>
          <w:rFonts w:ascii="Times New Roman" w:hAnsi="Times New Roman" w:cs="Times New Roman" w:eastAsia="Times New Roman" w:hint="default"/>
        </w:rPr>
        <w:t>384,757,525.00</w:t>
      </w:r>
      <w:r>
        <w:rPr>
          <w:rFonts w:ascii="Times New Roman" w:hAnsi="Times New Roman" w:cs="Times New Roman" w:eastAsia="Times New Roman" w:hint="default"/>
          <w:spacing w:val="9"/>
        </w:rPr>
        <w:t> </w:t>
      </w:r>
      <w:r>
        <w:rPr/>
        <w:t>元。上述资金已于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日全部到位，资金</w:t>
      </w:r>
      <w:r>
        <w:rPr>
          <w:w w:val="100"/>
        </w:rPr>
        <w:t> </w:t>
      </w:r>
      <w:r>
        <w:rPr>
          <w:spacing w:val="12"/>
        </w:rPr>
        <w:t>到位情况业经深圳市鹏城会计师事务所有限公司验证，并由其出具深鹏所验字</w:t>
      </w:r>
      <w:r>
        <w:rPr>
          <w:spacing w:val="-47"/>
        </w:rPr>
        <w:t> </w:t>
      </w:r>
      <w:r>
        <w:rPr>
          <w:spacing w:val="-47"/>
        </w:rPr>
      </w:r>
      <w:r>
        <w:rPr>
          <w:rFonts w:ascii="Times New Roman" w:hAnsi="Times New Roman" w:cs="Times New Roman" w:eastAsia="Times New Roman" w:hint="default"/>
          <w:spacing w:val="-1"/>
          <w:w w:val="100"/>
        </w:rPr>
        <w:t>[2010]184 </w:t>
      </w:r>
      <w:r>
        <w:rPr>
          <w:spacing w:val="-15"/>
          <w:w w:val="100"/>
        </w:rPr>
        <w:t>号《验资报告》。</w:t>
      </w:r>
    </w:p>
    <w:p>
      <w:pPr>
        <w:pStyle w:val="BodyText"/>
        <w:spacing w:line="240" w:lineRule="auto" w:before="19"/>
        <w:ind w:left="677" w:right="155"/>
        <w:jc w:val="left"/>
      </w:pPr>
      <w:r>
        <w:rPr/>
        <w:t>根据财政部</w:t>
      </w:r>
      <w:r>
        <w:rPr>
          <w:spacing w:val="-59"/>
        </w:rPr>
        <w:t> </w:t>
      </w:r>
      <w:r>
        <w:rPr>
          <w:rFonts w:ascii="Times New Roman" w:hAnsi="Times New Roman" w:cs="Times New Roman" w:eastAsia="Times New Roman" w:hint="default"/>
        </w:rPr>
        <w:t>2010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 </w:t>
      </w:r>
      <w:r>
        <w:rPr/>
        <w:t>日财会</w:t>
      </w:r>
      <w:r>
        <w:rPr>
          <w:rFonts w:ascii="Times New Roman" w:hAnsi="Times New Roman" w:cs="Times New Roman" w:eastAsia="Times New Roman" w:hint="default"/>
        </w:rPr>
        <w:t>[2010]25</w:t>
      </w:r>
      <w:r>
        <w:rPr>
          <w:rFonts w:ascii="Times New Roman" w:hAnsi="Times New Roman" w:cs="Times New Roman" w:eastAsia="Times New Roman" w:hint="default"/>
          <w:spacing w:val="-1"/>
        </w:rPr>
        <w:t> </w:t>
      </w:r>
      <w:r>
        <w:rPr>
          <w:spacing w:val="-5"/>
        </w:rPr>
        <w:t>号文《关于执行企业会计准则的上</w:t>
      </w:r>
    </w:p>
    <w:p>
      <w:pPr>
        <w:pStyle w:val="BodyText"/>
        <w:spacing w:line="240" w:lineRule="auto" w:before="149"/>
        <w:ind w:left="217" w:right="0"/>
        <w:jc w:val="both"/>
      </w:pPr>
      <w:r>
        <w:rPr>
          <w:w w:val="100"/>
        </w:rPr>
        <w:t>市公司</w:t>
      </w:r>
      <w:r>
        <w:rPr>
          <w:spacing w:val="-2"/>
          <w:w w:val="100"/>
        </w:rPr>
        <w:t>和非</w:t>
      </w:r>
      <w:r>
        <w:rPr>
          <w:w w:val="100"/>
        </w:rPr>
        <w:t>上市企</w:t>
      </w:r>
      <w:r>
        <w:rPr>
          <w:spacing w:val="-2"/>
          <w:w w:val="100"/>
        </w:rPr>
        <w:t>业做</w:t>
      </w:r>
      <w:r>
        <w:rPr>
          <w:w w:val="100"/>
        </w:rPr>
        <w:t>好</w:t>
      </w:r>
      <w:r>
        <w:rPr>
          <w:spacing w:val="-42"/>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5"/>
        </w:rPr>
        <w:t> </w:t>
      </w:r>
      <w:r>
        <w:rPr>
          <w:spacing w:val="-2"/>
          <w:w w:val="100"/>
        </w:rPr>
        <w:t>年</w:t>
      </w:r>
      <w:r>
        <w:rPr>
          <w:w w:val="100"/>
        </w:rPr>
        <w:t>年报工</w:t>
      </w:r>
      <w:r>
        <w:rPr>
          <w:spacing w:val="-2"/>
          <w:w w:val="100"/>
        </w:rPr>
        <w:t>作的</w:t>
      </w:r>
      <w:r>
        <w:rPr>
          <w:w w:val="100"/>
        </w:rPr>
        <w:t>通知</w:t>
      </w:r>
      <w:r>
        <w:rPr>
          <w:spacing w:val="-116"/>
          <w:w w:val="100"/>
        </w:rPr>
        <w:t>》</w:t>
      </w:r>
      <w:r>
        <w:rPr>
          <w:spacing w:val="-2"/>
          <w:w w:val="100"/>
        </w:rPr>
        <w:t>，公</w:t>
      </w:r>
      <w:r>
        <w:rPr>
          <w:w w:val="100"/>
        </w:rPr>
        <w:t>司将本</w:t>
      </w:r>
      <w:r>
        <w:rPr>
          <w:spacing w:val="-2"/>
          <w:w w:val="100"/>
        </w:rPr>
        <w:t>年度</w:t>
      </w:r>
      <w:r>
        <w:rPr>
          <w:w w:val="100"/>
        </w:rPr>
        <w:t>发行证</w:t>
      </w:r>
      <w:r>
        <w:rPr>
          <w:spacing w:val="-2"/>
          <w:w w:val="100"/>
        </w:rPr>
        <w:t>券</w:t>
      </w:r>
      <w:r>
        <w:rPr>
          <w:w w:val="100"/>
        </w:rPr>
        <w:t>过</w:t>
      </w:r>
      <w:r>
        <w:rPr>
          <w:spacing w:val="1"/>
          <w:w w:val="100"/>
        </w:rPr>
        <w:t>程</w:t>
      </w:r>
      <w:r>
        <w:rPr>
          <w:w w:val="100"/>
        </w:rPr>
        <w:t>中</w:t>
      </w:r>
    </w:p>
    <w:p>
      <w:pPr>
        <w:pStyle w:val="BodyText"/>
        <w:spacing w:line="240" w:lineRule="auto" w:before="149"/>
        <w:ind w:left="217" w:right="0"/>
        <w:jc w:val="both"/>
      </w:pPr>
      <w:r>
        <w:rPr/>
        <w:t>发生的广告费、路演费、财经公关费等费用 </w:t>
      </w:r>
      <w:r>
        <w:rPr>
          <w:rFonts w:ascii="Times New Roman" w:hAnsi="Times New Roman" w:cs="Times New Roman" w:eastAsia="Times New Roman" w:hint="default"/>
        </w:rPr>
        <w:t>4,193,214.96</w:t>
      </w:r>
      <w:r>
        <w:rPr>
          <w:rFonts w:ascii="Times New Roman" w:hAnsi="Times New Roman" w:cs="Times New Roman" w:eastAsia="Times New Roman" w:hint="default"/>
          <w:spacing w:val="21"/>
        </w:rPr>
        <w:t> </w:t>
      </w:r>
      <w:r>
        <w:rPr/>
        <w:t>元，从发行费用调整记入</w:t>
      </w:r>
    </w:p>
    <w:p>
      <w:pPr>
        <w:pStyle w:val="BodyText"/>
        <w:spacing w:line="240" w:lineRule="auto" w:before="149"/>
        <w:ind w:left="217"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年度期间费用，同时募集资金净额增加</w:t>
      </w:r>
      <w:r>
        <w:rPr>
          <w:spacing w:val="-51"/>
        </w:rPr>
        <w:t> </w:t>
      </w:r>
      <w:r>
        <w:rPr>
          <w:rFonts w:ascii="Times New Roman" w:hAnsi="Times New Roman" w:cs="Times New Roman" w:eastAsia="Times New Roman" w:hint="default"/>
        </w:rPr>
        <w:t>4,193,214.96</w:t>
      </w:r>
      <w:r>
        <w:rPr>
          <w:rFonts w:ascii="Times New Roman" w:hAnsi="Times New Roman" w:cs="Times New Roman" w:eastAsia="Times New Roman" w:hint="default"/>
          <w:spacing w:val="5"/>
        </w:rPr>
        <w:t> </w:t>
      </w:r>
      <w:r>
        <w:rPr/>
        <w:t>元，即募集资金净额合计</w:t>
      </w:r>
    </w:p>
    <w:p>
      <w:pPr>
        <w:pStyle w:val="BodyText"/>
        <w:spacing w:line="352" w:lineRule="auto" w:before="149"/>
        <w:ind w:left="217" w:right="272"/>
        <w:jc w:val="both"/>
      </w:pPr>
      <w:r>
        <w:rPr>
          <w:rFonts w:ascii="Times New Roman" w:hAnsi="Times New Roman" w:cs="Times New Roman" w:eastAsia="Times New Roman" w:hint="default"/>
        </w:rPr>
        <w:t>388,950,739.96</w:t>
      </w:r>
      <w:r>
        <w:rPr>
          <w:rFonts w:ascii="Times New Roman" w:hAnsi="Times New Roman" w:cs="Times New Roman" w:eastAsia="Times New Roman" w:hint="default"/>
          <w:spacing w:val="5"/>
        </w:rPr>
        <w:t> </w:t>
      </w:r>
      <w:r>
        <w:rPr/>
        <w:t>元。该笔调整资金，公司已于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日由自有资金账户转入</w:t>
      </w:r>
      <w:r>
        <w:rPr>
          <w:w w:val="100"/>
        </w:rPr>
        <w:t> </w:t>
      </w:r>
      <w:r>
        <w:rPr/>
        <w:t>募集资金账户。</w:t>
      </w:r>
    </w:p>
    <w:p>
      <w:pPr>
        <w:pStyle w:val="BodyText"/>
        <w:spacing w:line="240" w:lineRule="auto" w:before="59"/>
        <w:ind w:left="677" w:right="155"/>
        <w:jc w:val="left"/>
      </w:pPr>
      <w:r>
        <w:rPr/>
        <w:t>上述调整后的募集资金净额 </w:t>
      </w:r>
      <w:r>
        <w:rPr>
          <w:rFonts w:ascii="Times New Roman" w:hAnsi="Times New Roman" w:cs="Times New Roman" w:eastAsia="Times New Roman" w:hint="default"/>
        </w:rPr>
        <w:t>388,950,739.96</w:t>
      </w:r>
      <w:r>
        <w:rPr>
          <w:rFonts w:ascii="Times New Roman" w:hAnsi="Times New Roman" w:cs="Times New Roman" w:eastAsia="Times New Roman" w:hint="default"/>
          <w:spacing w:val="24"/>
        </w:rPr>
        <w:t> </w:t>
      </w:r>
      <w:r>
        <w:rPr/>
        <w:t>元，除募集资金投资项目使用资金</w:t>
      </w:r>
    </w:p>
    <w:p>
      <w:pPr>
        <w:pStyle w:val="BodyText"/>
        <w:spacing w:line="352" w:lineRule="auto" w:before="149"/>
        <w:ind w:left="217" w:right="273"/>
        <w:jc w:val="both"/>
      </w:pPr>
      <w:r>
        <w:rPr>
          <w:rFonts w:ascii="Times New Roman" w:hAnsi="Times New Roman" w:cs="Times New Roman" w:eastAsia="Times New Roman" w:hint="default"/>
        </w:rPr>
        <w:t>137,251,000.00</w:t>
      </w:r>
      <w:r>
        <w:rPr>
          <w:rFonts w:ascii="Times New Roman" w:hAnsi="Times New Roman" w:cs="Times New Roman" w:eastAsia="Times New Roman" w:hint="default"/>
          <w:spacing w:val="-1"/>
        </w:rPr>
        <w:t> </w:t>
      </w:r>
      <w:r>
        <w:rPr>
          <w:spacing w:val="-5"/>
        </w:rPr>
        <w:t>元外，其余部分</w:t>
      </w:r>
      <w:r>
        <w:rPr>
          <w:spacing w:val="-59"/>
        </w:rPr>
        <w:t> </w:t>
      </w:r>
      <w:r>
        <w:rPr>
          <w:rFonts w:ascii="Times New Roman" w:hAnsi="Times New Roman" w:cs="Times New Roman" w:eastAsia="Times New Roman" w:hint="default"/>
        </w:rPr>
        <w:t>251,699,739.96</w:t>
      </w:r>
      <w:r>
        <w:rPr>
          <w:rFonts w:ascii="Times New Roman" w:hAnsi="Times New Roman" w:cs="Times New Roman" w:eastAsia="Times New Roman" w:hint="default"/>
          <w:spacing w:val="-3"/>
        </w:rPr>
        <w:t> </w:t>
      </w:r>
      <w:r>
        <w:rPr/>
        <w:t>元为募集资金中用于其他与主营业务</w:t>
      </w:r>
      <w:r>
        <w:rPr>
          <w:w w:val="100"/>
        </w:rPr>
        <w:t> </w:t>
      </w:r>
      <w:r>
        <w:rPr/>
        <w:t>相关的营运资金部分。</w:t>
      </w:r>
    </w:p>
    <w:p>
      <w:pPr>
        <w:pStyle w:val="BodyText"/>
        <w:spacing w:line="362" w:lineRule="auto" w:before="59"/>
        <w:ind w:left="217" w:right="272" w:firstLine="459"/>
        <w:jc w:val="both"/>
      </w:pPr>
      <w:r>
        <w:rPr/>
        <w:t>本报告中，述及募集资金净额及相应使用变化情况时，以调整后的资金金额为</w:t>
      </w:r>
      <w:r>
        <w:rPr>
          <w:w w:val="100"/>
        </w:rPr>
        <w:t> </w:t>
      </w:r>
      <w:r>
        <w:rPr>
          <w:spacing w:val="-6"/>
        </w:rPr>
        <w:t>准；述及募集资金账户余额时，仍以截止</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日的募集资金账户余额为</w:t>
      </w:r>
      <w:r>
        <w:rPr>
          <w:w w:val="100"/>
        </w:rPr>
        <w:t> </w:t>
      </w:r>
      <w:r>
        <w:rPr/>
        <w:t>准。本报告其他部分不再特别说明。</w:t>
      </w:r>
    </w:p>
    <w:p>
      <w:pPr>
        <w:pStyle w:val="BodyText"/>
        <w:spacing w:line="352" w:lineRule="auto" w:before="49"/>
        <w:ind w:left="677" w:right="269"/>
        <w:jc w:val="left"/>
      </w:pPr>
      <w:r>
        <w:rPr>
          <w:rFonts w:ascii="Times New Roman" w:hAnsi="Times New Roman" w:cs="Times New Roman" w:eastAsia="Times New Roman" w:hint="default"/>
        </w:rPr>
        <w:t>2</w:t>
      </w:r>
      <w:r>
        <w:rPr/>
        <w:t>．募集资金管理情况</w:t>
      </w:r>
      <w:r>
        <w:rPr>
          <w:spacing w:val="-102"/>
        </w:rPr>
        <w:t> </w:t>
      </w:r>
      <w:r>
        <w:rPr>
          <w:spacing w:val="-102"/>
        </w:rPr>
      </w:r>
      <w:r>
        <w:rPr/>
        <w:t>按照中国证监会《上市公司证券发行管理办法》的有关规定，公司对募集资金</w:t>
      </w:r>
    </w:p>
    <w:p>
      <w:pPr>
        <w:pStyle w:val="BodyText"/>
        <w:spacing w:line="240" w:lineRule="auto" w:before="59"/>
        <w:ind w:left="217" w:right="0"/>
        <w:jc w:val="both"/>
      </w:pPr>
      <w:r>
        <w:rPr/>
        <w:t>采取了专户存储制度，在以下银行开设了募集资金的存储专户，截至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p>
    <w:p>
      <w:pPr>
        <w:pStyle w:val="BodyText"/>
        <w:spacing w:line="240" w:lineRule="auto" w:before="149"/>
        <w:ind w:left="217"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52"/>
        </w:rPr>
        <w:t> </w:t>
      </w:r>
      <w:r>
        <w:rPr/>
        <w:t>日，募集资金得存储情况列示如下：</w:t>
      </w:r>
    </w:p>
    <w:p>
      <w:pPr>
        <w:pStyle w:val="BodyText"/>
        <w:spacing w:line="240" w:lineRule="auto" w:before="71"/>
        <w:ind w:left="0" w:right="272"/>
        <w:jc w:val="right"/>
      </w:pPr>
      <w:r>
        <w:rPr/>
        <w:t>单位：元</w:t>
      </w:r>
    </w:p>
    <w:p>
      <w:pPr>
        <w:spacing w:line="240" w:lineRule="auto" w:before="12"/>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268"/>
        <w:gridCol w:w="2880"/>
        <w:gridCol w:w="1745"/>
        <w:gridCol w:w="1675"/>
      </w:tblGrid>
      <w:tr>
        <w:trPr>
          <w:trHeight w:val="383" w:hRule="exact"/>
        </w:trPr>
        <w:tc>
          <w:tcPr>
            <w:tcW w:w="22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497"/>
              <w:jc w:val="right"/>
              <w:rPr>
                <w:rFonts w:ascii="宋体" w:hAnsi="宋体" w:cs="宋体" w:eastAsia="宋体" w:hint="default"/>
                <w:sz w:val="21"/>
                <w:szCs w:val="21"/>
              </w:rPr>
            </w:pPr>
            <w:r>
              <w:rPr>
                <w:rFonts w:ascii="宋体" w:hAnsi="宋体" w:cs="宋体" w:eastAsia="宋体" w:hint="default"/>
                <w:sz w:val="21"/>
                <w:szCs w:val="21"/>
              </w:rPr>
              <w:t>存储银行名称</w:t>
            </w:r>
          </w:p>
        </w:tc>
        <w:tc>
          <w:tcPr>
            <w:tcW w:w="28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账号</w:t>
            </w:r>
          </w:p>
        </w:tc>
        <w:tc>
          <w:tcPr>
            <w:tcW w:w="17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left="341" w:right="0"/>
              <w:jc w:val="left"/>
              <w:rPr>
                <w:rFonts w:ascii="宋体" w:hAnsi="宋体" w:cs="宋体" w:eastAsia="宋体" w:hint="default"/>
                <w:sz w:val="21"/>
                <w:szCs w:val="21"/>
              </w:rPr>
            </w:pPr>
            <w:r>
              <w:rPr>
                <w:rFonts w:ascii="宋体" w:hAnsi="宋体" w:cs="宋体" w:eastAsia="宋体" w:hint="default"/>
                <w:sz w:val="21"/>
                <w:szCs w:val="21"/>
              </w:rPr>
              <w:t>截止日余额</w:t>
            </w:r>
          </w:p>
        </w:tc>
        <w:tc>
          <w:tcPr>
            <w:tcW w:w="167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
              <w:ind w:right="102"/>
              <w:jc w:val="right"/>
              <w:rPr>
                <w:rFonts w:ascii="宋体" w:hAnsi="宋体" w:cs="宋体" w:eastAsia="宋体" w:hint="default"/>
                <w:sz w:val="21"/>
                <w:szCs w:val="21"/>
              </w:rPr>
            </w:pPr>
            <w:r>
              <w:rPr>
                <w:rFonts w:ascii="宋体" w:hAnsi="宋体" w:cs="宋体" w:eastAsia="宋体" w:hint="default"/>
                <w:spacing w:val="-2"/>
                <w:sz w:val="21"/>
                <w:szCs w:val="21"/>
              </w:rPr>
              <w:t>其中：定期存款</w:t>
            </w:r>
          </w:p>
        </w:tc>
      </w:tr>
      <w:tr>
        <w:trPr>
          <w:trHeight w:val="38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73"/>
              <w:jc w:val="right"/>
              <w:rPr>
                <w:rFonts w:ascii="宋体" w:hAnsi="宋体" w:cs="宋体" w:eastAsia="宋体" w:hint="default"/>
                <w:sz w:val="21"/>
                <w:szCs w:val="21"/>
              </w:rPr>
            </w:pPr>
            <w:r>
              <w:rPr>
                <w:rFonts w:ascii="宋体" w:hAnsi="宋体" w:cs="宋体" w:eastAsia="宋体" w:hint="default"/>
                <w:sz w:val="21"/>
                <w:szCs w:val="21"/>
              </w:rPr>
              <w:t>杭州银行深圳分行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Times New Roman" w:hAnsi="Times New Roman" w:cs="Times New Roman" w:eastAsia="Times New Roman" w:hint="default"/>
                <w:sz w:val="21"/>
                <w:szCs w:val="21"/>
              </w:rPr>
            </w:pPr>
            <w:r>
              <w:rPr>
                <w:rFonts w:ascii="Times New Roman"/>
                <w:sz w:val="21"/>
              </w:rPr>
              <w:t>4403092218100141761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11,944,168.44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73"/>
              <w:jc w:val="right"/>
              <w:rPr>
                <w:rFonts w:ascii="宋体" w:hAnsi="宋体" w:cs="宋体" w:eastAsia="宋体" w:hint="default"/>
                <w:sz w:val="21"/>
                <w:szCs w:val="21"/>
              </w:rPr>
            </w:pPr>
            <w:r>
              <w:rPr>
                <w:rFonts w:ascii="宋体" w:hAnsi="宋体" w:cs="宋体" w:eastAsia="宋体" w:hint="default"/>
                <w:sz w:val="21"/>
                <w:szCs w:val="21"/>
              </w:rPr>
              <w:t>杭州银行深圳分行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4403092218100143602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190,000,000.00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1"/>
                <w:szCs w:val="21"/>
              </w:rPr>
            </w:pPr>
            <w:r>
              <w:rPr>
                <w:rFonts w:ascii="Times New Roman"/>
                <w:spacing w:val="-1"/>
                <w:sz w:val="21"/>
              </w:rPr>
              <w:t>190,000,000.00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80" w:right="152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268"/>
        <w:gridCol w:w="2880"/>
        <w:gridCol w:w="1745"/>
        <w:gridCol w:w="1675"/>
      </w:tblGrid>
      <w:tr>
        <w:trPr>
          <w:trHeight w:val="3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浙商银行深圳分行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5840000010120100017581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11,217,330.30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浙商银行深圳分行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5840000010121800008292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1"/>
                <w:szCs w:val="21"/>
              </w:rPr>
            </w:pPr>
            <w:r>
              <w:rPr>
                <w:rFonts w:ascii="Times New Roman"/>
                <w:spacing w:val="-1"/>
                <w:sz w:val="21"/>
              </w:rPr>
              <w:t>110,000,000.00</w:t>
            </w:r>
            <w:r>
              <w:rPr>
                <w:rFonts w:ascii="Times New Roman"/>
                <w:sz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110,000,000.00</w:t>
            </w:r>
            <w:r>
              <w:rPr>
                <w:rFonts w:ascii="Times New Roman"/>
                <w:sz w:val="21"/>
              </w:rPr>
            </w:r>
          </w:p>
        </w:tc>
      </w:tr>
      <w:tr>
        <w:trPr>
          <w:trHeight w:val="69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
              <w:ind w:left="103" w:right="80"/>
              <w:jc w:val="left"/>
              <w:rPr>
                <w:rFonts w:ascii="宋体" w:hAnsi="宋体" w:cs="宋体" w:eastAsia="宋体" w:hint="default"/>
                <w:sz w:val="21"/>
                <w:szCs w:val="21"/>
              </w:rPr>
            </w:pPr>
            <w:r>
              <w:rPr>
                <w:rFonts w:ascii="宋体" w:hAnsi="宋体" w:cs="宋体" w:eastAsia="宋体" w:hint="default"/>
                <w:spacing w:val="17"/>
                <w:sz w:val="21"/>
                <w:szCs w:val="21"/>
              </w:rPr>
              <w:t>上海浦东发展银行深</w:t>
            </w:r>
            <w:r>
              <w:rPr>
                <w:rFonts w:ascii="宋体" w:hAnsi="宋体" w:cs="宋体" w:eastAsia="宋体" w:hint="default"/>
                <w:spacing w:val="-99"/>
                <w:sz w:val="21"/>
                <w:szCs w:val="21"/>
              </w:rPr>
              <w:t> </w:t>
            </w:r>
            <w:r>
              <w:rPr>
                <w:rFonts w:ascii="宋体" w:hAnsi="宋体" w:cs="宋体" w:eastAsia="宋体" w:hint="default"/>
                <w:sz w:val="21"/>
                <w:szCs w:val="21"/>
              </w:rPr>
              <w:t>圳泰然支行</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79100155200000677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2,591,310.98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w:t>
            </w:r>
          </w:p>
        </w:tc>
      </w:tr>
      <w:tr>
        <w:trPr>
          <w:trHeight w:val="3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325,752,809.72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300,000,000.00</w:t>
            </w:r>
          </w:p>
        </w:tc>
      </w:tr>
    </w:tbl>
    <w:p>
      <w:pPr>
        <w:spacing w:line="240" w:lineRule="auto" w:before="5"/>
        <w:rPr>
          <w:rFonts w:ascii="宋体" w:hAnsi="宋体" w:cs="宋体" w:eastAsia="宋体" w:hint="default"/>
          <w:sz w:val="13"/>
          <w:szCs w:val="13"/>
        </w:rPr>
      </w:pPr>
    </w:p>
    <w:p>
      <w:pPr>
        <w:pStyle w:val="BodyText"/>
        <w:spacing w:line="352" w:lineRule="auto"/>
        <w:ind w:left="677" w:right="264" w:hanging="2"/>
        <w:jc w:val="left"/>
      </w:pPr>
      <w:r>
        <w:rPr>
          <w:rFonts w:ascii="Times New Roman" w:hAnsi="Times New Roman" w:cs="Times New Roman" w:eastAsia="Times New Roman" w:hint="default"/>
        </w:rPr>
        <w:t>3</w:t>
      </w:r>
      <w:r>
        <w:rPr/>
        <w:t>．报告期内募集资金使用情况</w:t>
      </w:r>
      <w:r>
        <w:rPr>
          <w:spacing w:val="-103"/>
        </w:rPr>
        <w:t> </w:t>
      </w:r>
      <w:r>
        <w:rPr>
          <w:spacing w:val="-103"/>
        </w:rPr>
      </w:r>
      <w:r>
        <w:rPr/>
        <w:t>报告期内，公司首次公开发行股票募集资金净额 </w:t>
      </w:r>
      <w:r>
        <w:rPr>
          <w:rFonts w:ascii="Times New Roman" w:hAnsi="Times New Roman" w:cs="Times New Roman" w:eastAsia="Times New Roman" w:hint="default"/>
        </w:rPr>
        <w:t>388,950,739.96</w:t>
      </w:r>
      <w:r>
        <w:rPr>
          <w:rFonts w:ascii="Times New Roman" w:hAnsi="Times New Roman" w:cs="Times New Roman" w:eastAsia="Times New Roman" w:hint="default"/>
          <w:spacing w:val="23"/>
        </w:rPr>
        <w:t> </w:t>
      </w:r>
      <w:r>
        <w:rPr/>
        <w:t>元，已投入募</w:t>
      </w:r>
    </w:p>
    <w:p>
      <w:pPr>
        <w:pStyle w:val="BodyText"/>
        <w:spacing w:line="352" w:lineRule="auto" w:before="30"/>
        <w:ind w:left="217" w:right="155"/>
        <w:jc w:val="left"/>
      </w:pPr>
      <w:r>
        <w:rPr>
          <w:spacing w:val="-1"/>
          <w:w w:val="100"/>
        </w:rPr>
        <w:t>集资金投资项目</w:t>
      </w:r>
      <w:r>
        <w:rPr>
          <w:spacing w:val="-74"/>
          <w:w w:val="100"/>
        </w:rPr>
        <w:t> </w:t>
      </w:r>
      <w:r>
        <w:rPr>
          <w:rFonts w:ascii="Times New Roman" w:hAnsi="Times New Roman" w:cs="Times New Roman" w:eastAsia="Times New Roman" w:hint="default"/>
          <w:spacing w:val="-1"/>
          <w:w w:val="100"/>
        </w:rPr>
        <w:t>17,371,713.76</w:t>
      </w:r>
      <w:r>
        <w:rPr>
          <w:rFonts w:ascii="Times New Roman" w:hAnsi="Times New Roman" w:cs="Times New Roman" w:eastAsia="Times New Roman" w:hint="default"/>
          <w:spacing w:val="-18"/>
          <w:w w:val="100"/>
        </w:rPr>
        <w:t> </w:t>
      </w:r>
      <w:r>
        <w:rPr>
          <w:spacing w:val="-8"/>
          <w:w w:val="100"/>
        </w:rPr>
        <w:t>元，使用超募资金永久补充流动资金</w:t>
      </w:r>
      <w:r>
        <w:rPr>
          <w:spacing w:val="-74"/>
          <w:w w:val="100"/>
        </w:rPr>
        <w:t> </w:t>
      </w:r>
      <w:r>
        <w:rPr>
          <w:rFonts w:ascii="Times New Roman" w:hAnsi="Times New Roman" w:cs="Times New Roman" w:eastAsia="Times New Roman" w:hint="default"/>
          <w:spacing w:val="-1"/>
          <w:w w:val="100"/>
        </w:rPr>
        <w:t>45,000,000.00</w:t>
      </w:r>
      <w:r>
        <w:rPr>
          <w:rFonts w:ascii="Times New Roman" w:hAnsi="Times New Roman" w:cs="Times New Roman" w:eastAsia="Times New Roman" w:hint="default"/>
          <w:spacing w:val="-18"/>
          <w:w w:val="100"/>
        </w:rPr>
        <w:t> </w:t>
      </w:r>
      <w:r>
        <w:rPr>
          <w:spacing w:val="1"/>
          <w:w w:val="100"/>
        </w:rPr>
        <w:t>元。</w:t>
      </w:r>
      <w:r>
        <w:rPr>
          <w:spacing w:val="-113"/>
          <w:w w:val="100"/>
        </w:rPr>
        <w:t> </w:t>
      </w:r>
      <w:r>
        <w:rPr>
          <w:spacing w:val="-3"/>
        </w:rPr>
        <w:t>募集资金获得利息收入（扣除手续费净额）</w:t>
      </w:r>
      <w:r>
        <w:rPr>
          <w:rFonts w:ascii="Times New Roman" w:hAnsi="Times New Roman" w:cs="Times New Roman" w:eastAsia="Times New Roman" w:hint="default"/>
          <w:spacing w:val="-3"/>
        </w:rPr>
        <w:t>3,366,998.48 </w:t>
      </w:r>
      <w:r>
        <w:rPr>
          <w:spacing w:val="-3"/>
        </w:rPr>
        <w:t>元。截止报告期末募集资金</w:t>
      </w:r>
      <w:r>
        <w:rPr>
          <w:spacing w:val="-77"/>
        </w:rPr>
        <w:t> </w:t>
      </w:r>
      <w:r>
        <w:rPr>
          <w:spacing w:val="-77"/>
        </w:rPr>
      </w:r>
      <w:r>
        <w:rPr/>
        <w:t>专用账户总余额</w:t>
      </w:r>
      <w:r>
        <w:rPr>
          <w:spacing w:val="-61"/>
        </w:rPr>
        <w:t> </w:t>
      </w:r>
      <w:r>
        <w:rPr>
          <w:rFonts w:ascii="Times New Roman" w:hAnsi="Times New Roman" w:cs="Times New Roman" w:eastAsia="Times New Roman" w:hint="default"/>
        </w:rPr>
        <w:t>325,752,809.72</w:t>
      </w:r>
      <w:r>
        <w:rPr>
          <w:rFonts w:ascii="Times New Roman" w:hAnsi="Times New Roman" w:cs="Times New Roman" w:eastAsia="Times New Roman" w:hint="default"/>
          <w:spacing w:val="-5"/>
        </w:rPr>
        <w:t> </w:t>
      </w:r>
      <w:r>
        <w:rPr/>
        <w:t>元。</w:t>
      </w:r>
    </w:p>
    <w:p>
      <w:pPr>
        <w:pStyle w:val="BodyText"/>
        <w:spacing w:line="240" w:lineRule="auto" w:before="186"/>
        <w:ind w:left="676" w:right="269"/>
        <w:jc w:val="left"/>
      </w:pPr>
      <w:r>
        <w:rPr>
          <w:rFonts w:ascii="Times New Roman" w:hAnsi="Times New Roman" w:cs="Times New Roman" w:eastAsia="Times New Roman" w:hint="default"/>
        </w:rPr>
        <w:t>4</w:t>
      </w:r>
      <w:r>
        <w:rPr/>
        <w:t>．募集资金使用情况对照表</w:t>
      </w:r>
    </w:p>
    <w:p>
      <w:pPr>
        <w:spacing w:after="0" w:line="240" w:lineRule="auto"/>
        <w:jc w:val="left"/>
        <w:sectPr>
          <w:pgSz w:w="11910" w:h="16840"/>
          <w:pgMar w:header="877" w:footer="982" w:top="1100" w:bottom="1180" w:left="1580" w:right="1520"/>
        </w:sectPr>
      </w:pPr>
    </w:p>
    <w:p>
      <w:pPr>
        <w:spacing w:line="240" w:lineRule="auto" w:before="0"/>
        <w:rPr>
          <w:rFonts w:ascii="宋体" w:hAnsi="宋体" w:cs="宋体" w:eastAsia="宋体" w:hint="default"/>
          <w:sz w:val="20"/>
          <w:szCs w:val="20"/>
        </w:rPr>
      </w:pPr>
      <w:r>
        <w:rPr/>
        <w:pict>
          <v:shape style="position:absolute;margin-left:53.750999pt;margin-top:99.749992pt;width:731.3pt;height:404.45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46"/>
                    <w:gridCol w:w="893"/>
                    <w:gridCol w:w="1080"/>
                    <w:gridCol w:w="1087"/>
                    <w:gridCol w:w="920"/>
                    <w:gridCol w:w="907"/>
                    <w:gridCol w:w="909"/>
                    <w:gridCol w:w="1262"/>
                    <w:gridCol w:w="904"/>
                    <w:gridCol w:w="907"/>
                    <w:gridCol w:w="896"/>
                  </w:tblGrid>
                  <w:tr>
                    <w:trPr>
                      <w:trHeight w:val="154" w:hRule="exact"/>
                    </w:trPr>
                    <w:tc>
                      <w:tcPr>
                        <w:tcW w:w="681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2007" w:type="dxa"/>
                        <w:gridSpan w:val="2"/>
                        <w:vMerge w:val="restart"/>
                        <w:tcBorders>
                          <w:top w:val="single" w:sz="4" w:space="0" w:color="000000"/>
                          <w:left w:val="single" w:sz="10" w:space="0" w:color="DCDCDC"/>
                          <w:right w:val="single" w:sz="10" w:space="0" w:color="DCDCDC"/>
                        </w:tcBorders>
                      </w:tcPr>
                      <w:p>
                        <w:pPr>
                          <w:pStyle w:val="TableParagraph"/>
                          <w:spacing w:line="240" w:lineRule="auto" w:before="18"/>
                          <w:ind w:left="1120" w:right="0"/>
                          <w:jc w:val="left"/>
                          <w:rPr>
                            <w:rFonts w:ascii="Times New Roman" w:hAnsi="Times New Roman" w:cs="Times New Roman" w:eastAsia="Times New Roman" w:hint="default"/>
                            <w:sz w:val="21"/>
                            <w:szCs w:val="21"/>
                          </w:rPr>
                        </w:pPr>
                        <w:r>
                          <w:rPr>
                            <w:rFonts w:ascii="Times New Roman"/>
                            <w:sz w:val="21"/>
                          </w:rPr>
                          <w:t>38,895.07</w:t>
                        </w:r>
                      </w:p>
                    </w:tc>
                    <w:tc>
                      <w:tcPr>
                        <w:tcW w:w="3982"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804" w:type="dxa"/>
                        <w:gridSpan w:val="2"/>
                        <w:vMerge w:val="restart"/>
                        <w:tcBorders>
                          <w:top w:val="single" w:sz="4" w:space="0" w:color="000000"/>
                          <w:left w:val="single" w:sz="9" w:space="0" w:color="DCDCDC"/>
                          <w:right w:val="single" w:sz="4" w:space="0" w:color="000000"/>
                        </w:tcBorders>
                      </w:tcPr>
                      <w:p>
                        <w:pPr>
                          <w:pStyle w:val="TableParagraph"/>
                          <w:spacing w:line="240" w:lineRule="auto" w:before="163"/>
                          <w:ind w:left="1029" w:right="0"/>
                          <w:jc w:val="left"/>
                          <w:rPr>
                            <w:rFonts w:ascii="Times New Roman" w:hAnsi="Times New Roman" w:cs="Times New Roman" w:eastAsia="Times New Roman" w:hint="default"/>
                            <w:sz w:val="21"/>
                            <w:szCs w:val="21"/>
                          </w:rPr>
                        </w:pPr>
                        <w:r>
                          <w:rPr>
                            <w:rFonts w:ascii="Times New Roman"/>
                            <w:sz w:val="21"/>
                          </w:rPr>
                          <w:t>6,237.17</w:t>
                        </w:r>
                      </w:p>
                    </w:tc>
                  </w:tr>
                  <w:tr>
                    <w:trPr>
                      <w:trHeight w:val="140" w:hRule="exact"/>
                    </w:trPr>
                    <w:tc>
                      <w:tcPr>
                        <w:tcW w:w="6818" w:type="dxa"/>
                        <w:gridSpan w:val="3"/>
                        <w:vMerge/>
                        <w:tcBorders>
                          <w:left w:val="single" w:sz="4" w:space="0" w:color="000000"/>
                          <w:bottom w:val="single" w:sz="4" w:space="0" w:color="000000"/>
                          <w:right w:val="single" w:sz="4" w:space="0" w:color="000000"/>
                        </w:tcBorders>
                        <w:shd w:val="clear" w:color="auto" w:fill="DCDCDC"/>
                      </w:tcPr>
                      <w:p>
                        <w:pPr/>
                      </w:p>
                    </w:tc>
                    <w:tc>
                      <w:tcPr>
                        <w:tcW w:w="2007" w:type="dxa"/>
                        <w:gridSpan w:val="2"/>
                        <w:vMerge/>
                        <w:tcBorders>
                          <w:left w:val="single" w:sz="10" w:space="0" w:color="DCDCDC"/>
                          <w:bottom w:val="single" w:sz="4" w:space="0" w:color="000000"/>
                          <w:right w:val="single" w:sz="10" w:space="0" w:color="DCDCDC"/>
                        </w:tcBorders>
                      </w:tcPr>
                      <w:p>
                        <w:pPr/>
                      </w:p>
                    </w:tc>
                    <w:tc>
                      <w:tcPr>
                        <w:tcW w:w="3982"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828"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1804" w:type="dxa"/>
                        <w:gridSpan w:val="2"/>
                        <w:vMerge/>
                        <w:tcBorders>
                          <w:left w:val="single" w:sz="9" w:space="0" w:color="DCDCDC"/>
                          <w:right w:val="single" w:sz="4" w:space="0" w:color="000000"/>
                        </w:tcBorders>
                      </w:tcPr>
                      <w:p>
                        <w:pPr/>
                      </w:p>
                    </w:tc>
                  </w:tr>
                  <w:tr>
                    <w:trPr>
                      <w:trHeight w:val="132" w:hRule="exact"/>
                    </w:trPr>
                    <w:tc>
                      <w:tcPr>
                        <w:tcW w:w="681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1828"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007" w:type="dxa"/>
                        <w:gridSpan w:val="2"/>
                        <w:vMerge w:val="restart"/>
                        <w:tcBorders>
                          <w:top w:val="single" w:sz="4" w:space="0" w:color="000000"/>
                          <w:left w:val="single" w:sz="10" w:space="0" w:color="DCDCDC"/>
                          <w:right w:val="single" w:sz="10" w:space="0" w:color="DCDCDC"/>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0.00</w:t>
                        </w:r>
                      </w:p>
                    </w:tc>
                    <w:tc>
                      <w:tcPr>
                        <w:tcW w:w="3982" w:type="dxa"/>
                        <w:gridSpan w:val="4"/>
                        <w:vMerge/>
                        <w:tcBorders>
                          <w:left w:val="single" w:sz="4" w:space="0" w:color="000000"/>
                          <w:bottom w:val="nil" w:sz="6" w:space="0" w:color="auto"/>
                          <w:right w:val="single" w:sz="4" w:space="0" w:color="000000"/>
                        </w:tcBorders>
                        <w:shd w:val="clear" w:color="auto" w:fill="DCDCDC"/>
                      </w:tcPr>
                      <w:p>
                        <w:pPr/>
                      </w:p>
                    </w:tc>
                    <w:tc>
                      <w:tcPr>
                        <w:tcW w:w="1804" w:type="dxa"/>
                        <w:gridSpan w:val="2"/>
                        <w:vMerge/>
                        <w:tcBorders>
                          <w:left w:val="single" w:sz="9" w:space="0" w:color="DCDCDC"/>
                          <w:right w:val="single" w:sz="4" w:space="0" w:color="000000"/>
                        </w:tcBorders>
                      </w:tcPr>
                      <w:p>
                        <w:pPr/>
                      </w:p>
                    </w:tc>
                  </w:tr>
                  <w:tr>
                    <w:trPr>
                      <w:trHeight w:val="167" w:hRule="exact"/>
                    </w:trPr>
                    <w:tc>
                      <w:tcPr>
                        <w:tcW w:w="6818" w:type="dxa"/>
                        <w:gridSpan w:val="3"/>
                        <w:vMerge/>
                        <w:tcBorders>
                          <w:left w:val="single" w:sz="4" w:space="0" w:color="000000"/>
                          <w:bottom w:val="single" w:sz="4" w:space="0" w:color="000000"/>
                          <w:right w:val="single" w:sz="4" w:space="0" w:color="000000"/>
                        </w:tcBorders>
                        <w:shd w:val="clear" w:color="auto" w:fill="DCDCDC"/>
                      </w:tcPr>
                      <w:p>
                        <w:pPr/>
                      </w:p>
                    </w:tc>
                    <w:tc>
                      <w:tcPr>
                        <w:tcW w:w="2007" w:type="dxa"/>
                        <w:gridSpan w:val="2"/>
                        <w:vMerge/>
                        <w:tcBorders>
                          <w:left w:val="single" w:sz="10" w:space="0" w:color="DCDCDC"/>
                          <w:bottom w:val="single" w:sz="4" w:space="0" w:color="000000"/>
                          <w:right w:val="single" w:sz="10" w:space="0" w:color="DCDCDC"/>
                        </w:tcBorders>
                      </w:tcPr>
                      <w:p>
                        <w:pPr/>
                      </w:p>
                    </w:tc>
                    <w:tc>
                      <w:tcPr>
                        <w:tcW w:w="3982"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804" w:type="dxa"/>
                        <w:gridSpan w:val="2"/>
                        <w:vMerge/>
                        <w:tcBorders>
                          <w:left w:val="single" w:sz="9" w:space="0" w:color="DCDCDC"/>
                          <w:bottom w:val="single" w:sz="4" w:space="0" w:color="000000"/>
                          <w:right w:val="single" w:sz="4" w:space="0" w:color="000000"/>
                        </w:tcBorders>
                      </w:tcPr>
                      <w:p>
                        <w:pPr/>
                      </w:p>
                    </w:tc>
                  </w:tr>
                  <w:tr>
                    <w:trPr>
                      <w:trHeight w:val="159" w:hRule="exact"/>
                    </w:trPr>
                    <w:tc>
                      <w:tcPr>
                        <w:tcW w:w="681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9" w:lineRule="exact"/>
                          <w:ind w:left="2038"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07" w:type="dxa"/>
                        <w:gridSpan w:val="2"/>
                        <w:vMerge w:val="restart"/>
                        <w:tcBorders>
                          <w:top w:val="single" w:sz="4" w:space="0" w:color="000000"/>
                          <w:left w:val="single" w:sz="10" w:space="0" w:color="DCDCDC"/>
                          <w:right w:val="single" w:sz="10" w:space="0" w:color="DCDCDC"/>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0.00</w:t>
                        </w:r>
                      </w:p>
                    </w:tc>
                    <w:tc>
                      <w:tcPr>
                        <w:tcW w:w="3982"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804" w:type="dxa"/>
                        <w:gridSpan w:val="2"/>
                        <w:vMerge w:val="restart"/>
                        <w:tcBorders>
                          <w:top w:val="single" w:sz="4" w:space="0" w:color="000000"/>
                          <w:left w:val="single" w:sz="9" w:space="0" w:color="DCDCDC"/>
                          <w:right w:val="single" w:sz="4" w:space="0" w:color="000000"/>
                        </w:tcBorders>
                      </w:tcPr>
                      <w:p>
                        <w:pPr>
                          <w:pStyle w:val="TableParagraph"/>
                          <w:spacing w:line="240" w:lineRule="auto" w:before="168"/>
                          <w:ind w:left="1029" w:right="0"/>
                          <w:jc w:val="left"/>
                          <w:rPr>
                            <w:rFonts w:ascii="Times New Roman" w:hAnsi="Times New Roman" w:cs="Times New Roman" w:eastAsia="Times New Roman" w:hint="default"/>
                            <w:sz w:val="21"/>
                            <w:szCs w:val="21"/>
                          </w:rPr>
                        </w:pPr>
                        <w:r>
                          <w:rPr>
                            <w:rFonts w:ascii="Times New Roman"/>
                            <w:sz w:val="21"/>
                          </w:rPr>
                          <w:t>6,237.17</w:t>
                        </w:r>
                      </w:p>
                    </w:tc>
                  </w:tr>
                  <w:tr>
                    <w:trPr>
                      <w:trHeight w:val="140" w:hRule="exact"/>
                    </w:trPr>
                    <w:tc>
                      <w:tcPr>
                        <w:tcW w:w="6818" w:type="dxa"/>
                        <w:gridSpan w:val="3"/>
                        <w:vMerge/>
                        <w:tcBorders>
                          <w:left w:val="single" w:sz="4" w:space="0" w:color="000000"/>
                          <w:bottom w:val="single" w:sz="4" w:space="0" w:color="000000"/>
                          <w:right w:val="single" w:sz="4" w:space="0" w:color="000000"/>
                        </w:tcBorders>
                        <w:shd w:val="clear" w:color="auto" w:fill="DCDCDC"/>
                      </w:tcPr>
                      <w:p>
                        <w:pPr/>
                      </w:p>
                    </w:tc>
                    <w:tc>
                      <w:tcPr>
                        <w:tcW w:w="2007" w:type="dxa"/>
                        <w:gridSpan w:val="2"/>
                        <w:vMerge/>
                        <w:tcBorders>
                          <w:left w:val="single" w:sz="10" w:space="0" w:color="DCDCDC"/>
                          <w:bottom w:val="single" w:sz="4" w:space="0" w:color="000000"/>
                          <w:right w:val="single" w:sz="10" w:space="0" w:color="DCDCDC"/>
                        </w:tcBorders>
                      </w:tcPr>
                      <w:p>
                        <w:pPr/>
                      </w:p>
                    </w:tc>
                    <w:tc>
                      <w:tcPr>
                        <w:tcW w:w="3982"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828"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1804" w:type="dxa"/>
                        <w:gridSpan w:val="2"/>
                        <w:vMerge/>
                        <w:tcBorders>
                          <w:left w:val="single" w:sz="9" w:space="0" w:color="DCDCDC"/>
                          <w:right w:val="single" w:sz="4" w:space="0" w:color="000000"/>
                        </w:tcBorders>
                      </w:tcPr>
                      <w:p>
                        <w:pPr/>
                      </w:p>
                    </w:tc>
                  </w:tr>
                  <w:tr>
                    <w:trPr>
                      <w:trHeight w:val="132" w:hRule="exact"/>
                    </w:trPr>
                    <w:tc>
                      <w:tcPr>
                        <w:tcW w:w="681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1828"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007" w:type="dxa"/>
                        <w:gridSpan w:val="2"/>
                        <w:vMerge w:val="restart"/>
                        <w:tcBorders>
                          <w:top w:val="single" w:sz="4" w:space="0" w:color="000000"/>
                          <w:left w:val="single" w:sz="13" w:space="0" w:color="DCDCDC"/>
                          <w:right w:val="single" w:sz="10" w:space="0" w:color="DCDCDC"/>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0.00%</w:t>
                        </w:r>
                      </w:p>
                    </w:tc>
                    <w:tc>
                      <w:tcPr>
                        <w:tcW w:w="3982" w:type="dxa"/>
                        <w:gridSpan w:val="4"/>
                        <w:vMerge/>
                        <w:tcBorders>
                          <w:left w:val="single" w:sz="4" w:space="0" w:color="000000"/>
                          <w:bottom w:val="nil" w:sz="6" w:space="0" w:color="auto"/>
                          <w:right w:val="single" w:sz="4" w:space="0" w:color="000000"/>
                        </w:tcBorders>
                        <w:shd w:val="clear" w:color="auto" w:fill="DCDCDC"/>
                      </w:tcPr>
                      <w:p>
                        <w:pPr/>
                      </w:p>
                    </w:tc>
                    <w:tc>
                      <w:tcPr>
                        <w:tcW w:w="1804" w:type="dxa"/>
                        <w:gridSpan w:val="2"/>
                        <w:vMerge/>
                        <w:tcBorders>
                          <w:left w:val="single" w:sz="9" w:space="0" w:color="DCDCDC"/>
                          <w:right w:val="single" w:sz="4" w:space="0" w:color="000000"/>
                        </w:tcBorders>
                      </w:tcPr>
                      <w:p>
                        <w:pPr/>
                      </w:p>
                    </w:tc>
                  </w:tr>
                  <w:tr>
                    <w:trPr>
                      <w:trHeight w:val="168" w:hRule="exact"/>
                    </w:trPr>
                    <w:tc>
                      <w:tcPr>
                        <w:tcW w:w="6818" w:type="dxa"/>
                        <w:gridSpan w:val="3"/>
                        <w:vMerge/>
                        <w:tcBorders>
                          <w:left w:val="single" w:sz="4" w:space="0" w:color="000000"/>
                          <w:bottom w:val="single" w:sz="4" w:space="0" w:color="000000"/>
                          <w:right w:val="single" w:sz="4" w:space="0" w:color="000000"/>
                        </w:tcBorders>
                        <w:shd w:val="clear" w:color="auto" w:fill="DCDCDC"/>
                      </w:tcPr>
                      <w:p>
                        <w:pPr/>
                      </w:p>
                    </w:tc>
                    <w:tc>
                      <w:tcPr>
                        <w:tcW w:w="2007" w:type="dxa"/>
                        <w:gridSpan w:val="2"/>
                        <w:vMerge/>
                        <w:tcBorders>
                          <w:left w:val="single" w:sz="13" w:space="0" w:color="DCDCDC"/>
                          <w:bottom w:val="single" w:sz="4" w:space="0" w:color="000000"/>
                          <w:right w:val="single" w:sz="10" w:space="0" w:color="DCDCDC"/>
                        </w:tcBorders>
                      </w:tcPr>
                      <w:p>
                        <w:pPr/>
                      </w:p>
                    </w:tc>
                    <w:tc>
                      <w:tcPr>
                        <w:tcW w:w="3982"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804" w:type="dxa"/>
                        <w:gridSpan w:val="2"/>
                        <w:vMerge/>
                        <w:tcBorders>
                          <w:left w:val="single" w:sz="9" w:space="0" w:color="DCDCDC"/>
                          <w:bottom w:val="single" w:sz="4" w:space="0" w:color="000000"/>
                          <w:right w:val="single" w:sz="4" w:space="0" w:color="000000"/>
                        </w:tcBorders>
                      </w:tcPr>
                      <w:p>
                        <w:pPr/>
                      </w:p>
                    </w:tc>
                  </w:tr>
                  <w:tr>
                    <w:trPr>
                      <w:trHeight w:val="140" w:hRule="exact"/>
                    </w:trPr>
                    <w:tc>
                      <w:tcPr>
                        <w:tcW w:w="4846" w:type="dxa"/>
                        <w:vMerge w:val="restart"/>
                        <w:tcBorders>
                          <w:top w:val="single" w:sz="4" w:space="0" w:color="000000"/>
                          <w:left w:val="single" w:sz="4" w:space="0" w:color="000000"/>
                          <w:right w:val="single" w:sz="4" w:space="0" w:color="000000"/>
                        </w:tcBorders>
                        <w:shd w:val="clear" w:color="auto" w:fill="DCDCDC"/>
                      </w:tcPr>
                      <w:p>
                        <w:pPr/>
                      </w:p>
                    </w:tc>
                    <w:tc>
                      <w:tcPr>
                        <w:tcW w:w="893"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25" w:right="0"/>
                          <w:jc w:val="both"/>
                          <w:rPr>
                            <w:rFonts w:ascii="宋体" w:hAnsi="宋体" w:cs="宋体" w:eastAsia="宋体" w:hint="default"/>
                            <w:sz w:val="21"/>
                            <w:szCs w:val="21"/>
                          </w:rPr>
                        </w:pPr>
                        <w:r>
                          <w:rPr>
                            <w:rFonts w:ascii="宋体" w:hAnsi="宋体" w:cs="宋体" w:eastAsia="宋体" w:hint="default"/>
                            <w:sz w:val="21"/>
                            <w:szCs w:val="21"/>
                          </w:rPr>
                          <w:t>是否已</w:t>
                        </w:r>
                      </w:p>
                      <w:p>
                        <w:pPr>
                          <w:pStyle w:val="TableParagraph"/>
                          <w:spacing w:line="272" w:lineRule="exact" w:before="26"/>
                          <w:ind w:left="91" w:right="89"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变更项 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 分变更</w:t>
                        </w:r>
                        <w:r>
                          <w:rPr>
                            <w:rFonts w:ascii="Times New Roman" w:hAnsi="Times New Roman" w:cs="Times New Roman" w:eastAsia="Times New Roman" w:hint="default"/>
                            <w:sz w:val="21"/>
                            <w:szCs w:val="21"/>
                          </w:rPr>
                          <w:t>)</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7" w:type="dxa"/>
                        <w:vMerge w:val="restart"/>
                        <w:tcBorders>
                          <w:top w:val="single" w:sz="4" w:space="0" w:color="000000"/>
                          <w:left w:val="single" w:sz="4" w:space="0" w:color="000000"/>
                          <w:right w:val="single" w:sz="4" w:space="0" w:color="000000"/>
                        </w:tcBorders>
                        <w:shd w:val="clear" w:color="auto" w:fill="DCDCDC"/>
                      </w:tcPr>
                      <w:p>
                        <w:pPr/>
                      </w:p>
                    </w:tc>
                    <w:tc>
                      <w:tcPr>
                        <w:tcW w:w="920" w:type="dxa"/>
                        <w:vMerge w:val="restart"/>
                        <w:tcBorders>
                          <w:top w:val="single" w:sz="4" w:space="0" w:color="000000"/>
                          <w:left w:val="single" w:sz="4" w:space="0" w:color="000000"/>
                          <w:right w:val="single" w:sz="4" w:space="0" w:color="000000"/>
                        </w:tcBorders>
                        <w:shd w:val="clear" w:color="auto" w:fill="DCDCDC"/>
                      </w:tcPr>
                      <w:p>
                        <w:pPr/>
                      </w:p>
                    </w:tc>
                    <w:tc>
                      <w:tcPr>
                        <w:tcW w:w="907" w:type="dxa"/>
                        <w:tcBorders>
                          <w:top w:val="single" w:sz="4" w:space="0" w:color="000000"/>
                          <w:left w:val="single" w:sz="4" w:space="0" w:color="000000"/>
                          <w:bottom w:val="nil" w:sz="6" w:space="0" w:color="auto"/>
                          <w:right w:val="single" w:sz="4" w:space="0" w:color="000000"/>
                        </w:tcBorders>
                        <w:shd w:val="clear" w:color="auto" w:fill="DCDCDC"/>
                      </w:tcPr>
                      <w:p>
                        <w:pPr/>
                      </w:p>
                    </w:tc>
                    <w:tc>
                      <w:tcPr>
                        <w:tcW w:w="909"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8"/>
                          <w:ind w:left="23" w:right="34"/>
                          <w:jc w:val="both"/>
                          <w:rPr>
                            <w:rFonts w:ascii="宋体" w:hAnsi="宋体" w:cs="宋体" w:eastAsia="宋体" w:hint="default"/>
                            <w:sz w:val="21"/>
                            <w:szCs w:val="21"/>
                          </w:rPr>
                        </w:pPr>
                        <w:r>
                          <w:rPr>
                            <w:rFonts w:ascii="宋体" w:hAnsi="宋体" w:cs="宋体" w:eastAsia="宋体" w:hint="default"/>
                            <w:sz w:val="21"/>
                            <w:szCs w:val="21"/>
                          </w:rPr>
                          <w:t>截至期末 投资进度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6"/>
                          <w:ind w:left="168" w:right="0"/>
                          <w:jc w:val="left"/>
                          <w:rPr>
                            <w:rFonts w:ascii="Times New Roman" w:hAnsi="Times New Roman" w:cs="Times New Roman" w:eastAsia="Times New Roman" w:hint="default"/>
                            <w:sz w:val="21"/>
                            <w:szCs w:val="21"/>
                          </w:rPr>
                        </w:pPr>
                        <w:r>
                          <w:rPr>
                            <w:rFonts w:ascii="Times New Roman"/>
                            <w:sz w:val="21"/>
                          </w:rPr>
                          <w:t>(2)/(1)</w:t>
                        </w:r>
                      </w:p>
                    </w:tc>
                    <w:tc>
                      <w:tcPr>
                        <w:tcW w:w="1262" w:type="dxa"/>
                        <w:tcBorders>
                          <w:top w:val="single" w:sz="4" w:space="0" w:color="000000"/>
                          <w:left w:val="single" w:sz="4" w:space="0" w:color="000000"/>
                          <w:bottom w:val="nil" w:sz="6" w:space="0" w:color="auto"/>
                          <w:right w:val="single" w:sz="4" w:space="0" w:color="000000"/>
                        </w:tcBorders>
                        <w:shd w:val="clear" w:color="auto" w:fill="DCDCDC"/>
                      </w:tcPr>
                      <w:p>
                        <w:pPr/>
                      </w:p>
                    </w:tc>
                    <w:tc>
                      <w:tcPr>
                        <w:tcW w:w="904" w:type="dxa"/>
                        <w:vMerge w:val="restart"/>
                        <w:tcBorders>
                          <w:top w:val="single" w:sz="4" w:space="0" w:color="000000"/>
                          <w:left w:val="single" w:sz="4" w:space="0" w:color="000000"/>
                          <w:right w:val="single" w:sz="4" w:space="0" w:color="000000"/>
                        </w:tcBorders>
                        <w:shd w:val="clear" w:color="auto" w:fill="DCDCDC"/>
                      </w:tcPr>
                      <w:p>
                        <w:pPr/>
                      </w:p>
                    </w:tc>
                    <w:tc>
                      <w:tcPr>
                        <w:tcW w:w="907" w:type="dxa"/>
                        <w:vMerge w:val="restart"/>
                        <w:tcBorders>
                          <w:top w:val="single" w:sz="4" w:space="0" w:color="000000"/>
                          <w:left w:val="single" w:sz="4" w:space="0" w:color="000000"/>
                          <w:right w:val="single" w:sz="4" w:space="0" w:color="000000"/>
                        </w:tcBorders>
                        <w:shd w:val="clear" w:color="auto" w:fill="DCDCDC"/>
                      </w:tcPr>
                      <w:p>
                        <w:pPr/>
                      </w:p>
                    </w:tc>
                    <w:tc>
                      <w:tcPr>
                        <w:tcW w:w="896"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项目可行</w:t>
                        </w:r>
                      </w:p>
                      <w:p>
                        <w:pPr>
                          <w:pStyle w:val="TableParagraph"/>
                          <w:spacing w:line="272" w:lineRule="exact" w:before="26"/>
                          <w:ind w:left="20" w:right="24"/>
                          <w:jc w:val="center"/>
                          <w:rPr>
                            <w:rFonts w:ascii="宋体" w:hAnsi="宋体" w:cs="宋体" w:eastAsia="宋体" w:hint="default"/>
                            <w:sz w:val="21"/>
                            <w:szCs w:val="21"/>
                          </w:rPr>
                        </w:pPr>
                        <w:r>
                          <w:rPr>
                            <w:rFonts w:ascii="宋体" w:hAnsi="宋体" w:cs="宋体" w:eastAsia="宋体" w:hint="default"/>
                            <w:sz w:val="21"/>
                            <w:szCs w:val="21"/>
                          </w:rPr>
                          <w:t>性是否发 生重大变 化</w:t>
                        </w:r>
                      </w:p>
                    </w:tc>
                  </w:tr>
                  <w:tr>
                    <w:trPr>
                      <w:trHeight w:val="137" w:hRule="exact"/>
                    </w:trPr>
                    <w:tc>
                      <w:tcPr>
                        <w:tcW w:w="484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114"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72" w:lineRule="exact" w:before="26"/>
                          <w:ind w:left="324" w:right="114" w:hanging="210"/>
                          <w:jc w:val="left"/>
                          <w:rPr>
                            <w:rFonts w:ascii="宋体" w:hAnsi="宋体" w:cs="宋体" w:eastAsia="宋体" w:hint="default"/>
                            <w:sz w:val="21"/>
                            <w:szCs w:val="21"/>
                          </w:rPr>
                        </w:pPr>
                        <w:r>
                          <w:rPr>
                            <w:rFonts w:ascii="宋体" w:hAnsi="宋体" w:cs="宋体" w:eastAsia="宋体" w:hint="default"/>
                            <w:sz w:val="21"/>
                            <w:szCs w:val="21"/>
                          </w:rPr>
                          <w:t>承诺投资 总额</w:t>
                        </w:r>
                      </w:p>
                    </w:tc>
                    <w:tc>
                      <w:tcPr>
                        <w:tcW w:w="1087" w:type="dxa"/>
                        <w:vMerge/>
                        <w:tcBorders>
                          <w:left w:val="single" w:sz="4" w:space="0" w:color="000000"/>
                          <w:bottom w:val="nil" w:sz="6" w:space="0" w:color="auto"/>
                          <w:right w:val="single" w:sz="4" w:space="0" w:color="000000"/>
                        </w:tcBorders>
                        <w:shd w:val="clear" w:color="auto" w:fill="DCDCDC"/>
                      </w:tcPr>
                      <w:p>
                        <w:pPr/>
                      </w:p>
                    </w:tc>
                    <w:tc>
                      <w:tcPr>
                        <w:tcW w:w="920" w:type="dxa"/>
                        <w:vMerge/>
                        <w:tcBorders>
                          <w:left w:val="single" w:sz="4" w:space="0" w:color="000000"/>
                          <w:bottom w:val="nil" w:sz="6" w:space="0" w:color="auto"/>
                          <w:right w:val="single" w:sz="4" w:space="0" w:color="000000"/>
                        </w:tcBorders>
                        <w:shd w:val="clear" w:color="auto" w:fill="DCDCDC"/>
                      </w:tcPr>
                      <w:p>
                        <w:pPr/>
                      </w:p>
                    </w:tc>
                    <w:tc>
                      <w:tcPr>
                        <w:tcW w:w="907"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18" w:right="0"/>
                          <w:jc w:val="left"/>
                          <w:rPr>
                            <w:rFonts w:ascii="宋体" w:hAnsi="宋体" w:cs="宋体" w:eastAsia="宋体" w:hint="default"/>
                            <w:sz w:val="21"/>
                            <w:szCs w:val="21"/>
                          </w:rPr>
                        </w:pPr>
                        <w:r>
                          <w:rPr>
                            <w:rFonts w:ascii="宋体" w:hAnsi="宋体" w:cs="宋体" w:eastAsia="宋体" w:hint="default"/>
                            <w:sz w:val="21"/>
                            <w:szCs w:val="21"/>
                          </w:rPr>
                          <w:t>截至期末</w:t>
                        </w:r>
                      </w:p>
                      <w:p>
                        <w:pPr>
                          <w:pStyle w:val="TableParagraph"/>
                          <w:spacing w:line="272" w:lineRule="exact" w:before="26"/>
                          <w:ind w:left="106" w:right="37" w:hanging="88"/>
                          <w:jc w:val="left"/>
                          <w:rPr>
                            <w:rFonts w:ascii="Times New Roman" w:hAnsi="Times New Roman" w:cs="Times New Roman" w:eastAsia="Times New Roman" w:hint="default"/>
                            <w:sz w:val="21"/>
                            <w:szCs w:val="21"/>
                          </w:rPr>
                        </w:pPr>
                        <w:r>
                          <w:rPr>
                            <w:rFonts w:ascii="宋体" w:hAnsi="宋体" w:cs="宋体" w:eastAsia="宋体" w:hint="default"/>
                            <w:sz w:val="21"/>
                            <w:szCs w:val="21"/>
                          </w:rPr>
                          <w:t>累计投入 金额</w:t>
                        </w:r>
                        <w:r>
                          <w:rPr>
                            <w:rFonts w:ascii="Times New Roman" w:hAnsi="Times New Roman" w:cs="Times New Roman" w:eastAsia="Times New Roman" w:hint="default"/>
                            <w:sz w:val="21"/>
                            <w:szCs w:val="21"/>
                          </w:rPr>
                          <w:t>(2)</w:t>
                        </w:r>
                      </w:p>
                    </w:tc>
                    <w:tc>
                      <w:tcPr>
                        <w:tcW w:w="909" w:type="dxa"/>
                        <w:vMerge/>
                        <w:tcBorders>
                          <w:left w:val="single" w:sz="4" w:space="0" w:color="000000"/>
                          <w:right w:val="single" w:sz="4" w:space="0" w:color="000000"/>
                        </w:tcBorders>
                        <w:shd w:val="clear" w:color="auto" w:fill="DCDCDC"/>
                      </w:tcPr>
                      <w:p>
                        <w:pPr/>
                      </w:p>
                    </w:tc>
                    <w:tc>
                      <w:tcPr>
                        <w:tcW w:w="1262"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项目达到预</w:t>
                        </w:r>
                      </w:p>
                      <w:p>
                        <w:pPr>
                          <w:pStyle w:val="TableParagraph"/>
                          <w:spacing w:line="272" w:lineRule="exact" w:before="26"/>
                          <w:ind w:left="310" w:right="99" w:hanging="210"/>
                          <w:jc w:val="left"/>
                          <w:rPr>
                            <w:rFonts w:ascii="宋体" w:hAnsi="宋体" w:cs="宋体" w:eastAsia="宋体" w:hint="default"/>
                            <w:sz w:val="21"/>
                            <w:szCs w:val="21"/>
                          </w:rPr>
                        </w:pPr>
                        <w:r>
                          <w:rPr>
                            <w:rFonts w:ascii="宋体" w:hAnsi="宋体" w:cs="宋体" w:eastAsia="宋体" w:hint="default"/>
                            <w:sz w:val="21"/>
                            <w:szCs w:val="21"/>
                          </w:rPr>
                          <w:t>定可使用状 态日期</w:t>
                        </w:r>
                      </w:p>
                    </w:tc>
                    <w:tc>
                      <w:tcPr>
                        <w:tcW w:w="904" w:type="dxa"/>
                        <w:vMerge/>
                        <w:tcBorders>
                          <w:left w:val="single" w:sz="4" w:space="0" w:color="000000"/>
                          <w:bottom w:val="nil" w:sz="6" w:space="0" w:color="auto"/>
                          <w:right w:val="single" w:sz="4" w:space="0" w:color="000000"/>
                        </w:tcBorders>
                        <w:shd w:val="clear" w:color="auto" w:fill="DCDCDC"/>
                      </w:tcPr>
                      <w:p>
                        <w:pPr/>
                      </w:p>
                    </w:tc>
                    <w:tc>
                      <w:tcPr>
                        <w:tcW w:w="907" w:type="dxa"/>
                        <w:vMerge/>
                        <w:tcBorders>
                          <w:left w:val="single" w:sz="4" w:space="0" w:color="000000"/>
                          <w:bottom w:val="nil" w:sz="6" w:space="0" w:color="auto"/>
                          <w:right w:val="single" w:sz="4" w:space="0" w:color="000000"/>
                        </w:tcBorders>
                        <w:shd w:val="clear" w:color="auto" w:fill="DCDCDC"/>
                      </w:tcPr>
                      <w:p>
                        <w:pPr/>
                      </w:p>
                    </w:tc>
                    <w:tc>
                      <w:tcPr>
                        <w:tcW w:w="896" w:type="dxa"/>
                        <w:vMerge/>
                        <w:tcBorders>
                          <w:left w:val="single" w:sz="4" w:space="0" w:color="000000"/>
                          <w:right w:val="single" w:sz="4" w:space="0" w:color="000000"/>
                        </w:tcBorders>
                        <w:shd w:val="clear" w:color="auto" w:fill="DCDCDC"/>
                      </w:tcPr>
                      <w:p>
                        <w:pPr/>
                      </w:p>
                    </w:tc>
                  </w:tr>
                  <w:tr>
                    <w:trPr>
                      <w:trHeight w:val="136" w:hRule="exact"/>
                    </w:trPr>
                    <w:tc>
                      <w:tcPr>
                        <w:tcW w:w="4846" w:type="dxa"/>
                        <w:vMerge/>
                        <w:tcBorders>
                          <w:left w:val="single" w:sz="4" w:space="0" w:color="000000"/>
                          <w:bottom w:val="nil" w:sz="6" w:space="0" w:color="auto"/>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7"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98" w:right="0" w:firstLine="18"/>
                          <w:jc w:val="left"/>
                          <w:rPr>
                            <w:rFonts w:ascii="宋体" w:hAnsi="宋体" w:cs="宋体" w:eastAsia="宋体" w:hint="default"/>
                            <w:sz w:val="21"/>
                            <w:szCs w:val="21"/>
                          </w:rPr>
                        </w:pPr>
                        <w:r>
                          <w:rPr>
                            <w:rFonts w:ascii="宋体" w:hAnsi="宋体" w:cs="宋体" w:eastAsia="宋体" w:hint="default"/>
                            <w:sz w:val="21"/>
                            <w:szCs w:val="21"/>
                          </w:rPr>
                          <w:t>调整后投</w:t>
                        </w:r>
                      </w:p>
                      <w:p>
                        <w:pPr>
                          <w:pStyle w:val="TableParagraph"/>
                          <w:spacing w:line="28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资总额</w:t>
                        </w:r>
                        <w:r>
                          <w:rPr>
                            <w:rFonts w:ascii="Times New Roman" w:hAnsi="Times New Roman" w:cs="Times New Roman" w:eastAsia="Times New Roman" w:hint="default"/>
                            <w:sz w:val="21"/>
                            <w:szCs w:val="21"/>
                          </w:rPr>
                          <w:t>(1)</w:t>
                        </w:r>
                      </w:p>
                    </w:tc>
                    <w:tc>
                      <w:tcPr>
                        <w:tcW w:w="920"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right="7"/>
                          <w:jc w:val="center"/>
                          <w:rPr>
                            <w:rFonts w:ascii="宋体" w:hAnsi="宋体" w:cs="宋体" w:eastAsia="宋体" w:hint="default"/>
                            <w:sz w:val="21"/>
                            <w:szCs w:val="21"/>
                          </w:rPr>
                        </w:pPr>
                        <w:r>
                          <w:rPr>
                            <w:rFonts w:ascii="宋体" w:hAnsi="宋体" w:cs="宋体" w:eastAsia="宋体" w:hint="default"/>
                            <w:sz w:val="21"/>
                            <w:szCs w:val="21"/>
                          </w:rPr>
                          <w:t>本年度投</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入金额</w:t>
                        </w:r>
                      </w:p>
                    </w:tc>
                    <w:tc>
                      <w:tcPr>
                        <w:tcW w:w="907" w:type="dxa"/>
                        <w:vMerge/>
                        <w:tcBorders>
                          <w:left w:val="single" w:sz="4" w:space="0" w:color="000000"/>
                          <w:right w:val="single" w:sz="4" w:space="0" w:color="000000"/>
                        </w:tcBorders>
                        <w:shd w:val="clear" w:color="auto" w:fill="DCDCDC"/>
                      </w:tcPr>
                      <w:p>
                        <w:pPr/>
                      </w:p>
                    </w:tc>
                    <w:tc>
                      <w:tcPr>
                        <w:tcW w:w="909"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right w:val="single" w:sz="4" w:space="0" w:color="000000"/>
                        </w:tcBorders>
                        <w:shd w:val="clear" w:color="auto" w:fill="DCDCDC"/>
                      </w:tcPr>
                      <w:p>
                        <w:pPr/>
                      </w:p>
                    </w:tc>
                    <w:tc>
                      <w:tcPr>
                        <w:tcW w:w="904"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本年度实</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现的效益</w:t>
                        </w:r>
                      </w:p>
                    </w:tc>
                    <w:tc>
                      <w:tcPr>
                        <w:tcW w:w="907"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27" w:right="0"/>
                          <w:jc w:val="left"/>
                          <w:rPr>
                            <w:rFonts w:ascii="宋体" w:hAnsi="宋体" w:cs="宋体" w:eastAsia="宋体" w:hint="default"/>
                            <w:sz w:val="21"/>
                            <w:szCs w:val="21"/>
                          </w:rPr>
                        </w:pPr>
                        <w:r>
                          <w:rPr>
                            <w:rFonts w:ascii="宋体" w:hAnsi="宋体" w:cs="宋体" w:eastAsia="宋体" w:hint="default"/>
                            <w:sz w:val="21"/>
                            <w:szCs w:val="21"/>
                          </w:rPr>
                          <w:t>是否达到</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预计效益</w:t>
                        </w:r>
                      </w:p>
                    </w:tc>
                    <w:tc>
                      <w:tcPr>
                        <w:tcW w:w="896" w:type="dxa"/>
                        <w:vMerge/>
                        <w:tcBorders>
                          <w:left w:val="single" w:sz="4" w:space="0" w:color="000000"/>
                          <w:right w:val="single" w:sz="4" w:space="0" w:color="000000"/>
                        </w:tcBorders>
                        <w:shd w:val="clear" w:color="auto" w:fill="DCDCDC"/>
                      </w:tcPr>
                      <w:p>
                        <w:pPr/>
                      </w:p>
                    </w:tc>
                  </w:tr>
                  <w:tr>
                    <w:trPr>
                      <w:trHeight w:val="272" w:hRule="exact"/>
                    </w:trPr>
                    <w:tc>
                      <w:tcPr>
                        <w:tcW w:w="4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1052" w:right="0"/>
                          <w:jc w:val="left"/>
                          <w:rPr>
                            <w:rFonts w:ascii="宋体" w:hAnsi="宋体" w:cs="宋体" w:eastAsia="宋体" w:hint="default"/>
                            <w:sz w:val="21"/>
                            <w:szCs w:val="21"/>
                          </w:rPr>
                        </w:pPr>
                        <w:r>
                          <w:rPr>
                            <w:rFonts w:ascii="宋体" w:hAnsi="宋体" w:cs="宋体" w:eastAsia="宋体" w:hint="default"/>
                            <w:sz w:val="21"/>
                            <w:szCs w:val="21"/>
                          </w:rPr>
                          <w:t>承诺投资项目和超募资金投向</w:t>
                        </w:r>
                      </w:p>
                    </w:tc>
                    <w:tc>
                      <w:tcPr>
                        <w:tcW w:w="893"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7" w:type="dxa"/>
                        <w:vMerge/>
                        <w:tcBorders>
                          <w:left w:val="single" w:sz="4" w:space="0" w:color="000000"/>
                          <w:right w:val="single" w:sz="4" w:space="0" w:color="000000"/>
                        </w:tcBorders>
                        <w:shd w:val="clear" w:color="auto" w:fill="DCDCDC"/>
                      </w:tcPr>
                      <w:p>
                        <w:pPr/>
                      </w:p>
                    </w:tc>
                    <w:tc>
                      <w:tcPr>
                        <w:tcW w:w="920" w:type="dxa"/>
                        <w:vMerge/>
                        <w:tcBorders>
                          <w:left w:val="single" w:sz="4" w:space="0" w:color="000000"/>
                          <w:right w:val="single" w:sz="4" w:space="0" w:color="000000"/>
                        </w:tcBorders>
                        <w:shd w:val="clear" w:color="auto" w:fill="DCDCDC"/>
                      </w:tcPr>
                      <w:p>
                        <w:pPr/>
                      </w:p>
                    </w:tc>
                    <w:tc>
                      <w:tcPr>
                        <w:tcW w:w="907" w:type="dxa"/>
                        <w:vMerge/>
                        <w:tcBorders>
                          <w:left w:val="single" w:sz="4" w:space="0" w:color="000000"/>
                          <w:right w:val="single" w:sz="4" w:space="0" w:color="000000"/>
                        </w:tcBorders>
                        <w:shd w:val="clear" w:color="auto" w:fill="DCDCDC"/>
                      </w:tcPr>
                      <w:p>
                        <w:pPr/>
                      </w:p>
                    </w:tc>
                    <w:tc>
                      <w:tcPr>
                        <w:tcW w:w="909"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right w:val="single" w:sz="4" w:space="0" w:color="000000"/>
                        </w:tcBorders>
                        <w:shd w:val="clear" w:color="auto" w:fill="DCDCDC"/>
                      </w:tcPr>
                      <w:p>
                        <w:pPr/>
                      </w:p>
                    </w:tc>
                    <w:tc>
                      <w:tcPr>
                        <w:tcW w:w="904" w:type="dxa"/>
                        <w:vMerge/>
                        <w:tcBorders>
                          <w:left w:val="single" w:sz="4" w:space="0" w:color="000000"/>
                          <w:right w:val="single" w:sz="4" w:space="0" w:color="000000"/>
                        </w:tcBorders>
                        <w:shd w:val="clear" w:color="auto" w:fill="DCDCDC"/>
                      </w:tcPr>
                      <w:p>
                        <w:pPr/>
                      </w:p>
                    </w:tc>
                    <w:tc>
                      <w:tcPr>
                        <w:tcW w:w="907" w:type="dxa"/>
                        <w:vMerge/>
                        <w:tcBorders>
                          <w:left w:val="single" w:sz="4" w:space="0" w:color="000000"/>
                          <w:right w:val="single" w:sz="4" w:space="0" w:color="000000"/>
                        </w:tcBorders>
                        <w:shd w:val="clear" w:color="auto" w:fill="DCDCDC"/>
                      </w:tcPr>
                      <w:p>
                        <w:pPr/>
                      </w:p>
                    </w:tc>
                    <w:tc>
                      <w:tcPr>
                        <w:tcW w:w="896" w:type="dxa"/>
                        <w:vMerge/>
                        <w:tcBorders>
                          <w:left w:val="single" w:sz="4" w:space="0" w:color="000000"/>
                          <w:right w:val="single" w:sz="4" w:space="0" w:color="000000"/>
                        </w:tcBorders>
                        <w:shd w:val="clear" w:color="auto" w:fill="DCDCDC"/>
                      </w:tcPr>
                      <w:p>
                        <w:pPr/>
                      </w:p>
                    </w:tc>
                  </w:tr>
                  <w:tr>
                    <w:trPr>
                      <w:trHeight w:val="137" w:hRule="exact"/>
                    </w:trPr>
                    <w:tc>
                      <w:tcPr>
                        <w:tcW w:w="4846" w:type="dxa"/>
                        <w:vMerge w:val="restart"/>
                        <w:tcBorders>
                          <w:top w:val="nil" w:sz="6" w:space="0" w:color="auto"/>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7" w:type="dxa"/>
                        <w:vMerge/>
                        <w:tcBorders>
                          <w:left w:val="single" w:sz="4" w:space="0" w:color="000000"/>
                          <w:bottom w:val="nil" w:sz="6" w:space="0" w:color="auto"/>
                          <w:right w:val="single" w:sz="4" w:space="0" w:color="000000"/>
                        </w:tcBorders>
                        <w:shd w:val="clear" w:color="auto" w:fill="DCDCDC"/>
                      </w:tcPr>
                      <w:p>
                        <w:pPr/>
                      </w:p>
                    </w:tc>
                    <w:tc>
                      <w:tcPr>
                        <w:tcW w:w="920" w:type="dxa"/>
                        <w:vMerge/>
                        <w:tcBorders>
                          <w:left w:val="single" w:sz="4" w:space="0" w:color="000000"/>
                          <w:bottom w:val="nil" w:sz="6" w:space="0" w:color="auto"/>
                          <w:right w:val="single" w:sz="4" w:space="0" w:color="000000"/>
                        </w:tcBorders>
                        <w:shd w:val="clear" w:color="auto" w:fill="DCDCDC"/>
                      </w:tcPr>
                      <w:p>
                        <w:pPr/>
                      </w:p>
                    </w:tc>
                    <w:tc>
                      <w:tcPr>
                        <w:tcW w:w="907" w:type="dxa"/>
                        <w:vMerge/>
                        <w:tcBorders>
                          <w:left w:val="single" w:sz="4" w:space="0" w:color="000000"/>
                          <w:right w:val="single" w:sz="4" w:space="0" w:color="000000"/>
                        </w:tcBorders>
                        <w:shd w:val="clear" w:color="auto" w:fill="DCDCDC"/>
                      </w:tcPr>
                      <w:p>
                        <w:pPr/>
                      </w:p>
                    </w:tc>
                    <w:tc>
                      <w:tcPr>
                        <w:tcW w:w="909"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right w:val="single" w:sz="4" w:space="0" w:color="000000"/>
                        </w:tcBorders>
                        <w:shd w:val="clear" w:color="auto" w:fill="DCDCDC"/>
                      </w:tcPr>
                      <w:p>
                        <w:pPr/>
                      </w:p>
                    </w:tc>
                    <w:tc>
                      <w:tcPr>
                        <w:tcW w:w="904" w:type="dxa"/>
                        <w:vMerge/>
                        <w:tcBorders>
                          <w:left w:val="single" w:sz="4" w:space="0" w:color="000000"/>
                          <w:bottom w:val="nil" w:sz="6" w:space="0" w:color="auto"/>
                          <w:right w:val="single" w:sz="4" w:space="0" w:color="000000"/>
                        </w:tcBorders>
                        <w:shd w:val="clear" w:color="auto" w:fill="DCDCDC"/>
                      </w:tcPr>
                      <w:p>
                        <w:pPr/>
                      </w:p>
                    </w:tc>
                    <w:tc>
                      <w:tcPr>
                        <w:tcW w:w="907" w:type="dxa"/>
                        <w:vMerge/>
                        <w:tcBorders>
                          <w:left w:val="single" w:sz="4" w:space="0" w:color="000000"/>
                          <w:bottom w:val="nil" w:sz="6" w:space="0" w:color="auto"/>
                          <w:right w:val="single" w:sz="4" w:space="0" w:color="000000"/>
                        </w:tcBorders>
                        <w:shd w:val="clear" w:color="auto" w:fill="DCDCDC"/>
                      </w:tcPr>
                      <w:p>
                        <w:pPr/>
                      </w:p>
                    </w:tc>
                    <w:tc>
                      <w:tcPr>
                        <w:tcW w:w="896" w:type="dxa"/>
                        <w:vMerge/>
                        <w:tcBorders>
                          <w:left w:val="single" w:sz="4" w:space="0" w:color="000000"/>
                          <w:right w:val="single" w:sz="4" w:space="0" w:color="000000"/>
                        </w:tcBorders>
                        <w:shd w:val="clear" w:color="auto" w:fill="DCDCDC"/>
                      </w:tcPr>
                      <w:p>
                        <w:pPr/>
                      </w:p>
                    </w:tc>
                  </w:tr>
                  <w:tr>
                    <w:trPr>
                      <w:trHeight w:val="136" w:hRule="exact"/>
                    </w:trPr>
                    <w:tc>
                      <w:tcPr>
                        <w:tcW w:w="484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7" w:type="dxa"/>
                        <w:vMerge w:val="restart"/>
                        <w:tcBorders>
                          <w:top w:val="nil" w:sz="6" w:space="0" w:color="auto"/>
                          <w:left w:val="single" w:sz="4" w:space="0" w:color="000000"/>
                          <w:right w:val="single" w:sz="4" w:space="0" w:color="000000"/>
                        </w:tcBorders>
                        <w:shd w:val="clear" w:color="auto" w:fill="DCDCDC"/>
                      </w:tcPr>
                      <w:p>
                        <w:pPr/>
                      </w:p>
                    </w:tc>
                    <w:tc>
                      <w:tcPr>
                        <w:tcW w:w="920" w:type="dxa"/>
                        <w:vMerge w:val="restart"/>
                        <w:tcBorders>
                          <w:top w:val="nil" w:sz="6" w:space="0" w:color="auto"/>
                          <w:left w:val="single" w:sz="4" w:space="0" w:color="000000"/>
                          <w:right w:val="single" w:sz="4" w:space="0" w:color="000000"/>
                        </w:tcBorders>
                        <w:shd w:val="clear" w:color="auto" w:fill="DCDCDC"/>
                      </w:tcPr>
                      <w:p>
                        <w:pPr/>
                      </w:p>
                    </w:tc>
                    <w:tc>
                      <w:tcPr>
                        <w:tcW w:w="907" w:type="dxa"/>
                        <w:vMerge/>
                        <w:tcBorders>
                          <w:left w:val="single" w:sz="4" w:space="0" w:color="000000"/>
                          <w:bottom w:val="nil" w:sz="6" w:space="0" w:color="auto"/>
                          <w:right w:val="single" w:sz="4" w:space="0" w:color="000000"/>
                        </w:tcBorders>
                        <w:shd w:val="clear" w:color="auto" w:fill="DCDCDC"/>
                      </w:tcPr>
                      <w:p>
                        <w:pPr/>
                      </w:p>
                    </w:tc>
                    <w:tc>
                      <w:tcPr>
                        <w:tcW w:w="909"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bottom w:val="nil" w:sz="6" w:space="0" w:color="auto"/>
                          <w:right w:val="single" w:sz="4" w:space="0" w:color="000000"/>
                        </w:tcBorders>
                        <w:shd w:val="clear" w:color="auto" w:fill="DCDCDC"/>
                      </w:tcPr>
                      <w:p>
                        <w:pPr/>
                      </w:p>
                    </w:tc>
                    <w:tc>
                      <w:tcPr>
                        <w:tcW w:w="904" w:type="dxa"/>
                        <w:vMerge w:val="restart"/>
                        <w:tcBorders>
                          <w:top w:val="nil" w:sz="6" w:space="0" w:color="auto"/>
                          <w:left w:val="single" w:sz="4" w:space="0" w:color="000000"/>
                          <w:right w:val="single" w:sz="4" w:space="0" w:color="000000"/>
                        </w:tcBorders>
                        <w:shd w:val="clear" w:color="auto" w:fill="DCDCDC"/>
                      </w:tcPr>
                      <w:p>
                        <w:pPr/>
                      </w:p>
                    </w:tc>
                    <w:tc>
                      <w:tcPr>
                        <w:tcW w:w="907" w:type="dxa"/>
                        <w:vMerge w:val="restart"/>
                        <w:tcBorders>
                          <w:top w:val="nil" w:sz="6" w:space="0" w:color="auto"/>
                          <w:left w:val="single" w:sz="4" w:space="0" w:color="000000"/>
                          <w:right w:val="single" w:sz="4" w:space="0" w:color="000000"/>
                        </w:tcBorders>
                        <w:shd w:val="clear" w:color="auto" w:fill="DCDCDC"/>
                      </w:tcPr>
                      <w:p>
                        <w:pPr/>
                      </w:p>
                    </w:tc>
                    <w:tc>
                      <w:tcPr>
                        <w:tcW w:w="896" w:type="dxa"/>
                        <w:vMerge/>
                        <w:tcBorders>
                          <w:left w:val="single" w:sz="4" w:space="0" w:color="000000"/>
                          <w:right w:val="single" w:sz="4" w:space="0" w:color="000000"/>
                        </w:tcBorders>
                        <w:shd w:val="clear" w:color="auto" w:fill="DCDCDC"/>
                      </w:tcPr>
                      <w:p>
                        <w:pPr/>
                      </w:p>
                    </w:tc>
                  </w:tr>
                  <w:tr>
                    <w:trPr>
                      <w:trHeight w:val="142" w:hRule="exact"/>
                    </w:trPr>
                    <w:tc>
                      <w:tcPr>
                        <w:tcW w:w="4846" w:type="dxa"/>
                        <w:vMerge/>
                        <w:tcBorders>
                          <w:left w:val="single" w:sz="4" w:space="0" w:color="000000"/>
                          <w:bottom w:val="single" w:sz="4" w:space="0" w:color="000000"/>
                          <w:right w:val="single" w:sz="4" w:space="0" w:color="000000"/>
                        </w:tcBorders>
                        <w:shd w:val="clear" w:color="auto" w:fill="DCDCDC"/>
                      </w:tcPr>
                      <w:p>
                        <w:pPr/>
                      </w:p>
                    </w:tc>
                    <w:tc>
                      <w:tcPr>
                        <w:tcW w:w="893"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7" w:type="dxa"/>
                        <w:vMerge/>
                        <w:tcBorders>
                          <w:left w:val="single" w:sz="4" w:space="0" w:color="000000"/>
                          <w:bottom w:val="single" w:sz="4" w:space="0" w:color="000000"/>
                          <w:right w:val="single" w:sz="4" w:space="0" w:color="000000"/>
                        </w:tcBorders>
                        <w:shd w:val="clear" w:color="auto" w:fill="DCDCDC"/>
                      </w:tcPr>
                      <w:p>
                        <w:pPr/>
                      </w:p>
                    </w:tc>
                    <w:tc>
                      <w:tcPr>
                        <w:tcW w:w="920" w:type="dxa"/>
                        <w:vMerge/>
                        <w:tcBorders>
                          <w:left w:val="single" w:sz="4" w:space="0" w:color="000000"/>
                          <w:bottom w:val="single" w:sz="4" w:space="0" w:color="000000"/>
                          <w:right w:val="single" w:sz="4" w:space="0" w:color="000000"/>
                        </w:tcBorders>
                        <w:shd w:val="clear" w:color="auto" w:fill="DCDCDC"/>
                      </w:tcPr>
                      <w:p>
                        <w:pPr/>
                      </w:p>
                    </w:tc>
                    <w:tc>
                      <w:tcPr>
                        <w:tcW w:w="907" w:type="dxa"/>
                        <w:tcBorders>
                          <w:top w:val="nil" w:sz="6" w:space="0" w:color="auto"/>
                          <w:left w:val="single" w:sz="4" w:space="0" w:color="000000"/>
                          <w:bottom w:val="single" w:sz="4" w:space="0" w:color="000000"/>
                          <w:right w:val="single" w:sz="4" w:space="0" w:color="000000"/>
                        </w:tcBorders>
                        <w:shd w:val="clear" w:color="auto" w:fill="DCDCDC"/>
                      </w:tcPr>
                      <w:p>
                        <w:pPr/>
                      </w:p>
                    </w:tc>
                    <w:tc>
                      <w:tcPr>
                        <w:tcW w:w="909" w:type="dxa"/>
                        <w:vMerge/>
                        <w:tcBorders>
                          <w:left w:val="single" w:sz="4" w:space="0" w:color="000000"/>
                          <w:bottom w:val="single" w:sz="4" w:space="0" w:color="000000"/>
                          <w:right w:val="single" w:sz="4" w:space="0" w:color="000000"/>
                        </w:tcBorders>
                        <w:shd w:val="clear" w:color="auto" w:fill="DCDCDC"/>
                      </w:tcPr>
                      <w:p>
                        <w:pPr/>
                      </w:p>
                    </w:tc>
                    <w:tc>
                      <w:tcPr>
                        <w:tcW w:w="1262" w:type="dxa"/>
                        <w:tcBorders>
                          <w:top w:val="nil" w:sz="6" w:space="0" w:color="auto"/>
                          <w:left w:val="single" w:sz="4" w:space="0" w:color="000000"/>
                          <w:bottom w:val="single" w:sz="4" w:space="0" w:color="000000"/>
                          <w:right w:val="single" w:sz="4" w:space="0" w:color="000000"/>
                        </w:tcBorders>
                        <w:shd w:val="clear" w:color="auto" w:fill="DCDCDC"/>
                      </w:tcPr>
                      <w:p>
                        <w:pPr/>
                      </w:p>
                    </w:tc>
                    <w:tc>
                      <w:tcPr>
                        <w:tcW w:w="904" w:type="dxa"/>
                        <w:vMerge/>
                        <w:tcBorders>
                          <w:left w:val="single" w:sz="4" w:space="0" w:color="000000"/>
                          <w:bottom w:val="single" w:sz="4" w:space="0" w:color="000000"/>
                          <w:right w:val="single" w:sz="4" w:space="0" w:color="000000"/>
                        </w:tcBorders>
                        <w:shd w:val="clear" w:color="auto" w:fill="DCDCDC"/>
                      </w:tcPr>
                      <w:p>
                        <w:pPr/>
                      </w:p>
                    </w:tc>
                    <w:tc>
                      <w:tcPr>
                        <w:tcW w:w="907" w:type="dxa"/>
                        <w:vMerge/>
                        <w:tcBorders>
                          <w:left w:val="single" w:sz="4" w:space="0" w:color="000000"/>
                          <w:bottom w:val="single" w:sz="4" w:space="0" w:color="000000"/>
                          <w:right w:val="single" w:sz="4" w:space="0" w:color="000000"/>
                        </w:tcBorders>
                        <w:shd w:val="clear" w:color="auto" w:fill="DCDCDC"/>
                      </w:tcPr>
                      <w:p>
                        <w:pPr/>
                      </w:p>
                    </w:tc>
                    <w:tc>
                      <w:tcPr>
                        <w:tcW w:w="896"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9766" w:type="dxa"/>
                        <w:gridSpan w:val="10"/>
                        <w:tcBorders>
                          <w:top w:val="single" w:sz="6" w:space="0" w:color="DCDCDC"/>
                          <w:left w:val="single" w:sz="13" w:space="0" w:color="DCDCDC"/>
                          <w:bottom w:val="single" w:sz="4" w:space="0" w:color="000000"/>
                          <w:right w:val="single" w:sz="4" w:space="0" w:color="000000"/>
                        </w:tcBorders>
                      </w:tcPr>
                      <w:p>
                        <w:pPr/>
                      </w:p>
                    </w:tc>
                  </w:tr>
                  <w:tr>
                    <w:trPr>
                      <w:trHeight w:val="331"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商业银行全国票据影像交换业务处理系统升级改造</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35"/>
                          <w:jc w:val="righ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21"/>
                            <w:szCs w:val="21"/>
                          </w:rPr>
                        </w:pPr>
                        <w:r>
                          <w:rPr>
                            <w:rFonts w:ascii="Times New Roman"/>
                            <w:spacing w:val="-1"/>
                            <w:sz w:val="21"/>
                          </w:rPr>
                          <w:t>2,932.00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5"/>
                          <w:jc w:val="right"/>
                          <w:rPr>
                            <w:rFonts w:ascii="Times New Roman" w:hAnsi="Times New Roman" w:cs="Times New Roman" w:eastAsia="Times New Roman" w:hint="default"/>
                            <w:sz w:val="21"/>
                            <w:szCs w:val="21"/>
                          </w:rPr>
                        </w:pPr>
                        <w:r>
                          <w:rPr>
                            <w:rFonts w:ascii="Times New Roman"/>
                            <w:spacing w:val="-1"/>
                            <w:sz w:val="21"/>
                          </w:rPr>
                          <w:t>2,932.00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Times New Roman" w:hAnsi="Times New Roman" w:cs="Times New Roman" w:eastAsia="Times New Roman" w:hint="default"/>
                            <w:sz w:val="21"/>
                            <w:szCs w:val="21"/>
                          </w:rPr>
                        </w:pPr>
                        <w:r>
                          <w:rPr>
                            <w:rFonts w:ascii="Times New Roman"/>
                            <w:spacing w:val="-1"/>
                            <w:sz w:val="21"/>
                          </w:rPr>
                          <w:t>429.55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6"/>
                          <w:jc w:val="right"/>
                          <w:rPr>
                            <w:rFonts w:ascii="Times New Roman" w:hAnsi="Times New Roman" w:cs="Times New Roman" w:eastAsia="Times New Roman" w:hint="default"/>
                            <w:sz w:val="21"/>
                            <w:szCs w:val="21"/>
                          </w:rPr>
                        </w:pPr>
                        <w:r>
                          <w:rPr>
                            <w:rFonts w:ascii="Times New Roman"/>
                            <w:spacing w:val="-1"/>
                            <w:sz w:val="21"/>
                          </w:rPr>
                          <w:t>429.55</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21"/>
                            <w:szCs w:val="21"/>
                          </w:rPr>
                        </w:pPr>
                        <w:r>
                          <w:rPr>
                            <w:rFonts w:ascii="Times New Roman"/>
                            <w:spacing w:val="-1"/>
                            <w:sz w:val="21"/>
                          </w:rPr>
                          <w:t>14.65%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21"/>
                            <w:szCs w:val="21"/>
                          </w:rPr>
                        </w:pPr>
                        <w:r>
                          <w:rPr>
                            <w:rFonts w:ascii="Times New Roman"/>
                            <w:spacing w:val="-1"/>
                            <w:sz w:val="21"/>
                          </w:rPr>
                          <w:t>138.12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商业银行同城票据影像交换业务处理系统</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35"/>
                          <w:jc w:val="righ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21"/>
                            <w:szCs w:val="21"/>
                          </w:rPr>
                        </w:pPr>
                        <w:r>
                          <w:rPr>
                            <w:rFonts w:ascii="Times New Roman"/>
                            <w:spacing w:val="-1"/>
                            <w:sz w:val="21"/>
                          </w:rPr>
                          <w:t>3,763.60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5"/>
                          <w:jc w:val="right"/>
                          <w:rPr>
                            <w:rFonts w:ascii="Times New Roman" w:hAnsi="Times New Roman" w:cs="Times New Roman" w:eastAsia="Times New Roman" w:hint="default"/>
                            <w:sz w:val="21"/>
                            <w:szCs w:val="21"/>
                          </w:rPr>
                        </w:pPr>
                        <w:r>
                          <w:rPr>
                            <w:rFonts w:ascii="Times New Roman"/>
                            <w:spacing w:val="-1"/>
                            <w:sz w:val="21"/>
                          </w:rPr>
                          <w:t>3,763.60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Times New Roman" w:hAnsi="Times New Roman" w:cs="Times New Roman" w:eastAsia="Times New Roman" w:hint="default"/>
                            <w:sz w:val="21"/>
                            <w:szCs w:val="21"/>
                          </w:rPr>
                        </w:pPr>
                        <w:r>
                          <w:rPr>
                            <w:rFonts w:ascii="Times New Roman"/>
                            <w:spacing w:val="-1"/>
                            <w:sz w:val="21"/>
                          </w:rPr>
                          <w:t>513.69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6"/>
                          <w:jc w:val="right"/>
                          <w:rPr>
                            <w:rFonts w:ascii="Times New Roman" w:hAnsi="Times New Roman" w:cs="Times New Roman" w:eastAsia="Times New Roman" w:hint="default"/>
                            <w:sz w:val="21"/>
                            <w:szCs w:val="21"/>
                          </w:rPr>
                        </w:pPr>
                        <w:r>
                          <w:rPr>
                            <w:rFonts w:ascii="Times New Roman"/>
                            <w:spacing w:val="-1"/>
                            <w:sz w:val="21"/>
                          </w:rPr>
                          <w:t>513.69</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21"/>
                            <w:szCs w:val="21"/>
                          </w:rPr>
                        </w:pPr>
                        <w:r>
                          <w:rPr>
                            <w:rFonts w:ascii="Times New Roman"/>
                            <w:spacing w:val="-1"/>
                            <w:sz w:val="21"/>
                          </w:rPr>
                          <w:t>13.65%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21"/>
                            <w:szCs w:val="21"/>
                          </w:rPr>
                        </w:pPr>
                        <w:r>
                          <w:rPr>
                            <w:rFonts w:ascii="Times New Roman"/>
                            <w:spacing w:val="-1"/>
                            <w:sz w:val="21"/>
                          </w:rPr>
                          <w:t>370.15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银企对账管理系统</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35"/>
                          <w:jc w:val="righ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21"/>
                            <w:szCs w:val="21"/>
                          </w:rPr>
                        </w:pPr>
                        <w:r>
                          <w:rPr>
                            <w:rFonts w:ascii="Times New Roman"/>
                            <w:spacing w:val="-1"/>
                            <w:sz w:val="21"/>
                          </w:rPr>
                          <w:t>3,144.90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5"/>
                          <w:jc w:val="right"/>
                          <w:rPr>
                            <w:rFonts w:ascii="Times New Roman" w:hAnsi="Times New Roman" w:cs="Times New Roman" w:eastAsia="Times New Roman" w:hint="default"/>
                            <w:sz w:val="21"/>
                            <w:szCs w:val="21"/>
                          </w:rPr>
                        </w:pPr>
                        <w:r>
                          <w:rPr>
                            <w:rFonts w:ascii="Times New Roman"/>
                            <w:spacing w:val="-1"/>
                            <w:sz w:val="21"/>
                          </w:rPr>
                          <w:t>3,144.90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Times New Roman" w:hAnsi="Times New Roman" w:cs="Times New Roman" w:eastAsia="Times New Roman" w:hint="default"/>
                            <w:sz w:val="21"/>
                            <w:szCs w:val="21"/>
                          </w:rPr>
                        </w:pPr>
                        <w:r>
                          <w:rPr>
                            <w:rFonts w:ascii="Times New Roman"/>
                            <w:spacing w:val="-1"/>
                            <w:sz w:val="21"/>
                          </w:rPr>
                          <w:t>431.50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5"/>
                          <w:jc w:val="right"/>
                          <w:rPr>
                            <w:rFonts w:ascii="Times New Roman" w:hAnsi="Times New Roman" w:cs="Times New Roman" w:eastAsia="Times New Roman" w:hint="default"/>
                            <w:sz w:val="21"/>
                            <w:szCs w:val="21"/>
                          </w:rPr>
                        </w:pPr>
                        <w:r>
                          <w:rPr>
                            <w:rFonts w:ascii="Times New Roman"/>
                            <w:spacing w:val="-1"/>
                            <w:sz w:val="21"/>
                          </w:rPr>
                          <w:t>431.50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21"/>
                            <w:szCs w:val="21"/>
                          </w:rPr>
                        </w:pPr>
                        <w:r>
                          <w:rPr>
                            <w:rFonts w:ascii="Times New Roman"/>
                            <w:spacing w:val="-1"/>
                            <w:sz w:val="21"/>
                          </w:rPr>
                          <w:t>13.72%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21"/>
                            <w:szCs w:val="21"/>
                          </w:rPr>
                        </w:pPr>
                        <w:r>
                          <w:rPr>
                            <w:rFonts w:ascii="Times New Roman"/>
                            <w:spacing w:val="-1"/>
                            <w:sz w:val="21"/>
                          </w:rPr>
                          <w:t>32.42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客户服务中心</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35"/>
                          <w:jc w:val="righ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21"/>
                            <w:szCs w:val="21"/>
                          </w:rPr>
                        </w:pPr>
                        <w:r>
                          <w:rPr>
                            <w:rFonts w:ascii="Times New Roman"/>
                            <w:spacing w:val="-1"/>
                            <w:sz w:val="21"/>
                          </w:rPr>
                          <w:t>1,705.20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5"/>
                          <w:jc w:val="right"/>
                          <w:rPr>
                            <w:rFonts w:ascii="Times New Roman" w:hAnsi="Times New Roman" w:cs="Times New Roman" w:eastAsia="Times New Roman" w:hint="default"/>
                            <w:sz w:val="21"/>
                            <w:szCs w:val="21"/>
                          </w:rPr>
                        </w:pPr>
                        <w:r>
                          <w:rPr>
                            <w:rFonts w:ascii="Times New Roman"/>
                            <w:spacing w:val="-1"/>
                            <w:sz w:val="21"/>
                          </w:rPr>
                          <w:t>1,705.20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Times New Roman" w:hAnsi="Times New Roman" w:cs="Times New Roman" w:eastAsia="Times New Roman" w:hint="default"/>
                            <w:sz w:val="21"/>
                            <w:szCs w:val="21"/>
                          </w:rPr>
                        </w:pPr>
                        <w:r>
                          <w:rPr>
                            <w:rFonts w:ascii="Times New Roman"/>
                            <w:spacing w:val="-1"/>
                            <w:sz w:val="21"/>
                          </w:rPr>
                          <w:t>44.95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6"/>
                          <w:jc w:val="right"/>
                          <w:rPr>
                            <w:rFonts w:ascii="Times New Roman" w:hAnsi="Times New Roman" w:cs="Times New Roman" w:eastAsia="Times New Roman" w:hint="default"/>
                            <w:sz w:val="21"/>
                            <w:szCs w:val="21"/>
                          </w:rPr>
                        </w:pPr>
                        <w:r>
                          <w:rPr>
                            <w:rFonts w:ascii="Times New Roman"/>
                            <w:spacing w:val="-1"/>
                            <w:sz w:val="21"/>
                          </w:rPr>
                          <w:t>44.95</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21"/>
                            <w:szCs w:val="21"/>
                          </w:rPr>
                        </w:pPr>
                        <w:r>
                          <w:rPr>
                            <w:rFonts w:ascii="Times New Roman"/>
                            <w:spacing w:val="-1"/>
                            <w:sz w:val="21"/>
                          </w:rPr>
                          <w:t>2.64%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1" w:hRule="exact"/>
                    </w:trPr>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研究开发中心</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35"/>
                          <w:jc w:val="right"/>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21"/>
                            <w:szCs w:val="21"/>
                          </w:rPr>
                        </w:pPr>
                        <w:r>
                          <w:rPr>
                            <w:rFonts w:ascii="Times New Roman"/>
                            <w:spacing w:val="-1"/>
                            <w:sz w:val="21"/>
                          </w:rPr>
                          <w:t>2,179.40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5"/>
                          <w:jc w:val="right"/>
                          <w:rPr>
                            <w:rFonts w:ascii="Times New Roman" w:hAnsi="Times New Roman" w:cs="Times New Roman" w:eastAsia="Times New Roman" w:hint="default"/>
                            <w:sz w:val="21"/>
                            <w:szCs w:val="21"/>
                          </w:rPr>
                        </w:pPr>
                        <w:r>
                          <w:rPr>
                            <w:rFonts w:ascii="Times New Roman"/>
                            <w:spacing w:val="-1"/>
                            <w:sz w:val="21"/>
                          </w:rPr>
                          <w:t>2,179.40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Times New Roman" w:hAnsi="Times New Roman" w:cs="Times New Roman" w:eastAsia="Times New Roman" w:hint="default"/>
                            <w:sz w:val="21"/>
                            <w:szCs w:val="21"/>
                          </w:rPr>
                        </w:pPr>
                        <w:r>
                          <w:rPr>
                            <w:rFonts w:ascii="Times New Roman"/>
                            <w:spacing w:val="-1"/>
                            <w:sz w:val="21"/>
                          </w:rPr>
                          <w:t>317.48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6"/>
                          <w:jc w:val="right"/>
                          <w:rPr>
                            <w:rFonts w:ascii="Times New Roman" w:hAnsi="Times New Roman" w:cs="Times New Roman" w:eastAsia="Times New Roman" w:hint="default"/>
                            <w:sz w:val="21"/>
                            <w:szCs w:val="21"/>
                          </w:rPr>
                        </w:pPr>
                        <w:r>
                          <w:rPr>
                            <w:rFonts w:ascii="Times New Roman"/>
                            <w:spacing w:val="-1"/>
                            <w:sz w:val="21"/>
                          </w:rPr>
                          <w:t>317.48</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21"/>
                            <w:szCs w:val="21"/>
                          </w:rPr>
                        </w:pPr>
                        <w:r>
                          <w:rPr>
                            <w:rFonts w:ascii="Times New Roman"/>
                            <w:spacing w:val="-1"/>
                            <w:sz w:val="21"/>
                          </w:rPr>
                          <w:t>14.57%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sz w:val="21"/>
                          </w:rPr>
                          <w:t>2012-06-30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21"/>
                            <w:szCs w:val="21"/>
                          </w:rPr>
                        </w:pPr>
                        <w:r>
                          <w:rPr>
                            <w:rFonts w:ascii="Times New Roman"/>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99"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576"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89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pacing w:val="-1"/>
                            <w:sz w:val="21"/>
                          </w:rPr>
                          <w:t>13,725.10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
                          <w:jc w:val="right"/>
                          <w:rPr>
                            <w:rFonts w:ascii="Times New Roman" w:hAnsi="Times New Roman" w:cs="Times New Roman" w:eastAsia="Times New Roman" w:hint="default"/>
                            <w:sz w:val="21"/>
                            <w:szCs w:val="21"/>
                          </w:rPr>
                        </w:pPr>
                        <w:r>
                          <w:rPr>
                            <w:rFonts w:ascii="Times New Roman"/>
                            <w:spacing w:val="-1"/>
                            <w:sz w:val="21"/>
                          </w:rPr>
                          <w:t>13,725.10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6"/>
                          <w:jc w:val="right"/>
                          <w:rPr>
                            <w:rFonts w:ascii="Times New Roman" w:hAnsi="Times New Roman" w:cs="Times New Roman" w:eastAsia="Times New Roman" w:hint="default"/>
                            <w:sz w:val="21"/>
                            <w:szCs w:val="21"/>
                          </w:rPr>
                        </w:pPr>
                        <w:r>
                          <w:rPr>
                            <w:rFonts w:ascii="Times New Roman"/>
                            <w:spacing w:val="-1"/>
                            <w:sz w:val="21"/>
                          </w:rPr>
                          <w:t>1,737.17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
                          <w:jc w:val="right"/>
                          <w:rPr>
                            <w:rFonts w:ascii="Times New Roman" w:hAnsi="Times New Roman" w:cs="Times New Roman" w:eastAsia="Times New Roman" w:hint="default"/>
                            <w:sz w:val="21"/>
                            <w:szCs w:val="21"/>
                          </w:rPr>
                        </w:pPr>
                        <w:r>
                          <w:rPr>
                            <w:rFonts w:ascii="Times New Roman"/>
                            <w:spacing w:val="-1"/>
                            <w:sz w:val="21"/>
                          </w:rPr>
                          <w:t>1,737.17</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12.66%</w:t>
                        </w:r>
                      </w:p>
                    </w:tc>
                    <w:tc>
                      <w:tcPr>
                        <w:tcW w:w="126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540.69</w:t>
                        </w:r>
                      </w:p>
                    </w:tc>
                    <w:tc>
                      <w:tcPr>
                        <w:tcW w:w="907"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9766" w:type="dxa"/>
                        <w:gridSpan w:val="10"/>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366"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04"/>
                          <w:jc w:val="righ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 w:right="0"/>
                          <w:jc w:val="center"/>
                          <w:rPr>
                            <w:rFonts w:ascii="Times New Roman" w:hAnsi="Times New Roman" w:cs="Times New Roman" w:eastAsia="Times New Roman" w:hint="default"/>
                            <w:sz w:val="21"/>
                            <w:szCs w:val="21"/>
                          </w:rPr>
                        </w:pPr>
                        <w:r>
                          <w:rPr>
                            <w:rFonts w:ascii="Times New Roman"/>
                            <w:sz w:val="21"/>
                          </w:rPr>
                          <w:t>-</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center"/>
                          <w:rPr>
                            <w:rFonts w:ascii="Times New Roman" w:hAnsi="Times New Roman" w:cs="Times New Roman" w:eastAsia="Times New Roman" w:hint="default"/>
                            <w:sz w:val="21"/>
                            <w:szCs w:val="21"/>
                          </w:rPr>
                        </w:pPr>
                        <w:r>
                          <w:rPr>
                            <w:rFonts w:ascii="Times New Roman"/>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366"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89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4,500.00</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
                          <w:jc w:val="right"/>
                          <w:rPr>
                            <w:rFonts w:ascii="Times New Roman" w:hAnsi="Times New Roman" w:cs="Times New Roman" w:eastAsia="Times New Roman" w:hint="default"/>
                            <w:sz w:val="21"/>
                            <w:szCs w:val="21"/>
                          </w:rPr>
                        </w:pPr>
                        <w:r>
                          <w:rPr>
                            <w:rFonts w:ascii="Times New Roman"/>
                            <w:spacing w:val="-1"/>
                            <w:sz w:val="21"/>
                          </w:rPr>
                          <w:t>4,500.00</w:t>
                        </w:r>
                        <w:r>
                          <w:rPr>
                            <w:rFonts w:ascii="Times New Roman"/>
                            <w:sz w:val="21"/>
                          </w:rPr>
                        </w:r>
                      </w:p>
                    </w:tc>
                    <w:tc>
                      <w:tcPr>
                        <w:tcW w:w="90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576"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04"/>
                          <w:jc w:val="righ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4,500.00</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6"/>
                          <w:jc w:val="right"/>
                          <w:rPr>
                            <w:rFonts w:ascii="Times New Roman" w:hAnsi="Times New Roman" w:cs="Times New Roman" w:eastAsia="Times New Roman" w:hint="default"/>
                            <w:sz w:val="21"/>
                            <w:szCs w:val="21"/>
                          </w:rPr>
                        </w:pPr>
                        <w:r>
                          <w:rPr>
                            <w:rFonts w:ascii="Times New Roman"/>
                            <w:spacing w:val="-1"/>
                            <w:sz w:val="21"/>
                          </w:rPr>
                          <w:t>4,500.00</w:t>
                        </w:r>
                        <w:r>
                          <w:rPr>
                            <w:rFonts w:ascii="Times New Roman"/>
                            <w:sz w:val="21"/>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 w:right="0"/>
                          <w:jc w:val="center"/>
                          <w:rPr>
                            <w:rFonts w:ascii="Times New Roman" w:hAnsi="Times New Roman" w:cs="Times New Roman" w:eastAsia="Times New Roman" w:hint="default"/>
                            <w:sz w:val="21"/>
                            <w:szCs w:val="21"/>
                          </w:rPr>
                        </w:pPr>
                        <w:r>
                          <w:rPr>
                            <w:rFonts w:ascii="Times New Roman"/>
                            <w:sz w:val="21"/>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center"/>
                          <w:rPr>
                            <w:rFonts w:ascii="Times New Roman" w:hAnsi="Times New Roman" w:cs="Times New Roman" w:eastAsia="Times New Roman" w:hint="default"/>
                            <w:sz w:val="21"/>
                            <w:szCs w:val="21"/>
                          </w:rPr>
                        </w:pPr>
                        <w:r>
                          <w:rPr>
                            <w:rFonts w:ascii="Times New Roman"/>
                            <w:sz w:val="21"/>
                          </w:rPr>
                          <w:t>-</w:t>
                        </w:r>
                      </w:p>
                    </w:tc>
                    <w:tc>
                      <w:tcPr>
                        <w:tcW w:w="90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center"/>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04"/>
                          <w:jc w:val="righ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1"/>
                            <w:szCs w:val="21"/>
                          </w:rPr>
                        </w:pPr>
                        <w:r>
                          <w:rPr>
                            <w:rFonts w:ascii="Times New Roman"/>
                            <w:spacing w:val="-1"/>
                            <w:sz w:val="21"/>
                          </w:rPr>
                          <w:t>13,725.10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7"/>
                          <w:jc w:val="right"/>
                          <w:rPr>
                            <w:rFonts w:ascii="Times New Roman" w:hAnsi="Times New Roman" w:cs="Times New Roman" w:eastAsia="Times New Roman" w:hint="default"/>
                            <w:sz w:val="21"/>
                            <w:szCs w:val="21"/>
                          </w:rPr>
                        </w:pPr>
                        <w:r>
                          <w:rPr>
                            <w:rFonts w:ascii="Times New Roman"/>
                            <w:spacing w:val="-1"/>
                            <w:sz w:val="21"/>
                          </w:rPr>
                          <w:t>13,725.10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
                          <w:jc w:val="right"/>
                          <w:rPr>
                            <w:rFonts w:ascii="Times New Roman" w:hAnsi="Times New Roman" w:cs="Times New Roman" w:eastAsia="Times New Roman" w:hint="default"/>
                            <w:sz w:val="21"/>
                            <w:szCs w:val="21"/>
                          </w:rPr>
                        </w:pPr>
                        <w:r>
                          <w:rPr>
                            <w:rFonts w:ascii="Times New Roman"/>
                            <w:spacing w:val="-1"/>
                            <w:sz w:val="21"/>
                          </w:rPr>
                          <w:t>6,237.17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Times New Roman" w:hAnsi="Times New Roman" w:cs="Times New Roman" w:eastAsia="Times New Roman" w:hint="default"/>
                            <w:sz w:val="21"/>
                            <w:szCs w:val="21"/>
                          </w:rPr>
                        </w:pPr>
                        <w:r>
                          <w:rPr>
                            <w:rFonts w:ascii="Times New Roman"/>
                            <w:spacing w:val="-1"/>
                            <w:sz w:val="21"/>
                          </w:rPr>
                          <w:t>6,237.17</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spacing w:val="-1"/>
                            <w:sz w:val="21"/>
                          </w:rPr>
                          <w:t>540.69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
                          <w:jc w:val="center"/>
                          <w:rPr>
                            <w:rFonts w:ascii="Times New Roman" w:hAnsi="Times New Roman" w:cs="Times New Roman" w:eastAsia="Times New Roman" w:hint="default"/>
                            <w:sz w:val="21"/>
                            <w:szCs w:val="21"/>
                          </w:rPr>
                        </w:pPr>
                        <w:r>
                          <w:rPr>
                            <w:rFonts w:ascii="Times New Roman"/>
                            <w:sz w:val="21"/>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center"/>
                          <w:rPr>
                            <w:rFonts w:ascii="Times New Roman" w:hAnsi="Times New Roman" w:cs="Times New Roman" w:eastAsia="Times New Roman" w:hint="default"/>
                            <w:sz w:val="21"/>
                            <w:szCs w:val="21"/>
                          </w:rPr>
                        </w:pPr>
                        <w:r>
                          <w:rPr>
                            <w:rFonts w:ascii="Times New Roman"/>
                            <w:sz w:val="21"/>
                          </w:rPr>
                          <w:t>-</w:t>
                        </w:r>
                      </w:p>
                    </w:tc>
                  </w:tr>
                  <w:tr>
                    <w:trPr>
                      <w:trHeight w:val="2124"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未达到计划进度或预计收益的情况和原因</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（分具体项目）</w:t>
                        </w:r>
                      </w:p>
                    </w:tc>
                    <w:tc>
                      <w:tcPr>
                        <w:tcW w:w="97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22" w:right="19"/>
                          <w:jc w:val="left"/>
                          <w:rPr>
                            <w:rFonts w:ascii="宋体" w:hAnsi="宋体" w:cs="宋体" w:eastAsia="宋体" w:hint="default"/>
                            <w:sz w:val="21"/>
                            <w:szCs w:val="21"/>
                          </w:rPr>
                        </w:pPr>
                        <w:r>
                          <w:rPr>
                            <w:rFonts w:ascii="宋体" w:hAnsi="宋体" w:cs="宋体" w:eastAsia="宋体" w:hint="default"/>
                            <w:sz w:val="21"/>
                            <w:szCs w:val="21"/>
                          </w:rPr>
                          <w:t>上述募投项目原计划在募集资金到位后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年内，于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日前全部投资、建设完成。至报告期末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按项目计划投资进度应达到</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33.29%</w:t>
                        </w:r>
                        <w:r>
                          <w:rPr>
                            <w:rFonts w:ascii="宋体" w:hAnsi="宋体" w:cs="宋体" w:eastAsia="宋体" w:hint="default"/>
                            <w:sz w:val="21"/>
                            <w:szCs w:val="21"/>
                          </w:rPr>
                          <w:t>，实际投资进度为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12.66%</w:t>
                        </w:r>
                        <w:r>
                          <w:rPr>
                            <w:rFonts w:ascii="宋体" w:hAnsi="宋体" w:cs="宋体" w:eastAsia="宋体" w:hint="default"/>
                            <w:sz w:val="21"/>
                            <w:szCs w:val="21"/>
                          </w:rPr>
                          <w:t>，主要原因是：</w:t>
                        </w:r>
                      </w:p>
                      <w:p>
                        <w:pPr>
                          <w:pStyle w:val="TableParagraph"/>
                          <w:spacing w:line="272" w:lineRule="exact" w:before="120"/>
                          <w:ind w:left="22" w:right="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．全国票据影像系统改造、银企对账系统项目在实际进行投资时，市场技术功能要求发生变化，为保证投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资效率，致使项目进度延缓。公司正在调整项目的技术方案，待确定后继续推进实施。</w:t>
                        </w:r>
                      </w:p>
                      <w:p>
                        <w:pPr>
                          <w:pStyle w:val="TableParagraph"/>
                          <w:spacing w:line="272" w:lineRule="exact" w:before="120"/>
                          <w:ind w:left="22" w:right="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．客户服务中心项目因报告期内公司根据客户对售后服务网络的要求，改革了公司客户服务相关的组织结</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构，相应调整了项目的实施方案，造成项目实施的延缓。现方案调整已经完成，将逐步落实实施。</w:t>
                        </w:r>
                      </w:p>
                    </w:tc>
                  </w:tr>
                </w:tbl>
                <w:p>
                  <w:pPr/>
                </w:p>
              </w:txbxContent>
            </v:textbox>
            <w10:wrap type="none"/>
          </v:shape>
        </w:pict>
      </w:r>
    </w:p>
    <w:p>
      <w:pPr>
        <w:spacing w:line="240" w:lineRule="auto" w:before="12"/>
        <w:rPr>
          <w:rFonts w:ascii="宋体" w:hAnsi="宋体" w:cs="宋体" w:eastAsia="宋体" w:hint="default"/>
          <w:sz w:val="14"/>
          <w:szCs w:val="14"/>
        </w:rPr>
      </w:pPr>
    </w:p>
    <w:p>
      <w:pPr>
        <w:pStyle w:val="BodyText"/>
        <w:spacing w:line="240" w:lineRule="auto"/>
        <w:ind w:left="0" w:right="478"/>
        <w:jc w:val="right"/>
      </w:pPr>
      <w:r>
        <w:rPr>
          <w:spacing w:val="-1"/>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35"/>
        <w:ind w:left="0" w:right="109"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headerReference w:type="default" r:id="rId15"/>
          <w:footerReference w:type="default" r:id="rId16"/>
          <w:pgSz w:w="16840" w:h="11910" w:orient="landscape"/>
          <w:pgMar w:header="877" w:footer="978" w:top="1100" w:bottom="1160" w:left="960" w:right="960"/>
          <w:pgNumType w:start="26"/>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4846"/>
        <w:gridCol w:w="9766"/>
      </w:tblGrid>
      <w:tr>
        <w:trPr>
          <w:trHeight w:val="947"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．研究开发中心项目由于公司规模扩大较快，原定项目实施地点场地有限，为适应长远发展，公司拟调整</w:t>
            </w:r>
          </w:p>
          <w:p>
            <w:pPr>
              <w:pStyle w:val="TableParagraph"/>
              <w:spacing w:line="272" w:lineRule="exact" w:before="18"/>
              <w:ind w:left="22" w:right="19"/>
              <w:jc w:val="left"/>
              <w:rPr>
                <w:rFonts w:ascii="宋体" w:hAnsi="宋体" w:cs="宋体" w:eastAsia="宋体" w:hint="default"/>
                <w:sz w:val="21"/>
                <w:szCs w:val="21"/>
              </w:rPr>
            </w:pPr>
            <w:r>
              <w:rPr>
                <w:rFonts w:ascii="宋体" w:hAnsi="宋体" w:cs="宋体" w:eastAsia="宋体" w:hint="default"/>
                <w:sz w:val="21"/>
                <w:szCs w:val="21"/>
              </w:rPr>
              <w:t>规划研究开发中心的实施地点，导致项目原定的部分投资延缓实施。目前新的实施地点正在物色，公司将</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在方案确定后经董事会或股东会审议通过后按计划实施。</w:t>
            </w:r>
          </w:p>
        </w:tc>
      </w:tr>
      <w:tr>
        <w:trPr>
          <w:trHeight w:val="5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项目可行性未发生重大变化</w:t>
            </w:r>
          </w:p>
        </w:tc>
      </w:tr>
      <w:tr>
        <w:trPr>
          <w:trHeight w:val="401" w:hRule="exact"/>
        </w:trPr>
        <w:tc>
          <w:tcPr>
            <w:tcW w:w="4846" w:type="dxa"/>
            <w:tcBorders>
              <w:top w:val="single" w:sz="4" w:space="0" w:color="000000"/>
              <w:left w:val="single" w:sz="4" w:space="0" w:color="000000"/>
              <w:bottom w:val="nil" w:sz="6" w:space="0" w:color="auto"/>
              <w:right w:val="single" w:sz="4" w:space="0" w:color="000000"/>
            </w:tcBorders>
            <w:shd w:val="clear" w:color="auto" w:fill="DCDCDC"/>
          </w:tcPr>
          <w:p>
            <w:pPr/>
          </w:p>
        </w:tc>
        <w:tc>
          <w:tcPr>
            <w:tcW w:w="97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公司超募资金共计</w:t>
            </w:r>
            <w:r>
              <w:rPr>
                <w:rFonts w:ascii="Times New Roman" w:hAnsi="Times New Roman" w:cs="Times New Roman" w:eastAsia="Times New Roman" w:hint="default"/>
                <w:sz w:val="21"/>
                <w:szCs w:val="21"/>
              </w:rPr>
              <w:t>25,169.97</w:t>
            </w:r>
            <w:r>
              <w:rPr>
                <w:rFonts w:ascii="宋体" w:hAnsi="宋体" w:cs="宋体" w:eastAsia="宋体" w:hint="default"/>
                <w:sz w:val="21"/>
                <w:szCs w:val="21"/>
              </w:rPr>
              <w:t>万元，经</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日公司第一届董事会第十一次会议和第一届监事会第七次</w:t>
            </w:r>
          </w:p>
        </w:tc>
      </w:tr>
      <w:tr>
        <w:trPr>
          <w:trHeight w:val="272" w:hRule="exact"/>
        </w:trPr>
        <w:tc>
          <w:tcPr>
            <w:tcW w:w="4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z w:val="21"/>
                <w:szCs w:val="21"/>
              </w:rPr>
              <w:t>超募资金的金额、用途及使用进展情况</w:t>
            </w:r>
          </w:p>
        </w:tc>
        <w:tc>
          <w:tcPr>
            <w:tcW w:w="9766"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2" w:right="0"/>
              <w:jc w:val="left"/>
              <w:rPr>
                <w:rFonts w:ascii="宋体" w:hAnsi="宋体" w:cs="宋体" w:eastAsia="宋体" w:hint="default"/>
                <w:sz w:val="21"/>
                <w:szCs w:val="21"/>
              </w:rPr>
            </w:pPr>
            <w:r>
              <w:rPr>
                <w:rFonts w:ascii="宋体" w:hAnsi="宋体" w:cs="宋体" w:eastAsia="宋体" w:hint="default"/>
                <w:sz w:val="21"/>
                <w:szCs w:val="21"/>
              </w:rPr>
              <w:t>会议审议通过，公司使用</w:t>
            </w:r>
            <w:r>
              <w:rPr>
                <w:rFonts w:ascii="Times New Roman" w:hAnsi="Times New Roman" w:cs="Times New Roman" w:eastAsia="Times New Roman" w:hint="default"/>
                <w:sz w:val="21"/>
                <w:szCs w:val="21"/>
              </w:rPr>
              <w:t>4,500</w:t>
            </w:r>
            <w:r>
              <w:rPr>
                <w:rFonts w:ascii="宋体" w:hAnsi="宋体" w:cs="宋体" w:eastAsia="宋体" w:hint="default"/>
                <w:sz w:val="21"/>
                <w:szCs w:val="21"/>
              </w:rPr>
              <w:t>万元超募资金永久补充流动资金。公司其余超募资金</w:t>
            </w:r>
            <w:r>
              <w:rPr>
                <w:rFonts w:ascii="Times New Roman" w:hAnsi="Times New Roman" w:cs="Times New Roman" w:eastAsia="Times New Roman" w:hint="default"/>
                <w:sz w:val="21"/>
                <w:szCs w:val="21"/>
              </w:rPr>
              <w:t>20,669.97</w:t>
            </w:r>
            <w:r>
              <w:rPr>
                <w:rFonts w:ascii="宋体" w:hAnsi="宋体" w:cs="宋体" w:eastAsia="宋体" w:hint="default"/>
                <w:sz w:val="21"/>
                <w:szCs w:val="21"/>
              </w:rPr>
              <w:t>万元及衍生利</w:t>
            </w:r>
          </w:p>
        </w:tc>
      </w:tr>
      <w:tr>
        <w:trPr>
          <w:trHeight w:val="394" w:hRule="exact"/>
        </w:trPr>
        <w:tc>
          <w:tcPr>
            <w:tcW w:w="4846" w:type="dxa"/>
            <w:tcBorders>
              <w:top w:val="nil" w:sz="6" w:space="0" w:color="auto"/>
              <w:left w:val="single" w:sz="4" w:space="0" w:color="000000"/>
              <w:bottom w:val="single" w:sz="4" w:space="0" w:color="000000"/>
              <w:right w:val="single" w:sz="4" w:space="0" w:color="000000"/>
            </w:tcBorders>
            <w:shd w:val="clear" w:color="auto" w:fill="DCDCDC"/>
          </w:tcPr>
          <w:p>
            <w:pPr/>
          </w:p>
        </w:tc>
        <w:tc>
          <w:tcPr>
            <w:tcW w:w="976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z w:val="21"/>
                <w:szCs w:val="21"/>
              </w:rPr>
              <w:t>息尚未使用，董事会将根据公司发展需要尽快制订其余超募资金的使用计划后按计划使用。</w:t>
            </w:r>
          </w:p>
        </w:tc>
      </w:tr>
      <w:tr>
        <w:trPr>
          <w:trHeight w:val="5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1" w:hRule="exact"/>
        </w:trPr>
        <w:tc>
          <w:tcPr>
            <w:tcW w:w="4846" w:type="dxa"/>
            <w:tcBorders>
              <w:top w:val="single" w:sz="4" w:space="0" w:color="000000"/>
              <w:left w:val="single" w:sz="4" w:space="0" w:color="000000"/>
              <w:bottom w:val="nil" w:sz="6" w:space="0" w:color="auto"/>
              <w:right w:val="single" w:sz="4" w:space="0" w:color="000000"/>
            </w:tcBorders>
            <w:shd w:val="clear" w:color="auto" w:fill="DCDCDC"/>
          </w:tcPr>
          <w:p>
            <w:pPr/>
          </w:p>
        </w:tc>
        <w:tc>
          <w:tcPr>
            <w:tcW w:w="97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日第一届董事会第十一次会议和第一届监事会第七次会议审议通过，公司以募集资金</w:t>
            </w:r>
          </w:p>
        </w:tc>
      </w:tr>
      <w:tr>
        <w:trPr>
          <w:trHeight w:val="272" w:hRule="exact"/>
        </w:trPr>
        <w:tc>
          <w:tcPr>
            <w:tcW w:w="4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9766"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8,793,875.86</w:t>
            </w:r>
            <w:r>
              <w:rPr>
                <w:rFonts w:ascii="Times New Roman" w:hAnsi="Times New Roman" w:cs="Times New Roman" w:eastAsia="Times New Roman" w:hint="default"/>
                <w:spacing w:val="31"/>
                <w:sz w:val="21"/>
                <w:szCs w:val="21"/>
              </w:rPr>
              <w:t> </w:t>
            </w:r>
            <w:r>
              <w:rPr>
                <w:rFonts w:ascii="宋体" w:hAnsi="宋体" w:cs="宋体" w:eastAsia="宋体" w:hint="default"/>
                <w:spacing w:val="-2"/>
                <w:sz w:val="21"/>
                <w:szCs w:val="21"/>
              </w:rPr>
              <w:t>元置换预先已投入募投项目的自筹资金。本次置换业经深圳市鹏城会计师事务所有限公司核验</w:t>
            </w:r>
          </w:p>
        </w:tc>
      </w:tr>
      <w:tr>
        <w:trPr>
          <w:trHeight w:val="393" w:hRule="exact"/>
        </w:trPr>
        <w:tc>
          <w:tcPr>
            <w:tcW w:w="4846" w:type="dxa"/>
            <w:tcBorders>
              <w:top w:val="nil" w:sz="6" w:space="0" w:color="auto"/>
              <w:left w:val="single" w:sz="4" w:space="0" w:color="000000"/>
              <w:bottom w:val="single" w:sz="4" w:space="0" w:color="000000"/>
              <w:right w:val="single" w:sz="4" w:space="0" w:color="000000"/>
            </w:tcBorders>
            <w:shd w:val="clear" w:color="auto" w:fill="DCDCDC"/>
          </w:tcPr>
          <w:p>
            <w:pPr/>
          </w:p>
        </w:tc>
        <w:tc>
          <w:tcPr>
            <w:tcW w:w="9766"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left="22" w:right="0"/>
              <w:jc w:val="left"/>
              <w:rPr>
                <w:rFonts w:ascii="宋体" w:hAnsi="宋体" w:cs="宋体" w:eastAsia="宋体" w:hint="default"/>
                <w:sz w:val="21"/>
                <w:szCs w:val="21"/>
              </w:rPr>
            </w:pPr>
            <w:r>
              <w:rPr>
                <w:rFonts w:ascii="宋体" w:hAnsi="宋体" w:cs="宋体" w:eastAsia="宋体" w:hint="default"/>
                <w:sz w:val="21"/>
                <w:szCs w:val="21"/>
              </w:rPr>
              <w:t>并出具了深鹏所股专字</w:t>
            </w:r>
            <w:r>
              <w:rPr>
                <w:rFonts w:ascii="Times New Roman" w:hAnsi="Times New Roman" w:cs="Times New Roman" w:eastAsia="Times New Roman" w:hint="default"/>
                <w:sz w:val="21"/>
                <w:szCs w:val="21"/>
              </w:rPr>
              <w:t>[2010]438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号鉴证报告。独立董事和保荐机构均对本次置换发表了同意意见。</w:t>
            </w:r>
          </w:p>
        </w:tc>
      </w:tr>
      <w:tr>
        <w:trPr>
          <w:trHeight w:val="523"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项目实施出现募集资金结余的金额及原因</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项目尚在建设期</w:t>
            </w:r>
          </w:p>
        </w:tc>
      </w:tr>
      <w:tr>
        <w:trPr>
          <w:trHeight w:val="522"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尚未使用的募集资金均存放在公司募集资金专项帐户</w:t>
            </w:r>
          </w:p>
        </w:tc>
      </w:tr>
      <w:tr>
        <w:trPr>
          <w:trHeight w:val="523" w:hRule="exact"/>
        </w:trPr>
        <w:tc>
          <w:tcPr>
            <w:tcW w:w="4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募集资金使用及披露中存在的问题或其他情况</w:t>
            </w:r>
          </w:p>
        </w:tc>
        <w:tc>
          <w:tcPr>
            <w:tcW w:w="9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77" w:footer="978" w:top="1100" w:bottom="1160" w:left="96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4"/>
        <w:ind w:left="595" w:right="113"/>
        <w:jc w:val="left"/>
      </w:pPr>
      <w:r>
        <w:rPr>
          <w:rFonts w:ascii="Times New Roman" w:hAnsi="Times New Roman" w:cs="Times New Roman" w:eastAsia="Times New Roman" w:hint="default"/>
        </w:rPr>
        <w:t>5</w:t>
      </w:r>
      <w:r>
        <w:rPr/>
        <w:t>．会计师事务所对募集资金使用情况的专项审核意见</w:t>
      </w:r>
    </w:p>
    <w:p>
      <w:pPr>
        <w:pStyle w:val="BodyText"/>
        <w:spacing w:line="240" w:lineRule="auto" w:before="129"/>
        <w:ind w:left="597" w:right="113"/>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8  </w:t>
      </w:r>
      <w:r>
        <w:rPr>
          <w:rFonts w:ascii="Times New Roman" w:hAnsi="Times New Roman" w:cs="Times New Roman" w:eastAsia="Times New Roman" w:hint="default"/>
          <w:spacing w:val="16"/>
        </w:rPr>
        <w:t> </w:t>
      </w:r>
      <w:r>
        <w:rPr>
          <w:spacing w:val="11"/>
        </w:rPr>
        <w:t>日，深圳市鹏城会计师事务所有限公司出具深鹏所股专字</w:t>
      </w:r>
      <w:r>
        <w:rPr/>
      </w:r>
    </w:p>
    <w:p>
      <w:pPr>
        <w:pStyle w:val="BodyText"/>
        <w:spacing w:line="350" w:lineRule="auto" w:before="129"/>
        <w:ind w:right="113"/>
        <w:jc w:val="left"/>
        <w:rPr>
          <w:rFonts w:ascii="Times New Roman" w:hAnsi="Times New Roman" w:cs="Times New Roman" w:eastAsia="Times New Roman" w:hint="default"/>
        </w:rPr>
      </w:pPr>
      <w:r>
        <w:rPr>
          <w:rFonts w:ascii="Times New Roman" w:hAnsi="Times New Roman" w:cs="Times New Roman" w:eastAsia="Times New Roman" w:hint="default"/>
          <w:spacing w:val="-2"/>
          <w:w w:val="100"/>
        </w:rPr>
        <w:t>[2011]0144</w:t>
      </w:r>
      <w:r>
        <w:rPr>
          <w:rFonts w:ascii="Times New Roman" w:hAnsi="Times New Roman" w:cs="Times New Roman" w:eastAsia="Times New Roman" w:hint="default"/>
          <w:w w:val="100"/>
        </w:rPr>
        <w:t> </w:t>
      </w:r>
      <w:r>
        <w:rPr>
          <w:spacing w:val="-4"/>
          <w:w w:val="100"/>
        </w:rPr>
        <w:t>号《关于年度募集资金存放与使用情况鉴证报告》，认为</w:t>
      </w:r>
      <w:r>
        <w:rPr>
          <w:rFonts w:ascii="Times New Roman" w:hAnsi="Times New Roman" w:cs="Times New Roman" w:eastAsia="Times New Roman" w:hint="default"/>
          <w:spacing w:val="-4"/>
          <w:w w:val="100"/>
        </w:rPr>
        <w:t>“</w:t>
      </w:r>
      <w:r>
        <w:rPr>
          <w:spacing w:val="-4"/>
          <w:w w:val="100"/>
        </w:rPr>
        <w:t>银之杰公司管</w:t>
      </w:r>
      <w:r>
        <w:rPr>
          <w:spacing w:val="-100"/>
          <w:w w:val="100"/>
        </w:rPr>
        <w:t> </w:t>
      </w:r>
      <w:r>
        <w:rPr>
          <w:spacing w:val="-100"/>
          <w:w w:val="100"/>
        </w:rPr>
      </w:r>
      <w:r>
        <w:rPr/>
        <w:t>理层编制的《关于年度募集资金存放与使用情况的专项报告》符合《深圳证券交易</w:t>
      </w:r>
      <w:r>
        <w:rPr>
          <w:spacing w:val="-87"/>
        </w:rPr>
        <w:t> </w:t>
      </w:r>
      <w:r>
        <w:rPr>
          <w:spacing w:val="-87"/>
        </w:rPr>
      </w:r>
      <w:r>
        <w:rPr>
          <w:spacing w:val="-3"/>
        </w:rPr>
        <w:t>所上市公司募集资金管理办法》和《深圳证券交易所创业板上市公司规范运作指引》</w:t>
      </w:r>
      <w:r>
        <w:rPr>
          <w:spacing w:val="-97"/>
        </w:rPr>
        <w:t> </w:t>
      </w:r>
      <w:r>
        <w:rPr>
          <w:spacing w:val="-97"/>
        </w:rPr>
      </w:r>
      <w:r>
        <w:rPr/>
        <w:t>的规定，如实反映了银之杰公司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年度募集资金实际存放与使用情况。</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32"/>
          <w:szCs w:val="32"/>
        </w:rPr>
      </w:pPr>
    </w:p>
    <w:p>
      <w:pPr>
        <w:pStyle w:val="BodyText"/>
        <w:spacing w:line="240" w:lineRule="auto" w:before="0"/>
        <w:ind w:right="113"/>
        <w:jc w:val="left"/>
      </w:pPr>
      <w:r>
        <w:rPr/>
        <w:t>（二）</w:t>
      </w:r>
      <w:r>
        <w:rPr>
          <w:spacing w:val="-94"/>
        </w:rPr>
        <w:t> </w:t>
      </w:r>
      <w:r>
        <w:rPr/>
        <w:t>报告期内公司未发生重大非募集资金投资情况。</w:t>
      </w:r>
    </w:p>
    <w:p>
      <w:pPr>
        <w:pStyle w:val="BodyText"/>
        <w:spacing w:line="357" w:lineRule="auto" w:before="146"/>
        <w:ind w:left="857" w:right="219" w:hanging="720"/>
        <w:jc w:val="left"/>
      </w:pPr>
      <w:r>
        <w:rPr/>
        <w:t>（三）</w:t>
      </w:r>
      <w:r>
        <w:rPr>
          <w:spacing w:val="-87"/>
        </w:rPr>
        <w:t> </w:t>
      </w:r>
      <w:r>
        <w:rPr/>
        <w:t>报告期内未持有其他上市公司股权、参股商业银行、证券公司、保险公司、</w:t>
      </w:r>
      <w:r>
        <w:rPr>
          <w:w w:val="100"/>
        </w:rPr>
        <w:t> </w:t>
      </w:r>
      <w:r>
        <w:rPr/>
        <w:t>信托公司和期货公司等金融企业股权，未买卖其他上市公司股份。</w:t>
      </w:r>
    </w:p>
    <w:p>
      <w:pPr>
        <w:pStyle w:val="BodyText"/>
        <w:spacing w:line="357" w:lineRule="auto" w:before="32"/>
        <w:ind w:left="857" w:right="219" w:hanging="720"/>
        <w:jc w:val="left"/>
      </w:pPr>
      <w:r>
        <w:rPr/>
        <w:t>（四）</w:t>
      </w:r>
      <w:r>
        <w:rPr>
          <w:spacing w:val="-87"/>
        </w:rPr>
        <w:t> </w:t>
      </w:r>
      <w:r>
        <w:rPr/>
        <w:t>报告期内未持有以公允价值计量的境内外基金、债券、信托产品、期货、金</w:t>
      </w:r>
      <w:r>
        <w:rPr>
          <w:w w:val="100"/>
        </w:rPr>
        <w:t> </w:t>
      </w:r>
      <w:r>
        <w:rPr/>
        <w:t>融衍生工具等金融资产。</w:t>
      </w:r>
    </w:p>
    <w:p>
      <w:pPr>
        <w:spacing w:line="240" w:lineRule="auto" w:before="12"/>
        <w:rPr>
          <w:rFonts w:ascii="宋体" w:hAnsi="宋体" w:cs="宋体" w:eastAsia="宋体" w:hint="default"/>
          <w:sz w:val="32"/>
          <w:szCs w:val="32"/>
        </w:rPr>
      </w:pPr>
    </w:p>
    <w:p>
      <w:pPr>
        <w:spacing w:line="357" w:lineRule="auto" w:before="0"/>
        <w:ind w:left="597" w:right="113" w:hanging="460"/>
        <w:jc w:val="left"/>
        <w:rPr>
          <w:rFonts w:ascii="宋体" w:hAnsi="宋体" w:cs="宋体" w:eastAsia="宋体" w:hint="default"/>
          <w:sz w:val="23"/>
          <w:szCs w:val="23"/>
        </w:rPr>
      </w:pPr>
      <w:r>
        <w:rPr>
          <w:rFonts w:ascii="宋体" w:hAnsi="宋体" w:cs="宋体" w:eastAsia="宋体" w:hint="default"/>
          <w:b/>
          <w:bCs/>
          <w:sz w:val="23"/>
          <w:szCs w:val="23"/>
        </w:rPr>
        <w:t>四、各种金融工具、以公允价值计量的负债</w:t>
      </w:r>
      <w:r>
        <w:rPr>
          <w:rFonts w:ascii="宋体" w:hAnsi="宋体" w:cs="宋体" w:eastAsia="宋体" w:hint="default"/>
          <w:b/>
          <w:bCs/>
          <w:w w:val="99"/>
          <w:sz w:val="23"/>
          <w:szCs w:val="23"/>
        </w:rPr>
        <w:t> </w:t>
      </w:r>
      <w:r>
        <w:rPr>
          <w:rFonts w:ascii="宋体" w:hAnsi="宋体" w:cs="宋体" w:eastAsia="宋体" w:hint="default"/>
          <w:sz w:val="23"/>
          <w:szCs w:val="23"/>
        </w:rPr>
        <w:t>报告期内公司没有发行在外的可转换为股份的各种金融工具、以公允价值计量</w:t>
      </w:r>
    </w:p>
    <w:p>
      <w:pPr>
        <w:pStyle w:val="BodyText"/>
        <w:spacing w:line="240" w:lineRule="auto" w:before="32"/>
        <w:ind w:right="113"/>
        <w:jc w:val="left"/>
      </w:pPr>
      <w:r>
        <w:rPr/>
        <w:t>的负债。</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line="357" w:lineRule="auto" w:before="0"/>
        <w:ind w:left="597" w:right="224" w:hanging="460"/>
        <w:jc w:val="left"/>
        <w:rPr>
          <w:rFonts w:ascii="宋体" w:hAnsi="宋体" w:cs="宋体" w:eastAsia="宋体" w:hint="default"/>
          <w:sz w:val="23"/>
          <w:szCs w:val="23"/>
        </w:rPr>
      </w:pPr>
      <w:r>
        <w:rPr>
          <w:rFonts w:ascii="宋体" w:hAnsi="宋体" w:cs="宋体" w:eastAsia="宋体" w:hint="default"/>
          <w:b/>
          <w:bCs/>
          <w:sz w:val="23"/>
          <w:szCs w:val="23"/>
        </w:rPr>
        <w:t>五、会计师事务所审计情况及会计政策、会计估计变更情况</w:t>
      </w:r>
      <w:r>
        <w:rPr>
          <w:rFonts w:ascii="宋体" w:hAnsi="宋体" w:cs="宋体" w:eastAsia="宋体" w:hint="default"/>
          <w:b/>
          <w:bCs/>
          <w:w w:val="99"/>
          <w:sz w:val="23"/>
          <w:szCs w:val="23"/>
        </w:rPr>
        <w:t> </w:t>
      </w:r>
      <w:r>
        <w:rPr>
          <w:rFonts w:ascii="宋体" w:hAnsi="宋体" w:cs="宋体" w:eastAsia="宋体" w:hint="default"/>
          <w:sz w:val="23"/>
          <w:szCs w:val="23"/>
        </w:rPr>
        <w:t>深圳市鹏城会计师事务所有限公司对本公司</w:t>
      </w:r>
      <w:r>
        <w:rPr>
          <w:rFonts w:ascii="宋体" w:hAnsi="宋体" w:cs="宋体" w:eastAsia="宋体" w:hint="default"/>
          <w:spacing w:val="-59"/>
          <w:sz w:val="23"/>
          <w:szCs w:val="23"/>
        </w:rPr>
        <w:t> </w:t>
      </w:r>
      <w:r>
        <w:rPr>
          <w:rFonts w:ascii="Times New Roman" w:hAnsi="Times New Roman" w:cs="Times New Roman" w:eastAsia="Times New Roman" w:hint="default"/>
          <w:sz w:val="23"/>
          <w:szCs w:val="23"/>
        </w:rPr>
        <w:t>2010 </w:t>
      </w:r>
      <w:r>
        <w:rPr>
          <w:rFonts w:ascii="宋体" w:hAnsi="宋体" w:cs="宋体" w:eastAsia="宋体" w:hint="default"/>
          <w:spacing w:val="-7"/>
          <w:sz w:val="23"/>
          <w:szCs w:val="23"/>
        </w:rPr>
        <w:t>年度财务报告进行了审计，并</w:t>
      </w:r>
    </w:p>
    <w:p>
      <w:pPr>
        <w:pStyle w:val="BodyText"/>
        <w:spacing w:line="355" w:lineRule="auto" w:before="4"/>
        <w:ind w:left="597" w:right="113" w:hanging="460"/>
        <w:jc w:val="left"/>
      </w:pPr>
      <w:r>
        <w:rPr/>
        <w:t>出具了标准无保留意见的审计报告。</w:t>
      </w:r>
      <w:r>
        <w:rPr>
          <w:w w:val="100"/>
        </w:rPr>
        <w:t> </w:t>
      </w:r>
      <w:r>
        <w:rPr/>
        <w:t>报告期内，公司没有重大会计政策变化、会计估计变更情况，未发生重要前期</w:t>
      </w:r>
    </w:p>
    <w:p>
      <w:pPr>
        <w:pStyle w:val="BodyText"/>
        <w:spacing w:line="240" w:lineRule="auto" w:before="36"/>
        <w:ind w:right="113"/>
        <w:jc w:val="left"/>
      </w:pPr>
      <w:r>
        <w:rPr/>
        <w:t>差错更正。</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Heading5"/>
        <w:spacing w:line="240" w:lineRule="auto"/>
        <w:ind w:left="137" w:right="113"/>
        <w:jc w:val="left"/>
        <w:rPr>
          <w:b w:val="0"/>
          <w:bCs w:val="0"/>
        </w:rPr>
      </w:pPr>
      <w:r>
        <w:rPr/>
        <w:t>六、本次利润分配预案或资本公积金转增股本预案</w:t>
      </w:r>
      <w:r>
        <w:rPr>
          <w:b w:val="0"/>
          <w:bCs w:val="0"/>
        </w:rPr>
      </w:r>
    </w:p>
    <w:p>
      <w:pPr>
        <w:pStyle w:val="BodyText"/>
        <w:spacing w:line="336" w:lineRule="auto" w:before="146"/>
        <w:ind w:right="232" w:firstLine="459"/>
        <w:jc w:val="both"/>
      </w:pPr>
      <w:r>
        <w:rPr>
          <w:spacing w:val="18"/>
        </w:rPr>
        <w:t>经深圳市鹏城会计师事务所有限公司审计，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17"/>
        </w:rPr>
        <w:t>年度母公司实现净利润</w:t>
      </w:r>
      <w:r>
        <w:rPr>
          <w:w w:val="100"/>
        </w:rPr>
        <w:t> </w:t>
      </w:r>
      <w:r>
        <w:rPr>
          <w:rFonts w:ascii="Times New Roman" w:hAnsi="Times New Roman" w:cs="Times New Roman" w:eastAsia="Times New Roman" w:hint="default"/>
        </w:rPr>
        <w:t>39,808,813.74</w:t>
      </w:r>
      <w:r>
        <w:rPr>
          <w:rFonts w:ascii="Times New Roman" w:hAnsi="Times New Roman" w:cs="Times New Roman" w:eastAsia="Times New Roman" w:hint="default"/>
          <w:spacing w:val="23"/>
        </w:rPr>
        <w:t> </w:t>
      </w:r>
      <w:r>
        <w:rPr/>
        <w:t>元，根据《公司法》和《公司章程》的有关规定，按母公司实现净利</w:t>
      </w:r>
      <w:r>
        <w:rPr>
          <w:w w:val="100"/>
        </w:rPr>
        <w:t> </w:t>
      </w:r>
      <w:r>
        <w:rPr>
          <w:spacing w:val="10"/>
        </w:rPr>
        <w:t>润的 </w:t>
      </w:r>
      <w:r>
        <w:rPr>
          <w:rFonts w:ascii="Times New Roman" w:hAnsi="Times New Roman" w:cs="Times New Roman" w:eastAsia="Times New Roman" w:hint="default"/>
        </w:rPr>
        <w:t>10% </w:t>
      </w:r>
      <w:r>
        <w:rPr>
          <w:spacing w:val="18"/>
        </w:rPr>
        <w:t>提取法定盈余公积 </w:t>
      </w:r>
      <w:r>
        <w:rPr>
          <w:rFonts w:ascii="Times New Roman" w:hAnsi="Times New Roman" w:cs="Times New Roman" w:eastAsia="Times New Roman" w:hint="default"/>
        </w:rPr>
        <w:t>3,980,881.37</w:t>
      </w:r>
      <w:r>
        <w:rPr>
          <w:rFonts w:ascii="Times New Roman" w:hAnsi="Times New Roman" w:cs="Times New Roman" w:eastAsia="Times New Roman" w:hint="default"/>
          <w:spacing w:val="32"/>
        </w:rPr>
        <w:t> </w:t>
      </w:r>
      <w:r>
        <w:rPr>
          <w:spacing w:val="19"/>
        </w:rPr>
        <w:t>元，加母公司期初累计未分配利润</w:t>
      </w:r>
      <w:r>
        <w:rPr>
          <w:w w:val="100"/>
        </w:rPr>
        <w:t> </w:t>
      </w:r>
      <w:r>
        <w:rPr>
          <w:rFonts w:ascii="Times New Roman" w:hAnsi="Times New Roman" w:cs="Times New Roman" w:eastAsia="Times New Roman" w:hint="default"/>
        </w:rPr>
        <w:t>49,597,039.13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年度母公司实际可供分配的利润为</w:t>
      </w:r>
      <w:r>
        <w:rPr>
          <w:spacing w:val="-61"/>
        </w:rPr>
        <w:t> </w:t>
      </w:r>
      <w:r>
        <w:rPr>
          <w:rFonts w:ascii="Times New Roman" w:hAnsi="Times New Roman" w:cs="Times New Roman" w:eastAsia="Times New Roman" w:hint="default"/>
        </w:rPr>
        <w:t>85,424,971.50</w:t>
      </w:r>
      <w:r>
        <w:rPr>
          <w:rFonts w:ascii="Times New Roman" w:hAnsi="Times New Roman" w:cs="Times New Roman" w:eastAsia="Times New Roman" w:hint="default"/>
          <w:spacing w:val="-2"/>
        </w:rPr>
        <w:t> </w:t>
      </w:r>
      <w:r>
        <w:rPr/>
        <w:t>元。</w:t>
      </w:r>
    </w:p>
    <w:p>
      <w:pPr>
        <w:pStyle w:val="BodyText"/>
        <w:spacing w:line="240" w:lineRule="auto" w:before="27"/>
        <w:ind w:left="597" w:right="113"/>
        <w:jc w:val="left"/>
      </w:pPr>
      <w:r>
        <w:rPr/>
        <w:t>公司拟以</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日总股本</w:t>
      </w:r>
      <w:r>
        <w:rPr>
          <w:spacing w:val="-56"/>
        </w:rPr>
        <w:t> </w:t>
      </w:r>
      <w:r>
        <w:rPr>
          <w:rFonts w:ascii="Times New Roman" w:hAnsi="Times New Roman" w:cs="Times New Roman" w:eastAsia="Times New Roman" w:hint="default"/>
        </w:rPr>
        <w:t>6000 </w:t>
      </w:r>
      <w:r>
        <w:rPr>
          <w:spacing w:val="-8"/>
        </w:rPr>
        <w:t>万股为基数，向全体股东按每</w:t>
      </w:r>
      <w:r>
        <w:rPr>
          <w:spacing w:val="-56"/>
        </w:rPr>
        <w:t> </w:t>
      </w:r>
      <w:r>
        <w:rPr>
          <w:rFonts w:ascii="Times New Roman" w:hAnsi="Times New Roman" w:cs="Times New Roman" w:eastAsia="Times New Roman" w:hint="default"/>
        </w:rPr>
        <w:t>10 </w:t>
      </w:r>
      <w:r>
        <w:rPr/>
        <w:t>股派</w:t>
      </w:r>
    </w:p>
    <w:p>
      <w:pPr>
        <w:pStyle w:val="BodyText"/>
        <w:spacing w:line="240" w:lineRule="auto" w:before="129"/>
        <w:ind w:right="113"/>
        <w:jc w:val="left"/>
      </w:pPr>
      <w:r>
        <w:rPr>
          <w:w w:val="100"/>
        </w:rPr>
        <w:t>发现金</w:t>
      </w:r>
      <w:r>
        <w:rPr>
          <w:spacing w:val="-2"/>
          <w:w w:val="100"/>
        </w:rPr>
        <w:t>红</w:t>
      </w:r>
      <w:r>
        <w:rPr>
          <w:w w:val="100"/>
        </w:rPr>
        <w:t>利</w:t>
      </w:r>
      <w:r>
        <w:rPr>
          <w:spacing w:val="-59"/>
        </w:rPr>
        <w:t> </w:t>
      </w:r>
      <w:r>
        <w:rPr>
          <w:rFonts w:ascii="Times New Roman" w:hAnsi="Times New Roman" w:cs="Times New Roman" w:eastAsia="Times New Roman" w:hint="default"/>
          <w:w w:val="100"/>
        </w:rPr>
        <w:t>6.00</w:t>
      </w:r>
      <w:r>
        <w:rPr>
          <w:rFonts w:ascii="Times New Roman" w:hAnsi="Times New Roman" w:cs="Times New Roman" w:eastAsia="Times New Roman" w:hint="default"/>
        </w:rPr>
        <w:t> </w:t>
      </w:r>
      <w:r>
        <w:rPr>
          <w:spacing w:val="-22"/>
          <w:w w:val="100"/>
        </w:rPr>
        <w:t>元</w:t>
      </w:r>
      <w:r>
        <w:rPr>
          <w:w w:val="100"/>
        </w:rPr>
        <w:t>（</w:t>
      </w:r>
      <w:r>
        <w:rPr>
          <w:spacing w:val="-2"/>
          <w:w w:val="100"/>
        </w:rPr>
        <w:t>含</w:t>
      </w:r>
      <w:r>
        <w:rPr>
          <w:w w:val="100"/>
        </w:rPr>
        <w:t>税</w:t>
      </w:r>
      <w:r>
        <w:rPr>
          <w:spacing w:val="-116"/>
          <w:w w:val="100"/>
        </w:rPr>
        <w:t>）</w:t>
      </w:r>
      <w:r>
        <w:rPr>
          <w:spacing w:val="-21"/>
          <w:w w:val="100"/>
        </w:rPr>
        <w:t>，</w:t>
      </w:r>
      <w:r>
        <w:rPr>
          <w:spacing w:val="-2"/>
          <w:w w:val="100"/>
        </w:rPr>
        <w:t>合计</w:t>
      </w:r>
      <w:r>
        <w:rPr>
          <w:w w:val="100"/>
        </w:rPr>
        <w:t>派发现</w:t>
      </w:r>
      <w:r>
        <w:rPr>
          <w:spacing w:val="-2"/>
          <w:w w:val="100"/>
        </w:rPr>
        <w:t>金股</w:t>
      </w:r>
      <w:r>
        <w:rPr>
          <w:w w:val="100"/>
        </w:rPr>
        <w:t>利</w:t>
      </w:r>
      <w:r>
        <w:rPr>
          <w:spacing w:val="-58"/>
        </w:rPr>
        <w:t> </w:t>
      </w:r>
      <w:r>
        <w:rPr>
          <w:rFonts w:ascii="Times New Roman" w:hAnsi="Times New Roman" w:cs="Times New Roman" w:eastAsia="Times New Roman" w:hint="default"/>
          <w:w w:val="100"/>
        </w:rPr>
        <w:t>36,000</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rPr>
        <w:t> </w:t>
      </w:r>
      <w:r>
        <w:rPr>
          <w:spacing w:val="-22"/>
          <w:w w:val="100"/>
        </w:rPr>
        <w:t>元</w:t>
      </w:r>
      <w:r>
        <w:rPr>
          <w:w w:val="100"/>
        </w:rPr>
        <w:t>（</w:t>
      </w:r>
      <w:r>
        <w:rPr>
          <w:spacing w:val="-2"/>
          <w:w w:val="100"/>
        </w:rPr>
        <w:t>含</w:t>
      </w:r>
      <w:r>
        <w:rPr>
          <w:w w:val="100"/>
        </w:rPr>
        <w:t>税</w:t>
      </w:r>
      <w:r>
        <w:rPr>
          <w:spacing w:val="-116"/>
          <w:w w:val="100"/>
        </w:rPr>
        <w:t>）</w:t>
      </w:r>
      <w:r>
        <w:rPr>
          <w:spacing w:val="-21"/>
          <w:w w:val="100"/>
        </w:rPr>
        <w:t>，</w:t>
      </w:r>
      <w:r>
        <w:rPr>
          <w:spacing w:val="-2"/>
          <w:w w:val="100"/>
        </w:rPr>
        <w:t>剩余</w:t>
      </w:r>
      <w:r>
        <w:rPr>
          <w:spacing w:val="1"/>
          <w:w w:val="100"/>
        </w:rPr>
        <w:t>未</w:t>
      </w:r>
      <w:r>
        <w:rPr>
          <w:w w:val="100"/>
        </w:rPr>
        <w:t>分</w:t>
      </w:r>
    </w:p>
    <w:p>
      <w:pPr>
        <w:pStyle w:val="BodyText"/>
        <w:spacing w:line="240" w:lineRule="auto" w:before="129"/>
        <w:ind w:right="113"/>
        <w:jc w:val="left"/>
      </w:pPr>
      <w:r>
        <w:rPr/>
        <w:t>配利润</w:t>
      </w:r>
      <w:r>
        <w:rPr>
          <w:spacing w:val="-60"/>
        </w:rPr>
        <w:t> </w:t>
      </w:r>
      <w:r>
        <w:rPr>
          <w:rFonts w:ascii="Times New Roman" w:hAnsi="Times New Roman" w:cs="Times New Roman" w:eastAsia="Times New Roman" w:hint="default"/>
        </w:rPr>
        <w:t>49,424,971.50</w:t>
      </w:r>
      <w:r>
        <w:rPr>
          <w:rFonts w:ascii="Times New Roman" w:hAnsi="Times New Roman" w:cs="Times New Roman" w:eastAsia="Times New Roman" w:hint="default"/>
          <w:spacing w:val="-4"/>
        </w:rPr>
        <w:t> </w:t>
      </w:r>
      <w:r>
        <w:rPr/>
        <w:t>元结转以后年度。</w:t>
      </w:r>
    </w:p>
    <w:p>
      <w:pPr>
        <w:spacing w:after="0" w:line="240" w:lineRule="auto"/>
        <w:jc w:val="left"/>
        <w:sectPr>
          <w:headerReference w:type="default" r:id="rId17"/>
          <w:footerReference w:type="default" r:id="rId18"/>
          <w:pgSz w:w="11910" w:h="16840"/>
          <w:pgMar w:header="877" w:footer="982" w:top="1100" w:bottom="1180" w:left="1660" w:right="1560"/>
          <w:pgNumType w:start="28"/>
        </w:sectPr>
      </w:pPr>
    </w:p>
    <w:p>
      <w:pPr>
        <w:spacing w:line="240" w:lineRule="auto" w:before="4"/>
        <w:rPr>
          <w:rFonts w:ascii="宋体" w:hAnsi="宋体" w:cs="宋体" w:eastAsia="宋体" w:hint="default"/>
          <w:sz w:val="19"/>
          <w:szCs w:val="19"/>
        </w:rPr>
      </w:pPr>
    </w:p>
    <w:p>
      <w:pPr>
        <w:pStyle w:val="BodyText"/>
        <w:spacing w:line="240" w:lineRule="auto"/>
        <w:ind w:left="597" w:right="113"/>
        <w:jc w:val="left"/>
      </w:pPr>
      <w:r>
        <w:rPr/>
        <w:t>因公司目前注册资本仅有 </w:t>
      </w:r>
      <w:r>
        <w:rPr>
          <w:rFonts w:ascii="Times New Roman" w:hAnsi="Times New Roman" w:cs="Times New Roman" w:eastAsia="Times New Roman" w:hint="default"/>
        </w:rPr>
        <w:t>6000 </w:t>
      </w:r>
      <w:r>
        <w:rPr>
          <w:rFonts w:ascii="Times New Roman" w:hAnsi="Times New Roman" w:cs="Times New Roman" w:eastAsia="Times New Roman" w:hint="default"/>
          <w:spacing w:val="31"/>
        </w:rPr>
        <w:t> </w:t>
      </w:r>
      <w:r>
        <w:rPr/>
        <w:t>万元人民币，为便于公司业务开展，拟将公司</w:t>
      </w:r>
    </w:p>
    <w:p>
      <w:pPr>
        <w:pStyle w:val="BodyText"/>
        <w:spacing w:line="240" w:lineRule="auto" w:before="129"/>
        <w:ind w:right="113"/>
        <w:jc w:val="left"/>
        <w:rPr>
          <w:rFonts w:ascii="Times New Roman" w:hAnsi="Times New Roman" w:cs="Times New Roman" w:eastAsia="Times New Roman" w:hint="default"/>
        </w:rPr>
      </w:pPr>
      <w:r>
        <w:rPr/>
        <w:t>注册资本变更到</w:t>
      </w:r>
      <w:r>
        <w:rPr>
          <w:spacing w:val="-43"/>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4"/>
        </w:rPr>
        <w:t> </w:t>
      </w:r>
      <w:r>
        <w:rPr/>
        <w:t>万元人民币。故拟以</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日总股本</w:t>
      </w:r>
      <w:r>
        <w:rPr>
          <w:spacing w:val="-43"/>
        </w:rPr>
        <w:t> </w:t>
      </w:r>
      <w:r>
        <w:rPr>
          <w:rFonts w:ascii="Times New Roman" w:hAnsi="Times New Roman" w:cs="Times New Roman" w:eastAsia="Times New Roman" w:hint="default"/>
        </w:rPr>
        <w:t>60,000,000</w:t>
      </w:r>
    </w:p>
    <w:p>
      <w:pPr>
        <w:pStyle w:val="BodyText"/>
        <w:spacing w:line="240" w:lineRule="auto" w:before="129"/>
        <w:ind w:right="113"/>
        <w:jc w:val="left"/>
        <w:rPr>
          <w:rFonts w:ascii="Times New Roman" w:hAnsi="Times New Roman" w:cs="Times New Roman" w:eastAsia="Times New Roman" w:hint="default"/>
        </w:rPr>
      </w:pPr>
      <w:r>
        <w:rPr/>
        <w:t>股为基数，以资本公积金向全体股东每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股转增</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股，合计转增股本</w:t>
      </w:r>
      <w:r>
        <w:rPr>
          <w:spacing w:val="-42"/>
        </w:rPr>
        <w:t> </w:t>
      </w:r>
      <w:r>
        <w:rPr>
          <w:rFonts w:ascii="Times New Roman" w:hAnsi="Times New Roman" w:cs="Times New Roman" w:eastAsia="Times New Roman" w:hint="default"/>
        </w:rPr>
        <w:t>60,000,000</w:t>
      </w:r>
    </w:p>
    <w:p>
      <w:pPr>
        <w:pStyle w:val="BodyText"/>
        <w:spacing w:line="240" w:lineRule="auto" w:before="129"/>
        <w:ind w:right="0"/>
        <w:jc w:val="left"/>
      </w:pPr>
      <w:r>
        <w:rPr>
          <w:spacing w:val="-12"/>
        </w:rPr>
        <w:t>股。截至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日，母公司资本公积金为</w:t>
      </w:r>
      <w:r>
        <w:rPr>
          <w:spacing w:val="-57"/>
        </w:rPr>
        <w:t> </w:t>
      </w:r>
      <w:r>
        <w:rPr>
          <w:rFonts w:ascii="Times New Roman" w:hAnsi="Times New Roman" w:cs="Times New Roman" w:eastAsia="Times New Roman" w:hint="default"/>
        </w:rPr>
        <w:t>373,975,300.21</w:t>
      </w:r>
      <w:r>
        <w:rPr>
          <w:rFonts w:ascii="Times New Roman" w:hAnsi="Times New Roman" w:cs="Times New Roman" w:eastAsia="Times New Roman" w:hint="default"/>
          <w:spacing w:val="-1"/>
        </w:rPr>
        <w:t> </w:t>
      </w:r>
      <w:r>
        <w:rPr>
          <w:spacing w:val="-7"/>
        </w:rPr>
        <w:t>元，转增股本后，</w:t>
      </w:r>
    </w:p>
    <w:p>
      <w:pPr>
        <w:pStyle w:val="BodyText"/>
        <w:spacing w:line="240" w:lineRule="auto" w:before="128"/>
        <w:ind w:right="113"/>
        <w:jc w:val="left"/>
      </w:pPr>
      <w:r>
        <w:rPr/>
        <w:t>公司的资本公积金将减少为</w:t>
      </w:r>
      <w:r>
        <w:rPr>
          <w:spacing w:val="-62"/>
        </w:rPr>
        <w:t> </w:t>
      </w:r>
      <w:r>
        <w:rPr>
          <w:rFonts w:ascii="Times New Roman" w:hAnsi="Times New Roman" w:cs="Times New Roman" w:eastAsia="Times New Roman" w:hint="default"/>
        </w:rPr>
        <w:t>313,975,300.21</w:t>
      </w:r>
      <w:r>
        <w:rPr>
          <w:rFonts w:ascii="Times New Roman" w:hAnsi="Times New Roman" w:cs="Times New Roman" w:eastAsia="Times New Roman" w:hint="default"/>
          <w:spacing w:val="-6"/>
        </w:rPr>
        <w:t> </w:t>
      </w:r>
      <w:r>
        <w:rPr/>
        <w:t>元。</w:t>
      </w:r>
    </w:p>
    <w:p>
      <w:pPr>
        <w:pStyle w:val="BodyText"/>
        <w:spacing w:line="240" w:lineRule="auto" w:before="129"/>
        <w:ind w:left="597" w:right="113"/>
        <w:jc w:val="left"/>
      </w:pPr>
      <w:r>
        <w:rPr/>
        <w:t>上述预案尚需提交公司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年度股东大会审议。</w:t>
      </w:r>
    </w:p>
    <w:p>
      <w:pPr>
        <w:spacing w:after="0" w:line="240" w:lineRule="auto"/>
        <w:jc w:val="left"/>
        <w:sectPr>
          <w:pgSz w:w="11910" w:h="16840"/>
          <w:pgMar w:header="877" w:footer="982" w:top="110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ind w:left="2915" w:right="3011"/>
        <w:jc w:val="center"/>
      </w:pPr>
      <w:bookmarkStart w:name="_TOC_250006" w:id="4"/>
      <w:r>
        <w:rPr/>
        <w:t>第四节</w:t>
      </w:r>
      <w:r>
        <w:rPr>
          <w:spacing w:val="-4"/>
        </w:rPr>
        <w:t> </w:t>
      </w:r>
      <w:bookmarkEnd w:id="4"/>
      <w:r>
        <w:rPr/>
        <w:t>重要事项</w:t>
      </w:r>
    </w:p>
    <w:p>
      <w:pPr>
        <w:spacing w:line="240" w:lineRule="auto" w:before="0"/>
        <w:rPr>
          <w:rFonts w:ascii="黑体" w:hAnsi="黑体" w:cs="黑体" w:eastAsia="黑体" w:hint="default"/>
          <w:sz w:val="32"/>
          <w:szCs w:val="32"/>
        </w:rPr>
      </w:pPr>
    </w:p>
    <w:p>
      <w:pPr>
        <w:pStyle w:val="BodyText"/>
        <w:spacing w:line="451" w:lineRule="auto" w:before="248"/>
        <w:ind w:right="4313"/>
        <w:jc w:val="left"/>
      </w:pPr>
      <w:r>
        <w:rPr/>
        <w:t>一、</w:t>
      </w:r>
      <w:r>
        <w:rPr>
          <w:spacing w:val="-41"/>
        </w:rPr>
        <w:t> </w:t>
      </w:r>
      <w:r>
        <w:rPr/>
        <w:t>本年度公司无重大诉讼、仲裁事项。</w:t>
      </w:r>
      <w:r>
        <w:rPr>
          <w:w w:val="100"/>
        </w:rPr>
        <w:t> </w:t>
      </w:r>
      <w:r>
        <w:rPr/>
        <w:t>二、</w:t>
      </w:r>
      <w:r>
        <w:rPr>
          <w:spacing w:val="-38"/>
        </w:rPr>
        <w:t> </w:t>
      </w:r>
      <w:r>
        <w:rPr/>
        <w:t>本年度公司无破产相关事项。</w:t>
      </w:r>
    </w:p>
    <w:p>
      <w:pPr>
        <w:pStyle w:val="BodyText"/>
        <w:spacing w:line="453" w:lineRule="auto" w:before="64"/>
        <w:ind w:right="3164"/>
        <w:jc w:val="left"/>
      </w:pPr>
      <w:r>
        <w:rPr/>
        <w:t>三、</w:t>
      </w:r>
      <w:r>
        <w:rPr>
          <w:spacing w:val="-42"/>
        </w:rPr>
        <w:t> </w:t>
      </w:r>
      <w:r>
        <w:rPr/>
        <w:t>本年度公司无收购及出售资产、企业合并事项。</w:t>
      </w:r>
      <w:r>
        <w:rPr>
          <w:w w:val="100"/>
        </w:rPr>
        <w:t> </w:t>
      </w:r>
      <w:r>
        <w:rPr/>
        <w:t>四、</w:t>
      </w:r>
      <w:r>
        <w:rPr>
          <w:spacing w:val="-38"/>
        </w:rPr>
        <w:t> </w:t>
      </w:r>
      <w:r>
        <w:rPr/>
        <w:t>本年度公司未有股权激励事项。</w:t>
      </w:r>
    </w:p>
    <w:p>
      <w:pPr>
        <w:pStyle w:val="BodyText"/>
        <w:spacing w:line="453" w:lineRule="auto" w:before="62"/>
        <w:ind w:right="4082"/>
        <w:jc w:val="left"/>
      </w:pPr>
      <w:r>
        <w:rPr/>
        <w:t>五、</w:t>
      </w:r>
      <w:r>
        <w:rPr>
          <w:spacing w:val="-40"/>
        </w:rPr>
        <w:t> </w:t>
      </w:r>
      <w:r>
        <w:rPr/>
        <w:t>本年度公司未发生重大关联交易事项。</w:t>
      </w:r>
      <w:r>
        <w:rPr>
          <w:w w:val="100"/>
        </w:rPr>
        <w:t> </w:t>
      </w:r>
      <w:r>
        <w:rPr/>
        <w:t>六、</w:t>
      </w:r>
      <w:r>
        <w:rPr>
          <w:spacing w:val="-38"/>
        </w:rPr>
        <w:t> </w:t>
      </w:r>
      <w:r>
        <w:rPr/>
        <w:t>公司重大合同及其履行情况：</w:t>
      </w:r>
    </w:p>
    <w:p>
      <w:pPr>
        <w:pStyle w:val="BodyText"/>
        <w:spacing w:line="357" w:lineRule="auto" w:before="62"/>
        <w:ind w:right="113" w:firstLine="360"/>
        <w:jc w:val="left"/>
      </w:pPr>
      <w:r>
        <w:rPr/>
        <w:t>（一）</w:t>
      </w:r>
      <w:r>
        <w:rPr>
          <w:spacing w:val="-61"/>
        </w:rPr>
        <w:t> </w:t>
      </w:r>
      <w:r>
        <w:rPr>
          <w:spacing w:val="-2"/>
        </w:rPr>
        <w:t>报告期内，公司未发生也未有以前期间发生但延续到报告期的重大交易、</w:t>
      </w:r>
      <w:r>
        <w:rPr>
          <w:w w:val="100"/>
        </w:rPr>
        <w:t> </w:t>
      </w:r>
      <w:r>
        <w:rPr/>
        <w:t>托管、承包、租赁其他公司资产或其他公司托管、承包、租赁公司资产，且为公司</w:t>
      </w:r>
      <w:r>
        <w:rPr>
          <w:spacing w:val="-87"/>
        </w:rPr>
        <w:t> </w:t>
      </w:r>
      <w:r>
        <w:rPr>
          <w:spacing w:val="-87"/>
        </w:rPr>
      </w:r>
      <w:r>
        <w:rPr/>
        <w:t>带来的利润达到公司当年利润总额的</w:t>
      </w:r>
      <w:r>
        <w:rPr>
          <w:spacing w:val="-63"/>
        </w:rPr>
        <w:t> </w:t>
      </w:r>
      <w:r>
        <w:rPr>
          <w:rFonts w:ascii="Times New Roman" w:hAnsi="Times New Roman" w:cs="Times New Roman" w:eastAsia="Times New Roman" w:hint="default"/>
        </w:rPr>
        <w:t>10%</w:t>
      </w:r>
      <w:r>
        <w:rPr/>
        <w:t>以上（含</w:t>
      </w:r>
      <w:r>
        <w:rPr>
          <w:spacing w:val="-63"/>
        </w:rPr>
        <w:t> </w:t>
      </w:r>
      <w:r>
        <w:rPr>
          <w:rFonts w:ascii="Times New Roman" w:hAnsi="Times New Roman" w:cs="Times New Roman" w:eastAsia="Times New Roman" w:hint="default"/>
        </w:rPr>
        <w:t>10%</w:t>
      </w:r>
      <w:r>
        <w:rPr/>
        <w:t>）的事项。</w:t>
      </w:r>
    </w:p>
    <w:p>
      <w:pPr>
        <w:pStyle w:val="BodyText"/>
        <w:spacing w:line="240" w:lineRule="auto" w:before="4"/>
        <w:ind w:left="497" w:right="0"/>
        <w:jc w:val="left"/>
      </w:pPr>
      <w:r>
        <w:rPr/>
        <w:t>（二）</w:t>
      </w:r>
      <w:r>
        <w:rPr>
          <w:spacing w:val="-45"/>
        </w:rPr>
        <w:t> </w:t>
      </w:r>
      <w:r>
        <w:rPr>
          <w:spacing w:val="-2"/>
        </w:rPr>
        <w:t>报告期内，公司未发生或以前期间发生但延续到报告期的重大担保事项。</w:t>
      </w:r>
    </w:p>
    <w:p>
      <w:pPr>
        <w:pStyle w:val="BodyText"/>
        <w:spacing w:line="357" w:lineRule="auto" w:before="146"/>
        <w:ind w:right="113" w:firstLine="360"/>
        <w:jc w:val="left"/>
      </w:pPr>
      <w:r>
        <w:rPr/>
        <w:t>（三）</w:t>
      </w:r>
      <w:r>
        <w:rPr>
          <w:spacing w:val="-72"/>
        </w:rPr>
        <w:t> </w:t>
      </w:r>
      <w:r>
        <w:rPr>
          <w:spacing w:val="2"/>
        </w:rPr>
        <w:t>报告期内，公司未发生或以前期间发生但延续到报告期的重大委托他人</w:t>
      </w:r>
      <w:r>
        <w:rPr>
          <w:spacing w:val="3"/>
          <w:w w:val="100"/>
        </w:rPr>
        <w:t> </w:t>
      </w:r>
      <w:r>
        <w:rPr/>
        <w:t>进行现金资产管理的事项。</w:t>
      </w:r>
    </w:p>
    <w:p>
      <w:pPr>
        <w:pStyle w:val="BodyText"/>
        <w:spacing w:line="240" w:lineRule="auto" w:before="34"/>
        <w:ind w:left="497" w:right="113"/>
        <w:jc w:val="left"/>
      </w:pPr>
      <w:r>
        <w:rPr/>
        <w:t>（四）</w:t>
      </w:r>
      <w:r>
        <w:rPr>
          <w:spacing w:val="-87"/>
        </w:rPr>
        <w:t> </w:t>
      </w:r>
      <w:r>
        <w:rPr/>
        <w:t>其他重大合同：</w:t>
      </w:r>
    </w:p>
    <w:p>
      <w:pPr>
        <w:pStyle w:val="BodyText"/>
        <w:spacing w:line="240" w:lineRule="auto" w:before="146"/>
        <w:ind w:left="597" w:right="113"/>
        <w:jc w:val="left"/>
      </w:pPr>
      <w:r>
        <w:rPr>
          <w:rFonts w:ascii="Times New Roman" w:hAnsi="Times New Roman" w:cs="Times New Roman" w:eastAsia="Times New Roman" w:hint="default"/>
        </w:rPr>
        <w:t>1</w:t>
      </w:r>
      <w:r>
        <w:rPr/>
        <w:t>．抵押贷款合同</w:t>
      </w:r>
    </w:p>
    <w:p>
      <w:pPr>
        <w:pStyle w:val="BodyText"/>
        <w:spacing w:line="343" w:lineRule="auto" w:before="128"/>
        <w:ind w:right="113" w:firstLine="459"/>
        <w:jc w:val="left"/>
      </w:pPr>
      <w:r>
        <w:rPr/>
        <w:t>公司于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日与上海浦东发展银行签订《中小企业中期房地产抵押</w:t>
      </w:r>
      <w:r>
        <w:rPr>
          <w:w w:val="100"/>
        </w:rPr>
        <w:t> </w:t>
      </w:r>
      <w:r>
        <w:rPr>
          <w:spacing w:val="-24"/>
          <w:w w:val="100"/>
        </w:rPr>
        <w:t>贷款合同》（编号</w:t>
      </w:r>
      <w:r>
        <w:rPr>
          <w:spacing w:val="-46"/>
          <w:w w:val="100"/>
        </w:rPr>
        <w:t> </w:t>
      </w:r>
      <w:r>
        <w:rPr>
          <w:rFonts w:ascii="Times New Roman" w:hAnsi="Times New Roman" w:cs="Times New Roman" w:eastAsia="Times New Roman" w:hint="default"/>
          <w:spacing w:val="-10"/>
          <w:w w:val="100"/>
        </w:rPr>
        <w:t>79102009280075</w:t>
      </w:r>
      <w:r>
        <w:rPr>
          <w:spacing w:val="-10"/>
          <w:w w:val="100"/>
        </w:rPr>
        <w:t>），贷款金额为</w:t>
      </w:r>
      <w:r>
        <w:rPr>
          <w:spacing w:val="-48"/>
          <w:w w:val="100"/>
        </w:rPr>
        <w:t> </w:t>
      </w:r>
      <w:r>
        <w:rPr>
          <w:rFonts w:ascii="Times New Roman" w:hAnsi="Times New Roman" w:cs="Times New Roman" w:eastAsia="Times New Roman" w:hint="default"/>
          <w:spacing w:val="-1"/>
          <w:w w:val="100"/>
        </w:rPr>
        <w:t>20,000,000.00</w:t>
      </w:r>
      <w:r>
        <w:rPr>
          <w:rFonts w:ascii="Times New Roman" w:hAnsi="Times New Roman" w:cs="Times New Roman" w:eastAsia="Times New Roman" w:hint="default"/>
          <w:spacing w:val="12"/>
          <w:w w:val="100"/>
        </w:rPr>
        <w:t> </w:t>
      </w:r>
      <w:r>
        <w:rPr>
          <w:spacing w:val="-8"/>
          <w:w w:val="100"/>
        </w:rPr>
        <w:t>元，贷款期限为伍年，</w:t>
      </w:r>
      <w:r>
        <w:rPr>
          <w:spacing w:val="-111"/>
          <w:w w:val="100"/>
        </w:rPr>
        <w:t> </w:t>
      </w:r>
      <w:r>
        <w:rPr>
          <w:spacing w:val="-111"/>
          <w:w w:val="100"/>
        </w:rPr>
      </w:r>
      <w:r>
        <w:rPr/>
        <w:t>用于置换交通银行股份有限公司深圳车公庙支行按揭贷款余额。抵押物应为所购房</w:t>
      </w:r>
      <w:r>
        <w:rPr>
          <w:spacing w:val="-87"/>
        </w:rPr>
        <w:t> </w:t>
      </w:r>
      <w:r>
        <w:rPr>
          <w:spacing w:val="-87"/>
        </w:rPr>
      </w:r>
      <w:r>
        <w:rPr>
          <w:spacing w:val="-1"/>
          <w:w w:val="100"/>
        </w:rPr>
        <w:t>产</w:t>
      </w:r>
      <w:r>
        <w:rPr>
          <w:rFonts w:ascii="Times New Roman" w:hAnsi="Times New Roman" w:cs="Times New Roman" w:eastAsia="Times New Roman" w:hint="default"/>
          <w:spacing w:val="-1"/>
          <w:w w:val="100"/>
        </w:rPr>
        <w:t>—</w:t>
      </w:r>
      <w:r>
        <w:rPr>
          <w:spacing w:val="-1"/>
          <w:w w:val="100"/>
        </w:rPr>
        <w:t>金运世纪大厦第</w:t>
      </w:r>
      <w:r>
        <w:rPr>
          <w:spacing w:val="-58"/>
          <w:w w:val="100"/>
        </w:rPr>
        <w:t> </w:t>
      </w:r>
      <w:r>
        <w:rPr>
          <w:rFonts w:ascii="Times New Roman" w:hAnsi="Times New Roman" w:cs="Times New Roman" w:eastAsia="Times New Roman" w:hint="default"/>
          <w:spacing w:val="-1"/>
          <w:w w:val="100"/>
        </w:rPr>
        <w:t>10</w:t>
      </w:r>
      <w:r>
        <w:rPr>
          <w:rFonts w:ascii="Times New Roman" w:hAnsi="Times New Roman" w:cs="Times New Roman" w:eastAsia="Times New Roman" w:hint="default"/>
          <w:spacing w:val="1"/>
          <w:w w:val="100"/>
        </w:rPr>
        <w:t> </w:t>
      </w:r>
      <w:r>
        <w:rPr>
          <w:w w:val="100"/>
        </w:rPr>
        <w:t>层</w:t>
      </w:r>
      <w:r>
        <w:rPr>
          <w:spacing w:val="-57"/>
          <w:w w:val="100"/>
        </w:rPr>
        <w:t> </w:t>
      </w:r>
      <w:r>
        <w:rPr>
          <w:rFonts w:ascii="Times New Roman" w:hAnsi="Times New Roman" w:cs="Times New Roman" w:eastAsia="Times New Roman" w:hint="default"/>
          <w:spacing w:val="-1"/>
          <w:w w:val="100"/>
        </w:rPr>
        <w:t>D/E/F/G/H/I/J/K/L </w:t>
      </w:r>
      <w:r>
        <w:rPr>
          <w:w w:val="100"/>
        </w:rPr>
        <w:t>号共</w:t>
      </w:r>
      <w:r>
        <w:rPr>
          <w:spacing w:val="-57"/>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
          <w:w w:val="100"/>
        </w:rPr>
        <w:t> </w:t>
      </w:r>
      <w:r>
        <w:rPr>
          <w:spacing w:val="-9"/>
          <w:w w:val="100"/>
        </w:rPr>
        <w:t>套房产，在办妥上述房产抵押登</w:t>
      </w:r>
      <w:r>
        <w:rPr>
          <w:spacing w:val="-112"/>
          <w:w w:val="100"/>
        </w:rPr>
        <w:t> </w:t>
      </w:r>
      <w:r>
        <w:rPr>
          <w:spacing w:val="-112"/>
          <w:w w:val="100"/>
        </w:rPr>
      </w:r>
      <w:r>
        <w:rPr/>
        <w:t>记前，采用应收账款浮动质押。</w:t>
      </w:r>
    </w:p>
    <w:p>
      <w:pPr>
        <w:pStyle w:val="BodyText"/>
        <w:spacing w:line="240" w:lineRule="auto" w:before="47"/>
        <w:ind w:left="597" w:right="11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4"/>
        </w:rPr>
        <w:t>日，公司取得金运世纪大厦第</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层</w:t>
      </w:r>
      <w:r>
        <w:rPr>
          <w:spacing w:val="-57"/>
        </w:rPr>
        <w:t> </w:t>
      </w:r>
      <w:r>
        <w:rPr>
          <w:rFonts w:ascii="Times New Roman" w:hAnsi="Times New Roman" w:cs="Times New Roman" w:eastAsia="Times New Roman" w:hint="default"/>
        </w:rPr>
        <w:t>A-L</w:t>
      </w:r>
      <w:r>
        <w:rPr>
          <w:rFonts w:ascii="Times New Roman" w:hAnsi="Times New Roman" w:cs="Times New Roman" w:eastAsia="Times New Roman" w:hint="default"/>
          <w:spacing w:val="-1"/>
        </w:rPr>
        <w:t> </w:t>
      </w:r>
      <w:r>
        <w:rPr>
          <w:spacing w:val="-5"/>
        </w:rPr>
        <w:t>号房产证，并于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p>
    <w:p>
      <w:pPr>
        <w:pStyle w:val="BodyText"/>
        <w:spacing w:line="336" w:lineRule="auto" w:before="129"/>
        <w:ind w:right="188"/>
        <w:jc w:val="both"/>
      </w:pPr>
      <w:r>
        <w:rPr>
          <w:rFonts w:ascii="Times New Roman" w:hAnsi="Times New Roman" w:cs="Times New Roman" w:eastAsia="Times New Roman" w:hint="default"/>
          <w:w w:val="100"/>
        </w:rPr>
        <w:t>4</w:t>
      </w:r>
      <w:r>
        <w:rPr>
          <w:rFonts w:ascii="Times New Roman" w:hAnsi="Times New Roman" w:cs="Times New Roman" w:eastAsia="Times New Roman" w:hint="default"/>
          <w:spacing w:val="4"/>
          <w:w w:val="100"/>
        </w:rPr>
        <w:t> </w:t>
      </w:r>
      <w:r>
        <w:rPr>
          <w:w w:val="100"/>
        </w:rPr>
        <w:t>月</w:t>
      </w:r>
      <w:r>
        <w:rPr>
          <w:spacing w:val="-54"/>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4"/>
          <w:w w:val="100"/>
        </w:rPr>
        <w:t> </w:t>
      </w:r>
      <w:r>
        <w:rPr>
          <w:spacing w:val="-6"/>
          <w:w w:val="100"/>
        </w:rPr>
        <w:t>日与浦发银行签订《房地产最高额抵押合同》（编号</w:t>
      </w:r>
      <w:r>
        <w:rPr>
          <w:spacing w:val="-54"/>
          <w:w w:val="100"/>
        </w:rPr>
        <w:t> </w:t>
      </w:r>
      <w:r>
        <w:rPr>
          <w:rFonts w:ascii="Times New Roman" w:hAnsi="Times New Roman" w:cs="Times New Roman" w:eastAsia="Times New Roman" w:hint="default"/>
          <w:spacing w:val="-7"/>
          <w:w w:val="100"/>
        </w:rPr>
        <w:t>ED7910200900000026</w:t>
      </w:r>
      <w:r>
        <w:rPr>
          <w:spacing w:val="-7"/>
          <w:w w:val="100"/>
        </w:rPr>
        <w:t>），</w:t>
      </w:r>
      <w:r>
        <w:rPr>
          <w:w w:val="100"/>
        </w:rPr>
        <w:t> </w:t>
      </w:r>
      <w:r>
        <w:rPr>
          <w:spacing w:val="-1"/>
          <w:w w:val="100"/>
        </w:rPr>
        <w:t>抵押物为金运世纪大厦第</w:t>
      </w:r>
      <w:r>
        <w:rPr>
          <w:spacing w:val="-56"/>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w w:val="100"/>
        </w:rPr>
        <w:t> </w:t>
      </w:r>
      <w:r>
        <w:rPr>
          <w:w w:val="100"/>
        </w:rPr>
        <w:t>层</w:t>
      </w:r>
      <w:r>
        <w:rPr>
          <w:spacing w:val="-57"/>
          <w:w w:val="100"/>
        </w:rPr>
        <w:t> </w:t>
      </w:r>
      <w:r>
        <w:rPr>
          <w:rFonts w:ascii="Times New Roman" w:hAnsi="Times New Roman" w:cs="Times New Roman" w:eastAsia="Times New Roman" w:hint="default"/>
          <w:spacing w:val="-1"/>
          <w:w w:val="100"/>
        </w:rPr>
        <w:t>D/E/F/G/H/I/J/K/L</w:t>
      </w:r>
      <w:r>
        <w:rPr>
          <w:rFonts w:ascii="Times New Roman" w:hAnsi="Times New Roman" w:cs="Times New Roman" w:eastAsia="Times New Roman" w:hint="default"/>
          <w:w w:val="100"/>
        </w:rPr>
        <w:t> </w:t>
      </w:r>
      <w:r>
        <w:rPr>
          <w:w w:val="100"/>
        </w:rPr>
        <w:t>号共</w:t>
      </w:r>
      <w:r>
        <w:rPr>
          <w:spacing w:val="-56"/>
          <w:w w:val="100"/>
        </w:rPr>
        <w:t> </w:t>
      </w:r>
      <w:r>
        <w:rPr>
          <w:rFonts w:ascii="Times New Roman" w:hAnsi="Times New Roman" w:cs="Times New Roman" w:eastAsia="Times New Roman" w:hint="default"/>
          <w:w w:val="100"/>
        </w:rPr>
        <w:t>9 </w:t>
      </w:r>
      <w:r>
        <w:rPr>
          <w:spacing w:val="-10"/>
          <w:w w:val="100"/>
        </w:rPr>
        <w:t>套房产，同时解除应收账款</w:t>
      </w:r>
      <w:r>
        <w:rPr>
          <w:spacing w:val="-112"/>
          <w:w w:val="100"/>
        </w:rPr>
        <w:t> </w:t>
      </w:r>
      <w:r>
        <w:rPr>
          <w:spacing w:val="-112"/>
          <w:w w:val="100"/>
        </w:rPr>
      </w:r>
      <w:r>
        <w:rPr/>
        <w:t>浮动质押。</w:t>
      </w:r>
    </w:p>
    <w:p>
      <w:pPr>
        <w:pStyle w:val="BodyText"/>
        <w:spacing w:line="240" w:lineRule="auto" w:before="54"/>
        <w:ind w:left="597" w:right="113"/>
        <w:jc w:val="left"/>
        <w:rPr>
          <w:rFonts w:ascii="Times New Roman" w:hAnsi="Times New Roman" w:cs="Times New Roman" w:eastAsia="Times New Roman" w:hint="default"/>
        </w:rPr>
      </w:pPr>
      <w:r>
        <w:rPr/>
        <w:t>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日，该笔贷款本金余额</w:t>
      </w:r>
      <w:r>
        <w:rPr>
          <w:spacing w:val="-56"/>
        </w:rPr>
        <w:t> </w:t>
      </w:r>
      <w:r>
        <w:rPr>
          <w:rFonts w:ascii="Times New Roman" w:hAnsi="Times New Roman" w:cs="Times New Roman" w:eastAsia="Times New Roman" w:hint="default"/>
        </w:rPr>
        <w:t>17,600,000.00</w:t>
      </w:r>
      <w:r>
        <w:rPr>
          <w:rFonts w:ascii="Times New Roman" w:hAnsi="Times New Roman" w:cs="Times New Roman" w:eastAsia="Times New Roman" w:hint="default"/>
          <w:spacing w:val="1"/>
        </w:rPr>
        <w:t> </w:t>
      </w:r>
      <w:r>
        <w:rPr/>
        <w:t>元，本公司已于</w:t>
      </w:r>
      <w:r>
        <w:rPr>
          <w:spacing w:val="-55"/>
        </w:rPr>
        <w:t> </w:t>
      </w:r>
      <w:r>
        <w:rPr>
          <w:rFonts w:ascii="Times New Roman" w:hAnsi="Times New Roman" w:cs="Times New Roman" w:eastAsia="Times New Roman" w:hint="default"/>
        </w:rPr>
        <w:t>2010</w:t>
      </w:r>
    </w:p>
    <w:p>
      <w:pPr>
        <w:pStyle w:val="BodyText"/>
        <w:spacing w:line="240" w:lineRule="auto" w:before="129"/>
        <w:ind w:right="0"/>
        <w:jc w:val="both"/>
      </w:pP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日以自有资金偿还了该笔贷款，并解除了上述</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套房产的房产抵押。</w:t>
      </w:r>
    </w:p>
    <w:p>
      <w:pPr>
        <w:spacing w:after="0" w:line="240" w:lineRule="auto"/>
        <w:jc w:val="both"/>
        <w:sectPr>
          <w:pgSz w:w="11910" w:h="16840"/>
          <w:pgMar w:header="877" w:footer="982" w:top="1100" w:bottom="1180" w:left="1660" w:right="1560"/>
        </w:sectPr>
      </w:pPr>
    </w:p>
    <w:p>
      <w:pPr>
        <w:spacing w:line="240" w:lineRule="auto" w:before="4"/>
        <w:rPr>
          <w:rFonts w:ascii="宋体" w:hAnsi="宋体" w:cs="宋体" w:eastAsia="宋体" w:hint="default"/>
          <w:sz w:val="19"/>
          <w:szCs w:val="19"/>
        </w:rPr>
      </w:pPr>
    </w:p>
    <w:p>
      <w:pPr>
        <w:pStyle w:val="BodyText"/>
        <w:spacing w:line="240" w:lineRule="auto"/>
        <w:ind w:left="597" w:right="113"/>
        <w:jc w:val="left"/>
      </w:pPr>
      <w:r>
        <w:rPr>
          <w:rFonts w:ascii="Times New Roman" w:hAnsi="Times New Roman" w:cs="Times New Roman" w:eastAsia="Times New Roman" w:hint="default"/>
        </w:rPr>
        <w:t>2</w:t>
      </w:r>
      <w:r>
        <w:rPr/>
        <w:t>．房产租赁合同</w:t>
      </w:r>
    </w:p>
    <w:p>
      <w:pPr>
        <w:pStyle w:val="BodyText"/>
        <w:spacing w:line="338" w:lineRule="auto" w:before="129"/>
        <w:ind w:right="232"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3"/>
        </w:rPr>
        <w:t>月，公司与廖珮怡、廖珮雯签订了《房屋租赁合同》，约定将</w:t>
      </w:r>
      <w:r>
        <w:rPr>
          <w:w w:val="100"/>
        </w:rPr>
        <w:t> </w:t>
      </w:r>
      <w:r>
        <w:rPr/>
        <w:t>廖珮怡、廖珮雯位于深圳市福田区车公庙天安数码城天祥大厦</w:t>
      </w:r>
      <w:r>
        <w:rPr>
          <w:spacing w:val="-56"/>
        </w:rPr>
        <w:t> </w:t>
      </w:r>
      <w:r>
        <w:rPr>
          <w:rFonts w:ascii="Times New Roman" w:hAnsi="Times New Roman" w:cs="Times New Roman" w:eastAsia="Times New Roman" w:hint="default"/>
        </w:rPr>
        <w:t>AB</w:t>
      </w:r>
      <w:r>
        <w:rPr>
          <w:rFonts w:ascii="Times New Roman" w:hAnsi="Times New Roman" w:cs="Times New Roman" w:eastAsia="Times New Roman" w:hint="default"/>
          <w:spacing w:val="1"/>
        </w:rPr>
        <w:t> </w:t>
      </w:r>
      <w:r>
        <w:rPr/>
        <w:t>座</w:t>
      </w:r>
      <w:r>
        <w:rPr>
          <w:spacing w:val="-57"/>
        </w:rPr>
        <w:t> </w:t>
      </w:r>
      <w:r>
        <w:rPr>
          <w:rFonts w:ascii="Times New Roman" w:hAnsi="Times New Roman" w:cs="Times New Roman" w:eastAsia="Times New Roman" w:hint="default"/>
        </w:rPr>
        <w:t>5B2</w:t>
      </w:r>
      <w:r>
        <w:rPr>
          <w:rFonts w:ascii="Times New Roman" w:hAnsi="Times New Roman" w:cs="Times New Roman" w:eastAsia="Times New Roman" w:hint="default"/>
          <w:spacing w:val="1"/>
        </w:rPr>
        <w:t> </w:t>
      </w:r>
      <w:r>
        <w:rPr/>
        <w:t>的房产出</w:t>
      </w:r>
      <w:r>
        <w:rPr>
          <w:w w:val="100"/>
        </w:rPr>
        <w:t> </w:t>
      </w:r>
      <w:r>
        <w:rPr/>
        <w:t>租给公司办公，租赁面积为</w:t>
      </w:r>
      <w:r>
        <w:rPr>
          <w:spacing w:val="-64"/>
        </w:rPr>
        <w:t> </w:t>
      </w:r>
      <w:r>
        <w:rPr>
          <w:rFonts w:ascii="Times New Roman" w:hAnsi="Times New Roman" w:cs="Times New Roman" w:eastAsia="Times New Roman" w:hint="default"/>
        </w:rPr>
        <w:t>588.82</w:t>
      </w:r>
      <w:r>
        <w:rPr>
          <w:rFonts w:ascii="Times New Roman" w:hAnsi="Times New Roman" w:cs="Times New Roman" w:eastAsia="Times New Roman" w:hint="default"/>
          <w:spacing w:val="-8"/>
        </w:rPr>
        <w:t> </w:t>
      </w:r>
      <w:r>
        <w:rPr/>
        <w:t>平方米，月租金</w:t>
      </w:r>
      <w:r>
        <w:rPr>
          <w:spacing w:val="-64"/>
        </w:rPr>
        <w:t> </w:t>
      </w:r>
      <w:r>
        <w:rPr>
          <w:rFonts w:ascii="Times New Roman" w:hAnsi="Times New Roman" w:cs="Times New Roman" w:eastAsia="Times New Roman" w:hint="default"/>
        </w:rPr>
        <w:t>42,984.00</w:t>
      </w:r>
      <w:r>
        <w:rPr>
          <w:rFonts w:ascii="Times New Roman" w:hAnsi="Times New Roman" w:cs="Times New Roman" w:eastAsia="Times New Roman" w:hint="default"/>
          <w:spacing w:val="-6"/>
        </w:rPr>
        <w:t> </w:t>
      </w:r>
      <w:r>
        <w:rPr/>
        <w:t>元，租赁期自</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p>
    <w:p>
      <w:pPr>
        <w:pStyle w:val="BodyText"/>
        <w:spacing w:line="338" w:lineRule="auto" w:before="23"/>
        <w:ind w:right="232" w:hanging="1"/>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日起至</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日止。该房屋租赁合同已经深圳市福田区房屋租赁</w:t>
      </w:r>
      <w:r>
        <w:rPr>
          <w:w w:val="100"/>
        </w:rPr>
        <w:t> </w:t>
      </w:r>
      <w:r>
        <w:rPr/>
        <w:t>管理局备案，合同登记备案号为</w:t>
      </w:r>
      <w:r>
        <w:rPr>
          <w:rFonts w:ascii="Times New Roman" w:hAnsi="Times New Roman" w:cs="Times New Roman" w:eastAsia="Times New Roman" w:hint="default"/>
        </w:rPr>
        <w:t>“</w:t>
      </w:r>
      <w:r>
        <w:rPr/>
        <w:t>福</w:t>
      </w:r>
      <w:r>
        <w:rPr>
          <w:spacing w:val="-65"/>
        </w:rPr>
        <w:t> </w:t>
      </w:r>
      <w:r>
        <w:rPr>
          <w:rFonts w:ascii="Times New Roman" w:hAnsi="Times New Roman" w:cs="Times New Roman" w:eastAsia="Times New Roman" w:hint="default"/>
        </w:rPr>
        <w:t>0381149”</w:t>
      </w:r>
      <w:r>
        <w:rPr/>
        <w:t>。</w:t>
      </w:r>
    </w:p>
    <w:p>
      <w:pPr>
        <w:pStyle w:val="BodyText"/>
        <w:spacing w:line="240" w:lineRule="auto" w:before="24"/>
        <w:ind w:left="617" w:right="11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月，公司与咏传电子科技（上海）有限公司深圳分公司签署深</w:t>
      </w:r>
    </w:p>
    <w:p>
      <w:pPr>
        <w:pStyle w:val="BodyText"/>
        <w:spacing w:line="338" w:lineRule="auto" w:before="129"/>
        <w:ind w:right="232"/>
        <w:jc w:val="both"/>
      </w:pPr>
      <w:r>
        <w:rPr/>
        <w:t>（福）</w:t>
      </w:r>
      <w:r>
        <w:rPr>
          <w:rFonts w:ascii="Times New Roman" w:hAnsi="Times New Roman" w:cs="Times New Roman" w:eastAsia="Times New Roman" w:hint="default"/>
        </w:rPr>
        <w:t>0205343</w:t>
      </w:r>
      <w:r>
        <w:rPr>
          <w:rFonts w:ascii="Times New Roman" w:hAnsi="Times New Roman" w:cs="Times New Roman" w:eastAsia="Times New Roman" w:hint="default"/>
          <w:spacing w:val="24"/>
        </w:rPr>
        <w:t> </w:t>
      </w:r>
      <w:r>
        <w:rPr/>
        <w:t>号《深圳市房地产租赁合同》，约定将公司位于深圳市福田区深南</w:t>
      </w:r>
      <w:r>
        <w:rPr>
          <w:spacing w:val="-113"/>
        </w:rPr>
        <w:t> </w:t>
      </w:r>
      <w:r>
        <w:rPr>
          <w:spacing w:val="-113"/>
        </w:rPr>
      </w:r>
      <w:r>
        <w:rPr/>
        <w:t>中路的金运世纪大厦</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层</w:t>
      </w:r>
      <w:r>
        <w:rPr>
          <w:spacing w:val="-49"/>
        </w:rPr>
        <w:t> </w:t>
      </w:r>
      <w:r>
        <w:rPr>
          <w:rFonts w:ascii="Times New Roman" w:hAnsi="Times New Roman" w:cs="Times New Roman" w:eastAsia="Times New Roman" w:hint="default"/>
        </w:rPr>
        <w:t>A—L</w:t>
      </w:r>
      <w:r>
        <w:rPr>
          <w:rFonts w:ascii="Times New Roman" w:hAnsi="Times New Roman" w:cs="Times New Roman" w:eastAsia="Times New Roman" w:hint="default"/>
          <w:spacing w:val="8"/>
        </w:rPr>
        <w:t> </w:t>
      </w:r>
      <w:r>
        <w:rPr/>
        <w:t>号共</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套房产出租给咏传电子科技（上海）有限</w:t>
      </w:r>
      <w:r>
        <w:rPr>
          <w:w w:val="100"/>
        </w:rPr>
        <w:t> </w:t>
      </w:r>
      <w:r>
        <w:rPr/>
        <w:t>公司深圳分公司，租赁面积为</w:t>
      </w:r>
      <w:r>
        <w:rPr>
          <w:spacing w:val="-53"/>
        </w:rPr>
        <w:t> </w:t>
      </w:r>
      <w:r>
        <w:rPr>
          <w:rFonts w:ascii="Times New Roman" w:hAnsi="Times New Roman" w:cs="Times New Roman" w:eastAsia="Times New Roman" w:hint="default"/>
        </w:rPr>
        <w:t>1,722.60</w:t>
      </w:r>
      <w:r>
        <w:rPr>
          <w:rFonts w:ascii="Times New Roman" w:hAnsi="Times New Roman" w:cs="Times New Roman" w:eastAsia="Times New Roman" w:hint="default"/>
          <w:spacing w:val="5"/>
        </w:rPr>
        <w:t> </w:t>
      </w:r>
      <w:r>
        <w:rPr/>
        <w:t>平方米，月租金为</w:t>
      </w:r>
      <w:r>
        <w:rPr>
          <w:spacing w:val="-53"/>
        </w:rPr>
        <w:t> </w:t>
      </w:r>
      <w:r>
        <w:rPr>
          <w:rFonts w:ascii="Times New Roman" w:hAnsi="Times New Roman" w:cs="Times New Roman" w:eastAsia="Times New Roman" w:hint="default"/>
        </w:rPr>
        <w:t>163,647.00</w:t>
      </w:r>
      <w:r>
        <w:rPr>
          <w:rFonts w:ascii="Times New Roman" w:hAnsi="Times New Roman" w:cs="Times New Roman" w:eastAsia="Times New Roman" w:hint="default"/>
          <w:spacing w:val="5"/>
        </w:rPr>
        <w:t> </w:t>
      </w:r>
      <w:r>
        <w:rPr/>
        <w:t>元，租赁期自</w:t>
      </w:r>
    </w:p>
    <w:p>
      <w:pPr>
        <w:pStyle w:val="BodyText"/>
        <w:spacing w:line="336" w:lineRule="auto" w:before="24"/>
        <w:ind w:right="232"/>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日起至</w:t>
      </w:r>
      <w:r>
        <w:rPr>
          <w:spacing w:val="-56"/>
        </w:rPr>
        <w:t> </w:t>
      </w:r>
      <w:r>
        <w:rPr>
          <w:rFonts w:ascii="Times New Roman" w:hAnsi="Times New Roman" w:cs="Times New Roman" w:eastAsia="Times New Roman" w:hint="default"/>
        </w:rPr>
        <w:t>2013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日止。该房屋租赁合同已经深圳市福田区房</w:t>
      </w:r>
      <w:r>
        <w:rPr>
          <w:w w:val="100"/>
        </w:rPr>
        <w:t> </w:t>
      </w:r>
      <w:r>
        <w:rPr/>
        <w:t>屋租赁管理局备案，合同登记备案号为</w:t>
      </w:r>
      <w:r>
        <w:rPr>
          <w:rFonts w:ascii="Times New Roman" w:hAnsi="Times New Roman" w:cs="Times New Roman" w:eastAsia="Times New Roman" w:hint="default"/>
        </w:rPr>
        <w:t>“</w:t>
      </w:r>
      <w:r>
        <w:rPr/>
        <w:t>深（福）</w:t>
      </w:r>
      <w:r>
        <w:rPr>
          <w:rFonts w:ascii="Times New Roman" w:hAnsi="Times New Roman" w:cs="Times New Roman" w:eastAsia="Times New Roman" w:hint="default"/>
        </w:rPr>
        <w:t>0205343”</w:t>
      </w:r>
      <w:r>
        <w:rPr/>
        <w:t>。</w:t>
      </w:r>
    </w:p>
    <w:p>
      <w:pPr>
        <w:pStyle w:val="BodyText"/>
        <w:spacing w:line="240" w:lineRule="auto" w:before="27"/>
        <w:ind w:left="617" w:right="11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日，公司与深圳科技工业园有限公司签署了《房屋租赁合</w:t>
      </w:r>
    </w:p>
    <w:p>
      <w:pPr>
        <w:pStyle w:val="BodyText"/>
        <w:spacing w:line="240" w:lineRule="auto" w:before="129"/>
        <w:ind w:right="0"/>
        <w:jc w:val="both"/>
      </w:pPr>
      <w:r>
        <w:rPr/>
        <w:t>同》，约定公司向深圳科技工业园有限公司租赁科技园金融服务技术创新基地</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栋</w:t>
      </w:r>
    </w:p>
    <w:p>
      <w:pPr>
        <w:pStyle w:val="BodyText"/>
        <w:spacing w:line="240" w:lineRule="auto" w:before="129"/>
        <w:ind w:right="0"/>
        <w:jc w:val="both"/>
        <w:rPr>
          <w:rFonts w:ascii="Times New Roman" w:hAnsi="Times New Roman" w:cs="Times New Roman" w:eastAsia="Times New Roman" w:hint="default"/>
        </w:rPr>
      </w:pPr>
      <w:r>
        <w:rPr/>
        <w:t>第</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层</w:t>
      </w:r>
      <w:r>
        <w:rPr>
          <w:spacing w:val="-52"/>
        </w:rPr>
        <w:t> </w:t>
      </w:r>
      <w:r>
        <w:rPr>
          <w:rFonts w:ascii="Times New Roman" w:hAnsi="Times New Roman" w:cs="Times New Roman" w:eastAsia="Times New Roman" w:hint="default"/>
        </w:rPr>
        <w:t>F</w:t>
      </w:r>
      <w:r>
        <w:rPr>
          <w:rFonts w:ascii="Times New Roman" w:hAnsi="Times New Roman" w:cs="Times New Roman" w:eastAsia="Times New Roman" w:hint="default"/>
          <w:spacing w:val="6"/>
        </w:rPr>
        <w:t> </w:t>
      </w:r>
      <w:r>
        <w:rPr/>
        <w:t>单元，建筑面积为</w:t>
      </w:r>
      <w:r>
        <w:rPr>
          <w:spacing w:val="-52"/>
        </w:rPr>
        <w:t> </w:t>
      </w:r>
      <w:r>
        <w:rPr>
          <w:rFonts w:ascii="Times New Roman" w:hAnsi="Times New Roman" w:cs="Times New Roman" w:eastAsia="Times New Roman" w:hint="default"/>
        </w:rPr>
        <w:t>1,034.83</w:t>
      </w:r>
      <w:r>
        <w:rPr>
          <w:rFonts w:ascii="Times New Roman" w:hAnsi="Times New Roman" w:cs="Times New Roman" w:eastAsia="Times New Roman" w:hint="default"/>
          <w:spacing w:val="6"/>
        </w:rPr>
        <w:t> </w:t>
      </w:r>
      <w:r>
        <w:rPr/>
        <w:t>平方米，租金为</w:t>
      </w:r>
      <w:r>
        <w:rPr>
          <w:spacing w:val="-52"/>
        </w:rPr>
        <w:t> </w:t>
      </w:r>
      <w:r>
        <w:rPr>
          <w:rFonts w:ascii="Times New Roman" w:hAnsi="Times New Roman" w:cs="Times New Roman" w:eastAsia="Times New Roman" w:hint="default"/>
        </w:rPr>
        <w:t>41,393</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月，租赁期自</w:t>
      </w:r>
      <w:r>
        <w:rPr>
          <w:spacing w:val="-52"/>
        </w:rPr>
        <w:t> </w:t>
      </w:r>
      <w:r>
        <w:rPr>
          <w:rFonts w:ascii="Times New Roman" w:hAnsi="Times New Roman" w:cs="Times New Roman" w:eastAsia="Times New Roman" w:hint="default"/>
        </w:rPr>
        <w:t>2010</w:t>
      </w:r>
    </w:p>
    <w:p>
      <w:pPr>
        <w:pStyle w:val="BodyText"/>
        <w:spacing w:line="338" w:lineRule="auto" w:before="129"/>
        <w:ind w:right="232"/>
        <w:jc w:val="both"/>
      </w:pP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日止。该房屋租赁合同已经深圳市南山区房屋租赁</w:t>
      </w:r>
      <w:r>
        <w:rPr>
          <w:w w:val="100"/>
        </w:rPr>
        <w:t> </w:t>
      </w:r>
      <w:r>
        <w:rPr/>
        <w:t>管理办公室备案，合同登记备案号为</w:t>
      </w:r>
      <w:r>
        <w:rPr>
          <w:rFonts w:ascii="Times New Roman" w:hAnsi="Times New Roman" w:cs="Times New Roman" w:eastAsia="Times New Roman" w:hint="default"/>
        </w:rPr>
        <w:t>“</w:t>
      </w:r>
      <w:r>
        <w:rPr/>
        <w:t>南</w:t>
      </w:r>
      <w:r>
        <w:rPr>
          <w:spacing w:val="-72"/>
        </w:rPr>
        <w:t> </w:t>
      </w:r>
      <w:r>
        <w:rPr>
          <w:rFonts w:ascii="Times New Roman" w:hAnsi="Times New Roman" w:cs="Times New Roman" w:eastAsia="Times New Roman" w:hint="default"/>
        </w:rPr>
        <w:t>HB008993</w:t>
      </w:r>
      <w:r>
        <w:rPr/>
        <w:t>（备）</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31"/>
          <w:szCs w:val="31"/>
        </w:rPr>
      </w:pPr>
    </w:p>
    <w:p>
      <w:pPr>
        <w:pStyle w:val="BodyText"/>
        <w:spacing w:line="338" w:lineRule="auto" w:before="0"/>
        <w:ind w:left="677" w:right="229" w:hanging="540"/>
        <w:jc w:val="left"/>
      </w:pPr>
      <w:r>
        <w:rPr/>
        <w:t>七、</w:t>
      </w:r>
      <w:r>
        <w:rPr>
          <w:spacing w:val="-30"/>
        </w:rPr>
        <w:t> </w:t>
      </w:r>
      <w:r>
        <w:rPr/>
        <w:t>公司或持有公司股份</w:t>
      </w:r>
      <w:r>
        <w:rPr>
          <w:spacing w:val="-55"/>
        </w:rPr>
        <w:t> </w:t>
      </w:r>
      <w:r>
        <w:rPr>
          <w:rFonts w:ascii="Times New Roman" w:hAnsi="Times New Roman" w:cs="Times New Roman" w:eastAsia="Times New Roman" w:hint="default"/>
          <w:spacing w:val="-5"/>
        </w:rPr>
        <w:t>5%</w:t>
      </w:r>
      <w:r>
        <w:rPr>
          <w:spacing w:val="-5"/>
        </w:rPr>
        <w:t>以上（含</w:t>
      </w:r>
      <w:r>
        <w:rPr>
          <w:spacing w:val="-55"/>
        </w:rPr>
        <w:t> </w:t>
      </w:r>
      <w:r>
        <w:rPr>
          <w:rFonts w:ascii="Times New Roman" w:hAnsi="Times New Roman" w:cs="Times New Roman" w:eastAsia="Times New Roman" w:hint="default"/>
          <w:spacing w:val="-4"/>
        </w:rPr>
        <w:t>5%</w:t>
      </w:r>
      <w:r>
        <w:rPr>
          <w:spacing w:val="-4"/>
        </w:rPr>
        <w:t>）的股东及作为股东的董事、监事、高级</w:t>
      </w:r>
      <w:r>
        <w:rPr>
          <w:w w:val="100"/>
        </w:rPr>
        <w:t> </w:t>
      </w:r>
      <w:r>
        <w:rPr/>
        <w:t>管理人员在报告期内发生或持续到报告期内的承诺事项</w:t>
      </w:r>
    </w:p>
    <w:p>
      <w:pPr>
        <w:pStyle w:val="BodyText"/>
        <w:spacing w:line="240" w:lineRule="auto" w:before="172"/>
        <w:ind w:right="0"/>
        <w:jc w:val="both"/>
      </w:pPr>
      <w:r>
        <w:rPr/>
        <w:t>（一）</w:t>
      </w:r>
      <w:r>
        <w:rPr>
          <w:spacing w:val="-67"/>
        </w:rPr>
        <w:t> </w:t>
      </w:r>
      <w:r>
        <w:rPr>
          <w:spacing w:val="-1"/>
        </w:rPr>
        <w:t>公司股票上市前股东所持股份的流通限制和自愿锁定股份的承诺</w:t>
      </w:r>
    </w:p>
    <w:p>
      <w:pPr>
        <w:spacing w:line="240" w:lineRule="auto" w:before="4"/>
        <w:rPr>
          <w:rFonts w:ascii="宋体" w:hAnsi="宋体" w:cs="宋体" w:eastAsia="宋体" w:hint="default"/>
          <w:sz w:val="20"/>
          <w:szCs w:val="20"/>
        </w:rPr>
      </w:pPr>
    </w:p>
    <w:p>
      <w:pPr>
        <w:pStyle w:val="BodyText"/>
        <w:spacing w:line="352" w:lineRule="auto" w:before="0"/>
        <w:ind w:right="113" w:firstLine="538"/>
        <w:jc w:val="left"/>
      </w:pPr>
      <w:r>
        <w:rPr>
          <w:rFonts w:ascii="Times New Roman" w:hAnsi="Times New Roman" w:cs="Times New Roman" w:eastAsia="Times New Roman" w:hint="default"/>
        </w:rPr>
        <w:t>1</w:t>
      </w:r>
      <w:r>
        <w:rPr/>
        <w:t>．本公司持有公司股份</w:t>
      </w:r>
      <w:r>
        <w:rPr>
          <w:spacing w:val="-31"/>
        </w:rPr>
        <w:t> </w:t>
      </w:r>
      <w:r>
        <w:rPr>
          <w:rFonts w:ascii="Times New Roman" w:hAnsi="Times New Roman" w:cs="Times New Roman" w:eastAsia="Times New Roman" w:hint="default"/>
          <w:spacing w:val="-9"/>
        </w:rPr>
        <w:t>5%</w:t>
      </w:r>
      <w:r>
        <w:rPr>
          <w:spacing w:val="-9"/>
        </w:rPr>
        <w:t>以上的股东的张学君、陈向军、李军、何晔均承诺：</w:t>
      </w:r>
      <w:r>
        <w:rPr>
          <w:w w:val="100"/>
        </w:rPr>
        <w:t> </w:t>
      </w:r>
      <w:r>
        <w:rPr/>
        <w:t>自公司股票上市之日起三十六个月内，不转让或者委托他人管理其公司首次公开发</w:t>
      </w:r>
      <w:r>
        <w:rPr>
          <w:spacing w:val="-87"/>
        </w:rPr>
        <w:t> </w:t>
      </w:r>
      <w:r>
        <w:rPr>
          <w:spacing w:val="-87"/>
        </w:rPr>
      </w:r>
      <w:r>
        <w:rPr/>
        <w:t>行股票发行前所直接和间接持有的本公司股份，也不由公司回购其持有的股份。同</w:t>
      </w:r>
      <w:r>
        <w:rPr>
          <w:spacing w:val="-87"/>
        </w:rPr>
        <w:t> </w:t>
      </w:r>
      <w:r>
        <w:rPr>
          <w:spacing w:val="-87"/>
        </w:rPr>
      </w:r>
      <w:r>
        <w:rPr/>
        <w:t>时，作为公司董事或高级管理人员，张学君、陈向军、李军、何晔还承诺：三十六</w:t>
      </w:r>
      <w:r>
        <w:rPr>
          <w:spacing w:val="-87"/>
        </w:rPr>
        <w:t> </w:t>
      </w:r>
      <w:r>
        <w:rPr>
          <w:spacing w:val="-87"/>
        </w:rPr>
      </w:r>
      <w:r>
        <w:rPr/>
        <w:t>个月的锁定期满后，在本人任职期间，每年转让所持有的公司股份不超过本人所持</w:t>
      </w:r>
      <w:r>
        <w:rPr>
          <w:spacing w:val="-87"/>
        </w:rPr>
        <w:t> </w:t>
      </w:r>
      <w:r>
        <w:rPr>
          <w:spacing w:val="-87"/>
        </w:rPr>
      </w:r>
      <w:r>
        <w:rPr/>
        <w:t>公司股份数的百分之二十五；本人离职后半年内，不转让所持有的公司股份。</w:t>
      </w:r>
    </w:p>
    <w:p>
      <w:pPr>
        <w:pStyle w:val="BodyText"/>
        <w:spacing w:line="350" w:lineRule="auto" w:before="38"/>
        <w:ind w:right="233" w:firstLine="538"/>
        <w:jc w:val="both"/>
      </w:pPr>
      <w:r>
        <w:rPr>
          <w:rFonts w:ascii="Times New Roman" w:hAnsi="Times New Roman" w:cs="Times New Roman" w:eastAsia="Times New Roman" w:hint="default"/>
        </w:rPr>
        <w:t>2</w:t>
      </w:r>
      <w:r>
        <w:rPr/>
        <w:t>．本公司股东周峰和杨金敏作为公司监事，刘奕、许秋江、唐劲星和彭建文</w:t>
      </w:r>
      <w:r>
        <w:rPr>
          <w:w w:val="100"/>
        </w:rPr>
        <w:t> </w:t>
      </w:r>
      <w:r>
        <w:rPr/>
        <w:t>作为公司高级管理人员承诺：自公司股票上市之日起十二个月内，不转让或者委托</w:t>
      </w:r>
      <w:r>
        <w:rPr>
          <w:spacing w:val="-87"/>
        </w:rPr>
        <w:t> </w:t>
      </w:r>
      <w:r>
        <w:rPr>
          <w:spacing w:val="-87"/>
        </w:rPr>
      </w:r>
      <w:r>
        <w:rPr/>
        <w:t>他人管理其公司首次公开发行股票发行前所直接和间接持有的公司股份，也不由公</w:t>
      </w:r>
      <w:r>
        <w:rPr>
          <w:spacing w:val="-87"/>
        </w:rPr>
        <w:t> </w:t>
      </w:r>
      <w:r>
        <w:rPr>
          <w:spacing w:val="-87"/>
        </w:rPr>
      </w:r>
      <w:r>
        <w:rPr/>
        <w:t>司回购其持有的股份；在本人任职期间每年转让所持有的公司股份不超过本人所持</w:t>
      </w:r>
    </w:p>
    <w:p>
      <w:pPr>
        <w:spacing w:after="0" w:line="350" w:lineRule="auto"/>
        <w:jc w:val="both"/>
        <w:sectPr>
          <w:pgSz w:w="11910" w:h="16840"/>
          <w:pgMar w:header="877" w:footer="982" w:top="1100" w:bottom="1180" w:left="1660" w:right="1560"/>
        </w:sectPr>
      </w:pPr>
    </w:p>
    <w:p>
      <w:pPr>
        <w:spacing w:line="240" w:lineRule="auto" w:before="4"/>
        <w:rPr>
          <w:rFonts w:ascii="宋体" w:hAnsi="宋体" w:cs="宋体" w:eastAsia="宋体" w:hint="default"/>
          <w:sz w:val="19"/>
          <w:szCs w:val="19"/>
        </w:rPr>
      </w:pPr>
    </w:p>
    <w:p>
      <w:pPr>
        <w:pStyle w:val="BodyText"/>
        <w:spacing w:line="453" w:lineRule="auto"/>
        <w:ind w:left="597" w:right="95" w:hanging="460"/>
        <w:jc w:val="left"/>
      </w:pPr>
      <w:r>
        <w:rPr>
          <w:spacing w:val="-1"/>
        </w:rPr>
        <w:t>公司股份总数的百分之二十五；本人离职后半年内，不转让所持有的公司股份。</w:t>
      </w:r>
      <w:r>
        <w:rPr>
          <w:spacing w:val="-92"/>
        </w:rPr>
        <w:t> </w:t>
      </w:r>
      <w:r>
        <w:rPr>
          <w:spacing w:val="-92"/>
        </w:rPr>
      </w:r>
      <w:r>
        <w:rPr>
          <w:spacing w:val="-1"/>
        </w:rPr>
        <w:t>截止报告期末，公司上述股东均遵守以上承诺，未有违反上述承诺的情况。</w:t>
      </w:r>
    </w:p>
    <w:p>
      <w:pPr>
        <w:pStyle w:val="BodyText"/>
        <w:spacing w:line="240" w:lineRule="auto" w:before="62"/>
        <w:ind w:right="95"/>
        <w:jc w:val="left"/>
      </w:pPr>
      <w:r>
        <w:rPr/>
        <w:t>（二）</w:t>
      </w:r>
      <w:r>
        <w:rPr>
          <w:spacing w:val="-87"/>
        </w:rPr>
        <w:t> </w:t>
      </w:r>
      <w:r>
        <w:rPr/>
        <w:t>避免同业竞争的承诺</w:t>
      </w:r>
    </w:p>
    <w:p>
      <w:pPr>
        <w:spacing w:line="240" w:lineRule="auto" w:before="5"/>
        <w:rPr>
          <w:rFonts w:ascii="宋体" w:hAnsi="宋体" w:cs="宋体" w:eastAsia="宋体" w:hint="default"/>
          <w:sz w:val="20"/>
          <w:szCs w:val="20"/>
        </w:rPr>
      </w:pPr>
    </w:p>
    <w:p>
      <w:pPr>
        <w:pStyle w:val="BodyText"/>
        <w:spacing w:line="336" w:lineRule="auto" w:before="0"/>
        <w:ind w:right="95" w:firstLine="459"/>
        <w:jc w:val="left"/>
      </w:pPr>
      <w:r>
        <w:rPr>
          <w:spacing w:val="-10"/>
          <w:w w:val="100"/>
        </w:rPr>
        <w:t>公司共同控制人张学君、陈向军和李军，以及持有公司</w:t>
      </w:r>
      <w:r>
        <w:rPr>
          <w:spacing w:val="-51"/>
          <w:w w:val="100"/>
        </w:rPr>
        <w:t> </w:t>
      </w:r>
      <w:r>
        <w:rPr>
          <w:rFonts w:ascii="Times New Roman" w:hAnsi="Times New Roman" w:cs="Times New Roman" w:eastAsia="Times New Roman" w:hint="default"/>
          <w:spacing w:val="-1"/>
          <w:w w:val="100"/>
        </w:rPr>
        <w:t>5%</w:t>
      </w:r>
      <w:r>
        <w:rPr>
          <w:spacing w:val="-1"/>
          <w:w w:val="100"/>
        </w:rPr>
        <w:t>以上股份的股东何晔，</w:t>
      </w:r>
      <w:r>
        <w:rPr>
          <w:w w:val="100"/>
        </w:rPr>
        <w:t> </w:t>
      </w:r>
      <w:r>
        <w:rPr/>
        <w:t>就避免同业竞争作出了以下承诺：</w:t>
      </w:r>
    </w:p>
    <w:p>
      <w:pPr>
        <w:pStyle w:val="BodyText"/>
        <w:spacing w:line="348" w:lineRule="auto" w:before="54"/>
        <w:ind w:right="211" w:firstLine="459"/>
        <w:jc w:val="both"/>
      </w:pPr>
      <w:r>
        <w:rPr>
          <w:rFonts w:ascii="Times New Roman" w:hAnsi="Times New Roman" w:cs="Times New Roman" w:eastAsia="Times New Roman" w:hint="default"/>
        </w:rPr>
        <w:t>“1</w:t>
      </w:r>
      <w:r>
        <w:rPr/>
        <w:t>、本人目前没有在中国境内任何地方或中国境外，直接或间接发展、经营或</w:t>
      </w:r>
      <w:r>
        <w:rPr>
          <w:spacing w:val="1"/>
          <w:w w:val="100"/>
        </w:rPr>
        <w:t> </w:t>
      </w:r>
      <w:r>
        <w:rPr/>
        <w:t>协助经营或参与与公司业务存在竞争的任何活动，亦没有在任何与公司业务有直接</w:t>
      </w:r>
      <w:r>
        <w:rPr>
          <w:spacing w:val="-87"/>
        </w:rPr>
        <w:t> </w:t>
      </w:r>
      <w:r>
        <w:rPr>
          <w:spacing w:val="-87"/>
        </w:rPr>
      </w:r>
      <w:r>
        <w:rPr/>
        <w:t>或间接竞争关系的公司或企业拥有任何直接或间接权益。</w:t>
      </w:r>
    </w:p>
    <w:p>
      <w:pPr>
        <w:pStyle w:val="BodyText"/>
        <w:spacing w:line="348" w:lineRule="auto" w:before="43"/>
        <w:ind w:right="212" w:firstLine="459"/>
        <w:jc w:val="both"/>
      </w:pPr>
      <w:r>
        <w:rPr>
          <w:rFonts w:ascii="Times New Roman" w:hAnsi="Times New Roman" w:cs="Times New Roman" w:eastAsia="Times New Roman" w:hint="default"/>
          <w:spacing w:val="-3"/>
        </w:rPr>
        <w:t>2</w:t>
      </w:r>
      <w:r>
        <w:rPr>
          <w:spacing w:val="-3"/>
        </w:rPr>
        <w:t>、自本承诺函签署之日起，本人将不直接或间接经营任何与股份公司经营的业</w:t>
      </w:r>
      <w:r>
        <w:rPr>
          <w:w w:val="100"/>
        </w:rPr>
        <w:t> </w:t>
      </w:r>
      <w:r>
        <w:rPr/>
        <w:t>务构成竞争或可能构成竞争的业务，也不参与投资任何与股份公司生产的产品或经</w:t>
      </w:r>
      <w:r>
        <w:rPr>
          <w:spacing w:val="-87"/>
        </w:rPr>
        <w:t> </w:t>
      </w:r>
      <w:r>
        <w:rPr>
          <w:spacing w:val="-87"/>
        </w:rPr>
      </w:r>
      <w:r>
        <w:rPr/>
        <w:t>营的业务构成竞争或可能构成竞争的其他企业。</w:t>
      </w:r>
    </w:p>
    <w:p>
      <w:pPr>
        <w:pStyle w:val="BodyText"/>
        <w:spacing w:line="338" w:lineRule="auto" w:before="42"/>
        <w:ind w:right="212" w:firstLine="459"/>
        <w:jc w:val="both"/>
      </w:pPr>
      <w:r>
        <w:rPr>
          <w:rFonts w:ascii="Times New Roman" w:hAnsi="Times New Roman" w:cs="Times New Roman" w:eastAsia="Times New Roman" w:hint="default"/>
          <w:spacing w:val="-3"/>
        </w:rPr>
        <w:t>3</w:t>
      </w:r>
      <w:r>
        <w:rPr>
          <w:spacing w:val="-3"/>
        </w:rPr>
        <w:t>、自本承诺函签署之日起，本人将不会利用公司股东的身份进行损害公司及其</w:t>
      </w:r>
      <w:r>
        <w:rPr>
          <w:w w:val="100"/>
        </w:rPr>
        <w:t> </w:t>
      </w:r>
      <w:r>
        <w:rPr/>
        <w:t>它股东利益的经营活动。</w:t>
      </w:r>
    </w:p>
    <w:p>
      <w:pPr>
        <w:pStyle w:val="BodyText"/>
        <w:spacing w:line="338" w:lineRule="auto" w:before="52"/>
        <w:ind w:right="212" w:firstLine="459"/>
        <w:jc w:val="both"/>
        <w:rPr>
          <w:rFonts w:ascii="Times New Roman" w:hAnsi="Times New Roman" w:cs="Times New Roman" w:eastAsia="Times New Roman" w:hint="default"/>
        </w:rPr>
      </w:pPr>
      <w:r>
        <w:rPr>
          <w:rFonts w:ascii="Times New Roman" w:hAnsi="Times New Roman" w:cs="Times New Roman" w:eastAsia="Times New Roman" w:hint="default"/>
          <w:spacing w:val="-3"/>
        </w:rPr>
        <w:t>4</w:t>
      </w:r>
      <w:r>
        <w:rPr>
          <w:spacing w:val="-3"/>
        </w:rPr>
        <w:t>、如上述承诺被证明是不真实的或未被遵守，本人将向公司赔偿一切直接或间</w:t>
      </w:r>
      <w:r>
        <w:rPr>
          <w:w w:val="100"/>
        </w:rPr>
        <w:t> </w:t>
      </w:r>
      <w:r>
        <w:rPr/>
        <w:t>接的损失，并承担相应法律责任。</w:t>
      </w:r>
      <w:r>
        <w:rPr>
          <w:rFonts w:ascii="Times New Roman" w:hAnsi="Times New Roman" w:cs="Times New Roman" w:eastAsia="Times New Roman" w:hint="default"/>
        </w:rPr>
        <w:t>”</w:t>
      </w:r>
    </w:p>
    <w:p>
      <w:pPr>
        <w:pStyle w:val="BodyText"/>
        <w:spacing w:line="240" w:lineRule="auto" w:before="144"/>
        <w:ind w:left="597" w:right="95"/>
        <w:jc w:val="left"/>
      </w:pPr>
      <w:r>
        <w:rPr/>
        <w:t>截止报告期末，公司上述股东均遵守以上承诺，未有违反上述承诺的情况。</w:t>
      </w:r>
    </w:p>
    <w:p>
      <w:pPr>
        <w:spacing w:line="240" w:lineRule="auto" w:before="5"/>
        <w:rPr>
          <w:rFonts w:ascii="宋体" w:hAnsi="宋体" w:cs="宋体" w:eastAsia="宋体" w:hint="default"/>
          <w:sz w:val="20"/>
          <w:szCs w:val="20"/>
        </w:rPr>
      </w:pPr>
    </w:p>
    <w:p>
      <w:pPr>
        <w:pStyle w:val="BodyText"/>
        <w:spacing w:line="240" w:lineRule="auto" w:before="0"/>
        <w:ind w:right="95"/>
        <w:jc w:val="left"/>
      </w:pPr>
      <w:r>
        <w:rPr/>
        <w:t>（三）</w:t>
      </w:r>
      <w:r>
        <w:rPr>
          <w:spacing w:val="-88"/>
        </w:rPr>
        <w:t> </w:t>
      </w:r>
      <w:r>
        <w:rPr/>
        <w:t>缴纳个人所得税的承诺</w:t>
      </w:r>
    </w:p>
    <w:p>
      <w:pPr>
        <w:spacing w:line="240" w:lineRule="auto" w:before="4"/>
        <w:rPr>
          <w:rFonts w:ascii="宋体" w:hAnsi="宋体" w:cs="宋体" w:eastAsia="宋体" w:hint="default"/>
          <w:sz w:val="20"/>
          <w:szCs w:val="20"/>
        </w:rPr>
      </w:pPr>
    </w:p>
    <w:p>
      <w:pPr>
        <w:pStyle w:val="BodyText"/>
        <w:spacing w:line="348" w:lineRule="auto" w:before="0"/>
        <w:ind w:right="212" w:firstLine="459"/>
        <w:jc w:val="both"/>
        <w:rPr>
          <w:rFonts w:ascii="Times New Roman" w:hAnsi="Times New Roman" w:cs="Times New Roman" w:eastAsia="Times New Roman" w:hint="default"/>
        </w:rPr>
      </w:pPr>
      <w:r>
        <w:rPr>
          <w:rFonts w:ascii="Times New Roman" w:hAnsi="Times New Roman" w:cs="Times New Roman" w:eastAsia="Times New Roman" w:hint="default"/>
        </w:rPr>
        <w:t>1</w:t>
      </w:r>
      <w:r>
        <w:rPr/>
        <w:t>．公司 </w:t>
      </w:r>
      <w:r>
        <w:rPr>
          <w:rFonts w:ascii="Times New Roman" w:hAnsi="Times New Roman" w:cs="Times New Roman" w:eastAsia="Times New Roman" w:hint="default"/>
        </w:rPr>
        <w:t>45</w:t>
      </w:r>
      <w:r>
        <w:rPr>
          <w:rFonts w:ascii="Times New Roman" w:hAnsi="Times New Roman" w:cs="Times New Roman" w:eastAsia="Times New Roman" w:hint="default"/>
          <w:spacing w:val="-33"/>
        </w:rPr>
        <w:t> </w:t>
      </w:r>
      <w:r>
        <w:rPr/>
        <w:t>名上市前自然人股东就银之杰有限整体变更为股份公司所涉及的个</w:t>
      </w:r>
      <w:r>
        <w:rPr>
          <w:w w:val="100"/>
        </w:rPr>
        <w:t> </w:t>
      </w:r>
      <w:r>
        <w:rPr>
          <w:spacing w:val="-3"/>
        </w:rPr>
        <w:t>人所得税问题已作出如下承诺：</w:t>
      </w:r>
      <w:r>
        <w:rPr>
          <w:rFonts w:ascii="Times New Roman" w:hAnsi="Times New Roman" w:cs="Times New Roman" w:eastAsia="Times New Roman" w:hint="default"/>
          <w:spacing w:val="-3"/>
        </w:rPr>
        <w:t>“</w:t>
      </w:r>
      <w:r>
        <w:rPr>
          <w:spacing w:val="-3"/>
        </w:rPr>
        <w:t>如因有关税务部门要求或决定，公司需要补缴或被</w:t>
      </w:r>
      <w:r>
        <w:rPr>
          <w:spacing w:val="-86"/>
        </w:rPr>
        <w:t> </w:t>
      </w:r>
      <w:r>
        <w:rPr>
          <w:spacing w:val="-86"/>
        </w:rPr>
      </w:r>
      <w:r>
        <w:rPr/>
        <w:t>追缴整体变更时全体自然人股东以净资产折股所涉及的个人所得税，或因公司当时</w:t>
      </w:r>
      <w:r>
        <w:rPr>
          <w:spacing w:val="-87"/>
        </w:rPr>
        <w:t> </w:t>
      </w:r>
      <w:r>
        <w:rPr>
          <w:spacing w:val="-87"/>
        </w:rPr>
      </w:r>
      <w:r>
        <w:rPr/>
        <w:t>未履行代扣代缴义务而承担罚款或损失，我们将按照整体变更时持有的公司股权比</w:t>
      </w:r>
      <w:r>
        <w:rPr>
          <w:spacing w:val="-87"/>
        </w:rPr>
        <w:t> </w:t>
      </w:r>
      <w:r>
        <w:rPr>
          <w:spacing w:val="-87"/>
        </w:rPr>
      </w:r>
      <w:r>
        <w:rPr/>
        <w:t>例承担公司补缴（被追缴）的上述个人所得税款及其相关费用和损失。</w:t>
      </w:r>
      <w:r>
        <w:rPr>
          <w:rFonts w:ascii="Times New Roman" w:hAnsi="Times New Roman" w:cs="Times New Roman" w:eastAsia="Times New Roman" w:hint="default"/>
        </w:rPr>
        <w:t>”</w:t>
      </w:r>
    </w:p>
    <w:p>
      <w:pPr>
        <w:pStyle w:val="BodyText"/>
        <w:spacing w:line="343" w:lineRule="auto" w:before="14"/>
        <w:ind w:right="212" w:firstLine="459"/>
        <w:jc w:val="both"/>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．公司实际控制人张学君、李军、陈向军就银之杰有限整体变更为股份公司所</w:t>
      </w:r>
      <w:r>
        <w:rPr>
          <w:w w:val="100"/>
        </w:rPr>
        <w:t> </w:t>
      </w:r>
      <w:r>
        <w:rPr>
          <w:spacing w:val="-3"/>
        </w:rPr>
        <w:t>涉及的个人所得税问题已作出了承诺：</w:t>
      </w:r>
      <w:r>
        <w:rPr>
          <w:rFonts w:ascii="Times New Roman" w:hAnsi="Times New Roman" w:cs="Times New Roman" w:eastAsia="Times New Roman" w:hint="default"/>
          <w:spacing w:val="-3"/>
        </w:rPr>
        <w:t>“</w:t>
      </w:r>
      <w:r>
        <w:rPr>
          <w:spacing w:val="-3"/>
        </w:rPr>
        <w:t>如有任何股东因任何原因导致其没有及时缴</w:t>
      </w:r>
      <w:r>
        <w:rPr>
          <w:spacing w:val="-87"/>
        </w:rPr>
        <w:t> </w:t>
      </w:r>
      <w:r>
        <w:rPr>
          <w:spacing w:val="-87"/>
        </w:rPr>
      </w:r>
      <w:r>
        <w:rPr/>
        <w:t>纳或支付上述因公司整体变更涉及的应承担的个人所得税及相关费用和损失，我们</w:t>
      </w:r>
      <w:r>
        <w:rPr>
          <w:spacing w:val="-87"/>
        </w:rPr>
        <w:t> </w:t>
      </w:r>
      <w:r>
        <w:rPr>
          <w:spacing w:val="-87"/>
        </w:rPr>
      </w:r>
      <w:r>
        <w:rPr/>
        <w:t>承担连带责任。</w:t>
      </w:r>
      <w:r>
        <w:rPr>
          <w:rFonts w:ascii="Times New Roman" w:hAnsi="Times New Roman" w:cs="Times New Roman" w:eastAsia="Times New Roman" w:hint="default"/>
        </w:rPr>
        <w:t>”</w:t>
      </w:r>
    </w:p>
    <w:p>
      <w:pPr>
        <w:pStyle w:val="BodyText"/>
        <w:spacing w:line="240" w:lineRule="auto" w:before="19"/>
        <w:ind w:left="597" w:right="95"/>
        <w:jc w:val="left"/>
      </w:pPr>
      <w:r>
        <w:rPr/>
        <w:t>截止报告期末，公司上述股东均遵守以上承诺，未有违反上述承诺的情况。</w:t>
      </w:r>
    </w:p>
    <w:p>
      <w:pPr>
        <w:spacing w:line="240" w:lineRule="auto" w:before="5"/>
        <w:rPr>
          <w:rFonts w:ascii="宋体" w:hAnsi="宋体" w:cs="宋体" w:eastAsia="宋体" w:hint="default"/>
          <w:sz w:val="20"/>
          <w:szCs w:val="20"/>
        </w:rPr>
      </w:pPr>
    </w:p>
    <w:p>
      <w:pPr>
        <w:pStyle w:val="BodyText"/>
        <w:spacing w:line="240" w:lineRule="auto" w:before="0"/>
        <w:ind w:right="95"/>
        <w:jc w:val="left"/>
      </w:pPr>
      <w:r>
        <w:rPr/>
        <w:t>（四）</w:t>
      </w:r>
      <w:r>
        <w:rPr>
          <w:spacing w:val="-88"/>
        </w:rPr>
        <w:t> </w:t>
      </w:r>
      <w:r>
        <w:rPr/>
        <w:t>缴纳住房公积金的承诺</w:t>
      </w:r>
    </w:p>
    <w:p>
      <w:pPr>
        <w:spacing w:line="240" w:lineRule="auto" w:before="5"/>
        <w:rPr>
          <w:rFonts w:ascii="宋体" w:hAnsi="宋体" w:cs="宋体" w:eastAsia="宋体" w:hint="default"/>
          <w:sz w:val="20"/>
          <w:szCs w:val="20"/>
        </w:rPr>
      </w:pPr>
    </w:p>
    <w:p>
      <w:pPr>
        <w:pStyle w:val="BodyText"/>
        <w:spacing w:line="240" w:lineRule="auto" w:before="0"/>
        <w:ind w:left="597" w:right="95"/>
        <w:jc w:val="left"/>
      </w:pPr>
      <w:r>
        <w:rPr>
          <w:rFonts w:ascii="Times New Roman" w:hAnsi="Times New Roman" w:cs="Times New Roman" w:eastAsia="Times New Roman" w:hint="default"/>
        </w:rPr>
        <w:t>1</w:t>
      </w:r>
      <w:r>
        <w:rPr/>
        <w:t>．公司承诺：</w:t>
      </w:r>
      <w:r>
        <w:rPr>
          <w:rFonts w:ascii="Times New Roman" w:hAnsi="Times New Roman" w:cs="Times New Roman" w:eastAsia="Times New Roman" w:hint="default"/>
        </w:rPr>
        <w:t>“</w:t>
      </w:r>
      <w:r>
        <w:rPr/>
        <w:t>如果深圳市关于住房公积金管理的专项规定颁布，公司将根据</w:t>
      </w:r>
    </w:p>
    <w:p>
      <w:pPr>
        <w:spacing w:after="0" w:line="240" w:lineRule="auto"/>
        <w:jc w:val="left"/>
        <w:sectPr>
          <w:footerReference w:type="default" r:id="rId19"/>
          <w:pgSz w:w="11910" w:h="16840"/>
          <w:pgMar w:footer="982" w:header="877" w:top="1100" w:bottom="1180" w:left="1660" w:right="1580"/>
          <w:pgNumType w:start="32"/>
        </w:sectPr>
      </w:pPr>
    </w:p>
    <w:p>
      <w:pPr>
        <w:spacing w:line="240" w:lineRule="auto" w:before="4"/>
        <w:rPr>
          <w:rFonts w:ascii="宋体" w:hAnsi="宋体" w:cs="宋体" w:eastAsia="宋体" w:hint="default"/>
          <w:sz w:val="19"/>
          <w:szCs w:val="19"/>
        </w:rPr>
      </w:pPr>
    </w:p>
    <w:p>
      <w:pPr>
        <w:pStyle w:val="BodyText"/>
        <w:spacing w:line="338" w:lineRule="auto"/>
        <w:ind w:left="597" w:right="117" w:hanging="460"/>
        <w:jc w:val="left"/>
      </w:pPr>
      <w:r>
        <w:rPr/>
        <w:t>有关规定为员工缴纳住房公积金。</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10"/>
          <w:w w:val="100"/>
        </w:rPr>
        <w:t>2</w:t>
      </w:r>
      <w:r>
        <w:rPr>
          <w:spacing w:val="-10"/>
          <w:w w:val="100"/>
        </w:rPr>
        <w:t>．公司的实际控制人张学君、陈向军和李军三人于</w:t>
      </w:r>
      <w:r>
        <w:rPr>
          <w:spacing w:val="-55"/>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1"/>
          <w:w w:val="100"/>
        </w:rPr>
        <w:t> </w:t>
      </w:r>
      <w:r>
        <w:rPr>
          <w:w w:val="100"/>
        </w:rPr>
        <w:t>年</w:t>
      </w:r>
      <w:r>
        <w:rPr>
          <w:spacing w:val="-55"/>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 </w:t>
      </w:r>
      <w:r>
        <w:rPr>
          <w:w w:val="100"/>
        </w:rPr>
        <w:t>月</w:t>
      </w:r>
      <w:r>
        <w:rPr>
          <w:spacing w:val="-55"/>
          <w:w w:val="100"/>
        </w:rPr>
        <w:t> </w:t>
      </w:r>
      <w:r>
        <w:rPr>
          <w:rFonts w:ascii="Times New Roman" w:hAnsi="Times New Roman" w:cs="Times New Roman" w:eastAsia="Times New Roman" w:hint="default"/>
          <w:spacing w:val="-1"/>
          <w:w w:val="100"/>
        </w:rPr>
        <w:t>10</w:t>
      </w:r>
      <w:r>
        <w:rPr>
          <w:rFonts w:ascii="Times New Roman" w:hAnsi="Times New Roman" w:cs="Times New Roman" w:eastAsia="Times New Roman" w:hint="default"/>
          <w:spacing w:val="1"/>
          <w:w w:val="100"/>
        </w:rPr>
        <w:t> </w:t>
      </w:r>
      <w:r>
        <w:rPr>
          <w:spacing w:val="-1"/>
          <w:w w:val="100"/>
        </w:rPr>
        <w:t>日作出承诺：</w:t>
      </w:r>
    </w:p>
    <w:p>
      <w:pPr>
        <w:pStyle w:val="BodyText"/>
        <w:spacing w:line="345" w:lineRule="auto" w:before="24"/>
        <w:ind w:right="233"/>
        <w:jc w:val="both"/>
        <w:rPr>
          <w:rFonts w:ascii="Times New Roman" w:hAnsi="Times New Roman" w:cs="Times New Roman" w:eastAsia="Times New Roman" w:hint="default"/>
        </w:rPr>
      </w:pPr>
      <w:r>
        <w:rPr>
          <w:rFonts w:ascii="Times New Roman" w:hAnsi="Times New Roman" w:cs="Times New Roman" w:eastAsia="Times New Roman" w:hint="default"/>
          <w:spacing w:val="2"/>
        </w:rPr>
        <w:t>“</w:t>
      </w:r>
      <w:r>
        <w:rPr>
          <w:spacing w:val="2"/>
        </w:rPr>
        <w:t>如有关社保主管部门在任何时候依法要求公司需为员工补缴其首次公开发行股票</w:t>
      </w:r>
      <w:r>
        <w:rPr>
          <w:spacing w:val="-53"/>
        </w:rPr>
        <w:t> </w:t>
      </w:r>
      <w:r>
        <w:rPr>
          <w:spacing w:val="-53"/>
        </w:rPr>
      </w:r>
      <w:r>
        <w:rPr/>
        <w:t>之前任何期间内应缴的住房公积金、或公司因未为员工缴纳住房公积金而承担任何</w:t>
      </w:r>
      <w:r>
        <w:rPr>
          <w:spacing w:val="-87"/>
        </w:rPr>
        <w:t> </w:t>
      </w:r>
      <w:r>
        <w:rPr>
          <w:spacing w:val="-87"/>
        </w:rPr>
      </w:r>
      <w:r>
        <w:rPr/>
        <w:t>罚款或损失，我们愿在毋须公司支付对价的情况下承担所有相关的赔偿责任。</w:t>
      </w:r>
      <w:r>
        <w:rPr>
          <w:rFonts w:ascii="Times New Roman" w:hAnsi="Times New Roman" w:cs="Times New Roman" w:eastAsia="Times New Roman" w:hint="default"/>
        </w:rPr>
        <w:t>”</w:t>
      </w:r>
    </w:p>
    <w:p>
      <w:pPr>
        <w:pStyle w:val="BodyText"/>
        <w:spacing w:line="338" w:lineRule="auto" w:before="137"/>
        <w:ind w:right="113" w:firstLine="459"/>
        <w:jc w:val="left"/>
      </w:pPr>
      <w:r>
        <w:rPr/>
        <w:t>截止报告期末，公司上述股东未有违反上述承诺的情况。</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r>
        <w:rPr>
          <w:w w:val="100"/>
        </w:rPr>
        <w:t> </w:t>
      </w:r>
      <w:r>
        <w:rPr>
          <w:spacing w:val="-3"/>
        </w:rPr>
        <w:t>深圳市住房公积金管理中心颁布了《深圳市住房公积金缴存管理暂行规定（试行）》</w:t>
      </w:r>
    </w:p>
    <w:p>
      <w:pPr>
        <w:pStyle w:val="BodyText"/>
        <w:spacing w:line="338" w:lineRule="auto" w:before="52"/>
        <w:ind w:right="233"/>
        <w:jc w:val="both"/>
      </w:pPr>
      <w:r>
        <w:rPr/>
        <w:t>（深公积金</w:t>
      </w:r>
      <w:r>
        <w:rPr>
          <w:rFonts w:ascii="Times New Roman" w:hAnsi="Times New Roman" w:cs="Times New Roman" w:eastAsia="Times New Roman" w:hint="default"/>
        </w:rPr>
        <w:t>[2010]28 </w:t>
      </w:r>
      <w:r>
        <w:rPr>
          <w:spacing w:val="-11"/>
        </w:rPr>
        <w:t>号），具体规定了住房公积金的缴存管理办法，并规定应在</w:t>
      </w:r>
      <w:r>
        <w:rPr>
          <w:rFonts w:ascii="Times New Roman" w:hAnsi="Times New Roman" w:cs="Times New Roman" w:eastAsia="Times New Roman" w:hint="default"/>
          <w:spacing w:val="-11"/>
        </w:rPr>
        <w:t>“</w:t>
      </w:r>
      <w:r>
        <w:rPr>
          <w:spacing w:val="-11"/>
        </w:rPr>
        <w:t>《深</w:t>
      </w:r>
      <w:r>
        <w:rPr>
          <w:spacing w:val="-96"/>
        </w:rPr>
        <w:t> </w:t>
      </w:r>
      <w:r>
        <w:rPr>
          <w:spacing w:val="-3"/>
        </w:rPr>
        <w:t>圳市住房公积金管理暂行办法》实施之日起</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spacing w:val="-3"/>
        </w:rPr>
        <w:t>个月内</w:t>
      </w:r>
      <w:r>
        <w:rPr>
          <w:rFonts w:ascii="Times New Roman" w:hAnsi="Times New Roman" w:cs="Times New Roman" w:eastAsia="Times New Roman" w:hint="default"/>
          <w:spacing w:val="-3"/>
        </w:rPr>
        <w:t>”</w:t>
      </w:r>
      <w:r>
        <w:rPr>
          <w:spacing w:val="-3"/>
        </w:rPr>
        <w:t>，办理住房公积金缴存登记手</w:t>
      </w:r>
      <w:r>
        <w:rPr>
          <w:spacing w:val="-111"/>
        </w:rPr>
        <w:t> </w:t>
      </w:r>
      <w:r>
        <w:rPr>
          <w:spacing w:val="-111"/>
        </w:rPr>
      </w:r>
      <w:r>
        <w:rPr/>
        <w:t>续。公司已开始落实相关工作，将在规定期限内完成住房公积金缴存登记。</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7"/>
          <w:szCs w:val="27"/>
        </w:rPr>
      </w:pPr>
    </w:p>
    <w:p>
      <w:pPr>
        <w:pStyle w:val="BodyText"/>
        <w:spacing w:line="240" w:lineRule="auto" w:before="0"/>
        <w:ind w:right="0"/>
        <w:jc w:val="both"/>
      </w:pPr>
      <w:r>
        <w:rPr/>
        <w:t>八、</w:t>
      </w:r>
      <w:r>
        <w:rPr>
          <w:spacing w:val="-38"/>
        </w:rPr>
        <w:t> </w:t>
      </w:r>
      <w:r>
        <w:rPr/>
        <w:t>解聘、聘任会计师事务所情况</w:t>
      </w:r>
    </w:p>
    <w:p>
      <w:pPr>
        <w:spacing w:line="240" w:lineRule="auto" w:before="5"/>
        <w:rPr>
          <w:rFonts w:ascii="宋体" w:hAnsi="宋体" w:cs="宋体" w:eastAsia="宋体" w:hint="default"/>
          <w:sz w:val="20"/>
          <w:szCs w:val="20"/>
        </w:rPr>
      </w:pPr>
    </w:p>
    <w:p>
      <w:pPr>
        <w:pStyle w:val="BodyText"/>
        <w:spacing w:line="338" w:lineRule="auto" w:before="0"/>
        <w:ind w:right="232" w:firstLine="459"/>
        <w:jc w:val="both"/>
      </w:pPr>
      <w:r>
        <w:rPr/>
        <w:t>经公司</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spacing w:val="-4"/>
        </w:rPr>
        <w:t>年度股东大会审议通过，公司聘任深圳市鹏城会计师事务所有限公</w:t>
      </w:r>
      <w:r>
        <w:rPr>
          <w:w w:val="100"/>
        </w:rPr>
        <w:t> </w:t>
      </w:r>
      <w:r>
        <w:rPr>
          <w:spacing w:val="-5"/>
        </w:rPr>
        <w:t>司（</w:t>
      </w:r>
      <w:r>
        <w:rPr>
          <w:rFonts w:ascii="Times New Roman" w:hAnsi="Times New Roman" w:cs="Times New Roman" w:eastAsia="Times New Roman" w:hint="default"/>
          <w:spacing w:val="-5"/>
        </w:rPr>
        <w:t>“</w:t>
      </w:r>
      <w:r>
        <w:rPr>
          <w:spacing w:val="-5"/>
        </w:rPr>
        <w:t>鹏城会计师事务所</w:t>
      </w:r>
      <w:r>
        <w:rPr>
          <w:rFonts w:ascii="Times New Roman" w:hAnsi="Times New Roman" w:cs="Times New Roman" w:eastAsia="Times New Roman" w:hint="default"/>
          <w:spacing w:val="-5"/>
        </w:rPr>
        <w:t>”</w:t>
      </w:r>
      <w:r>
        <w:rPr>
          <w:spacing w:val="-5"/>
        </w:rPr>
        <w:t>）为公司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spacing w:val="-5"/>
        </w:rPr>
        <w:t>年度审计机构，聘期一年。</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9"/>
        </w:rPr>
        <w:t> </w:t>
      </w:r>
      <w:r>
        <w:rPr/>
        <w:t>年度审计费</w:t>
      </w:r>
      <w:r>
        <w:rPr>
          <w:spacing w:val="-112"/>
        </w:rPr>
        <w:t> </w:t>
      </w:r>
      <w:r>
        <w:rPr>
          <w:spacing w:val="-112"/>
        </w:rPr>
      </w:r>
      <w:r>
        <w:rPr/>
        <w:t>用为</w:t>
      </w:r>
      <w:r>
        <w:rPr>
          <w:spacing w:val="-50"/>
        </w:rPr>
        <w:t> </w:t>
      </w:r>
      <w:r>
        <w:rPr>
          <w:rFonts w:ascii="Times New Roman" w:hAnsi="Times New Roman" w:cs="Times New Roman" w:eastAsia="Times New Roman" w:hint="default"/>
        </w:rPr>
        <w:t>38</w:t>
      </w:r>
      <w:r>
        <w:rPr>
          <w:rFonts w:ascii="Times New Roman" w:hAnsi="Times New Roman" w:cs="Times New Roman" w:eastAsia="Times New Roman" w:hint="default"/>
          <w:spacing w:val="6"/>
        </w:rPr>
        <w:t> </w:t>
      </w:r>
      <w:r>
        <w:rPr>
          <w:spacing w:val="-3"/>
        </w:rPr>
        <w:t>万元。报告期内公司共支付给鹏城会计师事务所各项审计费用</w:t>
      </w:r>
      <w:r>
        <w:rPr>
          <w:spacing w:val="-50"/>
        </w:rPr>
        <w:t> </w:t>
      </w:r>
      <w:r>
        <w:rPr>
          <w:rFonts w:ascii="Times New Roman" w:hAnsi="Times New Roman" w:cs="Times New Roman" w:eastAsia="Times New Roman" w:hint="default"/>
        </w:rPr>
        <w:t>146</w:t>
      </w:r>
      <w:r>
        <w:rPr>
          <w:rFonts w:ascii="Times New Roman" w:hAnsi="Times New Roman" w:cs="Times New Roman" w:eastAsia="Times New Roman" w:hint="default"/>
          <w:spacing w:val="8"/>
        </w:rPr>
        <w:t> </w:t>
      </w:r>
      <w:r>
        <w:rPr>
          <w:spacing w:val="-12"/>
        </w:rPr>
        <w:t>万元，包</w:t>
      </w:r>
      <w:r>
        <w:rPr>
          <w:spacing w:val="-112"/>
        </w:rPr>
        <w:t> </w:t>
      </w:r>
      <w:r>
        <w:rPr>
          <w:spacing w:val="-112"/>
        </w:rPr>
      </w:r>
      <w:r>
        <w:rPr/>
        <w:t>括</w:t>
      </w:r>
      <w:r>
        <w:rPr>
          <w:spacing w:val="-55"/>
        </w:rPr>
        <w:t> </w:t>
      </w:r>
      <w:r>
        <w:rPr>
          <w:rFonts w:ascii="Times New Roman" w:hAnsi="Times New Roman" w:cs="Times New Roman" w:eastAsia="Times New Roman" w:hint="default"/>
        </w:rPr>
        <w:t>IPO</w:t>
      </w:r>
      <w:r>
        <w:rPr>
          <w:rFonts w:ascii="Times New Roman" w:hAnsi="Times New Roman" w:cs="Times New Roman" w:eastAsia="Times New Roman" w:hint="default"/>
          <w:spacing w:val="3"/>
        </w:rPr>
        <w:t> </w:t>
      </w:r>
      <w:r>
        <w:rPr>
          <w:spacing w:val="-4"/>
        </w:rPr>
        <w:t>审计、募集资金验资等费用。鹏城会计师事务所自</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spacing w:val="-5"/>
        </w:rPr>
        <w:t>年度开始，已连续四</w:t>
      </w:r>
      <w:r>
        <w:rPr>
          <w:w w:val="100"/>
        </w:rPr>
        <w:t> </w:t>
      </w:r>
      <w:r>
        <w:rPr/>
        <w:t>年为公司提供了审计服务。</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8"/>
          <w:szCs w:val="18"/>
        </w:rPr>
      </w:pPr>
    </w:p>
    <w:p>
      <w:pPr>
        <w:pStyle w:val="BodyText"/>
        <w:spacing w:line="453" w:lineRule="auto" w:before="0"/>
        <w:ind w:left="597" w:right="113" w:hanging="460"/>
        <w:jc w:val="left"/>
      </w:pPr>
      <w:r>
        <w:rPr/>
        <w:t>九、</w:t>
      </w:r>
      <w:r>
        <w:rPr>
          <w:spacing w:val="-37"/>
        </w:rPr>
        <w:t> </w:t>
      </w:r>
      <w:r>
        <w:rPr/>
        <w:t>受监管部门处罚、通报批评、公开谴责等情况</w:t>
      </w:r>
      <w:r>
        <w:rPr>
          <w:w w:val="100"/>
        </w:rPr>
        <w:t> </w:t>
      </w:r>
      <w:r>
        <w:rPr/>
        <w:t>报告期内，公司及其董事、监事、高级管理人员、公司控股股东、实际控制人</w:t>
      </w:r>
    </w:p>
    <w:p>
      <w:pPr>
        <w:pStyle w:val="BodyText"/>
        <w:spacing w:line="243" w:lineRule="exact" w:before="0"/>
        <w:ind w:right="0"/>
        <w:jc w:val="both"/>
      </w:pPr>
      <w:r>
        <w:rPr/>
        <w:t>不存在受有权机关调查、司法纪检部门采取强制措施、被移送司法机关或追究刑事</w:t>
      </w:r>
    </w:p>
    <w:p>
      <w:pPr>
        <w:pStyle w:val="BodyText"/>
        <w:spacing w:line="357" w:lineRule="auto" w:before="146"/>
        <w:ind w:right="233"/>
        <w:jc w:val="both"/>
      </w:pPr>
      <w:r>
        <w:rPr/>
        <w:t>责任、中国证监会稽查、中国证监会行政处罚、证券市场禁入、认定为不适当人选</w:t>
      </w:r>
      <w:r>
        <w:rPr>
          <w:spacing w:val="-87"/>
        </w:rPr>
        <w:t> </w:t>
      </w:r>
      <w:r>
        <w:rPr>
          <w:spacing w:val="-87"/>
        </w:rPr>
      </w:r>
      <w:r>
        <w:rPr/>
        <w:t>被其他行政管理部门处罚及证券交易所公开谴责的情形，公司也没有被中国证监会</w:t>
      </w:r>
      <w:r>
        <w:rPr>
          <w:spacing w:val="-87"/>
        </w:rPr>
        <w:t> </w:t>
      </w:r>
      <w:r>
        <w:rPr>
          <w:spacing w:val="-87"/>
        </w:rPr>
      </w:r>
      <w:r>
        <w:rPr/>
        <w:t>及其派出机构提出整改意见的情况。</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7"/>
          <w:szCs w:val="17"/>
        </w:rPr>
      </w:pPr>
    </w:p>
    <w:p>
      <w:pPr>
        <w:pStyle w:val="BodyText"/>
        <w:spacing w:line="357" w:lineRule="auto" w:before="0"/>
        <w:ind w:left="677" w:right="230" w:hanging="540"/>
        <w:jc w:val="both"/>
      </w:pPr>
      <w:r>
        <w:rPr>
          <w:w w:val="100"/>
        </w:rPr>
        <w:t>十、</w:t>
      </w:r>
      <w:r>
        <w:rPr>
          <w:spacing w:val="-37"/>
          <w:w w:val="100"/>
        </w:rPr>
        <w:t> </w:t>
      </w:r>
      <w:r>
        <w:rPr>
          <w:spacing w:val="-2"/>
          <w:w w:val="100"/>
        </w:rPr>
        <w:t>报告期内，公司和子公司没有发生《证券法》第六十七条、《上市公司信息披</w:t>
      </w:r>
      <w:r>
        <w:rPr>
          <w:w w:val="100"/>
        </w:rPr>
        <w:t> </w:t>
      </w:r>
      <w:r>
        <w:rPr>
          <w:spacing w:val="-3"/>
        </w:rPr>
        <w:t>露管理办法》第三十条所列的重大事件，以及其他公司董事会判断为重大事件</w:t>
      </w:r>
      <w:r>
        <w:rPr>
          <w:w w:val="100"/>
        </w:rPr>
        <w:t> </w:t>
      </w:r>
      <w:r>
        <w:rPr/>
        <w:t>的事项。</w:t>
      </w:r>
    </w:p>
    <w:p>
      <w:pPr>
        <w:spacing w:after="0" w:line="357" w:lineRule="auto"/>
        <w:jc w:val="both"/>
        <w:sectPr>
          <w:pgSz w:w="11910" w:h="16840"/>
          <w:pgMar w:header="877" w:footer="982" w:top="110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217" w:right="269"/>
        <w:jc w:val="left"/>
      </w:pPr>
      <w:r>
        <w:rPr/>
        <w:t>十一、</w:t>
      </w:r>
      <w:r>
        <w:rPr>
          <w:spacing w:val="31"/>
        </w:rPr>
        <w:t> </w:t>
      </w:r>
      <w:r>
        <w:rPr/>
        <w:t>报告期内公司重要公告索引</w:t>
      </w:r>
    </w:p>
    <w:p>
      <w:pPr>
        <w:spacing w:line="240" w:lineRule="auto" w:before="4"/>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1188"/>
        <w:gridCol w:w="1348"/>
        <w:gridCol w:w="4412"/>
        <w:gridCol w:w="1620"/>
      </w:tblGrid>
      <w:tr>
        <w:trPr>
          <w:trHeight w:val="378" w:hRule="exact"/>
        </w:trPr>
        <w:tc>
          <w:tcPr>
            <w:tcW w:w="11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69"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3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247"/>
              <w:jc w:val="right"/>
              <w:rPr>
                <w:rFonts w:ascii="宋体" w:hAnsi="宋体" w:cs="宋体" w:eastAsia="宋体" w:hint="default"/>
                <w:sz w:val="21"/>
                <w:szCs w:val="21"/>
              </w:rPr>
            </w:pPr>
            <w:r>
              <w:rPr>
                <w:rFonts w:ascii="宋体" w:hAnsi="宋体" w:cs="宋体" w:eastAsia="宋体" w:hint="default"/>
                <w:sz w:val="21"/>
                <w:szCs w:val="21"/>
              </w:rPr>
              <w:t>公告日期</w:t>
            </w:r>
          </w:p>
        </w:tc>
        <w:tc>
          <w:tcPr>
            <w:tcW w:w="441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刊登媒体</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21"/>
                <w:szCs w:val="21"/>
              </w:rPr>
            </w:pPr>
            <w:r>
              <w:rPr>
                <w:rFonts w:ascii="Times New Roman"/>
                <w:sz w:val="21"/>
              </w:rPr>
              <w:t>2010-001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0"/>
              <w:jc w:val="right"/>
              <w:rPr>
                <w:rFonts w:ascii="Times New Roman" w:hAnsi="Times New Roman" w:cs="Times New Roman" w:eastAsia="Times New Roman" w:hint="default"/>
                <w:sz w:val="21"/>
                <w:szCs w:val="21"/>
              </w:rPr>
            </w:pPr>
            <w:r>
              <w:rPr>
                <w:rFonts w:ascii="Times New Roman"/>
                <w:spacing w:val="-1"/>
                <w:sz w:val="21"/>
              </w:rPr>
              <w:t>2010-06-18</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21"/>
                <w:szCs w:val="21"/>
              </w:rPr>
            </w:pPr>
            <w:r>
              <w:rPr>
                <w:rFonts w:ascii="Times New Roman"/>
                <w:sz w:val="21"/>
              </w:rPr>
              <w:t>2010-002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0"/>
              <w:jc w:val="right"/>
              <w:rPr>
                <w:rFonts w:ascii="Times New Roman" w:hAnsi="Times New Roman" w:cs="Times New Roman" w:eastAsia="Times New Roman" w:hint="default"/>
                <w:sz w:val="21"/>
                <w:szCs w:val="21"/>
              </w:rPr>
            </w:pPr>
            <w:r>
              <w:rPr>
                <w:rFonts w:ascii="Times New Roman"/>
                <w:spacing w:val="-1"/>
                <w:sz w:val="21"/>
              </w:rPr>
              <w:t>2010-06-18</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关于签订募集资金三方监管协议的公告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2010-003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0"/>
              <w:jc w:val="right"/>
              <w:rPr>
                <w:rFonts w:ascii="Times New Roman" w:hAnsi="Times New Roman" w:cs="Times New Roman" w:eastAsia="Times New Roman" w:hint="default"/>
                <w:sz w:val="21"/>
                <w:szCs w:val="21"/>
              </w:rPr>
            </w:pPr>
            <w:r>
              <w:rPr>
                <w:rFonts w:ascii="Times New Roman"/>
                <w:spacing w:val="-1"/>
                <w:sz w:val="21"/>
              </w:rPr>
              <w:t>2010-08-05</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2010-004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0"/>
              <w:jc w:val="right"/>
              <w:rPr>
                <w:rFonts w:ascii="Times New Roman" w:hAnsi="Times New Roman" w:cs="Times New Roman" w:eastAsia="Times New Roman" w:hint="default"/>
                <w:sz w:val="21"/>
                <w:szCs w:val="21"/>
              </w:rPr>
            </w:pPr>
            <w:r>
              <w:rPr>
                <w:rFonts w:ascii="Times New Roman"/>
                <w:spacing w:val="-1"/>
                <w:sz w:val="21"/>
              </w:rPr>
              <w:t>2010-08-05</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第一届监事会第七次会议决议公告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2010-005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50"/>
              <w:jc w:val="right"/>
              <w:rPr>
                <w:rFonts w:ascii="Times New Roman" w:hAnsi="Times New Roman" w:cs="Times New Roman" w:eastAsia="Times New Roman" w:hint="default"/>
                <w:sz w:val="21"/>
                <w:szCs w:val="21"/>
              </w:rPr>
            </w:pPr>
            <w:r>
              <w:rPr>
                <w:rFonts w:ascii="Times New Roman"/>
                <w:spacing w:val="-1"/>
                <w:sz w:val="21"/>
              </w:rPr>
              <w:t>2010-08-05</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关于首次公开发行股票募集资金中其他与主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营业务相关的营运资金使用计划的公告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2010-006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50"/>
              <w:jc w:val="right"/>
              <w:rPr>
                <w:rFonts w:ascii="Times New Roman" w:hAnsi="Times New Roman" w:cs="Times New Roman" w:eastAsia="Times New Roman" w:hint="default"/>
                <w:sz w:val="21"/>
                <w:szCs w:val="21"/>
              </w:rPr>
            </w:pPr>
            <w:r>
              <w:rPr>
                <w:rFonts w:ascii="Times New Roman"/>
                <w:spacing w:val="-1"/>
                <w:sz w:val="21"/>
              </w:rPr>
              <w:t>2010-08-05</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关于用募集资金置换预先已投入募集资金投</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资项目的自筹资金的公告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2010-007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0"/>
              <w:jc w:val="right"/>
              <w:rPr>
                <w:rFonts w:ascii="Times New Roman" w:hAnsi="Times New Roman" w:cs="Times New Roman" w:eastAsia="Times New Roman" w:hint="default"/>
                <w:sz w:val="21"/>
                <w:szCs w:val="21"/>
              </w:rPr>
            </w:pPr>
            <w:r>
              <w:rPr>
                <w:rFonts w:ascii="Times New Roman"/>
                <w:spacing w:val="-1"/>
                <w:sz w:val="21"/>
              </w:rPr>
              <w:t>2010-08-24</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关于完成公司变更登记的公告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2010-008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0"/>
              <w:jc w:val="right"/>
              <w:rPr>
                <w:rFonts w:ascii="Times New Roman" w:hAnsi="Times New Roman" w:cs="Times New Roman" w:eastAsia="Times New Roman" w:hint="default"/>
                <w:sz w:val="21"/>
                <w:szCs w:val="21"/>
              </w:rPr>
            </w:pPr>
            <w:r>
              <w:rPr>
                <w:rFonts w:ascii="Times New Roman"/>
                <w:spacing w:val="-1"/>
                <w:sz w:val="21"/>
              </w:rPr>
              <w:t>2010-08-24</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关于网下配售股份上市流通提示性公告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2010-009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0"/>
              <w:jc w:val="right"/>
              <w:rPr>
                <w:rFonts w:ascii="Times New Roman" w:hAnsi="Times New Roman" w:cs="Times New Roman" w:eastAsia="Times New Roman" w:hint="default"/>
                <w:sz w:val="21"/>
                <w:szCs w:val="21"/>
              </w:rPr>
            </w:pPr>
            <w:r>
              <w:rPr>
                <w:rFonts w:ascii="Times New Roman"/>
                <w:spacing w:val="-1"/>
                <w:sz w:val="21"/>
              </w:rPr>
              <w:t>2010-10-26</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2010-010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0"/>
              <w:jc w:val="right"/>
              <w:rPr>
                <w:rFonts w:ascii="Times New Roman" w:hAnsi="Times New Roman" w:cs="Times New Roman" w:eastAsia="Times New Roman" w:hint="default"/>
                <w:sz w:val="21"/>
                <w:szCs w:val="21"/>
              </w:rPr>
            </w:pPr>
            <w:r>
              <w:rPr>
                <w:rFonts w:ascii="Times New Roman"/>
                <w:spacing w:val="-1"/>
                <w:sz w:val="21"/>
              </w:rPr>
              <w:t>2010-10-26</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第一届监事会第九次会议决议公告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2010-011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2"/>
                <w:sz w:val="21"/>
              </w:rPr>
              <w:t>2010-11-24</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第一届董事会第十四次会议决议公告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2010-012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2"/>
                <w:sz w:val="21"/>
              </w:rPr>
              <w:t>2010-11-24</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第一届监事会第十次会议决议公告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2010-013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59"/>
              <w:jc w:val="right"/>
              <w:rPr>
                <w:rFonts w:ascii="Times New Roman" w:hAnsi="Times New Roman" w:cs="Times New Roman" w:eastAsia="Times New Roman" w:hint="default"/>
                <w:sz w:val="21"/>
                <w:szCs w:val="21"/>
              </w:rPr>
            </w:pPr>
            <w:r>
              <w:rPr>
                <w:rFonts w:ascii="Times New Roman"/>
                <w:spacing w:val="-2"/>
                <w:sz w:val="21"/>
              </w:rPr>
              <w:t>2010-11-24</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关于首次公开发行股票募集资金中其他与主</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营业务相关的营运资金使用相关事项的公告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2010-014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2"/>
                <w:sz w:val="21"/>
              </w:rPr>
              <w:t>2010-11-24</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年第一次临时股东大会的通知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2010-015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2"/>
                <w:sz w:val="21"/>
              </w:rPr>
              <w:t>2010-11-24</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职工代表大会决议公告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2010-016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2010-12-11</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第二届董事会第一次会议决议公告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2010-017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2010-12-11</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第二届监事会第一次会议决议公告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21"/>
                <w:szCs w:val="21"/>
              </w:rPr>
            </w:pPr>
            <w:r>
              <w:rPr>
                <w:rFonts w:ascii="Times New Roman"/>
                <w:sz w:val="21"/>
              </w:rPr>
              <w:t>2010-018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9"/>
              <w:jc w:val="right"/>
              <w:rPr>
                <w:rFonts w:ascii="Times New Roman" w:hAnsi="Times New Roman" w:cs="Times New Roman" w:eastAsia="Times New Roman" w:hint="default"/>
                <w:sz w:val="21"/>
                <w:szCs w:val="21"/>
              </w:rPr>
            </w:pPr>
            <w:r>
              <w:rPr>
                <w:rFonts w:ascii="Times New Roman"/>
                <w:spacing w:val="-1"/>
                <w:w w:val="95"/>
                <w:sz w:val="21"/>
              </w:rPr>
              <w:t>2010-12-11</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年第一次临时股东大会决议公告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72" w:lineRule="exact"/>
        <w:jc w:val="center"/>
        <w:rPr>
          <w:rFonts w:ascii="宋体" w:hAnsi="宋体" w:cs="宋体" w:eastAsia="宋体" w:hint="default"/>
          <w:sz w:val="21"/>
          <w:szCs w:val="21"/>
        </w:rPr>
        <w:sectPr>
          <w:pgSz w:w="11910" w:h="16840"/>
          <w:pgMar w:header="877" w:footer="982" w:top="1100" w:bottom="1180" w:left="158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ind w:left="2513" w:right="0"/>
        <w:jc w:val="left"/>
      </w:pPr>
      <w:bookmarkStart w:name="_TOC_250005" w:id="5"/>
      <w:r>
        <w:rPr/>
        <w:t>第五节</w:t>
      </w:r>
      <w:r>
        <w:rPr>
          <w:spacing w:val="-9"/>
        </w:rPr>
        <w:t> </w:t>
      </w:r>
      <w:bookmarkEnd w:id="5"/>
      <w:r>
        <w:rPr/>
        <w:t>股本变动和主要股东持股情况</w:t>
      </w:r>
    </w:p>
    <w:p>
      <w:pPr>
        <w:spacing w:line="240" w:lineRule="auto" w:before="0"/>
        <w:rPr>
          <w:rFonts w:ascii="黑体" w:hAnsi="黑体" w:cs="黑体" w:eastAsia="黑体" w:hint="default"/>
          <w:sz w:val="32"/>
          <w:szCs w:val="32"/>
        </w:rPr>
      </w:pPr>
    </w:p>
    <w:p>
      <w:pPr>
        <w:pStyle w:val="Heading5"/>
        <w:spacing w:line="240" w:lineRule="auto" w:before="248"/>
        <w:ind w:left="997" w:right="0"/>
        <w:jc w:val="left"/>
        <w:rPr>
          <w:b w:val="0"/>
          <w:bCs w:val="0"/>
        </w:rPr>
      </w:pPr>
      <w:r>
        <w:rPr/>
        <w:t>一、</w:t>
      </w:r>
      <w:r>
        <w:rPr>
          <w:spacing w:val="-39"/>
        </w:rPr>
        <w:t> </w:t>
      </w:r>
      <w:r>
        <w:rPr/>
        <w:t>股本变动情况（截至</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997" w:right="0"/>
        <w:jc w:val="left"/>
      </w:pPr>
      <w:r>
        <w:rPr/>
        <w:t>（一）</w:t>
      </w:r>
      <w:r>
        <w:rPr>
          <w:spacing w:val="-87"/>
        </w:rPr>
        <w:t> </w:t>
      </w:r>
      <w:r>
        <w:rPr/>
        <w:t>股份变动情况表</w:t>
      </w:r>
    </w:p>
    <w:p>
      <w:pPr>
        <w:pStyle w:val="BodyText"/>
        <w:spacing w:line="240" w:lineRule="auto" w:before="146"/>
        <w:ind w:left="0" w:right="1172"/>
        <w:jc w:val="right"/>
      </w:pPr>
      <w:r>
        <w:rPr/>
        <w:t>单位：股</w:t>
      </w:r>
    </w:p>
    <w:p>
      <w:pPr>
        <w:spacing w:line="240" w:lineRule="auto" w:before="6"/>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137"/>
        <w:gridCol w:w="1092"/>
        <w:gridCol w:w="900"/>
        <w:gridCol w:w="1080"/>
        <w:gridCol w:w="656"/>
        <w:gridCol w:w="706"/>
        <w:gridCol w:w="554"/>
        <w:gridCol w:w="1144"/>
        <w:gridCol w:w="1080"/>
        <w:gridCol w:w="900"/>
      </w:tblGrid>
      <w:tr>
        <w:trPr>
          <w:trHeight w:val="282" w:hRule="exact"/>
        </w:trPr>
        <w:tc>
          <w:tcPr>
            <w:tcW w:w="21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4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2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5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0" w:hRule="exact"/>
        </w:trPr>
        <w:tc>
          <w:tcPr>
            <w:tcW w:w="2137" w:type="dxa"/>
            <w:vMerge w:val="restart"/>
            <w:tcBorders>
              <w:top w:val="nil" w:sz="6" w:space="0" w:color="auto"/>
              <w:left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656" w:type="dxa"/>
            <w:tcBorders>
              <w:top w:val="single" w:sz="4" w:space="0" w:color="000000"/>
              <w:left w:val="single" w:sz="4" w:space="0" w:color="000000"/>
              <w:bottom w:val="nil" w:sz="6" w:space="0" w:color="auto"/>
              <w:right w:val="single" w:sz="4" w:space="0" w:color="000000"/>
            </w:tcBorders>
            <w:shd w:val="clear" w:color="auto" w:fill="DCDCDC"/>
          </w:tcPr>
          <w:p>
            <w:pPr/>
          </w:p>
        </w:tc>
        <w:tc>
          <w:tcPr>
            <w:tcW w:w="706"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144"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1" w:hRule="exact"/>
        </w:trPr>
        <w:tc>
          <w:tcPr>
            <w:tcW w:w="2137" w:type="dxa"/>
            <w:vMerge/>
            <w:tcBorders>
              <w:left w:val="single" w:sz="4" w:space="0" w:color="000000"/>
              <w:bottom w:val="nil" w:sz="6" w:space="0" w:color="auto"/>
              <w:right w:val="single" w:sz="4" w:space="0" w:color="000000"/>
            </w:tcBorders>
            <w:shd w:val="clear" w:color="auto" w:fill="DCDCDC"/>
          </w:tcPr>
          <w:p>
            <w:pPr/>
          </w:p>
        </w:tc>
        <w:tc>
          <w:tcPr>
            <w:tcW w:w="10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3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65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1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06" w:type="dxa"/>
            <w:vMerge/>
            <w:tcBorders>
              <w:left w:val="single" w:sz="4" w:space="0" w:color="000000"/>
              <w:right w:val="single" w:sz="4" w:space="0" w:color="000000"/>
            </w:tcBorders>
            <w:shd w:val="clear" w:color="auto" w:fill="DCDCDC"/>
          </w:tcPr>
          <w:p>
            <w:pPr/>
          </w:p>
        </w:tc>
        <w:tc>
          <w:tcPr>
            <w:tcW w:w="55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2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2" w:hRule="exact"/>
        </w:trPr>
        <w:tc>
          <w:tcPr>
            <w:tcW w:w="2137" w:type="dxa"/>
            <w:vMerge w:val="restart"/>
            <w:tcBorders>
              <w:top w:val="nil" w:sz="6" w:space="0" w:color="auto"/>
              <w:left w:val="single" w:sz="4" w:space="0" w:color="000000"/>
              <w:right w:val="single" w:sz="4" w:space="0" w:color="000000"/>
            </w:tcBorders>
            <w:shd w:val="clear" w:color="auto" w:fill="DCDCDC"/>
          </w:tcPr>
          <w:p>
            <w:pPr/>
          </w:p>
        </w:tc>
        <w:tc>
          <w:tcPr>
            <w:tcW w:w="1092"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656" w:type="dxa"/>
            <w:vMerge/>
            <w:tcBorders>
              <w:left w:val="single" w:sz="4" w:space="0" w:color="000000"/>
              <w:bottom w:val="nil" w:sz="6" w:space="0" w:color="auto"/>
              <w:right w:val="single" w:sz="4" w:space="0" w:color="000000"/>
            </w:tcBorders>
            <w:shd w:val="clear" w:color="auto" w:fill="DCDCDC"/>
          </w:tcPr>
          <w:p>
            <w:pPr/>
          </w:p>
        </w:tc>
        <w:tc>
          <w:tcPr>
            <w:tcW w:w="706" w:type="dxa"/>
            <w:vMerge/>
            <w:tcBorders>
              <w:left w:val="single" w:sz="4" w:space="0" w:color="000000"/>
              <w:right w:val="single" w:sz="4" w:space="0" w:color="000000"/>
            </w:tcBorders>
            <w:shd w:val="clear" w:color="auto" w:fill="DCDCDC"/>
          </w:tcPr>
          <w:p>
            <w:pPr/>
          </w:p>
        </w:tc>
        <w:tc>
          <w:tcPr>
            <w:tcW w:w="554" w:type="dxa"/>
            <w:vMerge/>
            <w:tcBorders>
              <w:left w:val="single" w:sz="4" w:space="0" w:color="000000"/>
              <w:bottom w:val="nil" w:sz="6" w:space="0" w:color="auto"/>
              <w:right w:val="single" w:sz="4" w:space="0" w:color="000000"/>
            </w:tcBorders>
            <w:shd w:val="clear" w:color="auto" w:fill="DCDCDC"/>
          </w:tcPr>
          <w:p>
            <w:pPr/>
          </w:p>
        </w:tc>
        <w:tc>
          <w:tcPr>
            <w:tcW w:w="1144"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141" w:hRule="exact"/>
        </w:trPr>
        <w:tc>
          <w:tcPr>
            <w:tcW w:w="2137"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656" w:type="dxa"/>
            <w:tcBorders>
              <w:top w:val="nil" w:sz="6" w:space="0" w:color="auto"/>
              <w:left w:val="single" w:sz="4" w:space="0" w:color="000000"/>
              <w:bottom w:val="single" w:sz="4" w:space="0" w:color="000000"/>
              <w:right w:val="single" w:sz="4" w:space="0" w:color="000000"/>
            </w:tcBorders>
            <w:shd w:val="clear" w:color="auto" w:fill="DCDCDC"/>
          </w:tcPr>
          <w:p>
            <w:pPr/>
          </w:p>
        </w:tc>
        <w:tc>
          <w:tcPr>
            <w:tcW w:w="706" w:type="dxa"/>
            <w:vMerge/>
            <w:tcBorders>
              <w:left w:val="single" w:sz="4" w:space="0" w:color="000000"/>
              <w:bottom w:val="single" w:sz="4" w:space="0" w:color="000000"/>
              <w:right w:val="single" w:sz="4" w:space="0" w:color="000000"/>
            </w:tcBorders>
            <w:shd w:val="clear" w:color="auto" w:fill="DCDCDC"/>
          </w:tcPr>
          <w:p>
            <w:pPr/>
          </w:p>
        </w:tc>
        <w:tc>
          <w:tcPr>
            <w:tcW w:w="5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1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75.00%</w:t>
            </w: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75.00%</w:t>
            </w:r>
          </w:p>
        </w:tc>
      </w:tr>
      <w:tr>
        <w:trPr>
          <w:trHeight w:val="556"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1"/>
                <w:sz w:val="21"/>
                <w:szCs w:val="21"/>
              </w:rPr>
              <w:t>：</w:t>
            </w:r>
            <w:r>
              <w:rPr>
                <w:rFonts w:ascii="宋体" w:hAnsi="宋体" w:cs="宋体" w:eastAsia="宋体" w:hint="default"/>
                <w:sz w:val="21"/>
                <w:szCs w:val="21"/>
              </w:rPr>
              <w:t>境</w:t>
            </w:r>
            <w:r>
              <w:rPr>
                <w:rFonts w:ascii="宋体" w:hAnsi="宋体" w:cs="宋体" w:eastAsia="宋体" w:hint="default"/>
                <w:spacing w:val="-2"/>
                <w:sz w:val="21"/>
                <w:szCs w:val="21"/>
              </w:rPr>
              <w:t>内</w:t>
            </w:r>
            <w:r>
              <w:rPr>
                <w:rFonts w:ascii="宋体" w:hAnsi="宋体" w:cs="宋体" w:eastAsia="宋体" w:hint="default"/>
                <w:sz w:val="21"/>
                <w:szCs w:val="21"/>
              </w:rPr>
              <w:t>非国有法人</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75.00%</w:t>
            </w: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15,000,000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25.00%</w:t>
            </w: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15,000,000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25.00%</w:t>
            </w: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9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15,000,000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pStyle w:val="BodyText"/>
        <w:spacing w:line="240" w:lineRule="auto" w:before="182"/>
        <w:ind w:left="997" w:right="0"/>
        <w:jc w:val="left"/>
      </w:pPr>
      <w:r>
        <w:rPr/>
        <w:t>（二）</w:t>
      </w:r>
      <w:r>
        <w:rPr>
          <w:spacing w:val="-87"/>
        </w:rPr>
        <w:t> </w:t>
      </w:r>
      <w:r>
        <w:rPr/>
        <w:t>限售股份变动情况表</w:t>
      </w:r>
    </w:p>
    <w:p>
      <w:pPr>
        <w:spacing w:line="240" w:lineRule="auto" w:before="2"/>
        <w:rPr>
          <w:rFonts w:ascii="宋体" w:hAnsi="宋体" w:cs="宋体" w:eastAsia="宋体" w:hint="default"/>
          <w:sz w:val="18"/>
          <w:szCs w:val="18"/>
        </w:rPr>
      </w:pPr>
    </w:p>
    <w:p>
      <w:pPr>
        <w:pStyle w:val="BodyText"/>
        <w:spacing w:line="240" w:lineRule="auto"/>
        <w:ind w:left="0" w:right="1172"/>
        <w:jc w:val="right"/>
      </w:pPr>
      <w:r>
        <w:rPr/>
        <w:t>单位：股</w:t>
      </w:r>
    </w:p>
    <w:p>
      <w:pPr>
        <w:spacing w:line="240" w:lineRule="auto" w:before="4"/>
        <w:rPr>
          <w:rFonts w:ascii="宋体" w:hAnsi="宋体" w:cs="宋体" w:eastAsia="宋体" w:hint="default"/>
          <w:sz w:val="6"/>
          <w:szCs w:val="6"/>
        </w:rPr>
      </w:pPr>
    </w:p>
    <w:tbl>
      <w:tblPr>
        <w:tblW w:w="0" w:type="auto"/>
        <w:jc w:val="left"/>
        <w:tblInd w:w="812" w:type="dxa"/>
        <w:tblLayout w:type="fixed"/>
        <w:tblCellMar>
          <w:top w:w="0" w:type="dxa"/>
          <w:left w:w="0" w:type="dxa"/>
          <w:bottom w:w="0" w:type="dxa"/>
          <w:right w:w="0" w:type="dxa"/>
        </w:tblCellMar>
        <w:tblLook w:val="01E0"/>
      </w:tblPr>
      <w:tblGrid>
        <w:gridCol w:w="1260"/>
        <w:gridCol w:w="1080"/>
        <w:gridCol w:w="1080"/>
        <w:gridCol w:w="1260"/>
        <w:gridCol w:w="1260"/>
        <w:gridCol w:w="1440"/>
        <w:gridCol w:w="1440"/>
      </w:tblGrid>
      <w:tr>
        <w:trPr>
          <w:trHeight w:val="556"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0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92"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82"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13,954,500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13,954,500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2013-05-26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何晔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2"/>
                <w:sz w:val="21"/>
              </w:rPr>
              <w:t>11,961,000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2"/>
                <w:sz w:val="21"/>
              </w:rPr>
              <w:t>11,961,000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2013-05-26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5,980,500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5,980,500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2013-05-26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5,980,500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5,980,500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2013-05-26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汪旻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1,993,500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1,993,500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2013-05-26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李芳洲</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许秋江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唐劲星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351,000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351,000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韩强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333,000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333,000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彭建文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301,500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301,500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800" w:right="62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260"/>
        <w:gridCol w:w="1080"/>
        <w:gridCol w:w="1080"/>
        <w:gridCol w:w="1260"/>
        <w:gridCol w:w="1260"/>
        <w:gridCol w:w="1440"/>
        <w:gridCol w:w="1440"/>
      </w:tblGrid>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刘东才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301,500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301,500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范勇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292,500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292,500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蔡晓宇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270,000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270,000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岳国京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270,000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270,000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孙征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202,500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202,500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金一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162,000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162,000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杜海荣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130,500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130,500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121,500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121,500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王挺凯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张锦强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唐坐平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成栋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魏鸿义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54,000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杨金敏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54,000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朱照辉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54,000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曲钢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54,000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梁志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朱振明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邓雪峰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彭晓斌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李玟臻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高运文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滕启红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李佳晶</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周峰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谢雄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肖喜庆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曾万里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赵琦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陈婷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6"/>
              <w:jc w:val="right"/>
              <w:rPr>
                <w:rFonts w:ascii="宋体" w:hAnsi="宋体" w:cs="宋体" w:eastAsia="宋体" w:hint="default"/>
                <w:sz w:val="21"/>
                <w:szCs w:val="21"/>
              </w:rPr>
            </w:pPr>
            <w:r>
              <w:rPr>
                <w:rFonts w:ascii="宋体" w:hAnsi="宋体" w:cs="宋体" w:eastAsia="宋体" w:hint="default"/>
                <w:sz w:val="21"/>
                <w:szCs w:val="21"/>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Times New Roman"/>
                <w:sz w:val="21"/>
              </w:rPr>
              <w:t>2011-05-26</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1260"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14"/>
              <w:ind w:right="17"/>
              <w:jc w:val="right"/>
              <w:rPr>
                <w:rFonts w:ascii="Times New Roman" w:hAnsi="Times New Roman" w:cs="Times New Roman" w:eastAsia="Times New Roman" w:hint="default"/>
                <w:sz w:val="21"/>
                <w:szCs w:val="21"/>
              </w:rPr>
            </w:pPr>
            <w:r>
              <w:rPr>
                <w:rFonts w:ascii="Times New Roman"/>
                <w:spacing w:val="-1"/>
                <w:sz w:val="21"/>
              </w:rPr>
              <w:t>45,000,000</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611"/>
              <w:jc w:val="right"/>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5"/>
        <w:spacing w:line="240" w:lineRule="auto" w:before="29"/>
        <w:ind w:left="297" w:right="0"/>
        <w:jc w:val="left"/>
        <w:rPr>
          <w:b w:val="0"/>
          <w:bCs w:val="0"/>
        </w:rPr>
      </w:pPr>
      <w:r>
        <w:rPr/>
        <w:t>二、</w:t>
      </w:r>
      <w:r>
        <w:rPr>
          <w:spacing w:val="-43"/>
        </w:rPr>
        <w:t> </w:t>
      </w:r>
      <w:r>
        <w:rPr/>
        <w:t>前</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8"/>
        </w:rPr>
        <w:t>名股东、前</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名无限售流通股股东情况介绍（截至</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b w:val="0"/>
          <w:bCs w:val="0"/>
        </w:rPr>
      </w:r>
    </w:p>
    <w:p>
      <w:pPr>
        <w:pStyle w:val="BodyText"/>
        <w:spacing w:line="240" w:lineRule="auto" w:before="129"/>
        <w:ind w:left="0" w:right="452"/>
        <w:jc w:val="right"/>
      </w:pPr>
      <w:r>
        <w:rPr/>
        <w:t>单位：股</w:t>
      </w:r>
    </w:p>
    <w:p>
      <w:pPr>
        <w:spacing w:line="240" w:lineRule="auto" w:before="4"/>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1963"/>
        <w:gridCol w:w="1266"/>
        <w:gridCol w:w="1260"/>
        <w:gridCol w:w="1440"/>
        <w:gridCol w:w="1440"/>
        <w:gridCol w:w="1440"/>
      </w:tblGrid>
      <w:tr>
        <w:trPr>
          <w:trHeight w:val="283" w:hRule="exact"/>
        </w:trPr>
        <w:tc>
          <w:tcPr>
            <w:tcW w:w="19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559"/>
              <w:jc w:val="right"/>
              <w:rPr>
                <w:rFonts w:ascii="宋体" w:hAnsi="宋体" w:cs="宋体" w:eastAsia="宋体" w:hint="default"/>
                <w:sz w:val="21"/>
                <w:szCs w:val="21"/>
              </w:rPr>
            </w:pPr>
            <w:r>
              <w:rPr>
                <w:rFonts w:ascii="宋体" w:hAnsi="宋体" w:cs="宋体" w:eastAsia="宋体" w:hint="default"/>
                <w:sz w:val="21"/>
                <w:szCs w:val="21"/>
              </w:rPr>
              <w:t>股东总数</w:t>
            </w:r>
          </w:p>
        </w:tc>
        <w:tc>
          <w:tcPr>
            <w:tcW w:w="6846"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6,386</w:t>
            </w:r>
          </w:p>
        </w:tc>
      </w:tr>
      <w:tr>
        <w:trPr>
          <w:trHeight w:val="282" w:hRule="exact"/>
        </w:trPr>
        <w:tc>
          <w:tcPr>
            <w:tcW w:w="8809"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13"/>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140" w:hRule="exact"/>
        </w:trPr>
        <w:tc>
          <w:tcPr>
            <w:tcW w:w="1963"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质押或冻结的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股份数量</w:t>
            </w:r>
          </w:p>
        </w:tc>
      </w:tr>
      <w:tr>
        <w:trPr>
          <w:trHeight w:val="272" w:hRule="exact"/>
        </w:trPr>
        <w:tc>
          <w:tcPr>
            <w:tcW w:w="19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559"/>
              <w:jc w:val="right"/>
              <w:rPr>
                <w:rFonts w:ascii="宋体" w:hAnsi="宋体" w:cs="宋体" w:eastAsia="宋体" w:hint="default"/>
                <w:sz w:val="21"/>
                <w:szCs w:val="21"/>
              </w:rPr>
            </w:pPr>
            <w:r>
              <w:rPr>
                <w:rFonts w:ascii="宋体" w:hAnsi="宋体" w:cs="宋体" w:eastAsia="宋体" w:hint="default"/>
                <w:sz w:val="21"/>
                <w:szCs w:val="21"/>
              </w:rPr>
              <w:t>股东名称</w:t>
            </w:r>
          </w:p>
        </w:tc>
        <w:tc>
          <w:tcPr>
            <w:tcW w:w="12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205"/>
              <w:jc w:val="right"/>
              <w:rPr>
                <w:rFonts w:ascii="宋体" w:hAnsi="宋体" w:cs="宋体" w:eastAsia="宋体" w:hint="default"/>
                <w:sz w:val="21"/>
                <w:szCs w:val="21"/>
              </w:rPr>
            </w:pPr>
            <w:r>
              <w:rPr>
                <w:rFonts w:ascii="宋体" w:hAnsi="宋体" w:cs="宋体" w:eastAsia="宋体" w:hint="default"/>
                <w:sz w:val="21"/>
                <w:szCs w:val="21"/>
              </w:rPr>
              <w:t>股东性质</w:t>
            </w: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20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40"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r>
      <w:tr>
        <w:trPr>
          <w:trHeight w:val="142" w:hRule="exact"/>
        </w:trPr>
        <w:tc>
          <w:tcPr>
            <w:tcW w:w="1963"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13,954,500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13,954,500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3"/>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何晔</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11,961,000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11,961,000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5,980,500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5,980,500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5,980,500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5,980,500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3"/>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汪旻</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1,993,500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1,993,500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3"/>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00" w:right="134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980"/>
        <w:gridCol w:w="1260"/>
        <w:gridCol w:w="1260"/>
        <w:gridCol w:w="1440"/>
        <w:gridCol w:w="1440"/>
        <w:gridCol w:w="1440"/>
      </w:tblGrid>
      <w:tr>
        <w:trPr>
          <w:trHeight w:val="82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中国建设银行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华夏</w:t>
            </w:r>
            <w:r>
              <w:rPr>
                <w:rFonts w:ascii="宋体" w:hAnsi="宋体" w:cs="宋体" w:eastAsia="宋体" w:hint="default"/>
                <w:sz w:val="21"/>
                <w:szCs w:val="21"/>
              </w:rPr>
            </w:r>
          </w:p>
          <w:p>
            <w:pPr>
              <w:pStyle w:val="TableParagraph"/>
              <w:spacing w:line="272" w:lineRule="exact" w:before="18"/>
              <w:ind w:left="21" w:right="15"/>
              <w:jc w:val="left"/>
              <w:rPr>
                <w:rFonts w:ascii="宋体" w:hAnsi="宋体" w:cs="宋体" w:eastAsia="宋体" w:hint="default"/>
                <w:sz w:val="21"/>
                <w:szCs w:val="21"/>
              </w:rPr>
            </w:pPr>
            <w:r>
              <w:rPr>
                <w:rFonts w:ascii="宋体" w:hAnsi="宋体" w:cs="宋体" w:eastAsia="宋体" w:hint="default"/>
                <w:spacing w:val="3"/>
                <w:sz w:val="21"/>
                <w:szCs w:val="21"/>
              </w:rPr>
              <w:t>优势增长股票型证券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投资基金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1" w:right="-14"/>
              <w:jc w:val="left"/>
              <w:rPr>
                <w:rFonts w:ascii="宋体" w:hAnsi="宋体" w:cs="宋体" w:eastAsia="宋体" w:hint="default"/>
                <w:sz w:val="21"/>
                <w:szCs w:val="21"/>
              </w:rPr>
            </w:pPr>
            <w:r>
              <w:rPr>
                <w:rFonts w:ascii="宋体" w:hAnsi="宋体" w:cs="宋体" w:eastAsia="宋体" w:hint="default"/>
                <w:spacing w:val="30"/>
                <w:sz w:val="21"/>
                <w:szCs w:val="21"/>
              </w:rPr>
              <w:t>境内非国有</w:t>
            </w:r>
            <w:r>
              <w:rPr>
                <w:rFonts w:ascii="宋体" w:hAnsi="宋体" w:cs="宋体" w:eastAsia="宋体" w:hint="default"/>
                <w:spacing w:val="-67"/>
                <w:sz w:val="21"/>
                <w:szCs w:val="21"/>
              </w:rPr>
              <w:t> </w:t>
            </w:r>
            <w:r>
              <w:rPr>
                <w:rFonts w:ascii="宋体" w:hAnsi="宋体" w:cs="宋体" w:eastAsia="宋体" w:hint="default"/>
                <w:sz w:val="21"/>
                <w:szCs w:val="21"/>
              </w:rPr>
              <w:t>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976,269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663"/>
              <w:jc w:val="right"/>
              <w:rPr>
                <w:rFonts w:ascii="Times New Roman" w:hAnsi="Times New Roman" w:cs="Times New Roman" w:eastAsia="Times New Roman" w:hint="default"/>
                <w:sz w:val="21"/>
                <w:szCs w:val="21"/>
              </w:rPr>
            </w:pPr>
            <w:r>
              <w:rPr>
                <w:rFonts w:ascii="Times New Roman"/>
                <w:sz w:val="21"/>
              </w:rPr>
              <w:t>0</w:t>
            </w:r>
          </w:p>
        </w:tc>
      </w:tr>
      <w:tr>
        <w:trPr>
          <w:trHeight w:val="82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中国农业银行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华夏</w:t>
            </w:r>
            <w:r>
              <w:rPr>
                <w:rFonts w:ascii="宋体" w:hAnsi="宋体" w:cs="宋体" w:eastAsia="宋体" w:hint="default"/>
                <w:sz w:val="21"/>
                <w:szCs w:val="21"/>
              </w:rPr>
            </w:r>
          </w:p>
          <w:p>
            <w:pPr>
              <w:pStyle w:val="TableParagraph"/>
              <w:spacing w:line="272" w:lineRule="exact" w:before="18"/>
              <w:ind w:left="21" w:right="15"/>
              <w:jc w:val="left"/>
              <w:rPr>
                <w:rFonts w:ascii="宋体" w:hAnsi="宋体" w:cs="宋体" w:eastAsia="宋体" w:hint="default"/>
                <w:sz w:val="21"/>
                <w:szCs w:val="21"/>
              </w:rPr>
            </w:pPr>
            <w:r>
              <w:rPr>
                <w:rFonts w:ascii="宋体" w:hAnsi="宋体" w:cs="宋体" w:eastAsia="宋体" w:hint="default"/>
                <w:spacing w:val="3"/>
                <w:sz w:val="21"/>
                <w:szCs w:val="21"/>
              </w:rPr>
              <w:t>平稳增长混合型证券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投资基金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1" w:right="-14"/>
              <w:jc w:val="left"/>
              <w:rPr>
                <w:rFonts w:ascii="宋体" w:hAnsi="宋体" w:cs="宋体" w:eastAsia="宋体" w:hint="default"/>
                <w:sz w:val="21"/>
                <w:szCs w:val="21"/>
              </w:rPr>
            </w:pPr>
            <w:r>
              <w:rPr>
                <w:rFonts w:ascii="宋体" w:hAnsi="宋体" w:cs="宋体" w:eastAsia="宋体" w:hint="default"/>
                <w:spacing w:val="30"/>
                <w:sz w:val="21"/>
                <w:szCs w:val="21"/>
              </w:rPr>
              <w:t>境内非国有</w:t>
            </w:r>
            <w:r>
              <w:rPr>
                <w:rFonts w:ascii="宋体" w:hAnsi="宋体" w:cs="宋体" w:eastAsia="宋体" w:hint="default"/>
                <w:spacing w:val="-67"/>
                <w:sz w:val="21"/>
                <w:szCs w:val="21"/>
              </w:rPr>
              <w:t> </w:t>
            </w:r>
            <w:r>
              <w:rPr>
                <w:rFonts w:ascii="宋体" w:hAnsi="宋体" w:cs="宋体" w:eastAsia="宋体" w:hint="default"/>
                <w:sz w:val="21"/>
                <w:szCs w:val="21"/>
              </w:rPr>
              <w:t>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500,900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663"/>
              <w:jc w:val="right"/>
              <w:rPr>
                <w:rFonts w:ascii="Times New Roman" w:hAnsi="Times New Roman" w:cs="Times New Roman" w:eastAsia="Times New Roman" w:hint="default"/>
                <w:sz w:val="21"/>
                <w:szCs w:val="21"/>
              </w:rPr>
            </w:pPr>
            <w:r>
              <w:rPr>
                <w:rFonts w:ascii="Times New Roman"/>
                <w:sz w:val="21"/>
              </w:rPr>
              <w:t>0</w:t>
            </w:r>
          </w:p>
        </w:tc>
      </w:tr>
      <w:tr>
        <w:trPr>
          <w:trHeight w:val="82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野村资产管理株式会</w:t>
            </w:r>
            <w:r>
              <w:rPr>
                <w:rFonts w:ascii="宋体" w:hAnsi="宋体" w:cs="宋体" w:eastAsia="宋体" w:hint="default"/>
                <w:sz w:val="21"/>
                <w:szCs w:val="21"/>
              </w:rPr>
            </w:r>
          </w:p>
          <w:p>
            <w:pPr>
              <w:pStyle w:val="TableParagraph"/>
              <w:spacing w:line="272" w:lineRule="exact" w:before="26"/>
              <w:ind w:left="21" w:right="15" w:hanging="1"/>
              <w:jc w:val="left"/>
              <w:rPr>
                <w:rFonts w:ascii="宋体" w:hAnsi="宋体" w:cs="宋体" w:eastAsia="宋体" w:hint="default"/>
                <w:sz w:val="21"/>
                <w:szCs w:val="21"/>
              </w:rPr>
            </w:pPr>
            <w:r>
              <w:rPr>
                <w:rFonts w:ascii="宋体" w:hAnsi="宋体" w:cs="宋体" w:eastAsia="宋体" w:hint="default"/>
                <w:spacing w:val="3"/>
                <w:sz w:val="21"/>
                <w:szCs w:val="21"/>
              </w:rPr>
              <w:t>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野村中国投资基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1" w:right="-14"/>
              <w:jc w:val="left"/>
              <w:rPr>
                <w:rFonts w:ascii="宋体" w:hAnsi="宋体" w:cs="宋体" w:eastAsia="宋体" w:hint="default"/>
                <w:sz w:val="21"/>
                <w:szCs w:val="21"/>
              </w:rPr>
            </w:pPr>
            <w:r>
              <w:rPr>
                <w:rFonts w:ascii="宋体" w:hAnsi="宋体" w:cs="宋体" w:eastAsia="宋体" w:hint="default"/>
                <w:spacing w:val="30"/>
                <w:sz w:val="21"/>
                <w:szCs w:val="21"/>
              </w:rPr>
              <w:t>境内非国有</w:t>
            </w:r>
            <w:r>
              <w:rPr>
                <w:rFonts w:ascii="宋体" w:hAnsi="宋体" w:cs="宋体" w:eastAsia="宋体" w:hint="default"/>
                <w:spacing w:val="-67"/>
                <w:sz w:val="21"/>
                <w:szCs w:val="21"/>
              </w:rPr>
              <w:t> </w:t>
            </w:r>
            <w:r>
              <w:rPr>
                <w:rFonts w:ascii="宋体" w:hAnsi="宋体" w:cs="宋体" w:eastAsia="宋体" w:hint="default"/>
                <w:sz w:val="21"/>
                <w:szCs w:val="21"/>
              </w:rPr>
              <w:t>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449,398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66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许秋江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刘奕</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882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288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283" w:hRule="exact"/>
        </w:trPr>
        <w:tc>
          <w:tcPr>
            <w:tcW w:w="32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555"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中国建设银行</w:t>
            </w:r>
            <w:r>
              <w:rPr>
                <w:rFonts w:ascii="Times New Roman" w:hAnsi="Times New Roman" w:cs="Times New Roman" w:eastAsia="Times New Roman" w:hint="default"/>
                <w:sz w:val="21"/>
                <w:szCs w:val="21"/>
              </w:rPr>
              <w:t>—</w:t>
            </w:r>
            <w:r>
              <w:rPr>
                <w:rFonts w:ascii="宋体" w:hAnsi="宋体" w:cs="宋体" w:eastAsia="宋体" w:hint="default"/>
                <w:sz w:val="21"/>
                <w:szCs w:val="21"/>
              </w:rPr>
              <w:t>华夏优势增长股票</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976,269</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中国农业银行</w:t>
            </w:r>
            <w:r>
              <w:rPr>
                <w:rFonts w:ascii="Times New Roman" w:hAnsi="Times New Roman" w:cs="Times New Roman" w:eastAsia="Times New Roman" w:hint="default"/>
                <w:sz w:val="21"/>
                <w:szCs w:val="21"/>
              </w:rPr>
              <w:t>—</w:t>
            </w:r>
            <w:r>
              <w:rPr>
                <w:rFonts w:ascii="宋体" w:hAnsi="宋体" w:cs="宋体" w:eastAsia="宋体" w:hint="default"/>
                <w:sz w:val="21"/>
                <w:szCs w:val="21"/>
              </w:rPr>
              <w:t>华夏平稳增长混合</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500,900</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野村资产管理株式会社</w:t>
            </w:r>
            <w:r>
              <w:rPr>
                <w:rFonts w:ascii="Times New Roman" w:hAnsi="Times New Roman" w:cs="Times New Roman" w:eastAsia="Times New Roman" w:hint="default"/>
                <w:sz w:val="21"/>
                <w:szCs w:val="21"/>
              </w:rPr>
              <w:t>—</w:t>
            </w:r>
            <w:r>
              <w:rPr>
                <w:rFonts w:ascii="宋体" w:hAnsi="宋体" w:cs="宋体" w:eastAsia="宋体" w:hint="default"/>
                <w:sz w:val="21"/>
                <w:szCs w:val="21"/>
              </w:rPr>
              <w:t>野村中国</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449,398</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野村证券株式会社</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238,223</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计云翔</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119,500</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叶殷毅</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104,100</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张建波</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94,000</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周力军</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89,882</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张徐雯</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89,800</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王丽娟</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86,859</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100" w:hRule="exact"/>
        </w:trPr>
        <w:tc>
          <w:tcPr>
            <w:tcW w:w="32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08" w:right="41" w:hanging="147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 明</w:t>
            </w:r>
          </w:p>
        </w:tc>
        <w:tc>
          <w:tcPr>
            <w:tcW w:w="55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both"/>
              <w:rPr>
                <w:rFonts w:ascii="宋体" w:hAnsi="宋体" w:cs="宋体" w:eastAsia="宋体" w:hint="default"/>
                <w:sz w:val="21"/>
                <w:szCs w:val="21"/>
              </w:rPr>
            </w:pPr>
            <w:r>
              <w:rPr>
                <w:rFonts w:ascii="宋体" w:hAnsi="宋体" w:cs="宋体" w:eastAsia="宋体" w:hint="default"/>
                <w:sz w:val="21"/>
                <w:szCs w:val="21"/>
              </w:rPr>
              <w:t>公司前十名股东之间，何晔和许秋江为配偶关系；张学君、</w:t>
            </w:r>
          </w:p>
          <w:p>
            <w:pPr>
              <w:pStyle w:val="TableParagraph"/>
              <w:spacing w:line="272" w:lineRule="exact" w:before="26"/>
              <w:ind w:left="21" w:right="86"/>
              <w:jc w:val="both"/>
              <w:rPr>
                <w:rFonts w:ascii="宋体" w:hAnsi="宋体" w:cs="宋体" w:eastAsia="宋体" w:hint="default"/>
                <w:sz w:val="21"/>
                <w:szCs w:val="21"/>
              </w:rPr>
            </w:pPr>
            <w:r>
              <w:rPr>
                <w:rFonts w:ascii="宋体" w:hAnsi="宋体" w:cs="宋体" w:eastAsia="宋体" w:hint="default"/>
                <w:sz w:val="21"/>
                <w:szCs w:val="21"/>
              </w:rPr>
              <w:t>陈向军、李军三人为公司共同实际控制人、一致行动人。除 此以外，公司未知其他股东之间是否存在关联关系，是否属 于一致行动人。</w:t>
            </w:r>
          </w:p>
        </w:tc>
      </w:tr>
    </w:tbl>
    <w:p>
      <w:pPr>
        <w:spacing w:line="240" w:lineRule="auto" w:before="0"/>
        <w:rPr>
          <w:rFonts w:ascii="宋体" w:hAnsi="宋体" w:cs="宋体" w:eastAsia="宋体" w:hint="default"/>
          <w:sz w:val="20"/>
          <w:szCs w:val="20"/>
        </w:rPr>
      </w:pPr>
    </w:p>
    <w:p>
      <w:pPr>
        <w:pStyle w:val="Heading5"/>
        <w:spacing w:line="240" w:lineRule="auto" w:before="182"/>
        <w:ind w:left="297" w:right="0"/>
        <w:jc w:val="left"/>
        <w:rPr>
          <w:b w:val="0"/>
          <w:bCs w:val="0"/>
        </w:rPr>
      </w:pPr>
      <w:r>
        <w:rPr/>
        <w:t>三、</w:t>
      </w:r>
      <w:r>
        <w:rPr>
          <w:spacing w:val="-39"/>
        </w:rPr>
        <w:t> </w:t>
      </w:r>
      <w:r>
        <w:rPr/>
        <w:t>证券发行与上市情况</w:t>
      </w:r>
      <w:r>
        <w:rPr>
          <w:b w:val="0"/>
          <w:bCs w:val="0"/>
        </w:rPr>
      </w:r>
    </w:p>
    <w:p>
      <w:pPr>
        <w:pStyle w:val="BodyText"/>
        <w:spacing w:line="336" w:lineRule="auto" w:before="146"/>
        <w:ind w:left="297" w:right="427" w:firstLine="459"/>
        <w:jc w:val="both"/>
      </w:pPr>
      <w:r>
        <w:rPr/>
        <w:t>报告期内，经中国证券监督管理委员会</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4"/>
        </w:rPr>
        <w:t>日</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2010</w:t>
      </w:r>
      <w:r>
        <w:rPr>
          <w:spacing w:val="-4"/>
        </w:rPr>
        <w:t>］</w:t>
      </w:r>
      <w:r>
        <w:rPr>
          <w:rFonts w:ascii="Times New Roman" w:hAnsi="Times New Roman" w:cs="Times New Roman" w:eastAsia="Times New Roman" w:hint="default"/>
          <w:spacing w:val="-4"/>
        </w:rPr>
        <w:t>548</w:t>
      </w:r>
      <w:r>
        <w:rPr>
          <w:rFonts w:ascii="Times New Roman" w:hAnsi="Times New Roman" w:cs="Times New Roman" w:eastAsia="Times New Roman" w:hint="default"/>
          <w:w w:val="100"/>
        </w:rPr>
        <w:t> </w:t>
      </w:r>
      <w:r>
        <w:rPr>
          <w:spacing w:val="-3"/>
        </w:rPr>
        <w:t>号</w:t>
      </w:r>
      <w:r>
        <w:rPr>
          <w:rFonts w:ascii="Times New Roman" w:hAnsi="Times New Roman" w:cs="Times New Roman" w:eastAsia="Times New Roman" w:hint="default"/>
          <w:spacing w:val="-3"/>
        </w:rPr>
        <w:t>”</w:t>
      </w:r>
      <w:r>
        <w:rPr>
          <w:spacing w:val="-3"/>
        </w:rPr>
        <w:t>《关于核准深圳市银之杰科技股份有限公司首次公开发行股票并在创业板上市的</w:t>
      </w:r>
      <w:r>
        <w:rPr>
          <w:spacing w:val="-86"/>
        </w:rPr>
        <w:t> </w:t>
      </w:r>
      <w:r>
        <w:rPr>
          <w:spacing w:val="-86"/>
        </w:rPr>
      </w:r>
      <w:r>
        <w:rPr>
          <w:spacing w:val="-8"/>
        </w:rPr>
        <w:t>批复》的核准，公司向社会公开发行人民币普通股股票</w:t>
      </w:r>
      <w:r>
        <w:rPr>
          <w:spacing w:val="-53"/>
        </w:rPr>
        <w:t> </w:t>
      </w:r>
      <w:r>
        <w:rPr>
          <w:rFonts w:ascii="Times New Roman" w:hAnsi="Times New Roman" w:cs="Times New Roman" w:eastAsia="Times New Roman" w:hint="default"/>
        </w:rPr>
        <w:t>1,500</w:t>
      </w:r>
      <w:r>
        <w:rPr>
          <w:rFonts w:ascii="Times New Roman" w:hAnsi="Times New Roman" w:cs="Times New Roman" w:eastAsia="Times New Roman" w:hint="default"/>
          <w:spacing w:val="6"/>
        </w:rPr>
        <w:t> </w:t>
      </w:r>
      <w:r>
        <w:rPr>
          <w:spacing w:val="-12"/>
        </w:rPr>
        <w:t>万股，发行价格为</w:t>
      </w:r>
      <w:r>
        <w:rPr>
          <w:spacing w:val="-53"/>
        </w:rPr>
        <w:t> </w:t>
      </w:r>
      <w:r>
        <w:rPr>
          <w:rFonts w:ascii="Times New Roman" w:hAnsi="Times New Roman" w:cs="Times New Roman" w:eastAsia="Times New Roman" w:hint="default"/>
        </w:rPr>
        <w:t>28.00</w:t>
      </w:r>
      <w:r>
        <w:rPr>
          <w:rFonts w:ascii="Times New Roman" w:hAnsi="Times New Roman" w:cs="Times New Roman" w:eastAsia="Times New Roman" w:hint="default"/>
          <w:spacing w:val="-53"/>
        </w:rPr>
        <w:t> </w:t>
      </w:r>
      <w:r>
        <w:rPr>
          <w:rFonts w:ascii="Times New Roman" w:hAnsi="Times New Roman" w:cs="Times New Roman" w:eastAsia="Times New Roman" w:hint="default"/>
          <w:spacing w:val="-53"/>
        </w:rPr>
      </w:r>
      <w:r>
        <w:rPr>
          <w:spacing w:val="-2"/>
        </w:rPr>
        <w:t>元</w:t>
      </w:r>
      <w:r>
        <w:rPr>
          <w:rFonts w:ascii="Times New Roman" w:hAnsi="Times New Roman" w:cs="Times New Roman" w:eastAsia="Times New Roman" w:hint="default"/>
          <w:spacing w:val="-2"/>
        </w:rPr>
        <w:t>/</w:t>
      </w:r>
      <w:r>
        <w:rPr>
          <w:spacing w:val="-2"/>
        </w:rPr>
        <w:t>股。本次公开发行由主承销商第一创业证券有限责任公司采用网下向询价对象询</w:t>
      </w:r>
      <w:r>
        <w:rPr>
          <w:spacing w:val="-85"/>
        </w:rPr>
        <w:t> </w:t>
      </w:r>
      <w:r>
        <w:rPr>
          <w:spacing w:val="-85"/>
        </w:rPr>
      </w:r>
      <w:r>
        <w:rPr/>
        <w:t>价配售和网上向社会公众投资者定价发行相结合的方式于</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6"/>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日完成，</w:t>
      </w:r>
    </w:p>
    <w:p>
      <w:pPr>
        <w:pStyle w:val="BodyText"/>
        <w:spacing w:line="240" w:lineRule="auto" w:before="27"/>
        <w:ind w:left="297" w:right="0"/>
        <w:jc w:val="left"/>
      </w:pPr>
      <w:r>
        <w:rPr>
          <w:w w:val="100"/>
        </w:rPr>
        <w:t>其中网</w:t>
      </w:r>
      <w:r>
        <w:rPr>
          <w:spacing w:val="-2"/>
          <w:w w:val="100"/>
        </w:rPr>
        <w:t>下配</w:t>
      </w:r>
      <w:r>
        <w:rPr>
          <w:w w:val="100"/>
        </w:rPr>
        <w:t>售</w:t>
      </w:r>
      <w:r>
        <w:rPr>
          <w:spacing w:val="-58"/>
        </w:rPr>
        <w:t> </w:t>
      </w:r>
      <w:r>
        <w:rPr>
          <w:rFonts w:ascii="Times New Roman" w:hAnsi="Times New Roman" w:cs="Times New Roman" w:eastAsia="Times New Roman" w:hint="default"/>
          <w:w w:val="100"/>
        </w:rPr>
        <w:t>300</w:t>
      </w:r>
      <w:r>
        <w:rPr>
          <w:rFonts w:ascii="Times New Roman" w:hAnsi="Times New Roman" w:cs="Times New Roman" w:eastAsia="Times New Roman" w:hint="default"/>
        </w:rPr>
        <w:t> </w:t>
      </w:r>
      <w:r>
        <w:rPr>
          <w:spacing w:val="-2"/>
          <w:w w:val="100"/>
        </w:rPr>
        <w:t>万股</w:t>
      </w:r>
      <w:r>
        <w:rPr>
          <w:spacing w:val="-99"/>
          <w:w w:val="100"/>
        </w:rPr>
        <w:t>，</w:t>
      </w:r>
      <w:r>
        <w:rPr>
          <w:spacing w:val="-2"/>
          <w:w w:val="100"/>
        </w:rPr>
        <w:t>网</w:t>
      </w:r>
      <w:r>
        <w:rPr>
          <w:w w:val="100"/>
        </w:rPr>
        <w:t>上定</w:t>
      </w:r>
      <w:r>
        <w:rPr>
          <w:spacing w:val="-2"/>
          <w:w w:val="100"/>
        </w:rPr>
        <w:t>价</w:t>
      </w:r>
      <w:r>
        <w:rPr>
          <w:w w:val="100"/>
        </w:rPr>
        <w:t>发行</w:t>
      </w:r>
      <w:r>
        <w:rPr>
          <w:spacing w:val="-58"/>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万</w:t>
      </w:r>
      <w:r>
        <w:rPr>
          <w:spacing w:val="-2"/>
          <w:w w:val="100"/>
        </w:rPr>
        <w:t>股</w:t>
      </w:r>
      <w:r>
        <w:rPr>
          <w:spacing w:val="-99"/>
          <w:w w:val="100"/>
        </w:rPr>
        <w:t>，</w:t>
      </w:r>
      <w:r>
        <w:rPr>
          <w:w w:val="100"/>
        </w:rPr>
        <w:t>募</w:t>
      </w:r>
      <w:r>
        <w:rPr>
          <w:spacing w:val="-2"/>
          <w:w w:val="100"/>
        </w:rPr>
        <w:t>集</w:t>
      </w:r>
      <w:r>
        <w:rPr>
          <w:w w:val="100"/>
        </w:rPr>
        <w:t>资金总额</w:t>
      </w:r>
      <w:r>
        <w:rPr>
          <w:spacing w:val="-59"/>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0,000,000</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1"/>
          <w:w w:val="100"/>
        </w:rPr>
        <w:t>元，</w:t>
      </w:r>
      <w:r>
        <w:rPr>
          <w:w w:val="100"/>
        </w:rPr>
      </w:r>
    </w:p>
    <w:p>
      <w:pPr>
        <w:pStyle w:val="BodyText"/>
        <w:spacing w:line="240" w:lineRule="auto" w:before="129"/>
        <w:ind w:left="297" w:right="0"/>
        <w:jc w:val="left"/>
      </w:pPr>
      <w:r>
        <w:rPr/>
        <w:t>扣除承销费和保荐费</w:t>
      </w:r>
      <w:r>
        <w:rPr>
          <w:spacing w:val="-53"/>
        </w:rPr>
        <w:t> </w:t>
      </w:r>
      <w:r>
        <w:rPr>
          <w:rFonts w:ascii="Times New Roman" w:hAnsi="Times New Roman" w:cs="Times New Roman" w:eastAsia="Times New Roman" w:hint="default"/>
        </w:rPr>
        <w:t>25,200,000.00</w:t>
      </w:r>
      <w:r>
        <w:rPr>
          <w:rFonts w:ascii="Times New Roman" w:hAnsi="Times New Roman" w:cs="Times New Roman" w:eastAsia="Times New Roman" w:hint="default"/>
          <w:spacing w:val="3"/>
        </w:rPr>
        <w:t> </w:t>
      </w:r>
      <w:r>
        <w:rPr/>
        <w:t>元、发行费用</w:t>
      </w:r>
      <w:r>
        <w:rPr>
          <w:spacing w:val="-53"/>
        </w:rPr>
        <w:t> </w:t>
      </w:r>
      <w:r>
        <w:rPr>
          <w:rFonts w:ascii="Times New Roman" w:hAnsi="Times New Roman" w:cs="Times New Roman" w:eastAsia="Times New Roman" w:hint="default"/>
        </w:rPr>
        <w:t>5,849,260.04</w:t>
      </w:r>
      <w:r>
        <w:rPr>
          <w:rFonts w:ascii="Times New Roman" w:hAnsi="Times New Roman" w:cs="Times New Roman" w:eastAsia="Times New Roman" w:hint="default"/>
          <w:spacing w:val="4"/>
        </w:rPr>
        <w:t> </w:t>
      </w:r>
      <w:r>
        <w:rPr/>
        <w:t>元后，实际募集资金</w:t>
      </w:r>
    </w:p>
    <w:p>
      <w:pPr>
        <w:pStyle w:val="BodyText"/>
        <w:spacing w:line="345" w:lineRule="auto" w:before="129"/>
        <w:ind w:left="297" w:right="331" w:hanging="1"/>
        <w:jc w:val="left"/>
      </w:pPr>
      <w:r>
        <w:rPr>
          <w:w w:val="100"/>
        </w:rPr>
        <w:t>净额为</w:t>
      </w:r>
      <w:r>
        <w:rPr>
          <w:spacing w:val="-58"/>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8</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w w:val="100"/>
        </w:rPr>
        <w:t>950,739.</w:t>
      </w:r>
      <w:r>
        <w:rPr>
          <w:rFonts w:ascii="Times New Roman" w:hAnsi="Times New Roman" w:cs="Times New Roman" w:eastAsia="Times New Roman" w:hint="default"/>
          <w:spacing w:val="-2"/>
          <w:w w:val="100"/>
        </w:rPr>
        <w:t>9</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rPr>
        <w:t> </w:t>
      </w:r>
      <w:r>
        <w:rPr>
          <w:spacing w:val="-17"/>
          <w:w w:val="100"/>
        </w:rPr>
        <w:t>元</w:t>
      </w:r>
      <w:r>
        <w:rPr>
          <w:w w:val="100"/>
        </w:rPr>
        <w:t>（注</w:t>
      </w:r>
      <w:r>
        <w:rPr>
          <w:spacing w:val="-17"/>
          <w:w w:val="100"/>
        </w:rPr>
        <w:t>：</w:t>
      </w:r>
      <w:r>
        <w:rPr>
          <w:spacing w:val="-2"/>
          <w:w w:val="100"/>
        </w:rPr>
        <w:t>见</w:t>
      </w:r>
      <w:r>
        <w:rPr>
          <w:w w:val="100"/>
        </w:rPr>
        <w:t>本报告</w:t>
      </w:r>
      <w:r>
        <w:rPr>
          <w:spacing w:val="-2"/>
          <w:w w:val="100"/>
        </w:rPr>
        <w:t>第三</w:t>
      </w:r>
      <w:r>
        <w:rPr>
          <w:w w:val="100"/>
        </w:rPr>
        <w:t>节</w:t>
      </w:r>
      <w:r>
        <w:rPr>
          <w:spacing w:val="-17"/>
          <w:w w:val="100"/>
        </w:rPr>
        <w:t>，</w:t>
      </w:r>
      <w:r>
        <w:rPr>
          <w:w w:val="100"/>
        </w:rPr>
        <w:t>三</w:t>
      </w:r>
      <w:r>
        <w:rPr>
          <w:spacing w:val="-132"/>
          <w:w w:val="100"/>
        </w:rPr>
        <w:t>，</w:t>
      </w:r>
      <w:r>
        <w:rPr>
          <w:spacing w:val="-2"/>
          <w:w w:val="100"/>
        </w:rPr>
        <w:t>（</w:t>
      </w:r>
      <w:r>
        <w:rPr>
          <w:w w:val="100"/>
        </w:rPr>
        <w:t>一</w:t>
      </w:r>
      <w:r>
        <w:rPr>
          <w:spacing w:val="-116"/>
          <w:w w:val="100"/>
        </w:rPr>
        <w:t>）</w:t>
      </w:r>
      <w:r>
        <w:rPr>
          <w:spacing w:val="-132"/>
          <w:w w:val="100"/>
        </w:rPr>
        <w:t>，</w:t>
      </w:r>
      <w:r>
        <w:rPr>
          <w:w w:val="100"/>
        </w:rPr>
        <w:t>“</w:t>
      </w:r>
      <w:r>
        <w:rPr>
          <w:rFonts w:ascii="Times New Roman" w:hAnsi="Times New Roman" w:cs="Times New Roman" w:eastAsia="Times New Roman" w:hint="default"/>
          <w:w w:val="100"/>
        </w:rPr>
        <w:t>1.</w:t>
      </w:r>
      <w:r>
        <w:rPr>
          <w:spacing w:val="-2"/>
          <w:w w:val="100"/>
        </w:rPr>
        <w:t>募</w:t>
      </w:r>
      <w:r>
        <w:rPr>
          <w:w w:val="100"/>
        </w:rPr>
        <w:t>集资金</w:t>
      </w:r>
      <w:r>
        <w:rPr>
          <w:spacing w:val="-2"/>
          <w:w w:val="100"/>
        </w:rPr>
        <w:t>到位</w:t>
      </w:r>
      <w:r>
        <w:rPr>
          <w:w w:val="100"/>
        </w:rPr>
        <w:t>情况”</w:t>
      </w:r>
      <w:r>
        <w:rPr>
          <w:w w:val="100"/>
        </w:rPr>
        <w:t> 的说明</w:t>
      </w:r>
      <w:r>
        <w:rPr>
          <w:spacing w:val="-117"/>
          <w:w w:val="100"/>
        </w:rPr>
        <w:t>）</w:t>
      </w:r>
      <w:r>
        <w:rPr>
          <w:spacing w:val="-83"/>
          <w:w w:val="100"/>
        </w:rPr>
        <w:t>。</w:t>
      </w:r>
      <w:r>
        <w:rPr>
          <w:spacing w:val="-2"/>
          <w:w w:val="100"/>
        </w:rPr>
        <w:t>深</w:t>
      </w:r>
      <w:r>
        <w:rPr>
          <w:w w:val="100"/>
        </w:rPr>
        <w:t>圳市鹏</w:t>
      </w:r>
      <w:r>
        <w:rPr>
          <w:spacing w:val="-2"/>
          <w:w w:val="100"/>
        </w:rPr>
        <w:t>城会</w:t>
      </w:r>
      <w:r>
        <w:rPr>
          <w:w w:val="100"/>
        </w:rPr>
        <w:t>计师事</w:t>
      </w:r>
      <w:r>
        <w:rPr>
          <w:spacing w:val="-2"/>
          <w:w w:val="100"/>
        </w:rPr>
        <w:t>务所</w:t>
      </w:r>
      <w:r>
        <w:rPr>
          <w:w w:val="100"/>
        </w:rPr>
        <w:t>有限公</w:t>
      </w:r>
      <w:r>
        <w:rPr>
          <w:spacing w:val="-2"/>
          <w:w w:val="100"/>
        </w:rPr>
        <w:t>司为</w:t>
      </w:r>
      <w:r>
        <w:rPr>
          <w:w w:val="100"/>
        </w:rPr>
        <w:t>本次发</w:t>
      </w:r>
      <w:r>
        <w:rPr>
          <w:spacing w:val="-2"/>
          <w:w w:val="100"/>
        </w:rPr>
        <w:t>行股</w:t>
      </w:r>
      <w:r>
        <w:rPr>
          <w:w w:val="100"/>
        </w:rPr>
        <w:t>票募集</w:t>
      </w:r>
      <w:r>
        <w:rPr>
          <w:spacing w:val="-2"/>
          <w:w w:val="100"/>
        </w:rPr>
        <w:t>资金</w:t>
      </w:r>
      <w:r>
        <w:rPr>
          <w:w w:val="100"/>
        </w:rPr>
        <w:t>情况进</w:t>
      </w:r>
      <w:r>
        <w:rPr>
          <w:spacing w:val="-2"/>
          <w:w w:val="100"/>
        </w:rPr>
        <w:t>行</w:t>
      </w:r>
      <w:r>
        <w:rPr>
          <w:w w:val="100"/>
        </w:rPr>
        <w:t>了验</w:t>
      </w:r>
      <w:r>
        <w:rPr>
          <w:w w:val="100"/>
        </w:rPr>
        <w:t> 证</w:t>
      </w:r>
      <w:r>
        <w:rPr>
          <w:spacing w:val="-3"/>
          <w:w w:val="100"/>
        </w:rPr>
        <w:t>，</w:t>
      </w:r>
      <w:r>
        <w:rPr>
          <w:w w:val="100"/>
        </w:rPr>
        <w:t>并出</w:t>
      </w:r>
      <w:r>
        <w:rPr>
          <w:spacing w:val="-2"/>
          <w:w w:val="100"/>
        </w:rPr>
        <w:t>具</w:t>
      </w:r>
      <w:r>
        <w:rPr>
          <w:w w:val="100"/>
        </w:rPr>
        <w:t>了深鹏</w:t>
      </w:r>
      <w:r>
        <w:rPr>
          <w:spacing w:val="-2"/>
          <w:w w:val="100"/>
        </w:rPr>
        <w:t>所验</w:t>
      </w:r>
      <w:r>
        <w:rPr>
          <w:w w:val="100"/>
        </w:rPr>
        <w:t>字</w:t>
      </w:r>
      <w:r>
        <w:rPr>
          <w:rFonts w:ascii="Times New Roman" w:hAnsi="Times New Roman" w:cs="Times New Roman" w:eastAsia="Times New Roman" w:hint="default"/>
          <w:spacing w:val="-1"/>
          <w:w w:val="100"/>
        </w:rPr>
        <w:t>[201</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1"/>
          <w:w w:val="100"/>
        </w:rPr>
        <w:t>18</w:t>
      </w:r>
      <w:r>
        <w:rPr>
          <w:rFonts w:ascii="Times New Roman" w:hAnsi="Times New Roman" w:cs="Times New Roman" w:eastAsia="Times New Roman" w:hint="default"/>
          <w:w w:val="100"/>
        </w:rPr>
        <w:t>4</w:t>
      </w:r>
      <w:r>
        <w:rPr>
          <w:rFonts w:ascii="Times New Roman" w:hAnsi="Times New Roman" w:cs="Times New Roman" w:eastAsia="Times New Roman" w:hint="default"/>
          <w:spacing w:val="-1"/>
        </w:rPr>
        <w:t> </w:t>
      </w:r>
      <w:r>
        <w:rPr>
          <w:spacing w:val="-3"/>
          <w:w w:val="100"/>
        </w:rPr>
        <w:t>号</w:t>
      </w:r>
      <w:r>
        <w:rPr>
          <w:w w:val="100"/>
        </w:rPr>
        <w:t>《验</w:t>
      </w:r>
      <w:r>
        <w:rPr>
          <w:spacing w:val="-2"/>
          <w:w w:val="100"/>
        </w:rPr>
        <w:t>资</w:t>
      </w:r>
      <w:r>
        <w:rPr>
          <w:w w:val="100"/>
        </w:rPr>
        <w:t>报告</w:t>
      </w:r>
      <w:r>
        <w:rPr>
          <w:spacing w:val="-116"/>
          <w:w w:val="100"/>
        </w:rPr>
        <w:t>》</w:t>
      </w:r>
      <w:r>
        <w:rPr>
          <w:spacing w:val="-3"/>
          <w:w w:val="100"/>
        </w:rPr>
        <w:t>。</w:t>
      </w:r>
      <w:r>
        <w:rPr>
          <w:spacing w:val="-2"/>
          <w:w w:val="100"/>
        </w:rPr>
        <w:t>本</w:t>
      </w:r>
      <w:r>
        <w:rPr>
          <w:w w:val="100"/>
        </w:rPr>
        <w:t>公司于</w:t>
      </w:r>
      <w:r>
        <w:rPr>
          <w:spacing w:val="-58"/>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年</w:t>
      </w:r>
      <w:r>
        <w:rPr>
          <w:spacing w:val="-58"/>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月</w:t>
      </w:r>
      <w:r>
        <w:rPr>
          <w:spacing w:val="-58"/>
        </w:rPr>
        <w:t> </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日在</w:t>
      </w:r>
    </w:p>
    <w:p>
      <w:pPr>
        <w:spacing w:after="0" w:line="345" w:lineRule="auto"/>
        <w:jc w:val="left"/>
        <w:sectPr>
          <w:pgSz w:w="11910" w:h="16840"/>
          <w:pgMar w:header="877" w:footer="982" w:top="1100" w:bottom="1180" w:left="1500" w:right="1340"/>
        </w:sectPr>
      </w:pPr>
    </w:p>
    <w:p>
      <w:pPr>
        <w:spacing w:line="240" w:lineRule="auto" w:before="4"/>
        <w:rPr>
          <w:rFonts w:ascii="宋体" w:hAnsi="宋体" w:cs="宋体" w:eastAsia="宋体" w:hint="default"/>
          <w:sz w:val="19"/>
          <w:szCs w:val="19"/>
        </w:rPr>
      </w:pPr>
    </w:p>
    <w:p>
      <w:pPr>
        <w:pStyle w:val="BodyText"/>
        <w:spacing w:line="348" w:lineRule="auto"/>
        <w:ind w:right="151"/>
        <w:jc w:val="both"/>
      </w:pPr>
      <w:r>
        <w:rPr>
          <w:spacing w:val="23"/>
        </w:rPr>
        <w:t>深圳</w:t>
      </w:r>
      <w:r>
        <w:rPr>
          <w:spacing w:val="-62"/>
        </w:rPr>
        <w:t> </w:t>
      </w:r>
      <w:r>
        <w:rPr>
          <w:spacing w:val="35"/>
        </w:rPr>
        <w:t>市市场监</w:t>
      </w:r>
      <w:r>
        <w:rPr>
          <w:spacing w:val="-62"/>
        </w:rPr>
        <w:t> </w:t>
      </w:r>
      <w:r>
        <w:rPr>
          <w:spacing w:val="35"/>
        </w:rPr>
        <w:t>督管理局</w:t>
      </w:r>
      <w:r>
        <w:rPr>
          <w:spacing w:val="-62"/>
        </w:rPr>
        <w:t> </w:t>
      </w:r>
      <w:r>
        <w:rPr>
          <w:spacing w:val="35"/>
        </w:rPr>
        <w:t>完成了工</w:t>
      </w:r>
      <w:r>
        <w:rPr>
          <w:spacing w:val="-62"/>
        </w:rPr>
        <w:t> </w:t>
      </w:r>
      <w:r>
        <w:rPr>
          <w:spacing w:val="35"/>
        </w:rPr>
        <w:t>商变更登</w:t>
      </w:r>
      <w:r>
        <w:rPr>
          <w:spacing w:val="-62"/>
        </w:rPr>
        <w:t> </w:t>
      </w:r>
      <w:r>
        <w:rPr>
          <w:spacing w:val="35"/>
        </w:rPr>
        <w:t>记手续，</w:t>
      </w:r>
      <w:r>
        <w:rPr>
          <w:spacing w:val="-62"/>
        </w:rPr>
        <w:t> </w:t>
      </w:r>
      <w:r>
        <w:rPr>
          <w:spacing w:val="35"/>
        </w:rPr>
        <w:t>营业执照</w:t>
      </w:r>
      <w:r>
        <w:rPr>
          <w:spacing w:val="-62"/>
        </w:rPr>
        <w:t> </w:t>
      </w:r>
      <w:r>
        <w:rPr>
          <w:spacing w:val="31"/>
        </w:rPr>
        <w:t>注册号</w:t>
      </w:r>
      <w:r>
        <w:rPr>
          <w:spacing w:val="-62"/>
        </w:rPr>
        <w:t> </w:t>
      </w:r>
      <w:r>
        <w:rPr/>
        <w:t>为</w:t>
      </w:r>
      <w:r>
        <w:rPr>
          <w:w w:val="100"/>
        </w:rPr>
        <w:t> </w:t>
      </w:r>
      <w:r>
        <w:rPr>
          <w:rFonts w:ascii="Times New Roman" w:hAnsi="Times New Roman" w:cs="Times New Roman" w:eastAsia="Times New Roman" w:hint="default"/>
        </w:rPr>
        <w:t>440301102955880</w:t>
      </w:r>
      <w:r>
        <w:rPr/>
        <w:t>，注册资本为人民币 </w:t>
      </w:r>
      <w:r>
        <w:rPr>
          <w:rFonts w:ascii="Times New Roman" w:hAnsi="Times New Roman" w:cs="Times New Roman" w:eastAsia="Times New Roman" w:hint="default"/>
        </w:rPr>
        <w:t>6000</w:t>
      </w:r>
      <w:r>
        <w:rPr>
          <w:rFonts w:ascii="Times New Roman" w:hAnsi="Times New Roman" w:cs="Times New Roman" w:eastAsia="Times New Roman" w:hint="default"/>
          <w:spacing w:val="-34"/>
        </w:rPr>
        <w:t> </w:t>
      </w:r>
      <w:r>
        <w:rPr/>
        <w:t>万元，住所为深圳市福田区车公庙天安</w:t>
      </w:r>
      <w:r>
        <w:rPr>
          <w:w w:val="100"/>
        </w:rPr>
        <w:t> </w:t>
      </w:r>
      <w:r>
        <w:rPr/>
        <w:t>数码城天祥大厦</w:t>
      </w:r>
      <w:r>
        <w:rPr>
          <w:spacing w:val="-61"/>
        </w:rPr>
        <w:t> </w:t>
      </w:r>
      <w:r>
        <w:rPr>
          <w:rFonts w:ascii="Times New Roman" w:hAnsi="Times New Roman" w:cs="Times New Roman" w:eastAsia="Times New Roman" w:hint="default"/>
        </w:rPr>
        <w:t>AB</w:t>
      </w:r>
      <w:r>
        <w:rPr>
          <w:rFonts w:ascii="Times New Roman" w:hAnsi="Times New Roman" w:cs="Times New Roman" w:eastAsia="Times New Roman" w:hint="default"/>
          <w:spacing w:val="-3"/>
        </w:rPr>
        <w:t> </w:t>
      </w:r>
      <w:r>
        <w:rPr/>
        <w:t>座</w:t>
      </w:r>
      <w:r>
        <w:rPr>
          <w:spacing w:val="-61"/>
        </w:rPr>
        <w:t> </w:t>
      </w:r>
      <w:r>
        <w:rPr>
          <w:rFonts w:ascii="Times New Roman" w:hAnsi="Times New Roman" w:cs="Times New Roman" w:eastAsia="Times New Roman" w:hint="default"/>
        </w:rPr>
        <w:t>5B2</w:t>
      </w:r>
      <w:r>
        <w:rPr/>
        <w:t>，法定代表人为陈向军。</w:t>
      </w:r>
    </w:p>
    <w:p>
      <w:pPr>
        <w:pStyle w:val="BodyText"/>
        <w:spacing w:line="345" w:lineRule="auto" w:before="14"/>
        <w:ind w:right="151" w:firstLine="459"/>
        <w:jc w:val="both"/>
      </w:pPr>
      <w:r>
        <w:rPr/>
        <w:t>经深圳证券交易所《关于深圳市银之杰科技股份有限公司人民币普通股股票在</w:t>
      </w:r>
      <w:r>
        <w:rPr>
          <w:w w:val="100"/>
        </w:rPr>
        <w:t> </w:t>
      </w:r>
      <w:r>
        <w:rPr>
          <w:spacing w:val="-6"/>
          <w:w w:val="100"/>
        </w:rPr>
        <w:t>创业板上市的通知》（深证上</w:t>
      </w:r>
      <w:r>
        <w:rPr>
          <w:rFonts w:ascii="Times New Roman" w:hAnsi="Times New Roman" w:cs="Times New Roman" w:eastAsia="Times New Roman" w:hint="default"/>
          <w:spacing w:val="-6"/>
          <w:w w:val="100"/>
        </w:rPr>
        <w:t>[2010]165</w:t>
      </w:r>
      <w:r>
        <w:rPr>
          <w:rFonts w:ascii="Times New Roman" w:hAnsi="Times New Roman" w:cs="Times New Roman" w:eastAsia="Times New Roman" w:hint="default"/>
          <w:spacing w:val="56"/>
          <w:w w:val="100"/>
        </w:rPr>
        <w:t> </w:t>
      </w:r>
      <w:r>
        <w:rPr>
          <w:spacing w:val="-1"/>
          <w:w w:val="100"/>
        </w:rPr>
        <w:t>号）同意，本公司发行的人民币普通股股票</w:t>
      </w:r>
      <w:r>
        <w:rPr>
          <w:w w:val="10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5"/>
        </w:rPr>
        <w:t>日在深圳证券交易所创业板挂牌交易，股票简称</w:t>
      </w:r>
      <w:r>
        <w:rPr>
          <w:rFonts w:ascii="Times New Roman" w:hAnsi="Times New Roman" w:cs="Times New Roman" w:eastAsia="Times New Roman" w:hint="default"/>
          <w:spacing w:val="-5"/>
        </w:rPr>
        <w:t>“</w:t>
      </w:r>
      <w:r>
        <w:rPr>
          <w:spacing w:val="-5"/>
        </w:rPr>
        <w:t>银之杰</w:t>
      </w:r>
      <w:r>
        <w:rPr>
          <w:rFonts w:ascii="Times New Roman" w:hAnsi="Times New Roman" w:cs="Times New Roman" w:eastAsia="Times New Roman" w:hint="default"/>
          <w:spacing w:val="-5"/>
        </w:rPr>
        <w:t>”</w:t>
      </w:r>
      <w:r>
        <w:rPr>
          <w:spacing w:val="-5"/>
        </w:rPr>
        <w:t>，股票代码</w:t>
      </w:r>
    </w:p>
    <w:p>
      <w:pPr>
        <w:pStyle w:val="BodyText"/>
        <w:spacing w:line="240" w:lineRule="auto" w:before="17"/>
        <w:ind w:right="0"/>
        <w:jc w:val="both"/>
      </w:pPr>
      <w:r>
        <w:rPr>
          <w:rFonts w:ascii="Times New Roman" w:hAnsi="Times New Roman" w:cs="Times New Roman" w:eastAsia="Times New Roman" w:hint="default"/>
        </w:rPr>
        <w:t>“300085”</w:t>
      </w:r>
      <w:r>
        <w:rPr/>
        <w:t>。截止</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日，公司有限售条件流通股份为</w:t>
      </w:r>
      <w:r>
        <w:rPr>
          <w:spacing w:val="-60"/>
        </w:rPr>
        <w:t> </w:t>
      </w:r>
      <w:r>
        <w:rPr>
          <w:rFonts w:ascii="Times New Roman" w:hAnsi="Times New Roman" w:cs="Times New Roman" w:eastAsia="Times New Roman" w:hint="default"/>
        </w:rPr>
        <w:t>4500</w:t>
      </w:r>
      <w:r>
        <w:rPr>
          <w:rFonts w:ascii="Times New Roman" w:hAnsi="Times New Roman" w:cs="Times New Roman" w:eastAsia="Times New Roman" w:hint="default"/>
          <w:spacing w:val="56"/>
        </w:rPr>
        <w:t> </w:t>
      </w:r>
      <w:r>
        <w:rPr/>
        <w:t>万股，无限</w:t>
      </w:r>
    </w:p>
    <w:p>
      <w:pPr>
        <w:pStyle w:val="BodyText"/>
        <w:spacing w:line="240" w:lineRule="auto" w:before="129"/>
        <w:ind w:right="0"/>
        <w:jc w:val="both"/>
      </w:pPr>
      <w:r>
        <w:rPr/>
        <w:t>售条件流通股份为 </w:t>
      </w:r>
      <w:r>
        <w:rPr>
          <w:rFonts w:ascii="Times New Roman" w:hAnsi="Times New Roman" w:cs="Times New Roman" w:eastAsia="Times New Roman" w:hint="default"/>
        </w:rPr>
        <w:t>1500</w:t>
      </w:r>
      <w:r>
        <w:rPr>
          <w:rFonts w:ascii="Times New Roman" w:hAnsi="Times New Roman" w:cs="Times New Roman" w:eastAsia="Times New Roman" w:hint="default"/>
          <w:spacing w:val="-3"/>
        </w:rPr>
        <w:t> </w:t>
      </w:r>
      <w:r>
        <w:rPr/>
        <w:t>万股。</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spacing w:line="453" w:lineRule="auto" w:before="0"/>
        <w:ind w:left="597" w:right="0" w:hanging="460"/>
        <w:jc w:val="left"/>
        <w:rPr>
          <w:rFonts w:ascii="宋体" w:hAnsi="宋体" w:cs="宋体" w:eastAsia="宋体" w:hint="default"/>
          <w:sz w:val="23"/>
          <w:szCs w:val="23"/>
        </w:rPr>
      </w:pPr>
      <w:r>
        <w:rPr>
          <w:rFonts w:ascii="宋体" w:hAnsi="宋体" w:cs="宋体" w:eastAsia="宋体" w:hint="default"/>
          <w:b/>
          <w:bCs/>
          <w:sz w:val="23"/>
          <w:szCs w:val="23"/>
        </w:rPr>
        <w:t>四、</w:t>
      </w:r>
      <w:r>
        <w:rPr>
          <w:rFonts w:ascii="宋体" w:hAnsi="宋体" w:cs="宋体" w:eastAsia="宋体" w:hint="default"/>
          <w:b/>
          <w:bCs/>
          <w:spacing w:val="-38"/>
          <w:sz w:val="23"/>
          <w:szCs w:val="23"/>
        </w:rPr>
        <w:t> </w:t>
      </w:r>
      <w:r>
        <w:rPr>
          <w:rFonts w:ascii="宋体" w:hAnsi="宋体" w:cs="宋体" w:eastAsia="宋体" w:hint="default"/>
          <w:b/>
          <w:bCs/>
          <w:sz w:val="23"/>
          <w:szCs w:val="23"/>
        </w:rPr>
        <w:t>公司控股股东、实际控制人情况</w:t>
      </w:r>
      <w:r>
        <w:rPr>
          <w:rFonts w:ascii="宋体" w:hAnsi="宋体" w:cs="宋体" w:eastAsia="宋体" w:hint="default"/>
          <w:b/>
          <w:bCs/>
          <w:w w:val="99"/>
          <w:sz w:val="23"/>
          <w:szCs w:val="23"/>
        </w:rPr>
        <w:t> </w:t>
      </w:r>
      <w:r>
        <w:rPr>
          <w:rFonts w:ascii="宋体" w:hAnsi="宋体" w:cs="宋体" w:eastAsia="宋体" w:hint="default"/>
          <w:sz w:val="23"/>
          <w:szCs w:val="23"/>
        </w:rPr>
        <w:t>本公司由张学君、陈向军、李军三人以一致行动的方式对公司实施共同控制。</w:t>
      </w:r>
    </w:p>
    <w:p>
      <w:pPr>
        <w:pStyle w:val="BodyText"/>
        <w:spacing w:line="243" w:lineRule="exact" w:before="0"/>
        <w:ind w:right="0"/>
        <w:jc w:val="both"/>
      </w:pPr>
      <w:r>
        <w:rPr/>
        <w:t>报告期内，公司实际控制人未发生变化。</w:t>
      </w:r>
    </w:p>
    <w:p>
      <w:pPr>
        <w:spacing w:line="240" w:lineRule="auto" w:before="5"/>
        <w:rPr>
          <w:rFonts w:ascii="宋体" w:hAnsi="宋体" w:cs="宋体" w:eastAsia="宋体" w:hint="default"/>
          <w:sz w:val="20"/>
          <w:szCs w:val="20"/>
        </w:rPr>
      </w:pPr>
    </w:p>
    <w:p>
      <w:pPr>
        <w:pStyle w:val="BodyText"/>
        <w:spacing w:line="240" w:lineRule="auto" w:before="0"/>
        <w:ind w:right="0"/>
        <w:jc w:val="both"/>
      </w:pPr>
      <w:r>
        <w:rPr/>
        <w:t>（一）</w:t>
      </w:r>
      <w:r>
        <w:rPr>
          <w:spacing w:val="-90"/>
        </w:rPr>
        <w:t> </w:t>
      </w:r>
      <w:r>
        <w:rPr/>
        <w:t>实际控制人具体情况介绍</w:t>
      </w:r>
    </w:p>
    <w:p>
      <w:pPr>
        <w:spacing w:line="240" w:lineRule="auto" w:before="5"/>
        <w:rPr>
          <w:rFonts w:ascii="宋体" w:hAnsi="宋体" w:cs="宋体" w:eastAsia="宋体" w:hint="default"/>
          <w:sz w:val="20"/>
          <w:szCs w:val="20"/>
        </w:rPr>
      </w:pPr>
    </w:p>
    <w:p>
      <w:pPr>
        <w:pStyle w:val="BodyText"/>
        <w:spacing w:line="336" w:lineRule="auto" w:before="0"/>
        <w:ind w:right="152" w:firstLine="459"/>
        <w:jc w:val="both"/>
      </w:pPr>
      <w:r>
        <w:rPr/>
        <w:t>张学君现任公司董事，报告期末持有本公司股份 </w:t>
      </w:r>
      <w:r>
        <w:rPr>
          <w:rFonts w:ascii="Times New Roman" w:hAnsi="Times New Roman" w:cs="Times New Roman" w:eastAsia="Times New Roman" w:hint="default"/>
        </w:rPr>
        <w:t>13,954,500</w:t>
      </w:r>
      <w:r>
        <w:rPr>
          <w:rFonts w:ascii="Times New Roman" w:hAnsi="Times New Roman" w:cs="Times New Roman" w:eastAsia="Times New Roman" w:hint="default"/>
          <w:spacing w:val="-33"/>
        </w:rPr>
        <w:t> </w:t>
      </w:r>
      <w:r>
        <w:rPr/>
        <w:t>股，占公司总股本</w:t>
      </w:r>
      <w:r>
        <w:rPr>
          <w:w w:val="100"/>
        </w:rPr>
        <w:t> </w:t>
      </w:r>
      <w:r>
        <w:rPr/>
        <w:t>的</w:t>
      </w:r>
      <w:r>
        <w:rPr>
          <w:spacing w:val="-44"/>
        </w:rPr>
        <w:t> </w:t>
      </w:r>
      <w:r>
        <w:rPr>
          <w:rFonts w:ascii="Times New Roman" w:hAnsi="Times New Roman" w:cs="Times New Roman" w:eastAsia="Times New Roman" w:hint="default"/>
          <w:spacing w:val="-2"/>
        </w:rPr>
        <w:t>23.26%</w:t>
      </w:r>
      <w:r>
        <w:rPr>
          <w:spacing w:val="-2"/>
        </w:rPr>
        <w:t>，为本公司第一大股东；陈向军现任公司董事长，报告期末持有公司股份</w:t>
      </w:r>
      <w:r>
        <w:rPr>
          <w:spacing w:val="-110"/>
        </w:rPr>
        <w:t> </w:t>
      </w:r>
      <w:r>
        <w:rPr>
          <w:spacing w:val="-110"/>
        </w:rPr>
      </w:r>
      <w:r>
        <w:rPr>
          <w:rFonts w:ascii="Times New Roman" w:hAnsi="Times New Roman" w:cs="Times New Roman" w:eastAsia="Times New Roman" w:hint="default"/>
        </w:rPr>
        <w:t>5,980,500 </w:t>
      </w:r>
      <w:r>
        <w:rPr/>
        <w:t>股，占公司总股本的</w:t>
      </w:r>
      <w:r>
        <w:rPr>
          <w:spacing w:val="-55"/>
        </w:rPr>
        <w:t> </w:t>
      </w:r>
      <w:r>
        <w:rPr>
          <w:rFonts w:ascii="Times New Roman" w:hAnsi="Times New Roman" w:cs="Times New Roman" w:eastAsia="Times New Roman" w:hint="default"/>
        </w:rPr>
        <w:t>9.97%</w:t>
      </w:r>
      <w:r>
        <w:rPr/>
        <w:t>；李军现任公司董事、总经理，报告期末持有</w:t>
      </w:r>
      <w:r>
        <w:rPr>
          <w:w w:val="100"/>
        </w:rPr>
        <w:t> </w:t>
      </w:r>
      <w:r>
        <w:rPr/>
        <w:t>公司股份</w:t>
      </w:r>
      <w:r>
        <w:rPr>
          <w:spacing w:val="-57"/>
        </w:rPr>
        <w:t> </w:t>
      </w:r>
      <w:r>
        <w:rPr>
          <w:rFonts w:ascii="Times New Roman" w:hAnsi="Times New Roman" w:cs="Times New Roman" w:eastAsia="Times New Roman" w:hint="default"/>
        </w:rPr>
        <w:t>5,980,500 </w:t>
      </w:r>
      <w:r>
        <w:rPr/>
        <w:t>股，占公司总股本的</w:t>
      </w:r>
      <w:r>
        <w:rPr>
          <w:spacing w:val="-56"/>
        </w:rPr>
        <w:t> </w:t>
      </w:r>
      <w:r>
        <w:rPr>
          <w:rFonts w:ascii="Times New Roman" w:hAnsi="Times New Roman" w:cs="Times New Roman" w:eastAsia="Times New Roman" w:hint="default"/>
          <w:spacing w:val="-3"/>
        </w:rPr>
        <w:t>9.97%</w:t>
      </w:r>
      <w:r>
        <w:rPr>
          <w:spacing w:val="-3"/>
        </w:rPr>
        <w:t>。报告期末，张学君、陈向军、李军</w:t>
      </w:r>
      <w:r>
        <w:rPr>
          <w:w w:val="100"/>
        </w:rPr>
        <w:t> </w:t>
      </w:r>
      <w:r>
        <w:rPr/>
        <w:t>三人合计持有公司股份</w:t>
      </w:r>
      <w:r>
        <w:rPr>
          <w:spacing w:val="-60"/>
        </w:rPr>
        <w:t> </w:t>
      </w:r>
      <w:r>
        <w:rPr>
          <w:rFonts w:ascii="Times New Roman" w:hAnsi="Times New Roman" w:cs="Times New Roman" w:eastAsia="Times New Roman" w:hint="default"/>
        </w:rPr>
        <w:t>25,915,500</w:t>
      </w:r>
      <w:r>
        <w:rPr>
          <w:rFonts w:ascii="Times New Roman" w:hAnsi="Times New Roman" w:cs="Times New Roman" w:eastAsia="Times New Roman" w:hint="default"/>
          <w:spacing w:val="-3"/>
        </w:rPr>
        <w:t> </w:t>
      </w:r>
      <w:r>
        <w:rPr/>
        <w:t>股，占公司总股本的</w:t>
      </w:r>
      <w:r>
        <w:rPr>
          <w:spacing w:val="-60"/>
        </w:rPr>
        <w:t> </w:t>
      </w:r>
      <w:r>
        <w:rPr>
          <w:rFonts w:ascii="Times New Roman" w:hAnsi="Times New Roman" w:cs="Times New Roman" w:eastAsia="Times New Roman" w:hint="default"/>
        </w:rPr>
        <w:t>43.19%</w:t>
      </w:r>
      <w:r>
        <w:rPr/>
        <w:t>。</w:t>
      </w:r>
    </w:p>
    <w:p>
      <w:pPr>
        <w:pStyle w:val="BodyText"/>
        <w:spacing w:line="240" w:lineRule="auto" w:before="27"/>
        <w:ind w:left="597" w:right="0"/>
        <w:jc w:val="left"/>
      </w:pPr>
      <w:r>
        <w:rPr/>
        <w:t>自</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4"/>
        </w:rPr>
        <w:t>月以来，张学君、陈向军、李军三人一直保持着对本公司的共同控</w:t>
      </w:r>
    </w:p>
    <w:p>
      <w:pPr>
        <w:pStyle w:val="BodyText"/>
        <w:spacing w:line="350" w:lineRule="auto" w:before="129"/>
        <w:ind w:right="127"/>
        <w:jc w:val="both"/>
      </w:pPr>
      <w:r>
        <w:rPr>
          <w:spacing w:val="-1"/>
          <w:w w:val="100"/>
        </w:rPr>
        <w:t>制关系。</w:t>
      </w: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spacing w:val="5"/>
          <w:w w:val="100"/>
        </w:rPr>
        <w:t> </w:t>
      </w:r>
      <w:r>
        <w:rPr>
          <w:w w:val="100"/>
        </w:rPr>
        <w:t>年</w:t>
      </w:r>
      <w:r>
        <w:rPr>
          <w:spacing w:val="-54"/>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w w:val="100"/>
        </w:rPr>
        <w:t>月</w:t>
      </w:r>
      <w:r>
        <w:rPr>
          <w:spacing w:val="-54"/>
          <w:w w:val="100"/>
        </w:rPr>
        <w:t> </w:t>
      </w:r>
      <w:r>
        <w:rPr>
          <w:rFonts w:ascii="Times New Roman" w:hAnsi="Times New Roman" w:cs="Times New Roman" w:eastAsia="Times New Roman" w:hint="default"/>
          <w:spacing w:val="-1"/>
          <w:w w:val="100"/>
        </w:rPr>
        <w:t>15</w:t>
      </w:r>
      <w:r>
        <w:rPr>
          <w:rFonts w:ascii="Times New Roman" w:hAnsi="Times New Roman" w:cs="Times New Roman" w:eastAsia="Times New Roman" w:hint="default"/>
          <w:spacing w:val="5"/>
          <w:w w:val="100"/>
        </w:rPr>
        <w:t> </w:t>
      </w:r>
      <w:r>
        <w:rPr>
          <w:spacing w:val="-6"/>
          <w:w w:val="100"/>
        </w:rPr>
        <w:t>日，张学君、陈向军、李军三人签订《共同控制协议书》，</w:t>
      </w:r>
      <w:r>
        <w:rPr>
          <w:w w:val="100"/>
        </w:rPr>
        <w:t> </w:t>
      </w:r>
      <w:r>
        <w:rPr/>
        <w:t>确认三人继续采用对公司重大事务决策保持一致的方式对公司进行共同控制，在有</w:t>
      </w:r>
      <w:r>
        <w:rPr>
          <w:spacing w:val="-87"/>
        </w:rPr>
        <w:t> </w:t>
      </w:r>
      <w:r>
        <w:rPr>
          <w:spacing w:val="-87"/>
        </w:rPr>
      </w:r>
      <w:r>
        <w:rPr/>
        <w:t>关股东会或董事会上，三人均应保持一致意见，如果出现意见不统一时，三人承诺</w:t>
      </w:r>
      <w:r>
        <w:rPr>
          <w:spacing w:val="-87"/>
        </w:rPr>
        <w:t> </w:t>
      </w:r>
      <w:r>
        <w:rPr>
          <w:spacing w:val="-87"/>
        </w:rPr>
      </w:r>
      <w:r>
        <w:rPr/>
        <w:t>无条件服从时任公司董事长的意见。该协议自签订之日起生效，至公司首次公开发</w:t>
      </w:r>
      <w:r>
        <w:rPr>
          <w:spacing w:val="-87"/>
        </w:rPr>
        <w:t> </w:t>
      </w:r>
      <w:r>
        <w:rPr>
          <w:spacing w:val="-87"/>
        </w:rPr>
      </w:r>
      <w:r>
        <w:rPr>
          <w:spacing w:val="-3"/>
        </w:rPr>
        <w:t>行股票并上市满三年之日终止。本公司《公司章程》中明确：</w:t>
      </w:r>
      <w:r>
        <w:rPr>
          <w:rFonts w:ascii="Times New Roman" w:hAnsi="Times New Roman" w:cs="Times New Roman" w:eastAsia="Times New Roman" w:hint="default"/>
          <w:spacing w:val="-3"/>
        </w:rPr>
        <w:t>“</w:t>
      </w:r>
      <w:r>
        <w:rPr>
          <w:spacing w:val="-3"/>
        </w:rPr>
        <w:t>自公司股票发行上市</w:t>
      </w:r>
      <w:r>
        <w:rPr>
          <w:spacing w:val="-84"/>
        </w:rPr>
        <w:t> </w:t>
      </w:r>
      <w:r>
        <w:rPr>
          <w:spacing w:val="-84"/>
        </w:rPr>
      </w:r>
      <w:r>
        <w:rPr/>
        <w:t>后三年内，公司发起人股东张学君、李军、陈向军三人采用对公司重大事务决策发</w:t>
      </w:r>
      <w:r>
        <w:rPr>
          <w:spacing w:val="-87"/>
        </w:rPr>
        <w:t> </w:t>
      </w:r>
      <w:r>
        <w:rPr>
          <w:spacing w:val="-87"/>
        </w:rPr>
      </w:r>
      <w:r>
        <w:rPr/>
        <w:t>表统一意见的方式维持对公司的共同控制</w:t>
      </w:r>
      <w:r>
        <w:rPr>
          <w:rFonts w:ascii="Times New Roman" w:hAnsi="Times New Roman" w:cs="Times New Roman" w:eastAsia="Times New Roman" w:hint="default"/>
        </w:rPr>
        <w:t>”</w:t>
      </w:r>
      <w:r>
        <w:rPr/>
        <w:t>。</w:t>
      </w:r>
    </w:p>
    <w:p>
      <w:pPr>
        <w:pStyle w:val="BodyText"/>
        <w:spacing w:line="338" w:lineRule="auto" w:before="12"/>
        <w:ind w:right="152" w:firstLine="459"/>
        <w:jc w:val="both"/>
      </w:pPr>
      <w:r>
        <w:rPr>
          <w:spacing w:val="-3"/>
        </w:rPr>
        <w:t>张学君、陈向军、李军三人的简历详见本报告第六节</w:t>
      </w:r>
      <w:r>
        <w:rPr>
          <w:rFonts w:ascii="Times New Roman" w:hAnsi="Times New Roman" w:cs="Times New Roman" w:eastAsia="Times New Roman" w:hint="default"/>
          <w:spacing w:val="-3"/>
        </w:rPr>
        <w:t>“</w:t>
      </w:r>
      <w:r>
        <w:rPr>
          <w:spacing w:val="-3"/>
        </w:rPr>
        <w:t>董事、监事、高级管理人</w:t>
      </w:r>
      <w:r>
        <w:rPr>
          <w:w w:val="100"/>
        </w:rPr>
        <w:t> </w:t>
      </w:r>
      <w:r>
        <w:rPr/>
        <w:t>员和员工情况</w:t>
      </w:r>
      <w:r>
        <w:rPr>
          <w:rFonts w:ascii="Times New Roman" w:hAnsi="Times New Roman" w:cs="Times New Roman" w:eastAsia="Times New Roman" w:hint="default"/>
        </w:rPr>
        <w:t>”</w:t>
      </w:r>
      <w:r>
        <w:rPr/>
        <w:t>的介绍。</w:t>
      </w:r>
    </w:p>
    <w:p>
      <w:pPr>
        <w:pStyle w:val="BodyText"/>
        <w:spacing w:line="240" w:lineRule="auto" w:before="24"/>
        <w:ind w:left="597" w:right="0"/>
        <w:jc w:val="left"/>
      </w:pPr>
      <w:r>
        <w:rPr/>
        <w:t>除持有本公司股份外，张学君、陈向军、李军均没有控股、参股其他企业。</w:t>
      </w:r>
    </w:p>
    <w:p>
      <w:pPr>
        <w:spacing w:after="0" w:line="240" w:lineRule="auto"/>
        <w:jc w:val="left"/>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right="0"/>
        <w:jc w:val="left"/>
      </w:pPr>
      <w:r>
        <w:rPr/>
        <w:t>（二）</w:t>
      </w:r>
      <w:r>
        <w:rPr>
          <w:spacing w:val="-92"/>
        </w:rPr>
        <w:t> </w:t>
      </w:r>
      <w:r>
        <w:rPr/>
        <w:t>公司与实际控制人之间产权及控制关系方框图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line="468" w:lineRule="exact"/>
        <w:ind w:left="1576"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61pt;height:23.4pt;mso-position-horizontal-relative:char;mso-position-vertical-relative:line" type="#_x0000_t202" filled="false" stroked="true" strokeweight=".75pt" strokecolor="#000000">
            <w10:anchorlock/>
            <v:textbox inset="0,0,0,0">
              <w:txbxContent>
                <w:p>
                  <w:pPr>
                    <w:pStyle w:val="BodyText"/>
                    <w:spacing w:line="240" w:lineRule="auto" w:before="34"/>
                    <w:ind w:left="419" w:right="0"/>
                    <w:jc w:val="left"/>
                    <w:rPr>
                      <w:rFonts w:ascii="Times New Roman" w:hAnsi="Times New Roman" w:cs="Times New Roman" w:eastAsia="Times New Roman" w:hint="default"/>
                    </w:rPr>
                  </w:pPr>
                  <w:r>
                    <w:rPr/>
                    <w:t>张学君</w:t>
                  </w:r>
                  <w:r>
                    <w:rPr>
                      <w:spacing w:val="-62"/>
                    </w:rPr>
                    <w:t> </w:t>
                  </w:r>
                  <w:r>
                    <w:rPr>
                      <w:rFonts w:ascii="Times New Roman" w:hAnsi="Times New Roman" w:cs="Times New Roman" w:eastAsia="Times New Roman" w:hint="default"/>
                    </w:rPr>
                    <w:t>23.26%</w:t>
                  </w:r>
                  <w:r>
                    <w:rPr/>
                    <w:t>、陈向军</w:t>
                  </w:r>
                  <w:r>
                    <w:rPr>
                      <w:spacing w:val="-62"/>
                    </w:rPr>
                    <w:t> </w:t>
                  </w:r>
                  <w:r>
                    <w:rPr>
                      <w:rFonts w:ascii="Times New Roman" w:hAnsi="Times New Roman" w:cs="Times New Roman" w:eastAsia="Times New Roman" w:hint="default"/>
                    </w:rPr>
                    <w:t>9.97%</w:t>
                  </w:r>
                  <w:r>
                    <w:rPr/>
                    <w:t>、李军</w:t>
                  </w:r>
                  <w:r>
                    <w:rPr>
                      <w:spacing w:val="-62"/>
                    </w:rPr>
                    <w:t> </w:t>
                  </w:r>
                  <w:r>
                    <w:rPr>
                      <w:rFonts w:ascii="Times New Roman" w:hAnsi="Times New Roman" w:cs="Times New Roman" w:eastAsia="Times New Roman" w:hint="default"/>
                    </w:rPr>
                    <w:t>9.97%</w:t>
                  </w:r>
                </w:p>
              </w:txbxContent>
            </v:textbox>
          </v:shape>
        </w:pict>
      </w:r>
      <w:r>
        <w:rPr>
          <w:rFonts w:ascii="宋体" w:hAnsi="宋体" w:cs="宋体" w:eastAsia="宋体" w:hint="default"/>
          <w:position w:val="-8"/>
          <w:sz w:val="20"/>
          <w:szCs w:val="20"/>
        </w:rPr>
      </w:r>
    </w:p>
    <w:p>
      <w:pPr>
        <w:spacing w:line="240" w:lineRule="auto" w:before="2"/>
        <w:rPr>
          <w:rFonts w:ascii="宋体" w:hAnsi="宋体" w:cs="宋体" w:eastAsia="宋体" w:hint="default"/>
          <w:sz w:val="12"/>
          <w:szCs w:val="12"/>
        </w:rPr>
      </w:pPr>
    </w:p>
    <w:p>
      <w:pPr>
        <w:pStyle w:val="BodyText"/>
        <w:spacing w:line="240" w:lineRule="auto" w:before="70"/>
        <w:ind w:left="3241" w:right="2931"/>
        <w:jc w:val="center"/>
        <w:rPr>
          <w:rFonts w:ascii="Times New Roman" w:hAnsi="Times New Roman" w:cs="Times New Roman" w:eastAsia="Times New Roman" w:hint="default"/>
        </w:rPr>
      </w:pPr>
      <w:r>
        <w:rPr/>
        <w:pict>
          <v:group style="position:absolute;margin-left:280.859985pt;margin-top:-8.923365pt;width:6pt;height:39.4pt;mso-position-horizontal-relative:page;mso-position-vertical-relative:paragraph;z-index:-619912" coordorigin="5617,-178" coordsize="120,788">
            <v:shape style="position:absolute;left:5617;top:-178;width:120;height:788" coordorigin="5617,-178" coordsize="120,788" path="m5670,489l5617,489,5677,609,5723,516,5677,516,5671,514,5670,508,5670,489xe" filled="true" fillcolor="#000000" stroked="false">
              <v:path arrowok="t"/>
              <v:fill type="solid"/>
            </v:shape>
            <v:shape style="position:absolute;left:5617;top:-178;width:120;height:788" coordorigin="5617,-178" coordsize="120,788" path="m5677,-178l5671,-177,5670,-171,5670,508,5671,514,5677,516,5682,514,5684,508,5684,-171,5682,-177,5677,-178xe" filled="true" fillcolor="#000000" stroked="false">
              <v:path arrowok="t"/>
              <v:fill type="solid"/>
            </v:shape>
            <v:shape style="position:absolute;left:5617;top:-178;width:120;height:788" coordorigin="5617,-178" coordsize="120,788" path="m5737,489l5684,489,5684,508,5682,514,5677,516,5723,516,5737,489xe" filled="true" fillcolor="#000000" stroked="false">
              <v:path arrowok="t"/>
              <v:fill type="solid"/>
            </v:shape>
            <w10:wrap type="none"/>
          </v:group>
        </w:pict>
      </w:r>
      <w:r>
        <w:rPr>
          <w:rFonts w:ascii="Times New Roman"/>
        </w:rPr>
        <w:t>43.19%</w:t>
      </w:r>
    </w:p>
    <w:p>
      <w:pPr>
        <w:spacing w:line="240" w:lineRule="auto" w:before="10"/>
        <w:rPr>
          <w:rFonts w:ascii="Times New Roman" w:hAnsi="Times New Roman" w:cs="Times New Roman" w:eastAsia="Times New Roman" w:hint="default"/>
          <w:sz w:val="24"/>
          <w:szCs w:val="24"/>
        </w:rPr>
      </w:pPr>
    </w:p>
    <w:p>
      <w:pPr>
        <w:spacing w:line="468" w:lineRule="exact"/>
        <w:ind w:left="229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9pt;height:23.4pt;mso-position-horizontal-relative:char;mso-position-vertical-relative:line" type="#_x0000_t202" filled="false" stroked="true" strokeweight=".75pt" strokecolor="#000000">
            <w10:anchorlock/>
            <v:textbox inset="0,0,0,0">
              <w:txbxContent>
                <w:p>
                  <w:pPr>
                    <w:pStyle w:val="BodyText"/>
                    <w:spacing w:line="240" w:lineRule="auto" w:before="36"/>
                    <w:ind w:left="273" w:right="0"/>
                    <w:jc w:val="left"/>
                  </w:pPr>
                  <w:r>
                    <w:rPr/>
                    <w:t>深圳市银之杰科技股份有限公司</w:t>
                  </w:r>
                </w:p>
              </w:txbxContent>
            </v:textbox>
          </v:shape>
        </w:pict>
      </w:r>
      <w:r>
        <w:rPr>
          <w:rFonts w:ascii="Times New Roman" w:hAnsi="Times New Roman" w:cs="Times New Roman" w:eastAsia="Times New Roman" w:hint="default"/>
          <w:position w:val="-8"/>
          <w:sz w:val="20"/>
          <w:szCs w:val="20"/>
        </w:rPr>
      </w:r>
    </w:p>
    <w:p>
      <w:pPr>
        <w:spacing w:after="0" w:line="468" w:lineRule="exact"/>
        <w:rPr>
          <w:rFonts w:ascii="Times New Roman" w:hAnsi="Times New Roman" w:cs="Times New Roman" w:eastAsia="Times New Roman" w:hint="default"/>
          <w:sz w:val="20"/>
          <w:szCs w:val="20"/>
        </w:rPr>
        <w:sectPr>
          <w:pgSz w:w="11910" w:h="16840"/>
          <w:pgMar w:header="877" w:footer="982" w:top="1100" w:bottom="118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1"/>
        <w:spacing w:line="240" w:lineRule="auto"/>
        <w:ind w:left="1533" w:right="0"/>
        <w:jc w:val="left"/>
      </w:pPr>
      <w:bookmarkStart w:name="_TOC_250004" w:id="6"/>
      <w:r>
        <w:rPr/>
        <w:t>第六节</w:t>
      </w:r>
      <w:r>
        <w:rPr>
          <w:spacing w:val="-11"/>
        </w:rPr>
        <w:t> </w:t>
      </w:r>
      <w:bookmarkEnd w:id="6"/>
      <w:r>
        <w:rPr/>
        <w:t>董事、监事、高级管理人员和员工情况</w:t>
      </w:r>
    </w:p>
    <w:p>
      <w:pPr>
        <w:spacing w:line="240" w:lineRule="auto" w:before="0"/>
        <w:rPr>
          <w:rFonts w:ascii="黑体" w:hAnsi="黑体" w:cs="黑体" w:eastAsia="黑体" w:hint="default"/>
          <w:sz w:val="32"/>
          <w:szCs w:val="32"/>
        </w:rPr>
      </w:pPr>
    </w:p>
    <w:p>
      <w:pPr>
        <w:pStyle w:val="Heading5"/>
        <w:spacing w:line="240" w:lineRule="auto" w:before="247"/>
        <w:ind w:left="657" w:right="0"/>
        <w:jc w:val="left"/>
        <w:rPr>
          <w:b w:val="0"/>
          <w:bCs w:val="0"/>
        </w:rPr>
      </w:pPr>
      <w:r>
        <w:rPr/>
        <w:t>一、</w:t>
      </w:r>
      <w:r>
        <w:rPr>
          <w:spacing w:val="-40"/>
        </w:rPr>
        <w:t> </w:t>
      </w:r>
      <w:r>
        <w:rPr/>
        <w:t>董事、监事、高级管理人员的情况</w:t>
      </w:r>
      <w:r>
        <w:rPr>
          <w:b w:val="0"/>
          <w:bCs w:val="0"/>
        </w:rPr>
      </w:r>
    </w:p>
    <w:p>
      <w:pPr>
        <w:spacing w:line="240" w:lineRule="auto" w:before="5"/>
        <w:rPr>
          <w:rFonts w:ascii="宋体" w:hAnsi="宋体" w:cs="宋体" w:eastAsia="宋体" w:hint="default"/>
          <w:b/>
          <w:bCs/>
          <w:sz w:val="20"/>
          <w:szCs w:val="20"/>
        </w:rPr>
      </w:pPr>
    </w:p>
    <w:p>
      <w:pPr>
        <w:pStyle w:val="BodyText"/>
        <w:spacing w:line="240" w:lineRule="auto" w:before="0"/>
        <w:ind w:left="657" w:right="0"/>
        <w:jc w:val="left"/>
      </w:pPr>
      <w:r>
        <w:rPr/>
        <w:t>（一）</w:t>
      </w:r>
      <w:r>
        <w:rPr>
          <w:spacing w:val="-94"/>
        </w:rPr>
        <w:t> </w:t>
      </w:r>
      <w:r>
        <w:rPr/>
        <w:t>董事、监事和高级管理人员持股变动及报酬情况</w:t>
      </w:r>
    </w:p>
    <w:p>
      <w:pPr>
        <w:spacing w:line="240" w:lineRule="auto" w:before="4"/>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900"/>
        <w:gridCol w:w="1080"/>
        <w:gridCol w:w="540"/>
        <w:gridCol w:w="540"/>
        <w:gridCol w:w="1080"/>
        <w:gridCol w:w="1080"/>
        <w:gridCol w:w="900"/>
        <w:gridCol w:w="900"/>
        <w:gridCol w:w="720"/>
        <w:gridCol w:w="900"/>
        <w:gridCol w:w="900"/>
      </w:tblGrid>
      <w:tr>
        <w:trPr>
          <w:trHeight w:val="1321"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65"/>
              <w:jc w:val="right"/>
              <w:rPr>
                <w:rFonts w:ascii="宋体" w:hAnsi="宋体" w:cs="宋体" w:eastAsia="宋体" w:hint="default"/>
                <w:sz w:val="18"/>
                <w:szCs w:val="18"/>
              </w:rPr>
            </w:pPr>
            <w:r>
              <w:rPr>
                <w:rFonts w:ascii="宋体" w:hAnsi="宋体" w:cs="宋体" w:eastAsia="宋体" w:hint="default"/>
                <w:sz w:val="18"/>
                <w:szCs w:val="18"/>
              </w:rPr>
              <w:t>姓名</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52" w:right="17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52" w:right="17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72" w:right="175"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72" w:right="175"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72" w:right="175"/>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auto" w:before="46"/>
              <w:ind w:left="82"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从公司领 取的报酬 总额</w:t>
            </w:r>
            <w:r>
              <w:rPr>
                <w:rFonts w:ascii="Times New Roman" w:hAnsi="Times New Roman" w:cs="Times New Roman" w:eastAsia="Times New Roman" w:hint="default"/>
                <w:sz w:val="18"/>
                <w:szCs w:val="18"/>
              </w:rPr>
              <w:t>(</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税前</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44"/>
              <w:ind w:left="82" w:right="85"/>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5,980,500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5,980,500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15.00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pacing w:val="-10"/>
                <w:sz w:val="18"/>
                <w:szCs w:val="18"/>
              </w:rPr>
              <w:t>董事、总经理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5,980,500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5,980,500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15.00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13,954,500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13,954,500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6"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11,961,000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11,961,000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宋靖雁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朱厚佳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22,500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22,500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14.06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杨金敏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54,000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54,000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9.04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9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21" w:right="146"/>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432,000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z w:val="18"/>
              </w:rPr>
              <w:t>432,000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432,000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13.48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彭建文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z w:val="18"/>
              </w:rPr>
              <w:t>301,500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301,500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8.40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唐劲星</w:t>
            </w:r>
          </w:p>
        </w:tc>
        <w:tc>
          <w:tcPr>
            <w:tcW w:w="108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35</w:t>
            </w:r>
          </w:p>
        </w:tc>
        <w:tc>
          <w:tcPr>
            <w:tcW w:w="108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2010-12-10</w:t>
            </w:r>
          </w:p>
        </w:tc>
        <w:tc>
          <w:tcPr>
            <w:tcW w:w="108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18"/>
                <w:szCs w:val="18"/>
              </w:rPr>
            </w:pPr>
            <w:r>
              <w:rPr>
                <w:rFonts w:ascii="Times New Roman"/>
                <w:sz w:val="18"/>
              </w:rPr>
              <w:t>2013-12-09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z w:val="18"/>
              </w:rPr>
              <w:t>351,000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351,000</w:t>
            </w:r>
          </w:p>
        </w:tc>
        <w:tc>
          <w:tcPr>
            <w:tcW w:w="7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1"/>
              <w:ind w:right="125"/>
              <w:jc w:val="center"/>
              <w:rPr>
                <w:rFonts w:ascii="宋体" w:hAnsi="宋体" w:cs="宋体" w:eastAsia="宋体" w:hint="default"/>
                <w:sz w:val="18"/>
                <w:szCs w:val="18"/>
              </w:rPr>
            </w:pPr>
            <w:r>
              <w:rPr>
                <w:rFonts w:ascii="宋体" w:hAnsi="宋体" w:cs="宋体" w:eastAsia="宋体" w:hint="default"/>
                <w:sz w:val="18"/>
                <w:szCs w:val="18"/>
              </w:rPr>
              <w:t>无变动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12.72</w:t>
            </w:r>
          </w:p>
        </w:tc>
        <w:tc>
          <w:tcPr>
            <w:tcW w:w="90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5"/>
              <w:ind w:right="265"/>
              <w:jc w:val="righ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sz w:val="18"/>
              </w:rPr>
              <w:t>39,469,500</w:t>
            </w:r>
          </w:p>
        </w:tc>
        <w:tc>
          <w:tcPr>
            <w:tcW w:w="900"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73"/>
              <w:ind w:right="17"/>
              <w:jc w:val="right"/>
              <w:rPr>
                <w:rFonts w:ascii="Times New Roman" w:hAnsi="Times New Roman" w:cs="Times New Roman" w:eastAsia="Times New Roman" w:hint="default"/>
                <w:sz w:val="18"/>
                <w:szCs w:val="18"/>
              </w:rPr>
            </w:pPr>
            <w:r>
              <w:rPr>
                <w:rFonts w:ascii="Times New Roman"/>
                <w:sz w:val="18"/>
              </w:rPr>
              <w:t>39,469,500</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sz w:val="18"/>
              </w:rPr>
              <w:t>126.70</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left="41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25"/>
          <w:szCs w:val="25"/>
        </w:rPr>
      </w:pPr>
    </w:p>
    <w:p>
      <w:pPr>
        <w:pStyle w:val="BodyText"/>
        <w:spacing w:line="350" w:lineRule="auto"/>
        <w:ind w:left="657" w:right="812" w:firstLine="459"/>
        <w:jc w:val="both"/>
      </w:pPr>
      <w:r>
        <w:rPr/>
        <w:t>报告期内，公司董事、监事和高级管理人员的薪酬根据其在公司担任的行政职</w:t>
      </w:r>
      <w:r>
        <w:rPr>
          <w:w w:val="100"/>
        </w:rPr>
        <w:t> </w:t>
      </w:r>
      <w:r>
        <w:rPr/>
        <w:t>务结合公司年度业绩情况确定。独立董事津贴标准为</w:t>
      </w:r>
      <w:r>
        <w:rPr>
          <w:spacing w:val="-76"/>
        </w:rPr>
        <w:t> </w:t>
      </w:r>
      <w:r>
        <w:rPr>
          <w:rFonts w:ascii="Times New Roman" w:hAnsi="Times New Roman" w:cs="Times New Roman" w:eastAsia="Times New Roman" w:hint="default"/>
        </w:rPr>
        <w:t>6</w:t>
      </w:r>
      <w:r>
        <w:rPr>
          <w:rFonts w:ascii="Times New Roman" w:hAnsi="Times New Roman" w:cs="Times New Roman" w:eastAsia="Times New Roman" w:hint="default"/>
          <w:spacing w:val="-20"/>
        </w:rPr>
        <w:t> </w:t>
      </w:r>
      <w:r>
        <w:rPr/>
        <w:t>万元</w:t>
      </w:r>
      <w:r>
        <w:rPr>
          <w:rFonts w:ascii="Times New Roman" w:hAnsi="Times New Roman" w:cs="Times New Roman" w:eastAsia="Times New Roman" w:hint="default"/>
        </w:rPr>
        <w:t>/</w:t>
      </w:r>
      <w:r>
        <w:rPr/>
        <w:t>年，以现金形式每月发</w:t>
      </w:r>
      <w:r>
        <w:rPr>
          <w:w w:val="100"/>
        </w:rPr>
        <w:t> </w:t>
      </w:r>
      <w:r>
        <w:rPr/>
        <w:t>放一次。独立董事参加会议发生的差旅费，办公费等履职费用由本公司承担。公司</w:t>
      </w:r>
      <w:r>
        <w:rPr>
          <w:spacing w:val="-87"/>
        </w:rPr>
        <w:t> </w:t>
      </w:r>
      <w:r>
        <w:rPr>
          <w:spacing w:val="-87"/>
        </w:rPr>
      </w:r>
      <w:r>
        <w:rPr/>
        <w:t>全体董事、监事和高级管理人员合计在公司领取报酬</w:t>
      </w:r>
      <w:r>
        <w:rPr>
          <w:spacing w:val="-63"/>
        </w:rPr>
        <w:t> </w:t>
      </w:r>
      <w:r>
        <w:rPr>
          <w:rFonts w:ascii="Times New Roman" w:hAnsi="Times New Roman" w:cs="Times New Roman" w:eastAsia="Times New Roman" w:hint="default"/>
        </w:rPr>
        <w:t>126.70</w:t>
      </w:r>
      <w:r>
        <w:rPr>
          <w:rFonts w:ascii="Times New Roman" w:hAnsi="Times New Roman" w:cs="Times New Roman" w:eastAsia="Times New Roman" w:hint="default"/>
          <w:spacing w:val="-5"/>
        </w:rPr>
        <w:t> </w:t>
      </w:r>
      <w:r>
        <w:rPr/>
        <w:t>万元。</w:t>
      </w:r>
    </w:p>
    <w:p>
      <w:pPr>
        <w:pStyle w:val="BodyText"/>
        <w:spacing w:line="357" w:lineRule="auto" w:before="12"/>
        <w:ind w:left="657" w:right="812" w:firstLine="459"/>
        <w:jc w:val="both"/>
      </w:pPr>
      <w:r>
        <w:rPr/>
        <w:t>董事、监事和高级管理人员在报告期内未获得限制性股票及股票期权，也没有</w:t>
      </w:r>
      <w:r>
        <w:rPr>
          <w:w w:val="100"/>
        </w:rPr>
        <w:t> </w:t>
      </w:r>
      <w:r>
        <w:rPr/>
        <w:t>在股东单位或其他关联单位领取报酬、津贴的情况。</w:t>
      </w:r>
    </w:p>
    <w:p>
      <w:pPr>
        <w:spacing w:after="0" w:line="357" w:lineRule="auto"/>
        <w:jc w:val="both"/>
        <w:sectPr>
          <w:pgSz w:w="11910" w:h="16840"/>
          <w:pgMar w:header="877" w:footer="982" w:top="1100" w:bottom="1180" w:left="114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right="0"/>
        <w:jc w:val="both"/>
      </w:pPr>
      <w:r>
        <w:rPr/>
        <w:t>（二）</w:t>
      </w:r>
      <w:r>
        <w:rPr>
          <w:spacing w:val="-89"/>
        </w:rPr>
        <w:t> </w:t>
      </w:r>
      <w:r>
        <w:rPr/>
        <w:t>现任董事、监事、高级管理人员最近</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w:t>
      </w:r>
    </w:p>
    <w:p>
      <w:pPr>
        <w:spacing w:line="240" w:lineRule="auto" w:before="12"/>
        <w:rPr>
          <w:rFonts w:ascii="宋体" w:hAnsi="宋体" w:cs="宋体" w:eastAsia="宋体" w:hint="default"/>
          <w:sz w:val="18"/>
          <w:szCs w:val="18"/>
        </w:rPr>
      </w:pPr>
    </w:p>
    <w:p>
      <w:pPr>
        <w:pStyle w:val="Heading5"/>
        <w:spacing w:line="240" w:lineRule="auto"/>
        <w:ind w:left="596" w:right="186"/>
        <w:jc w:val="left"/>
        <w:rPr>
          <w:b w:val="0"/>
          <w:bCs w:val="0"/>
        </w:rPr>
      </w:pPr>
      <w:r>
        <w:rPr>
          <w:rFonts w:ascii="Times New Roman" w:hAnsi="Times New Roman" w:cs="Times New Roman" w:eastAsia="Times New Roman" w:hint="default"/>
          <w:spacing w:val="4"/>
        </w:rPr>
        <w:t>1</w:t>
      </w:r>
      <w:r>
        <w:rPr>
          <w:spacing w:val="4"/>
        </w:rPr>
        <w:t>．董事</w:t>
      </w:r>
      <w:r>
        <w:rPr>
          <w:b w:val="0"/>
          <w:bCs w:val="0"/>
        </w:rPr>
      </w:r>
    </w:p>
    <w:p>
      <w:pPr>
        <w:spacing w:line="240" w:lineRule="auto" w:before="1"/>
        <w:rPr>
          <w:rFonts w:ascii="宋体" w:hAnsi="宋体" w:cs="宋体" w:eastAsia="宋体" w:hint="default"/>
          <w:b/>
          <w:bCs/>
          <w:sz w:val="19"/>
          <w:szCs w:val="19"/>
        </w:rPr>
      </w:pPr>
    </w:p>
    <w:p>
      <w:pPr>
        <w:pStyle w:val="BodyText"/>
        <w:spacing w:line="338" w:lineRule="auto" w:before="0"/>
        <w:ind w:left="588" w:right="186" w:firstLine="8"/>
        <w:jc w:val="left"/>
      </w:pPr>
      <w:r>
        <w:rPr/>
        <w:t>公司董事会由</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名董事组成，其中独立董事</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名，具体如下：</w:t>
      </w:r>
      <w:r>
        <w:rPr>
          <w:w w:val="100"/>
        </w:rPr>
        <w:t> </w:t>
      </w:r>
      <w:r>
        <w:rPr>
          <w:spacing w:val="-3"/>
        </w:rPr>
        <w:t>陈向军先生，公司董事长，中国籍，</w:t>
      </w:r>
      <w:r>
        <w:rPr>
          <w:rFonts w:ascii="Times New Roman" w:hAnsi="Times New Roman" w:cs="Times New Roman" w:eastAsia="Times New Roman" w:hint="default"/>
          <w:spacing w:val="-3"/>
        </w:rPr>
        <w:t>1964 </w:t>
      </w:r>
      <w:r>
        <w:rPr>
          <w:spacing w:val="-3"/>
        </w:rPr>
        <w:t>年出生，研究生学历。</w:t>
      </w:r>
      <w:r>
        <w:rPr>
          <w:rFonts w:ascii="Times New Roman" w:hAnsi="Times New Roman" w:cs="Times New Roman" w:eastAsia="Times New Roman" w:hint="default"/>
          <w:spacing w:val="-3"/>
        </w:rPr>
        <w:t>1988</w:t>
      </w:r>
      <w:r>
        <w:rPr>
          <w:rFonts w:ascii="Times New Roman" w:hAnsi="Times New Roman" w:cs="Times New Roman" w:eastAsia="Times New Roman" w:hint="default"/>
          <w:spacing w:val="20"/>
        </w:rPr>
        <w:t> </w:t>
      </w:r>
      <w:r>
        <w:rPr/>
        <w:t>年毕业于</w:t>
      </w:r>
    </w:p>
    <w:p>
      <w:pPr>
        <w:pStyle w:val="BodyText"/>
        <w:spacing w:line="240" w:lineRule="auto" w:before="24"/>
        <w:ind w:right="0"/>
        <w:jc w:val="both"/>
      </w:pPr>
      <w:r>
        <w:rPr/>
        <w:t>清华大学自动化系，获学士学位，</w:t>
      </w:r>
      <w:r>
        <w:rPr>
          <w:rFonts w:ascii="Times New Roman" w:hAnsi="Times New Roman" w:cs="Times New Roman" w:eastAsia="Times New Roman" w:hint="default"/>
        </w:rPr>
        <w:t>1993</w:t>
      </w:r>
      <w:r>
        <w:rPr>
          <w:rFonts w:ascii="Times New Roman" w:hAnsi="Times New Roman" w:cs="Times New Roman" w:eastAsia="Times New Roman" w:hint="default"/>
          <w:spacing w:val="-10"/>
        </w:rPr>
        <w:t> </w:t>
      </w:r>
      <w:r>
        <w:rPr/>
        <w:t>年毕业于清华大学自动化系，获硕士学位。</w:t>
      </w:r>
    </w:p>
    <w:p>
      <w:pPr>
        <w:pStyle w:val="BodyText"/>
        <w:spacing w:line="240" w:lineRule="auto" w:before="129"/>
        <w:ind w:right="0"/>
        <w:jc w:val="both"/>
      </w:pPr>
      <w:r>
        <w:rPr>
          <w:rFonts w:ascii="Times New Roman" w:hAnsi="Times New Roman" w:cs="Times New Roman" w:eastAsia="Times New Roman" w:hint="default"/>
        </w:rPr>
        <w:t>1993</w:t>
      </w:r>
      <w:r>
        <w:rPr>
          <w:rFonts w:ascii="Times New Roman" w:hAnsi="Times New Roman" w:cs="Times New Roman" w:eastAsia="Times New Roman" w:hint="default"/>
          <w:spacing w:val="2"/>
        </w:rPr>
        <w:t> </w:t>
      </w:r>
      <w:r>
        <w:rPr/>
        <w:t>年至</w:t>
      </w:r>
      <w:r>
        <w:rPr>
          <w:spacing w:val="-55"/>
        </w:rPr>
        <w:t> </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年任中国电子器件工业深圳公司技术经理。</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p>
    <w:p>
      <w:pPr>
        <w:pStyle w:val="BodyText"/>
        <w:spacing w:line="240" w:lineRule="auto" w:before="129"/>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月任公司董事、技术总监；</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月起任公司董事长。陈向军先生本届任期</w:t>
      </w:r>
    </w:p>
    <w:p>
      <w:pPr>
        <w:pStyle w:val="BodyText"/>
        <w:spacing w:line="240" w:lineRule="auto" w:before="129"/>
        <w:ind w:right="0"/>
        <w:jc w:val="both"/>
      </w:pPr>
      <w:r>
        <w:rPr/>
        <w:t>至</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p>
    <w:p>
      <w:pPr>
        <w:pStyle w:val="BodyText"/>
        <w:spacing w:line="338" w:lineRule="auto" w:before="128"/>
        <w:ind w:right="192" w:firstLine="451"/>
        <w:jc w:val="both"/>
      </w:pPr>
      <w:r>
        <w:rPr>
          <w:spacing w:val="-4"/>
        </w:rPr>
        <w:t>李军先生，公司董事、总经理，中国籍，</w:t>
      </w:r>
      <w:r>
        <w:rPr>
          <w:rFonts w:ascii="Times New Roman" w:hAnsi="Times New Roman" w:cs="Times New Roman" w:eastAsia="Times New Roman" w:hint="default"/>
          <w:spacing w:val="-4"/>
        </w:rPr>
        <w:t>1970</w:t>
      </w:r>
      <w:r>
        <w:rPr>
          <w:rFonts w:ascii="Times New Roman" w:hAnsi="Times New Roman" w:cs="Times New Roman" w:eastAsia="Times New Roman" w:hint="default"/>
          <w:spacing w:val="-10"/>
        </w:rPr>
        <w:t> </w:t>
      </w:r>
      <w:r>
        <w:rPr/>
        <w:t>年出生，研究生学历。</w:t>
      </w:r>
      <w:r>
        <w:rPr>
          <w:rFonts w:ascii="Times New Roman" w:hAnsi="Times New Roman" w:cs="Times New Roman" w:eastAsia="Times New Roman" w:hint="default"/>
        </w:rPr>
        <w:t>1991-1993</w:t>
      </w:r>
      <w:r>
        <w:rPr>
          <w:rFonts w:ascii="Times New Roman" w:hAnsi="Times New Roman" w:cs="Times New Roman" w:eastAsia="Times New Roman" w:hint="default"/>
          <w:w w:val="100"/>
        </w:rPr>
        <w:t> </w:t>
      </w:r>
      <w:r>
        <w:rPr>
          <w:spacing w:val="-5"/>
          <w:w w:val="100"/>
        </w:rPr>
        <w:t>年在南京理工大学电子工程系任教；</w:t>
      </w:r>
      <w:r>
        <w:rPr>
          <w:rFonts w:ascii="Times New Roman" w:hAnsi="Times New Roman" w:cs="Times New Roman" w:eastAsia="Times New Roman" w:hint="default"/>
          <w:spacing w:val="-5"/>
          <w:w w:val="100"/>
        </w:rPr>
        <w:t>1993-1998</w:t>
      </w:r>
      <w:r>
        <w:rPr>
          <w:rFonts w:ascii="Times New Roman" w:hAnsi="Times New Roman" w:cs="Times New Roman" w:eastAsia="Times New Roman" w:hint="default"/>
          <w:w w:val="100"/>
        </w:rPr>
        <w:t> </w:t>
      </w:r>
      <w:r>
        <w:rPr>
          <w:spacing w:val="-1"/>
          <w:w w:val="100"/>
        </w:rPr>
        <w:t>年任中国电子器件工业深圳公司客户</w:t>
      </w:r>
      <w:r>
        <w:rPr>
          <w:spacing w:val="-104"/>
          <w:w w:val="100"/>
        </w:rPr>
        <w:t> </w:t>
      </w:r>
      <w:r>
        <w:rPr>
          <w:spacing w:val="-104"/>
          <w:w w:val="100"/>
        </w:rPr>
      </w:r>
      <w:r>
        <w:rPr/>
        <w:t>经理。</w:t>
      </w: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月起至今一直任公司董事、总经理，其中</w:t>
      </w:r>
      <w:r>
        <w:rPr>
          <w:spacing w:val="-4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月至</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p>
    <w:p>
      <w:pPr>
        <w:pStyle w:val="BodyText"/>
        <w:spacing w:line="338" w:lineRule="auto" w:before="24"/>
        <w:ind w:left="597" w:right="221" w:hanging="46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月任公司董事长。李军先生本届任期至</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w:t>
      </w:r>
      <w:r>
        <w:rPr>
          <w:w w:val="100"/>
        </w:rPr>
        <w:t> </w:t>
      </w:r>
      <w:r>
        <w:rPr>
          <w:spacing w:val="-3"/>
        </w:rPr>
        <w:t>张学君女士，公司董事，中国籍，</w:t>
      </w:r>
      <w:r>
        <w:rPr>
          <w:rFonts w:ascii="Times New Roman" w:hAnsi="Times New Roman" w:cs="Times New Roman" w:eastAsia="Times New Roman" w:hint="default"/>
          <w:spacing w:val="-3"/>
        </w:rPr>
        <w:t>1940</w:t>
      </w:r>
      <w:r>
        <w:rPr>
          <w:spacing w:val="-3"/>
        </w:rPr>
        <w:t>年出生，大专学历。</w:t>
      </w:r>
      <w:r>
        <w:rPr>
          <w:rFonts w:ascii="Times New Roman" w:hAnsi="Times New Roman" w:cs="Times New Roman" w:eastAsia="Times New Roman" w:hint="default"/>
          <w:spacing w:val="-3"/>
        </w:rPr>
        <w:t>1963-1970</w:t>
      </w:r>
      <w:r>
        <w:rPr>
          <w:spacing w:val="-3"/>
        </w:rPr>
        <w:t>在天津强</w:t>
      </w:r>
    </w:p>
    <w:p>
      <w:pPr>
        <w:pStyle w:val="BodyText"/>
        <w:spacing w:line="336" w:lineRule="auto" w:before="24"/>
        <w:ind w:right="227"/>
        <w:jc w:val="both"/>
      </w:pPr>
      <w:r>
        <w:rPr/>
        <w:t>声无线电厂工作；</w:t>
      </w:r>
      <w:r>
        <w:rPr>
          <w:rFonts w:ascii="Times New Roman" w:hAnsi="Times New Roman" w:cs="Times New Roman" w:eastAsia="Times New Roman" w:hint="default"/>
        </w:rPr>
        <w:t>1970-1976</w:t>
      </w:r>
      <w:r>
        <w:rPr/>
        <w:t>年在天津红光无线电厂工作；</w:t>
      </w:r>
      <w:r>
        <w:rPr>
          <w:rFonts w:ascii="Times New Roman" w:hAnsi="Times New Roman" w:cs="Times New Roman" w:eastAsia="Times New Roman" w:hint="default"/>
        </w:rPr>
        <w:t>1976-1995</w:t>
      </w:r>
      <w:r>
        <w:rPr/>
        <w:t>年北京无线电</w:t>
      </w:r>
      <w:r>
        <w:rPr>
          <w:w w:val="100"/>
        </w:rPr>
        <w:t> </w:t>
      </w:r>
      <w:r>
        <w:rPr>
          <w:spacing w:val="-1"/>
        </w:rPr>
        <w:t>技术研究所工作。</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10</w:t>
      </w: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月任公司董事长；</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月至今任公司董</w:t>
      </w:r>
      <w:r>
        <w:rPr>
          <w:spacing w:val="-85"/>
        </w:rPr>
        <w:t> </w:t>
      </w:r>
      <w:r>
        <w:rPr>
          <w:spacing w:val="-85"/>
        </w:rPr>
      </w:r>
      <w:r>
        <w:rPr/>
        <w:t>事。张学君女士本届任期至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43" w:lineRule="auto" w:before="27"/>
        <w:ind w:right="0" w:firstLine="459"/>
        <w:jc w:val="left"/>
      </w:pPr>
      <w:r>
        <w:rPr>
          <w:spacing w:val="-4"/>
        </w:rPr>
        <w:t>何晔女士，公司董事，中国籍，</w:t>
      </w:r>
      <w:r>
        <w:rPr>
          <w:rFonts w:ascii="Times New Roman" w:hAnsi="Times New Roman" w:cs="Times New Roman" w:eastAsia="Times New Roman" w:hint="default"/>
          <w:spacing w:val="-4"/>
        </w:rPr>
        <w:t>1970</w:t>
      </w:r>
      <w:r>
        <w:rPr>
          <w:spacing w:val="-4"/>
        </w:rPr>
        <w:t>年出生，本科学历。</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4</w:t>
      </w:r>
      <w:r>
        <w:rPr>
          <w:spacing w:val="-4"/>
        </w:rPr>
        <w:t>月起在联合证</w:t>
      </w:r>
      <w:r>
        <w:rPr>
          <w:w w:val="100"/>
        </w:rPr>
        <w:t> </w:t>
      </w:r>
      <w:r>
        <w:rPr/>
        <w:t>券有限责任公司（华泰联合证券有限责任公司）工作，历任计划财务部职员、基金</w:t>
      </w:r>
      <w:r>
        <w:rPr>
          <w:w w:val="100"/>
        </w:rPr>
        <w:t> </w:t>
      </w:r>
      <w:r>
        <w:rPr>
          <w:spacing w:val="-7"/>
        </w:rPr>
        <w:t>业务小组组长助理、销售交易部总经理助理、销售交易部副总经理，</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3</w:t>
      </w:r>
      <w:r>
        <w:rPr>
          <w:spacing w:val="-7"/>
        </w:rPr>
        <w:t>月离职。</w:t>
      </w:r>
      <w:r>
        <w:rPr>
          <w:spacing w:val="-70"/>
        </w:rPr>
        <w:t> </w:t>
      </w:r>
      <w:r>
        <w:rPr>
          <w:spacing w:val="-70"/>
        </w:rPr>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月至今任本公司董事。何晔女士本届任期至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38" w:lineRule="auto" w:before="19"/>
        <w:ind w:right="0" w:firstLine="459"/>
        <w:jc w:val="left"/>
      </w:pPr>
      <w:r>
        <w:rPr>
          <w:spacing w:val="-9"/>
        </w:rPr>
        <w:t>单怀光先生，公司独立董事，中国籍，</w:t>
      </w:r>
      <w:r>
        <w:rPr>
          <w:rFonts w:ascii="Times New Roman" w:hAnsi="Times New Roman" w:cs="Times New Roman" w:eastAsia="Times New Roman" w:hint="default"/>
          <w:spacing w:val="-9"/>
        </w:rPr>
        <w:t>1941</w:t>
      </w:r>
      <w:r>
        <w:rPr>
          <w:spacing w:val="-9"/>
        </w:rPr>
        <w:t>年出生，本科学历。</w:t>
      </w:r>
      <w:r>
        <w:rPr>
          <w:rFonts w:ascii="Times New Roman" w:hAnsi="Times New Roman" w:cs="Times New Roman" w:eastAsia="Times New Roman" w:hint="default"/>
          <w:spacing w:val="-9"/>
        </w:rPr>
        <w:t>1970</w:t>
      </w:r>
      <w:r>
        <w:rPr>
          <w:spacing w:val="-9"/>
        </w:rPr>
        <w:t>年</w:t>
      </w:r>
      <w:r>
        <w:rPr>
          <w:rFonts w:ascii="Times New Roman" w:hAnsi="Times New Roman" w:cs="Times New Roman" w:eastAsia="Times New Roman" w:hint="default"/>
          <w:spacing w:val="-9"/>
        </w:rPr>
        <w:t>5</w:t>
      </w:r>
      <w:r>
        <w:rPr>
          <w:spacing w:val="-9"/>
        </w:rPr>
        <w:t>月至</w:t>
      </w:r>
      <w:r>
        <w:rPr>
          <w:rFonts w:ascii="Times New Roman" w:hAnsi="Times New Roman" w:cs="Times New Roman" w:eastAsia="Times New Roman" w:hint="default"/>
          <w:spacing w:val="-9"/>
        </w:rPr>
        <w:t>1977</w:t>
      </w:r>
      <w:r>
        <w:rPr>
          <w:rFonts w:ascii="Times New Roman" w:hAnsi="Times New Roman" w:cs="Times New Roman" w:eastAsia="Times New Roman" w:hint="default"/>
          <w:w w:val="100"/>
        </w:rPr>
        <w:t> </w:t>
      </w:r>
      <w:r>
        <w:rPr>
          <w:spacing w:val="-4"/>
        </w:rPr>
        <w:t>年</w:t>
      </w:r>
      <w:r>
        <w:rPr>
          <w:rFonts w:ascii="Times New Roman" w:hAnsi="Times New Roman" w:cs="Times New Roman" w:eastAsia="Times New Roman" w:hint="default"/>
          <w:spacing w:val="-4"/>
        </w:rPr>
        <w:t>3</w:t>
      </w:r>
      <w:r>
        <w:rPr>
          <w:spacing w:val="-4"/>
        </w:rPr>
        <w:t>月，任中科院计算所第九研究室项目负责人，</w:t>
      </w:r>
      <w:r>
        <w:rPr>
          <w:rFonts w:ascii="Times New Roman" w:hAnsi="Times New Roman" w:cs="Times New Roman" w:eastAsia="Times New Roman" w:hint="default"/>
          <w:spacing w:val="-4"/>
        </w:rPr>
        <w:t>1977</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1984</w:t>
      </w:r>
      <w:r>
        <w:rPr>
          <w:spacing w:val="-4"/>
        </w:rPr>
        <w:t>年</w:t>
      </w:r>
      <w:r>
        <w:rPr>
          <w:rFonts w:ascii="Times New Roman" w:hAnsi="Times New Roman" w:cs="Times New Roman" w:eastAsia="Times New Roman" w:hint="default"/>
          <w:spacing w:val="-4"/>
        </w:rPr>
        <w:t>1</w:t>
      </w:r>
      <w:r>
        <w:rPr>
          <w:spacing w:val="-4"/>
        </w:rPr>
        <w:t>月任香港中银</w:t>
      </w:r>
      <w:r>
        <w:rPr>
          <w:spacing w:val="-72"/>
        </w:rPr>
        <w:t> </w:t>
      </w:r>
      <w:r>
        <w:rPr>
          <w:spacing w:val="-72"/>
        </w:rPr>
      </w:r>
      <w:r>
        <w:rPr/>
        <w:t>集团电脑部系统开发部经理，</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1</w:t>
      </w:r>
      <w:r>
        <w:rPr/>
        <w:t>月任中国银行南京分行电脑部负</w:t>
      </w:r>
      <w:r>
        <w:rPr>
          <w:w w:val="100"/>
        </w:rPr>
        <w:t> </w:t>
      </w:r>
      <w:r>
        <w:rPr>
          <w:spacing w:val="-4"/>
        </w:rPr>
        <w:t>责人，</w:t>
      </w:r>
      <w:r>
        <w:rPr>
          <w:rFonts w:ascii="Times New Roman" w:hAnsi="Times New Roman" w:cs="Times New Roman" w:eastAsia="Times New Roman" w:hint="default"/>
          <w:spacing w:val="-4"/>
        </w:rPr>
        <w:t>1985</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6</w:t>
      </w:r>
      <w:r>
        <w:rPr>
          <w:spacing w:val="-4"/>
        </w:rPr>
        <w:t>月历任中国工商银行科技部副主任、总工程师、总经理，</w:t>
      </w:r>
      <w:r>
        <w:rPr>
          <w:spacing w:val="-72"/>
        </w:rPr>
        <w:t> </w:t>
      </w:r>
      <w:r>
        <w:rPr>
          <w:spacing w:val="-72"/>
        </w:rPr>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月任中国工商银行海外数据中心总经理，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2004</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月任中国银联首席技术顾问，</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月任银联数据服务公司总</w:t>
      </w:r>
      <w:r>
        <w:rPr>
          <w:w w:val="100"/>
        </w:rPr>
        <w:t> </w:t>
      </w:r>
      <w:r>
        <w:rPr>
          <w:spacing w:val="-4"/>
        </w:rPr>
        <w:t>裁，</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3</w:t>
      </w:r>
      <w:r>
        <w:rPr>
          <w:spacing w:val="-4"/>
        </w:rPr>
        <w:t>月至今任通联支付网络服务股份有限公司常务副总裁。</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月至今</w:t>
      </w:r>
      <w:r>
        <w:rPr>
          <w:spacing w:val="-76"/>
        </w:rPr>
        <w:t> </w:t>
      </w:r>
      <w:r>
        <w:rPr/>
        <w:t>任本公司独立董事。单怀光先生本届任期至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240" w:lineRule="auto" w:before="23"/>
        <w:ind w:left="597" w:right="186"/>
        <w:jc w:val="left"/>
      </w:pPr>
      <w:r>
        <w:rPr>
          <w:spacing w:val="-4"/>
        </w:rPr>
        <w:t>宋靖雁先生，公司独立董事，中国籍，</w:t>
      </w:r>
      <w:r>
        <w:rPr>
          <w:rFonts w:ascii="Times New Roman" w:hAnsi="Times New Roman" w:cs="Times New Roman" w:eastAsia="Times New Roman" w:hint="default"/>
          <w:spacing w:val="-4"/>
        </w:rPr>
        <w:t>1964</w:t>
      </w:r>
      <w:r>
        <w:rPr>
          <w:spacing w:val="-4"/>
        </w:rPr>
        <w:t>年出生，博士学历。</w:t>
      </w:r>
      <w:r>
        <w:rPr>
          <w:rFonts w:ascii="Times New Roman" w:hAnsi="Times New Roman" w:cs="Times New Roman" w:eastAsia="Times New Roman" w:hint="default"/>
          <w:spacing w:val="-4"/>
        </w:rPr>
        <w:t>1988</w:t>
      </w:r>
      <w:r>
        <w:rPr>
          <w:spacing w:val="-4"/>
        </w:rPr>
        <w:t>年</w:t>
      </w:r>
      <w:r>
        <w:rPr>
          <w:rFonts w:ascii="Times New Roman" w:hAnsi="Times New Roman" w:cs="Times New Roman" w:eastAsia="Times New Roman" w:hint="default"/>
          <w:spacing w:val="-4"/>
        </w:rPr>
        <w:t>7</w:t>
      </w:r>
      <w:r>
        <w:rPr>
          <w:spacing w:val="-4"/>
        </w:rPr>
        <w:t>月至今</w:t>
      </w:r>
    </w:p>
    <w:p>
      <w:pPr>
        <w:spacing w:after="0" w:line="240" w:lineRule="auto"/>
        <w:jc w:val="left"/>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40" w:lineRule="auto"/>
        <w:ind w:right="214"/>
        <w:jc w:val="left"/>
      </w:pPr>
      <w:r>
        <w:rPr>
          <w:spacing w:val="-1"/>
        </w:rPr>
        <w:t>在清华大学工作，历任清华大学自动化系助教、讲师、副教授、教授、副系主任，</w:t>
      </w:r>
      <w:r>
        <w:rPr>
          <w:spacing w:val="-93"/>
        </w:rPr>
        <w:t> </w:t>
      </w:r>
      <w:r>
        <w:rPr>
          <w:spacing w:val="-93"/>
        </w:rPr>
      </w:r>
      <w:r>
        <w:rPr/>
        <w:t>其间</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月任香港中文大学系统工程与工程管理学系研究助理，</w:t>
      </w:r>
      <w:r>
        <w:rPr>
          <w:w w:val="100"/>
        </w:rPr>
        <w:t> </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月任美国加州大学伯克利分校</w:t>
      </w:r>
      <w:r>
        <w:rPr>
          <w:rFonts w:ascii="Times New Roman" w:hAnsi="Times New Roman" w:cs="Times New Roman" w:eastAsia="Times New Roman" w:hint="default"/>
        </w:rPr>
        <w:t>PATH</w:t>
      </w:r>
      <w:r>
        <w:rPr/>
        <w:t>研究中心访问学者，</w:t>
      </w:r>
      <w:r>
        <w:rPr>
          <w:rFonts w:ascii="Times New Roman" w:hAnsi="Times New Roman" w:cs="Times New Roman" w:eastAsia="Times New Roman" w:hint="default"/>
        </w:rPr>
        <w:t>2004</w:t>
      </w:r>
      <w:r>
        <w:rPr>
          <w:rFonts w:ascii="Times New Roman" w:hAnsi="Times New Roman" w:cs="Times New Roman" w:eastAsia="Times New Roman" w:hint="default"/>
          <w:w w:val="100"/>
        </w:rPr>
        <w:t> </w:t>
      </w:r>
      <w:r>
        <w:rPr>
          <w:spacing w:val="-4"/>
          <w:w w:val="100"/>
        </w:rPr>
        <w:t>年</w:t>
      </w:r>
      <w:r>
        <w:rPr>
          <w:rFonts w:ascii="Times New Roman" w:hAnsi="Times New Roman" w:cs="Times New Roman" w:eastAsia="Times New Roman" w:hint="default"/>
          <w:spacing w:val="-4"/>
          <w:w w:val="100"/>
        </w:rPr>
        <w:t>12</w:t>
      </w:r>
      <w:r>
        <w:rPr>
          <w:spacing w:val="-4"/>
          <w:w w:val="100"/>
        </w:rPr>
        <w:t>月至</w:t>
      </w:r>
      <w:r>
        <w:rPr>
          <w:rFonts w:ascii="Times New Roman" w:hAnsi="Times New Roman" w:cs="Times New Roman" w:eastAsia="Times New Roman" w:hint="default"/>
          <w:spacing w:val="-4"/>
          <w:w w:val="100"/>
        </w:rPr>
        <w:t>2005</w:t>
      </w:r>
      <w:r>
        <w:rPr>
          <w:spacing w:val="-4"/>
          <w:w w:val="100"/>
        </w:rPr>
        <w:t>年</w:t>
      </w:r>
      <w:r>
        <w:rPr>
          <w:rFonts w:ascii="Times New Roman" w:hAnsi="Times New Roman" w:cs="Times New Roman" w:eastAsia="Times New Roman" w:hint="default"/>
          <w:spacing w:val="-4"/>
          <w:w w:val="100"/>
        </w:rPr>
        <w:t>2</w:t>
      </w:r>
      <w:r>
        <w:rPr>
          <w:spacing w:val="-4"/>
          <w:w w:val="100"/>
        </w:rPr>
        <w:t>月任香港中文大学自动化与计算机辅助工程系副研究员，现任清华</w:t>
      </w:r>
      <w:r>
        <w:rPr>
          <w:spacing w:val="-94"/>
          <w:w w:val="100"/>
        </w:rPr>
        <w:t> </w:t>
      </w:r>
      <w:r>
        <w:rPr>
          <w:spacing w:val="-94"/>
          <w:w w:val="100"/>
        </w:rPr>
      </w:r>
      <w:r>
        <w:rPr>
          <w:spacing w:val="-6"/>
          <w:w w:val="100"/>
        </w:rPr>
        <w:t>大学自动化系教授。</w:t>
      </w:r>
      <w:r>
        <w:rPr>
          <w:rFonts w:ascii="Times New Roman" w:hAnsi="Times New Roman" w:cs="Times New Roman" w:eastAsia="Times New Roman" w:hint="default"/>
          <w:spacing w:val="-6"/>
          <w:w w:val="100"/>
        </w:rPr>
        <w:t>2007</w:t>
      </w:r>
      <w:r>
        <w:rPr>
          <w:spacing w:val="-6"/>
          <w:w w:val="100"/>
        </w:rPr>
        <w:t>年</w:t>
      </w:r>
      <w:r>
        <w:rPr>
          <w:rFonts w:ascii="Times New Roman" w:hAnsi="Times New Roman" w:cs="Times New Roman" w:eastAsia="Times New Roman" w:hint="default"/>
          <w:spacing w:val="-6"/>
          <w:w w:val="100"/>
        </w:rPr>
        <w:t>12</w:t>
      </w:r>
      <w:r>
        <w:rPr>
          <w:spacing w:val="-6"/>
          <w:w w:val="100"/>
        </w:rPr>
        <w:t>月至今任本公司独立董事。宋靖雁先生本届任期至</w:t>
      </w:r>
      <w:r>
        <w:rPr>
          <w:rFonts w:ascii="Times New Roman" w:hAnsi="Times New Roman" w:cs="Times New Roman" w:eastAsia="Times New Roman" w:hint="default"/>
          <w:spacing w:val="-6"/>
          <w:w w:val="100"/>
        </w:rPr>
        <w:t>2013</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38" w:lineRule="auto" w:before="22"/>
        <w:ind w:right="189" w:firstLine="459"/>
        <w:jc w:val="left"/>
        <w:rPr>
          <w:rFonts w:ascii="Times New Roman" w:hAnsi="Times New Roman" w:cs="Times New Roman" w:eastAsia="Times New Roman" w:hint="default"/>
        </w:rPr>
      </w:pPr>
      <w:r>
        <w:rPr>
          <w:spacing w:val="-3"/>
        </w:rPr>
        <w:t>朱厚佳先生，公司独立董事，中国籍，</w:t>
      </w:r>
      <w:r>
        <w:rPr>
          <w:rFonts w:ascii="Times New Roman" w:hAnsi="Times New Roman" w:cs="Times New Roman" w:eastAsia="Times New Roman" w:hint="default"/>
          <w:spacing w:val="-3"/>
        </w:rPr>
        <w:t>1965 </w:t>
      </w:r>
      <w:r>
        <w:rPr>
          <w:spacing w:val="-4"/>
        </w:rPr>
        <w:t>年出生，研究生学历。</w:t>
      </w:r>
      <w:r>
        <w:rPr>
          <w:rFonts w:ascii="Times New Roman" w:hAnsi="Times New Roman" w:cs="Times New Roman" w:eastAsia="Times New Roman" w:hint="default"/>
          <w:spacing w:val="-4"/>
        </w:rPr>
        <w:t>1990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月</w:t>
      </w:r>
      <w:r>
        <w:rPr>
          <w:w w:val="100"/>
        </w:rPr>
        <w:t> </w:t>
      </w:r>
      <w:r>
        <w:rPr/>
        <w:t>至</w:t>
      </w:r>
      <w:r>
        <w:rPr>
          <w:spacing w:val="-52"/>
        </w:rPr>
        <w:t> </w:t>
      </w: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月任蛇口中华会计师事务所、蛇口天健信德会计师事务所经理，</w:t>
      </w:r>
      <w:r>
        <w:rPr>
          <w:rFonts w:ascii="Times New Roman" w:hAnsi="Times New Roman" w:cs="Times New Roman" w:eastAsia="Times New Roman" w:hint="default"/>
        </w:rPr>
        <w:t>1996</w:t>
      </w:r>
    </w:p>
    <w:p>
      <w:pPr>
        <w:pStyle w:val="BodyText"/>
        <w:spacing w:line="338" w:lineRule="auto" w:before="24"/>
        <w:ind w:right="193"/>
        <w:jc w:val="both"/>
      </w:pP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月至</w:t>
      </w:r>
      <w:r>
        <w:rPr>
          <w:spacing w:val="-6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月任深圳同人会计师事务所合伙人，</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月至今任天健正</w:t>
      </w:r>
      <w:r>
        <w:rPr>
          <w:w w:val="100"/>
        </w:rPr>
        <w:t> </w:t>
      </w:r>
      <w:r>
        <w:rPr/>
        <w:t>信会计师事务所深圳分所副主任。</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月至今任本公司独立董事。朱厚佳先</w:t>
      </w:r>
      <w:r>
        <w:rPr>
          <w:w w:val="100"/>
        </w:rPr>
        <w:t> </w:t>
      </w:r>
      <w:r>
        <w:rPr/>
        <w:t>生本届任期至</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p>
    <w:p>
      <w:pPr>
        <w:pStyle w:val="BodyText"/>
        <w:spacing w:line="427" w:lineRule="auto" w:before="143"/>
        <w:ind w:left="597" w:right="1062" w:hanging="2"/>
        <w:jc w:val="left"/>
      </w:pPr>
      <w:r>
        <w:rPr>
          <w:rFonts w:ascii="Times New Roman" w:hAnsi="Times New Roman" w:cs="Times New Roman" w:eastAsia="Times New Roman" w:hint="default"/>
          <w:b/>
          <w:bCs/>
          <w:spacing w:val="4"/>
        </w:rPr>
        <w:t>2</w:t>
      </w:r>
      <w:r>
        <w:rPr>
          <w:rFonts w:ascii="宋体" w:hAnsi="宋体" w:cs="宋体" w:eastAsia="宋体" w:hint="default"/>
          <w:b/>
          <w:bCs/>
          <w:spacing w:val="4"/>
        </w:rPr>
        <w:t>．监事</w:t>
      </w:r>
      <w:r>
        <w:rPr>
          <w:rFonts w:ascii="宋体" w:hAnsi="宋体" w:cs="宋体" w:eastAsia="宋体" w:hint="default"/>
          <w:b/>
          <w:bCs/>
          <w:spacing w:val="1"/>
          <w:w w:val="99"/>
        </w:rPr>
        <w:t> </w:t>
      </w:r>
      <w:r>
        <w:rPr>
          <w:spacing w:val="-1"/>
        </w:rPr>
        <w:t>公司监事会由三名监事组成，其中职工监事一人，具体如下：</w:t>
      </w:r>
    </w:p>
    <w:p>
      <w:pPr>
        <w:pStyle w:val="BodyText"/>
        <w:spacing w:line="286" w:lineRule="exact" w:before="0"/>
        <w:ind w:left="597" w:right="186"/>
        <w:jc w:val="left"/>
        <w:rPr>
          <w:rFonts w:ascii="Times New Roman" w:hAnsi="Times New Roman" w:cs="Times New Roman" w:eastAsia="Times New Roman" w:hint="default"/>
        </w:rPr>
      </w:pPr>
      <w:r>
        <w:rPr/>
        <w:t>汪婉欣女士，公司监事会主席，中国籍，</w:t>
      </w:r>
      <w:r>
        <w:rPr>
          <w:rFonts w:ascii="Times New Roman" w:hAnsi="Times New Roman" w:cs="Times New Roman" w:eastAsia="Times New Roman" w:hint="default"/>
        </w:rPr>
        <w:t>1975</w:t>
      </w:r>
      <w:r>
        <w:rPr/>
        <w:t>年出生，研究生学历。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p>
    <w:p>
      <w:pPr>
        <w:pStyle w:val="BodyText"/>
        <w:spacing w:line="336" w:lineRule="auto" w:before="129"/>
        <w:ind w:right="221"/>
        <w:jc w:val="both"/>
      </w:pP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月任普华永道初级审计师，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12</w:t>
      </w:r>
      <w:r>
        <w:rPr>
          <w:spacing w:val="-1"/>
        </w:rPr>
        <w:t>月任普华永道高级审</w:t>
      </w:r>
      <w:r>
        <w:rPr>
          <w:spacing w:val="-86"/>
        </w:rPr>
        <w:t> </w:t>
      </w:r>
      <w:r>
        <w:rPr>
          <w:spacing w:val="-86"/>
        </w:rPr>
      </w:r>
      <w:r>
        <w:rPr>
          <w:spacing w:val="-1"/>
        </w:rPr>
        <w:t>计师，</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月任可口可乐有限公司（美国）主任内部审计师，</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4"/>
          <w:w w:val="100"/>
        </w:rPr>
        <w:t>年</w:t>
      </w:r>
      <w:r>
        <w:rPr>
          <w:rFonts w:ascii="Times New Roman" w:hAnsi="Times New Roman" w:cs="Times New Roman" w:eastAsia="Times New Roman" w:hint="default"/>
          <w:spacing w:val="-4"/>
          <w:w w:val="100"/>
        </w:rPr>
        <w:t>1</w:t>
      </w:r>
      <w:r>
        <w:rPr>
          <w:spacing w:val="-4"/>
          <w:w w:val="100"/>
        </w:rPr>
        <w:t>月至今任北京诺华制药有限公司业务流程控制副总监。</w:t>
      </w:r>
      <w:r>
        <w:rPr>
          <w:rFonts w:ascii="Times New Roman" w:hAnsi="Times New Roman" w:cs="Times New Roman" w:eastAsia="Times New Roman" w:hint="default"/>
          <w:spacing w:val="-4"/>
          <w:w w:val="100"/>
        </w:rPr>
        <w:t>2007</w:t>
      </w:r>
      <w:r>
        <w:rPr>
          <w:spacing w:val="-4"/>
          <w:w w:val="100"/>
        </w:rPr>
        <w:t>年</w:t>
      </w:r>
      <w:r>
        <w:rPr>
          <w:rFonts w:ascii="Times New Roman" w:hAnsi="Times New Roman" w:cs="Times New Roman" w:eastAsia="Times New Roman" w:hint="default"/>
          <w:spacing w:val="-4"/>
          <w:w w:val="100"/>
        </w:rPr>
        <w:t>12</w:t>
      </w:r>
      <w:r>
        <w:rPr>
          <w:spacing w:val="-4"/>
          <w:w w:val="100"/>
        </w:rPr>
        <w:t>月至今任本公司</w:t>
      </w:r>
      <w:r>
        <w:rPr>
          <w:spacing w:val="-94"/>
          <w:w w:val="100"/>
        </w:rPr>
        <w:t> </w:t>
      </w:r>
      <w:r>
        <w:rPr>
          <w:spacing w:val="-94"/>
          <w:w w:val="100"/>
        </w:rPr>
      </w:r>
      <w:r>
        <w:rPr/>
        <w:t>监事会主席。汪婉欣女士本届任期至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38" w:lineRule="auto" w:before="27"/>
        <w:ind w:right="221" w:firstLine="459"/>
        <w:jc w:val="both"/>
      </w:pPr>
      <w:r>
        <w:rPr>
          <w:spacing w:val="-3"/>
        </w:rPr>
        <w:t>杨金敏女士，公司监事，中国籍，</w:t>
      </w:r>
      <w:r>
        <w:rPr>
          <w:rFonts w:ascii="Times New Roman" w:hAnsi="Times New Roman" w:cs="Times New Roman" w:eastAsia="Times New Roman" w:hint="default"/>
          <w:spacing w:val="-3"/>
        </w:rPr>
        <w:t>1979</w:t>
      </w:r>
      <w:r>
        <w:rPr>
          <w:spacing w:val="-3"/>
        </w:rPr>
        <w:t>年出生，大专学历。</w:t>
      </w:r>
      <w:r>
        <w:rPr>
          <w:rFonts w:ascii="Times New Roman" w:hAnsi="Times New Roman" w:cs="Times New Roman" w:eastAsia="Times New Roman" w:hint="default"/>
          <w:spacing w:val="-3"/>
        </w:rPr>
        <w:t>1998-1999</w:t>
      </w:r>
      <w:r>
        <w:rPr>
          <w:spacing w:val="-3"/>
        </w:rPr>
        <w:t>年在深圳</w:t>
      </w:r>
      <w:r>
        <w:rPr>
          <w:w w:val="100"/>
        </w:rPr>
        <w:t> </w:t>
      </w:r>
      <w:r>
        <w:rPr>
          <w:spacing w:val="-1"/>
        </w:rPr>
        <w:t>市同洲电子股份有限公司工作。</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10</w:t>
      </w:r>
      <w:r>
        <w:rPr>
          <w:spacing w:val="-1"/>
        </w:rPr>
        <w:t>月至今任本公司出纳；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月至今任</w:t>
      </w:r>
      <w:r>
        <w:rPr>
          <w:spacing w:val="-89"/>
        </w:rPr>
        <w:t> </w:t>
      </w:r>
      <w:r>
        <w:rPr>
          <w:spacing w:val="-89"/>
        </w:rPr>
      </w:r>
      <w:r>
        <w:rPr/>
        <w:t>本公司监事。杨金敏女士本届任期至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336" w:lineRule="auto" w:before="24"/>
        <w:ind w:right="186" w:firstLine="459"/>
        <w:jc w:val="left"/>
      </w:pPr>
      <w:r>
        <w:rPr/>
        <w:t>周峰先生，公司职工代表监事，中国籍，</w:t>
      </w:r>
      <w:r>
        <w:rPr>
          <w:rFonts w:ascii="Times New Roman" w:hAnsi="Times New Roman" w:cs="Times New Roman" w:eastAsia="Times New Roman" w:hint="default"/>
        </w:rPr>
        <w:t>1976</w:t>
      </w:r>
      <w:r>
        <w:rPr/>
        <w:t>年出生，本科学历。</w:t>
      </w:r>
      <w:r>
        <w:rPr>
          <w:rFonts w:ascii="Times New Roman" w:hAnsi="Times New Roman" w:cs="Times New Roman" w:eastAsia="Times New Roman" w:hint="default"/>
        </w:rPr>
        <w:t>2000-2006</w:t>
      </w:r>
      <w:r>
        <w:rPr>
          <w:rFonts w:ascii="Times New Roman" w:hAnsi="Times New Roman" w:cs="Times New Roman" w:eastAsia="Times New Roman" w:hint="default"/>
          <w:w w:val="100"/>
        </w:rPr>
        <w:t> </w:t>
      </w:r>
      <w:r>
        <w:rPr>
          <w:spacing w:val="-4"/>
        </w:rPr>
        <w:t>年在深圳市西奥科技有限公司工作，历任人力资源部副经理、行政部经理；</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6</w:t>
      </w:r>
      <w:r>
        <w:rPr>
          <w:rFonts w:ascii="Times New Roman" w:hAnsi="Times New Roman" w:cs="Times New Roman" w:eastAsia="Times New Roman" w:hint="default"/>
          <w:spacing w:val="-26"/>
        </w:rPr>
        <w:t> </w:t>
      </w:r>
      <w:r>
        <w:rPr>
          <w:spacing w:val="-1"/>
        </w:rPr>
        <w:t>月至今在本公司工作，历任行政人事部经理、综合管理部经理。</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月至今任</w:t>
      </w:r>
      <w:r>
        <w:rPr>
          <w:spacing w:val="-93"/>
        </w:rPr>
        <w:t> </w:t>
      </w:r>
      <w:r>
        <w:rPr>
          <w:spacing w:val="-93"/>
        </w:rPr>
      </w:r>
      <w:r>
        <w:rPr/>
        <w:t>本公司职工代表监事。周峰先生本届任期至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spacing w:line="427" w:lineRule="auto" w:before="147"/>
        <w:ind w:left="597" w:right="0" w:hanging="2"/>
        <w:jc w:val="left"/>
        <w:rPr>
          <w:rFonts w:ascii="宋体" w:hAnsi="宋体" w:cs="宋体" w:eastAsia="宋体" w:hint="default"/>
          <w:sz w:val="23"/>
          <w:szCs w:val="23"/>
        </w:rPr>
      </w:pPr>
      <w:r>
        <w:rPr>
          <w:rFonts w:ascii="Times New Roman" w:hAnsi="Times New Roman" w:cs="Times New Roman" w:eastAsia="Times New Roman" w:hint="default"/>
          <w:b/>
          <w:bCs/>
          <w:sz w:val="23"/>
          <w:szCs w:val="23"/>
        </w:rPr>
        <w:t>3</w:t>
      </w:r>
      <w:r>
        <w:rPr>
          <w:rFonts w:ascii="宋体" w:hAnsi="宋体" w:cs="宋体" w:eastAsia="宋体" w:hint="default"/>
          <w:b/>
          <w:bCs/>
          <w:sz w:val="23"/>
          <w:szCs w:val="23"/>
        </w:rPr>
        <w:t>．其他高级管理人员</w:t>
      </w:r>
      <w:r>
        <w:rPr>
          <w:rFonts w:ascii="宋体" w:hAnsi="宋体" w:cs="宋体" w:eastAsia="宋体" w:hint="default"/>
          <w:b/>
          <w:bCs/>
          <w:spacing w:val="-103"/>
          <w:sz w:val="23"/>
          <w:szCs w:val="23"/>
        </w:rPr>
        <w:t> </w:t>
      </w:r>
      <w:r>
        <w:rPr>
          <w:rFonts w:ascii="宋体" w:hAnsi="宋体" w:cs="宋体" w:eastAsia="宋体" w:hint="default"/>
          <w:b/>
          <w:bCs/>
          <w:spacing w:val="-103"/>
          <w:sz w:val="23"/>
          <w:szCs w:val="23"/>
        </w:rPr>
      </w:r>
      <w:r>
        <w:rPr>
          <w:rFonts w:ascii="宋体" w:hAnsi="宋体" w:cs="宋体" w:eastAsia="宋体" w:hint="default"/>
          <w:spacing w:val="-4"/>
          <w:sz w:val="23"/>
          <w:szCs w:val="23"/>
        </w:rPr>
        <w:t>刘奕先生：中国籍，</w:t>
      </w:r>
      <w:r>
        <w:rPr>
          <w:rFonts w:ascii="Times New Roman" w:hAnsi="Times New Roman" w:cs="Times New Roman" w:eastAsia="Times New Roman" w:hint="default"/>
          <w:spacing w:val="-4"/>
          <w:sz w:val="23"/>
          <w:szCs w:val="23"/>
        </w:rPr>
        <w:t>1971</w:t>
      </w:r>
      <w:r>
        <w:rPr>
          <w:rFonts w:ascii="宋体" w:hAnsi="宋体" w:cs="宋体" w:eastAsia="宋体" w:hint="default"/>
          <w:spacing w:val="-4"/>
          <w:sz w:val="23"/>
          <w:szCs w:val="23"/>
        </w:rPr>
        <w:t>年出生，研究生学历。</w:t>
      </w:r>
      <w:r>
        <w:rPr>
          <w:rFonts w:ascii="Times New Roman" w:hAnsi="Times New Roman" w:cs="Times New Roman" w:eastAsia="Times New Roman" w:hint="default"/>
          <w:spacing w:val="-4"/>
          <w:sz w:val="23"/>
          <w:szCs w:val="23"/>
        </w:rPr>
        <w:t>1998</w:t>
      </w:r>
      <w:r>
        <w:rPr>
          <w:rFonts w:ascii="宋体" w:hAnsi="宋体" w:cs="宋体" w:eastAsia="宋体" w:hint="default"/>
          <w:spacing w:val="-4"/>
          <w:sz w:val="23"/>
          <w:szCs w:val="23"/>
        </w:rPr>
        <w:t>年</w:t>
      </w:r>
      <w:r>
        <w:rPr>
          <w:rFonts w:ascii="Times New Roman" w:hAnsi="Times New Roman" w:cs="Times New Roman" w:eastAsia="Times New Roman" w:hint="default"/>
          <w:spacing w:val="-4"/>
          <w:sz w:val="23"/>
          <w:szCs w:val="23"/>
        </w:rPr>
        <w:t>10</w:t>
      </w:r>
      <w:r>
        <w:rPr>
          <w:rFonts w:ascii="宋体" w:hAnsi="宋体" w:cs="宋体" w:eastAsia="宋体" w:hint="default"/>
          <w:spacing w:val="-4"/>
          <w:sz w:val="23"/>
          <w:szCs w:val="23"/>
        </w:rPr>
        <w:t>月至今在本公司工作，</w:t>
      </w:r>
    </w:p>
    <w:p>
      <w:pPr>
        <w:pStyle w:val="BodyText"/>
        <w:spacing w:line="249" w:lineRule="exact" w:before="0"/>
        <w:ind w:right="0"/>
        <w:jc w:val="both"/>
      </w:pPr>
      <w:r>
        <w:rPr/>
        <w:t>历任总经理助理、副总经理。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月至今任公司副总经理、董事会秘书。</w:t>
      </w:r>
    </w:p>
    <w:p>
      <w:pPr>
        <w:pStyle w:val="BodyText"/>
        <w:spacing w:line="338" w:lineRule="auto" w:before="129"/>
        <w:ind w:right="0" w:firstLine="459"/>
        <w:jc w:val="left"/>
      </w:pPr>
      <w:r>
        <w:rPr>
          <w:spacing w:val="-1"/>
        </w:rPr>
        <w:t>许秋江先生：中国籍，</w:t>
      </w:r>
      <w:r>
        <w:rPr>
          <w:rFonts w:ascii="Times New Roman" w:hAnsi="Times New Roman" w:cs="Times New Roman" w:eastAsia="Times New Roman" w:hint="default"/>
          <w:spacing w:val="-1"/>
        </w:rPr>
        <w:t>1973</w:t>
      </w:r>
      <w:r>
        <w:rPr>
          <w:spacing w:val="-1"/>
        </w:rPr>
        <w:t>年出生，大专学历。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3</w:t>
      </w:r>
      <w:r>
        <w:rPr>
          <w:spacing w:val="-1"/>
        </w:rPr>
        <w:t>月至今在本公司工作，</w:t>
      </w:r>
      <w:r>
        <w:rPr>
          <w:w w:val="100"/>
        </w:rPr>
        <w:t> </w:t>
      </w:r>
      <w:r>
        <w:rPr/>
        <w:t>历任公司财务经理、财务总监。现任公司财务总监。</w:t>
      </w:r>
    </w:p>
    <w:p>
      <w:pPr>
        <w:spacing w:after="0" w:line="338" w:lineRule="auto"/>
        <w:jc w:val="left"/>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38" w:lineRule="auto"/>
        <w:ind w:right="113" w:firstLine="459"/>
        <w:jc w:val="left"/>
      </w:pPr>
      <w:r>
        <w:rPr>
          <w:spacing w:val="-4"/>
        </w:rPr>
        <w:t>唐劲星先生：中国籍，</w:t>
      </w:r>
      <w:r>
        <w:rPr>
          <w:rFonts w:ascii="Times New Roman" w:hAnsi="Times New Roman" w:cs="Times New Roman" w:eastAsia="Times New Roman" w:hint="default"/>
          <w:spacing w:val="-4"/>
        </w:rPr>
        <w:t>1976</w:t>
      </w:r>
      <w:r>
        <w:rPr>
          <w:spacing w:val="-4"/>
        </w:rPr>
        <w:t>年出生，本科学历。</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12</w:t>
      </w:r>
      <w:r>
        <w:rPr>
          <w:spacing w:val="-4"/>
        </w:rPr>
        <w:t>月至今在本公司工作，</w:t>
      </w:r>
      <w:r>
        <w:rPr>
          <w:w w:val="100"/>
        </w:rPr>
        <w:t> </w:t>
      </w:r>
      <w:r>
        <w:rPr/>
        <w:t>历任公司技术部经理、副总经理。现任公司副总经理。</w:t>
      </w:r>
    </w:p>
    <w:p>
      <w:pPr>
        <w:pStyle w:val="BodyText"/>
        <w:spacing w:line="338" w:lineRule="auto" w:before="52"/>
        <w:ind w:right="113" w:firstLine="459"/>
        <w:jc w:val="left"/>
      </w:pPr>
      <w:r>
        <w:rPr>
          <w:spacing w:val="-1"/>
        </w:rPr>
        <w:t>彭建文先生：中国籍，</w:t>
      </w:r>
      <w:r>
        <w:rPr>
          <w:rFonts w:ascii="Times New Roman" w:hAnsi="Times New Roman" w:cs="Times New Roman" w:eastAsia="Times New Roman" w:hint="default"/>
          <w:spacing w:val="-1"/>
        </w:rPr>
        <w:t>1970</w:t>
      </w:r>
      <w:r>
        <w:rPr>
          <w:spacing w:val="-1"/>
        </w:rPr>
        <w:t>年出生，研究生学历。</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8</w:t>
      </w:r>
      <w:r>
        <w:rPr>
          <w:spacing w:val="-1"/>
        </w:rPr>
        <w:t>月任深</w:t>
      </w:r>
      <w:r>
        <w:rPr>
          <w:w w:val="100"/>
        </w:rPr>
        <w:t> </w:t>
      </w:r>
      <w:r>
        <w:rPr/>
        <w:t>圳辉大科技发展有限公司副总经理，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8</w:t>
      </w:r>
      <w:r>
        <w:rPr/>
        <w:t>月至今任公司副总经理。</w:t>
      </w:r>
    </w:p>
    <w:p>
      <w:pPr>
        <w:pStyle w:val="BodyText"/>
        <w:spacing w:line="357" w:lineRule="auto" w:before="143"/>
        <w:ind w:right="113" w:firstLine="459"/>
        <w:jc w:val="left"/>
      </w:pPr>
      <w:r>
        <w:rPr/>
        <w:t>报告期内，以上公司董事、监事、高级管理人员均未发生变化，也没有董事、</w:t>
      </w:r>
      <w:r>
        <w:rPr>
          <w:w w:val="100"/>
        </w:rPr>
        <w:t> </w:t>
      </w:r>
      <w:r>
        <w:rPr/>
        <w:t>监事、高级管理人员在股东单位任职的情况。</w:t>
      </w:r>
    </w:p>
    <w:p>
      <w:pPr>
        <w:pStyle w:val="Heading5"/>
        <w:spacing w:line="357" w:lineRule="auto" w:before="154"/>
        <w:ind w:left="677" w:right="105" w:hanging="540"/>
        <w:jc w:val="left"/>
        <w:rPr>
          <w:b w:val="0"/>
          <w:bCs w:val="0"/>
        </w:rPr>
      </w:pPr>
      <w:r>
        <w:rPr/>
        <w:t>二、</w:t>
      </w:r>
      <w:r>
        <w:rPr>
          <w:spacing w:val="-27"/>
        </w:rPr>
        <w:t> </w:t>
      </w:r>
      <w:r>
        <w:rPr>
          <w:spacing w:val="-6"/>
        </w:rPr>
        <w:t>报告期内，公司核心技术团队或关键技术人员（非董事、监事、高级管理人员）</w:t>
      </w:r>
      <w:r>
        <w:rPr>
          <w:w w:val="99"/>
        </w:rPr>
        <w:t> </w:t>
      </w:r>
      <w:r>
        <w:rPr/>
        <w:t>没有发生变动。</w:t>
      </w:r>
      <w:r>
        <w:rPr>
          <w:b w:val="0"/>
          <w:bCs w:val="0"/>
        </w:rPr>
      </w:r>
    </w:p>
    <w:p>
      <w:pPr>
        <w:pStyle w:val="Heading5"/>
        <w:spacing w:line="240" w:lineRule="auto" w:before="154"/>
        <w:ind w:left="137" w:right="113"/>
        <w:jc w:val="left"/>
        <w:rPr>
          <w:b w:val="0"/>
          <w:bCs w:val="0"/>
        </w:rPr>
      </w:pPr>
      <w:r>
        <w:rPr/>
        <w:t>三、</w:t>
      </w:r>
      <w:r>
        <w:rPr>
          <w:spacing w:val="-38"/>
        </w:rPr>
        <w:t> </w:t>
      </w:r>
      <w:r>
        <w:rPr/>
        <w:t>员工情况</w:t>
      </w:r>
      <w:r>
        <w:rPr>
          <w:b w:val="0"/>
          <w:bCs w:val="0"/>
        </w:rPr>
      </w:r>
    </w:p>
    <w:p>
      <w:pPr>
        <w:spacing w:line="240" w:lineRule="auto" w:before="5"/>
        <w:rPr>
          <w:rFonts w:ascii="宋体" w:hAnsi="宋体" w:cs="宋体" w:eastAsia="宋体" w:hint="default"/>
          <w:b/>
          <w:bCs/>
          <w:sz w:val="20"/>
          <w:szCs w:val="20"/>
        </w:rPr>
      </w:pPr>
    </w:p>
    <w:p>
      <w:pPr>
        <w:pStyle w:val="BodyText"/>
        <w:spacing w:line="240" w:lineRule="auto" w:before="0"/>
        <w:ind w:left="597" w:right="113"/>
        <w:jc w:val="left"/>
      </w:pP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日，公司共有在册员工</w:t>
      </w:r>
      <w:r>
        <w:rPr>
          <w:rFonts w:ascii="Times New Roman" w:hAnsi="Times New Roman" w:cs="Times New Roman" w:eastAsia="Times New Roman" w:hint="default"/>
        </w:rPr>
        <w:t>356</w:t>
      </w:r>
      <w:r>
        <w:rPr/>
        <w:t>人，较上年末增加</w:t>
      </w:r>
      <w:r>
        <w:rPr>
          <w:rFonts w:ascii="Times New Roman" w:hAnsi="Times New Roman" w:cs="Times New Roman" w:eastAsia="Times New Roman" w:hint="default"/>
        </w:rPr>
        <w:t>67</w:t>
      </w:r>
      <w:r>
        <w:rPr/>
        <w:t>人，增幅</w:t>
      </w:r>
    </w:p>
    <w:p>
      <w:pPr>
        <w:pStyle w:val="BodyText"/>
        <w:spacing w:line="240" w:lineRule="auto" w:before="129"/>
        <w:ind w:right="113"/>
        <w:jc w:val="left"/>
      </w:pPr>
      <w:r>
        <w:rPr>
          <w:rFonts w:ascii="Times New Roman" w:hAnsi="Times New Roman" w:cs="Times New Roman" w:eastAsia="Times New Roman" w:hint="default"/>
        </w:rPr>
        <w:t>23.18%</w:t>
      </w:r>
      <w:r>
        <w:rPr/>
        <w:t>。员工具体构成情况如下：</w:t>
      </w:r>
    </w:p>
    <w:p>
      <w:pPr>
        <w:pStyle w:val="BodyText"/>
        <w:spacing w:line="240" w:lineRule="auto" w:before="128"/>
        <w:ind w:left="597" w:right="113"/>
        <w:jc w:val="left"/>
      </w:pPr>
      <w:r>
        <w:rPr>
          <w:rFonts w:ascii="Times New Roman" w:hAnsi="Times New Roman" w:cs="Times New Roman" w:eastAsia="Times New Roman" w:hint="default"/>
        </w:rPr>
        <w:t>1</w:t>
      </w:r>
      <w:r>
        <w:rPr/>
        <w:t>．专业结构</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700"/>
        <w:gridCol w:w="2794"/>
        <w:gridCol w:w="2786"/>
      </w:tblGrid>
      <w:tr>
        <w:trPr>
          <w:trHeight w:val="379" w:hRule="exact"/>
        </w:trPr>
        <w:tc>
          <w:tcPr>
            <w:tcW w:w="27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专业</w:t>
            </w:r>
          </w:p>
        </w:tc>
        <w:tc>
          <w:tcPr>
            <w:tcW w:w="27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占员工总人数的比例</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1"/>
                <w:szCs w:val="21"/>
              </w:rPr>
            </w:pPr>
            <w:r>
              <w:rPr>
                <w:rFonts w:ascii="宋体" w:hAnsi="宋体" w:cs="宋体" w:eastAsia="宋体" w:hint="default"/>
                <w:sz w:val="21"/>
                <w:szCs w:val="21"/>
              </w:rPr>
              <w:t>研发与技术人员</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289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81.18%</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30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8.43%</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37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10.39%</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356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81"/>
        <w:ind w:left="597" w:right="113"/>
        <w:jc w:val="left"/>
      </w:pPr>
      <w:r>
        <w:rPr>
          <w:rFonts w:ascii="Times New Roman" w:hAnsi="Times New Roman" w:cs="Times New Roman" w:eastAsia="Times New Roman" w:hint="default"/>
        </w:rPr>
        <w:t>2</w:t>
      </w:r>
      <w:r>
        <w:rPr/>
        <w:t>．学历结构</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700"/>
        <w:gridCol w:w="2794"/>
        <w:gridCol w:w="2786"/>
      </w:tblGrid>
      <w:tr>
        <w:trPr>
          <w:trHeight w:val="378" w:hRule="exact"/>
        </w:trPr>
        <w:tc>
          <w:tcPr>
            <w:tcW w:w="27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专业</w:t>
            </w:r>
          </w:p>
        </w:tc>
        <w:tc>
          <w:tcPr>
            <w:tcW w:w="27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占员工总人数的比例</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17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4.78%</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237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66.57%</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99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27.81%</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3</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0.84%</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356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81"/>
        <w:ind w:left="597" w:right="113"/>
        <w:jc w:val="left"/>
      </w:pPr>
      <w:r>
        <w:rPr>
          <w:rFonts w:ascii="Times New Roman" w:hAnsi="Times New Roman" w:cs="Times New Roman" w:eastAsia="Times New Roman" w:hint="default"/>
        </w:rPr>
        <w:t>3</w:t>
      </w:r>
      <w:r>
        <w:rPr/>
        <w:t>．年龄结构</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700"/>
        <w:gridCol w:w="2794"/>
        <w:gridCol w:w="2786"/>
      </w:tblGrid>
      <w:tr>
        <w:trPr>
          <w:trHeight w:val="378" w:hRule="exact"/>
        </w:trPr>
        <w:tc>
          <w:tcPr>
            <w:tcW w:w="27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专业</w:t>
            </w:r>
          </w:p>
        </w:tc>
        <w:tc>
          <w:tcPr>
            <w:tcW w:w="27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占员工总人数的比例</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 </w:t>
            </w:r>
            <w:r>
              <w:rPr>
                <w:rFonts w:ascii="宋体" w:hAnsi="宋体" w:cs="宋体" w:eastAsia="宋体" w:hint="default"/>
                <w:sz w:val="21"/>
                <w:szCs w:val="21"/>
              </w:rPr>
              <w:t>岁以上</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2.24%</w:t>
            </w:r>
          </w:p>
        </w:tc>
      </w:tr>
      <w:tr>
        <w:trPr>
          <w:trHeight w:val="37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岁</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64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17.98%</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岁</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284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79.78%</w:t>
            </w:r>
          </w:p>
        </w:tc>
      </w:tr>
      <w:tr>
        <w:trPr>
          <w:trHeight w:val="37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21"/>
                <w:szCs w:val="21"/>
              </w:rPr>
            </w:pPr>
            <w:r>
              <w:rPr>
                <w:rFonts w:ascii="Times New Roman"/>
                <w:sz w:val="21"/>
              </w:rPr>
              <w:t>356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25"/>
          <w:szCs w:val="25"/>
        </w:rPr>
      </w:pPr>
    </w:p>
    <w:p>
      <w:pPr>
        <w:pStyle w:val="BodyText"/>
        <w:spacing w:line="240" w:lineRule="auto"/>
        <w:ind w:left="597" w:right="113"/>
        <w:jc w:val="left"/>
      </w:pPr>
      <w:r>
        <w:rPr>
          <w:rFonts w:ascii="Times New Roman" w:hAnsi="Times New Roman" w:cs="Times New Roman" w:eastAsia="Times New Roman" w:hint="default"/>
        </w:rPr>
        <w:t>4</w:t>
      </w:r>
      <w:r>
        <w:rPr/>
        <w:t>．截止报告期末，公司没有需要承担费用的离退休职工。</w:t>
      </w:r>
    </w:p>
    <w:p>
      <w:pPr>
        <w:spacing w:after="0" w:line="240" w:lineRule="auto"/>
        <w:jc w:val="left"/>
        <w:sectPr>
          <w:pgSz w:w="11910" w:h="16840"/>
          <w:pgMar w:header="877" w:footer="982" w:top="110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1"/>
        <w:spacing w:line="240" w:lineRule="auto"/>
        <w:ind w:left="2772" w:right="186"/>
        <w:jc w:val="left"/>
      </w:pPr>
      <w:bookmarkStart w:name="_TOC_250003" w:id="7"/>
      <w:r>
        <w:rPr/>
        <w:t>第七节</w:t>
      </w:r>
      <w:r>
        <w:rPr>
          <w:spacing w:val="-5"/>
        </w:rPr>
        <w:t> </w:t>
      </w:r>
      <w:bookmarkEnd w:id="7"/>
      <w:r>
        <w:rPr/>
        <w:t>公司治理结构</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8"/>
          <w:szCs w:val="28"/>
        </w:rPr>
      </w:pPr>
    </w:p>
    <w:p>
      <w:pPr>
        <w:pStyle w:val="BodyText"/>
        <w:spacing w:line="453" w:lineRule="auto"/>
        <w:ind w:left="597" w:right="186" w:hanging="460"/>
        <w:jc w:val="left"/>
      </w:pPr>
      <w:r>
        <w:rPr>
          <w:rFonts w:ascii="宋体" w:hAnsi="宋体" w:cs="宋体" w:eastAsia="宋体" w:hint="default"/>
          <w:b/>
          <w:bCs/>
        </w:rPr>
        <w:t>一、公司治理情况</w:t>
      </w:r>
      <w:r>
        <w:rPr>
          <w:rFonts w:ascii="宋体" w:hAnsi="宋体" w:cs="宋体" w:eastAsia="宋体" w:hint="default"/>
          <w:b/>
          <w:bCs/>
          <w:w w:val="99"/>
        </w:rPr>
        <w:t> </w:t>
      </w:r>
      <w:r>
        <w:rPr>
          <w:spacing w:val="-20"/>
          <w:w w:val="100"/>
        </w:rPr>
        <w:t>报告期内，公司严格按照《公司法》、《证券法》、《上市公司治理准则》、《深圳</w:t>
      </w:r>
    </w:p>
    <w:p>
      <w:pPr>
        <w:pStyle w:val="BodyText"/>
        <w:spacing w:line="243" w:lineRule="exact" w:before="0"/>
        <w:ind w:right="0"/>
        <w:jc w:val="left"/>
      </w:pPr>
      <w:r>
        <w:rPr>
          <w:w w:val="100"/>
        </w:rPr>
        <w:t>证券交</w:t>
      </w:r>
      <w:r>
        <w:rPr>
          <w:spacing w:val="-2"/>
          <w:w w:val="100"/>
        </w:rPr>
        <w:t>易所</w:t>
      </w:r>
      <w:r>
        <w:rPr>
          <w:w w:val="100"/>
        </w:rPr>
        <w:t>创业板</w:t>
      </w:r>
      <w:r>
        <w:rPr>
          <w:spacing w:val="-2"/>
          <w:w w:val="100"/>
        </w:rPr>
        <w:t>股票</w:t>
      </w:r>
      <w:r>
        <w:rPr>
          <w:w w:val="100"/>
        </w:rPr>
        <w:t>上市规</w:t>
      </w:r>
      <w:r>
        <w:rPr>
          <w:spacing w:val="-2"/>
          <w:w w:val="100"/>
        </w:rPr>
        <w:t>则</w:t>
      </w:r>
      <w:r>
        <w:rPr>
          <w:spacing w:val="-116"/>
          <w:w w:val="100"/>
        </w:rPr>
        <w:t>》</w:t>
      </w:r>
      <w:r>
        <w:rPr>
          <w:spacing w:val="-227"/>
          <w:w w:val="100"/>
        </w:rPr>
        <w:t>、</w:t>
      </w:r>
      <w:r>
        <w:rPr>
          <w:w w:val="100"/>
        </w:rPr>
        <w:t>《</w:t>
      </w:r>
      <w:r>
        <w:rPr>
          <w:spacing w:val="-2"/>
          <w:w w:val="100"/>
        </w:rPr>
        <w:t>深</w:t>
      </w:r>
      <w:r>
        <w:rPr>
          <w:w w:val="100"/>
        </w:rPr>
        <w:t>圳证</w:t>
      </w:r>
      <w:r>
        <w:rPr>
          <w:spacing w:val="-2"/>
          <w:w w:val="100"/>
        </w:rPr>
        <w:t>券</w:t>
      </w:r>
      <w:r>
        <w:rPr>
          <w:w w:val="100"/>
        </w:rPr>
        <w:t>交易所</w:t>
      </w:r>
      <w:r>
        <w:rPr>
          <w:spacing w:val="-2"/>
          <w:w w:val="100"/>
        </w:rPr>
        <w:t>创业</w:t>
      </w:r>
      <w:r>
        <w:rPr>
          <w:w w:val="100"/>
        </w:rPr>
        <w:t>板上市</w:t>
      </w:r>
      <w:r>
        <w:rPr>
          <w:spacing w:val="-2"/>
          <w:w w:val="100"/>
        </w:rPr>
        <w:t>公司</w:t>
      </w:r>
      <w:r>
        <w:rPr>
          <w:w w:val="100"/>
        </w:rPr>
        <w:t>规范运</w:t>
      </w:r>
      <w:r>
        <w:rPr>
          <w:spacing w:val="-2"/>
          <w:w w:val="100"/>
        </w:rPr>
        <w:t>作指</w:t>
      </w:r>
      <w:r>
        <w:rPr>
          <w:spacing w:val="1"/>
          <w:w w:val="100"/>
        </w:rPr>
        <w:t>引</w:t>
      </w:r>
      <w:r>
        <w:rPr>
          <w:w w:val="100"/>
        </w:rPr>
        <w:t>》</w:t>
      </w:r>
    </w:p>
    <w:p>
      <w:pPr>
        <w:pStyle w:val="BodyText"/>
        <w:spacing w:line="357" w:lineRule="auto" w:before="146"/>
        <w:ind w:right="0"/>
        <w:jc w:val="left"/>
      </w:pPr>
      <w:r>
        <w:rPr>
          <w:spacing w:val="-4"/>
        </w:rPr>
        <w:t>等法律、法规和中国证监会有关法律法规等的要求，不断完善公司的法人治理结构，</w:t>
      </w:r>
      <w:r>
        <w:rPr>
          <w:spacing w:val="-91"/>
        </w:rPr>
        <w:t> </w:t>
      </w:r>
      <w:r>
        <w:rPr>
          <w:spacing w:val="-91"/>
        </w:rPr>
      </w:r>
      <w:r>
        <w:rPr/>
        <w:t>建立健全公司内部管理和控制制度，规范运作，严格进行信息披露工作，保护广大</w:t>
      </w:r>
      <w:r>
        <w:rPr>
          <w:w w:val="100"/>
        </w:rPr>
        <w:t> </w:t>
      </w:r>
      <w:r>
        <w:rPr/>
        <w:t>投资者利益。</w:t>
      </w:r>
    </w:p>
    <w:p>
      <w:pPr>
        <w:pStyle w:val="BodyText"/>
        <w:spacing w:line="357" w:lineRule="auto" w:before="32"/>
        <w:ind w:right="186" w:firstLine="459"/>
        <w:jc w:val="left"/>
      </w:pPr>
      <w:r>
        <w:rPr>
          <w:spacing w:val="-1"/>
        </w:rPr>
        <w:t>截至报告期末，公司治理的实际状况符合《上市公司治理准则》和《深圳证券</w:t>
      </w:r>
      <w:r>
        <w:rPr>
          <w:w w:val="100"/>
        </w:rPr>
        <w:t> </w:t>
      </w:r>
      <w:r>
        <w:rPr/>
        <w:t>交易所创业板上市公司规范运作指引》的要求。</w:t>
      </w:r>
    </w:p>
    <w:p>
      <w:pPr>
        <w:pStyle w:val="BodyText"/>
        <w:spacing w:line="338" w:lineRule="auto" w:before="34"/>
        <w:ind w:left="597" w:right="186"/>
        <w:jc w:val="left"/>
      </w:pPr>
      <w:r>
        <w:rPr>
          <w:rFonts w:ascii="Times New Roman" w:hAnsi="Times New Roman" w:cs="Times New Roman" w:eastAsia="Times New Roman" w:hint="default"/>
        </w:rPr>
        <w:t>1</w:t>
      </w:r>
      <w:r>
        <w:rPr/>
        <w:t>．关于股东与股东大会</w:t>
      </w:r>
      <w:r>
        <w:rPr>
          <w:w w:val="100"/>
        </w:rPr>
        <w:t> </w:t>
      </w:r>
      <w:r>
        <w:rPr>
          <w:spacing w:val="-14"/>
          <w:w w:val="100"/>
        </w:rPr>
        <w:t>公司严格按照《上市公司股东大会规则》、《公司章程》、《股东大会议事规则》</w:t>
      </w:r>
    </w:p>
    <w:p>
      <w:pPr>
        <w:pStyle w:val="BodyText"/>
        <w:spacing w:line="357" w:lineRule="auto" w:before="52"/>
        <w:ind w:right="186"/>
        <w:jc w:val="left"/>
      </w:pPr>
      <w:r>
        <w:rPr>
          <w:spacing w:val="-1"/>
        </w:rPr>
        <w:t>等规定和要求召集、召开股东大会，平等对待所有股东，并尽可能为股东参加股东</w:t>
      </w:r>
      <w:r>
        <w:rPr>
          <w:spacing w:val="-93"/>
        </w:rPr>
        <w:t> </w:t>
      </w:r>
      <w:r>
        <w:rPr>
          <w:spacing w:val="-93"/>
        </w:rPr>
      </w:r>
      <w:r>
        <w:rPr/>
        <w:t>大会提供便利，使其充分行使股东权利。</w:t>
      </w:r>
    </w:p>
    <w:p>
      <w:pPr>
        <w:pStyle w:val="BodyText"/>
        <w:spacing w:line="338" w:lineRule="auto" w:before="32"/>
        <w:ind w:left="597" w:right="186"/>
        <w:jc w:val="left"/>
      </w:pPr>
      <w:r>
        <w:rPr>
          <w:rFonts w:ascii="Times New Roman" w:hAnsi="Times New Roman" w:cs="Times New Roman" w:eastAsia="Times New Roman" w:hint="default"/>
        </w:rPr>
        <w:t>2</w:t>
      </w:r>
      <w:r>
        <w:rPr/>
        <w:t>．关于公司与控股股东</w:t>
      </w:r>
      <w:r>
        <w:rPr>
          <w:w w:val="100"/>
        </w:rPr>
        <w:t> </w:t>
      </w:r>
      <w:r>
        <w:rPr>
          <w:spacing w:val="-1"/>
        </w:rPr>
        <w:t>公司控股股东严格规范自己的行为，没有超越股东大会直接或间接干预公司的</w:t>
      </w:r>
    </w:p>
    <w:p>
      <w:pPr>
        <w:pStyle w:val="BodyText"/>
        <w:spacing w:line="357" w:lineRule="auto" w:before="52"/>
        <w:ind w:right="0"/>
        <w:jc w:val="left"/>
      </w:pPr>
      <w:r>
        <w:rPr>
          <w:spacing w:val="-4"/>
        </w:rPr>
        <w:t>决策和经营活动。公司拥有独立完整的业务和自主经营能力，在业务、人员、资产、</w:t>
      </w:r>
      <w:r>
        <w:rPr>
          <w:spacing w:val="-92"/>
        </w:rPr>
        <w:t> </w:t>
      </w:r>
      <w:r>
        <w:rPr>
          <w:spacing w:val="-92"/>
        </w:rPr>
      </w:r>
      <w:r>
        <w:rPr/>
        <w:t>机构、财务上独立于控股股东，公司董事会、监事会和内部机构独立运作。</w:t>
      </w:r>
    </w:p>
    <w:p>
      <w:pPr>
        <w:pStyle w:val="BodyText"/>
        <w:spacing w:line="240" w:lineRule="auto" w:before="34"/>
        <w:ind w:left="597" w:right="186"/>
        <w:jc w:val="left"/>
      </w:pPr>
      <w:r>
        <w:rPr>
          <w:rFonts w:ascii="Times New Roman" w:hAnsi="Times New Roman" w:cs="Times New Roman" w:eastAsia="Times New Roman" w:hint="default"/>
        </w:rPr>
        <w:t>3</w:t>
      </w:r>
      <w:r>
        <w:rPr/>
        <w:t>．关于董事和董事会</w:t>
      </w:r>
    </w:p>
    <w:p>
      <w:pPr>
        <w:pStyle w:val="BodyText"/>
        <w:spacing w:line="352" w:lineRule="auto" w:before="129"/>
        <w:ind w:right="0" w:firstLine="459"/>
        <w:jc w:val="left"/>
      </w:pPr>
      <w:r>
        <w:rPr>
          <w:spacing w:val="-7"/>
          <w:w w:val="100"/>
        </w:rPr>
        <w:t>公司董事会设董事</w:t>
      </w:r>
      <w:r>
        <w:rPr>
          <w:rFonts w:ascii="Times New Roman" w:hAnsi="Times New Roman" w:cs="Times New Roman" w:eastAsia="Times New Roman" w:hint="default"/>
          <w:spacing w:val="-7"/>
          <w:w w:val="100"/>
        </w:rPr>
        <w:t>7</w:t>
      </w:r>
      <w:r>
        <w:rPr>
          <w:spacing w:val="-7"/>
          <w:w w:val="100"/>
        </w:rPr>
        <w:t>名，其中独立董事</w:t>
      </w:r>
      <w:r>
        <w:rPr>
          <w:rFonts w:ascii="Times New Roman" w:hAnsi="Times New Roman" w:cs="Times New Roman" w:eastAsia="Times New Roman" w:hint="default"/>
          <w:spacing w:val="-7"/>
          <w:w w:val="100"/>
        </w:rPr>
        <w:t>3</w:t>
      </w:r>
      <w:r>
        <w:rPr>
          <w:rFonts w:ascii="Times New Roman" w:hAnsi="Times New Roman" w:cs="Times New Roman" w:eastAsia="Times New Roman" w:hint="default"/>
          <w:spacing w:val="2"/>
          <w:w w:val="100"/>
        </w:rPr>
        <w:t> </w:t>
      </w:r>
      <w:r>
        <w:rPr>
          <w:spacing w:val="-7"/>
          <w:w w:val="100"/>
        </w:rPr>
        <w:t>名，董事会的人数及人员构成符合法律、</w:t>
      </w:r>
      <w:r>
        <w:rPr>
          <w:w w:val="100"/>
        </w:rPr>
        <w:t> </w:t>
      </w:r>
      <w:r>
        <w:rPr>
          <w:spacing w:val="-7"/>
          <w:w w:val="100"/>
        </w:rPr>
        <w:t>法规和《公司章程》的要求。公司董事能够依据《董事会议事规则》、《独立董事制</w:t>
      </w:r>
      <w:r>
        <w:rPr>
          <w:w w:val="100"/>
        </w:rPr>
        <w:t> </w:t>
      </w:r>
      <w:r>
        <w:rPr>
          <w:spacing w:val="-7"/>
          <w:w w:val="100"/>
        </w:rPr>
        <w:t>度》、《深圳证券交易所创业板上市公司规范运作指引》等开展工作，出席董事会和</w:t>
      </w:r>
      <w:r>
        <w:rPr>
          <w:w w:val="100"/>
        </w:rPr>
        <w:t> </w:t>
      </w:r>
      <w:r>
        <w:rPr/>
        <w:t>股东大会，勤勉尽责地履行职责和义务，同时积极参加相关培训，熟悉相关法律法</w:t>
      </w:r>
      <w:r>
        <w:rPr>
          <w:w w:val="100"/>
        </w:rPr>
        <w:t> </w:t>
      </w:r>
      <w:r>
        <w:rPr/>
        <w:t>规。</w:t>
      </w:r>
    </w:p>
    <w:p>
      <w:pPr>
        <w:pStyle w:val="BodyText"/>
        <w:spacing w:line="338" w:lineRule="auto" w:before="38"/>
        <w:ind w:left="597" w:right="186"/>
        <w:jc w:val="left"/>
      </w:pPr>
      <w:r>
        <w:rPr>
          <w:rFonts w:ascii="Times New Roman" w:hAnsi="Times New Roman" w:cs="Times New Roman" w:eastAsia="Times New Roman" w:hint="default"/>
        </w:rPr>
        <w:t>4</w:t>
      </w:r>
      <w:r>
        <w:rPr/>
        <w:t>．关于监事和监事会</w:t>
      </w:r>
      <w:r>
        <w:rPr>
          <w:w w:val="100"/>
        </w:rPr>
        <w:t>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w:t>
      </w:r>
    </w:p>
    <w:p>
      <w:pPr>
        <w:pStyle w:val="BodyText"/>
        <w:spacing w:line="357" w:lineRule="auto" w:before="24"/>
        <w:ind w:right="227"/>
        <w:jc w:val="both"/>
      </w:pPr>
      <w:r>
        <w:rPr>
          <w:spacing w:val="-1"/>
        </w:rPr>
        <w:t>规的要求。公司监事能够按照《监事会议事规则》的要求，认真履行自己的职责，</w:t>
      </w:r>
      <w:r>
        <w:rPr>
          <w:spacing w:val="-93"/>
        </w:rPr>
        <w:t> </w:t>
      </w:r>
      <w:r>
        <w:rPr>
          <w:spacing w:val="-93"/>
        </w:rPr>
      </w:r>
      <w:r>
        <w:rPr>
          <w:spacing w:val="-1"/>
        </w:rPr>
        <w:t>对公司重大事项、关联交易、财务状况以及董事、高管人员履行职责的合法合规性</w:t>
      </w:r>
      <w:r>
        <w:rPr>
          <w:spacing w:val="-93"/>
        </w:rPr>
        <w:t> </w:t>
      </w:r>
      <w:r>
        <w:rPr>
          <w:spacing w:val="-93"/>
        </w:rPr>
      </w:r>
      <w:r>
        <w:rPr/>
        <w:t>进行监督。</w:t>
      </w:r>
    </w:p>
    <w:p>
      <w:pPr>
        <w:spacing w:after="0" w:line="357" w:lineRule="auto"/>
        <w:jc w:val="both"/>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38" w:lineRule="auto"/>
        <w:ind w:left="597" w:right="186" w:hanging="1"/>
        <w:jc w:val="left"/>
      </w:pPr>
      <w:r>
        <w:rPr>
          <w:rFonts w:ascii="Times New Roman" w:hAnsi="Times New Roman" w:cs="Times New Roman" w:eastAsia="Times New Roman" w:hint="default"/>
        </w:rPr>
        <w:t>5</w:t>
      </w:r>
      <w:r>
        <w:rPr/>
        <w:t>．关于绩效评价与激励约束机制</w:t>
      </w:r>
      <w:r>
        <w:rPr>
          <w:w w:val="100"/>
        </w:rPr>
        <w:t> </w:t>
      </w:r>
      <w:r>
        <w:rPr>
          <w:spacing w:val="-1"/>
        </w:rPr>
        <w:t>公司正逐步建立和完善公正、透明的董事、监事和经理人员的绩效评价标准和</w:t>
      </w:r>
    </w:p>
    <w:p>
      <w:pPr>
        <w:pStyle w:val="BodyText"/>
        <w:spacing w:line="345" w:lineRule="auto" w:before="52"/>
        <w:ind w:left="597" w:right="186" w:hanging="460"/>
        <w:jc w:val="left"/>
      </w:pPr>
      <w:r>
        <w:rPr/>
        <w:t>激励约束机制，高层管理人员的聘任公开、透明，符合法律法规的规定。</w:t>
      </w:r>
      <w:r>
        <w:rPr>
          <w:w w:val="100"/>
        </w:rPr>
        <w:t> </w:t>
      </w:r>
      <w:r>
        <w:rPr>
          <w:rFonts w:ascii="Times New Roman" w:hAnsi="Times New Roman" w:cs="Times New Roman" w:eastAsia="Times New Roman" w:hint="default"/>
        </w:rPr>
        <w:t>6</w:t>
      </w:r>
      <w:r>
        <w:rPr/>
        <w:t>．关于信息披露与透明度</w:t>
      </w:r>
      <w:r>
        <w:rPr>
          <w:w w:val="100"/>
        </w:rPr>
        <w:t> </w:t>
      </w:r>
      <w:r>
        <w:rPr>
          <w:spacing w:val="-8"/>
          <w:w w:val="100"/>
        </w:rPr>
        <w:t>公司严格按照有关法律法规以及《信息披露制度》、《投资者关系管理制度》等</w:t>
      </w:r>
    </w:p>
    <w:p>
      <w:pPr>
        <w:pStyle w:val="BodyText"/>
        <w:spacing w:line="350" w:lineRule="auto" w:before="45"/>
        <w:ind w:right="221"/>
        <w:jc w:val="both"/>
      </w:pPr>
      <w:r>
        <w:rPr>
          <w:spacing w:val="-1"/>
        </w:rPr>
        <w:t>的要求，真实、准确、及时、公平、完整地披露有关信息；并指定公司董事会秘书</w:t>
      </w:r>
      <w:r>
        <w:rPr>
          <w:spacing w:val="-93"/>
        </w:rPr>
        <w:t> </w:t>
      </w:r>
      <w:r>
        <w:rPr>
          <w:spacing w:val="-93"/>
        </w:rPr>
      </w:r>
      <w:r>
        <w:rPr>
          <w:spacing w:val="-1"/>
        </w:rPr>
        <w:t>负责信息披露工作，协调公司与投资者的关系，接待股东来访，回答投资者咨询；</w:t>
      </w:r>
      <w:r>
        <w:rPr>
          <w:spacing w:val="-93"/>
        </w:rPr>
        <w:t> </w:t>
      </w:r>
      <w:r>
        <w:rPr>
          <w:spacing w:val="-93"/>
        </w:rPr>
      </w:r>
      <w:r>
        <w:rPr>
          <w:spacing w:val="-2"/>
        </w:rPr>
        <w:t>并指定《证券时报》和巨潮资讯网（</w:t>
      </w:r>
      <w:hyperlink r:id="rId10">
        <w:r>
          <w:rPr>
            <w:rFonts w:ascii="Times New Roman" w:hAnsi="Times New Roman" w:cs="Times New Roman" w:eastAsia="Times New Roman" w:hint="default"/>
            <w:spacing w:val="-2"/>
          </w:rPr>
          <w:t>www.cninfo.com.cn</w:t>
        </w:r>
      </w:hyperlink>
      <w:r>
        <w:rPr>
          <w:spacing w:val="-2"/>
        </w:rPr>
        <w:t>）为公司信息披露的指定报</w:t>
      </w:r>
      <w:r>
        <w:rPr>
          <w:spacing w:val="-74"/>
        </w:rPr>
        <w:t> </w:t>
      </w:r>
      <w:r>
        <w:rPr>
          <w:spacing w:val="-74"/>
        </w:rPr>
      </w:r>
      <w:r>
        <w:rPr/>
        <w:t>纸和网站，确保公司所有股东能够以平等的机会获得信息。</w:t>
      </w:r>
    </w:p>
    <w:p>
      <w:pPr>
        <w:pStyle w:val="BodyText"/>
        <w:spacing w:line="338" w:lineRule="auto" w:before="41"/>
        <w:ind w:left="597" w:right="186"/>
        <w:jc w:val="left"/>
      </w:pPr>
      <w:r>
        <w:rPr>
          <w:rFonts w:ascii="Times New Roman" w:hAnsi="Times New Roman" w:cs="Times New Roman" w:eastAsia="Times New Roman" w:hint="default"/>
        </w:rPr>
        <w:t>7</w:t>
      </w:r>
      <w:r>
        <w:rPr/>
        <w:t>．关于相关利益者</w:t>
      </w:r>
      <w:r>
        <w:rPr>
          <w:w w:val="100"/>
        </w:rPr>
        <w:t> </w:t>
      </w:r>
      <w:r>
        <w:rPr>
          <w:spacing w:val="-1"/>
        </w:rPr>
        <w:t>公司充分尊重和维护相关利益者的合法权益，实现社会、股东、公司、员工等</w:t>
      </w:r>
    </w:p>
    <w:p>
      <w:pPr>
        <w:pStyle w:val="BodyText"/>
        <w:spacing w:line="357" w:lineRule="auto" w:before="51"/>
        <w:ind w:right="227"/>
        <w:jc w:val="both"/>
      </w:pPr>
      <w:r>
        <w:rPr>
          <w:spacing w:val="-1"/>
        </w:rPr>
        <w:t>各方面利益的协调平衡，诚信对待供应商和客户，坚持与相关利益者互利共赢的原</w:t>
      </w:r>
      <w:r>
        <w:rPr>
          <w:spacing w:val="-93"/>
        </w:rPr>
        <w:t> </w:t>
      </w:r>
      <w:r>
        <w:rPr>
          <w:spacing w:val="-93"/>
        </w:rPr>
      </w:r>
      <w:r>
        <w:rPr/>
        <w:t>则，共同推动公司持续、稳健发展。</w:t>
      </w:r>
    </w:p>
    <w:p>
      <w:pPr>
        <w:spacing w:line="453" w:lineRule="auto" w:before="154"/>
        <w:ind w:left="597" w:right="0" w:hanging="460"/>
        <w:jc w:val="left"/>
        <w:rPr>
          <w:rFonts w:ascii="宋体" w:hAnsi="宋体" w:cs="宋体" w:eastAsia="宋体" w:hint="default"/>
          <w:sz w:val="23"/>
          <w:szCs w:val="23"/>
        </w:rPr>
      </w:pPr>
      <w:r>
        <w:rPr>
          <w:rFonts w:ascii="宋体" w:hAnsi="宋体" w:cs="宋体" w:eastAsia="宋体" w:hint="default"/>
          <w:b/>
          <w:bCs/>
          <w:sz w:val="23"/>
          <w:szCs w:val="23"/>
        </w:rPr>
        <w:t>二、公司独立董事履行职责情况</w:t>
      </w:r>
      <w:r>
        <w:rPr>
          <w:rFonts w:ascii="宋体" w:hAnsi="宋体" w:cs="宋体" w:eastAsia="宋体" w:hint="default"/>
          <w:b/>
          <w:bCs/>
          <w:w w:val="99"/>
          <w:sz w:val="23"/>
          <w:szCs w:val="23"/>
        </w:rPr>
        <w:t> </w:t>
      </w:r>
      <w:r>
        <w:rPr>
          <w:rFonts w:ascii="宋体" w:hAnsi="宋体" w:cs="宋体" w:eastAsia="宋体" w:hint="default"/>
          <w:spacing w:val="-4"/>
          <w:sz w:val="23"/>
          <w:szCs w:val="23"/>
        </w:rPr>
        <w:t>报告期内，公司独立董事单怀光、宋靖雁、朱厚佳能够严格按照有关法律法规、</w:t>
      </w:r>
    </w:p>
    <w:p>
      <w:pPr>
        <w:pStyle w:val="BodyText"/>
        <w:spacing w:line="243" w:lineRule="exact" w:before="0"/>
        <w:ind w:right="186"/>
        <w:jc w:val="left"/>
      </w:pPr>
      <w:r>
        <w:rPr>
          <w:w w:val="100"/>
        </w:rPr>
        <w:t>《公司</w:t>
      </w:r>
      <w:r>
        <w:rPr>
          <w:spacing w:val="-2"/>
          <w:w w:val="100"/>
        </w:rPr>
        <w:t>章程</w:t>
      </w:r>
      <w:r>
        <w:rPr>
          <w:spacing w:val="-116"/>
          <w:w w:val="100"/>
        </w:rPr>
        <w:t>》、</w:t>
      </w:r>
      <w:r>
        <w:rPr>
          <w:w w:val="100"/>
        </w:rPr>
        <w:t>《独</w:t>
      </w:r>
      <w:r>
        <w:rPr>
          <w:spacing w:val="-2"/>
          <w:w w:val="100"/>
        </w:rPr>
        <w:t>立董</w:t>
      </w:r>
      <w:r>
        <w:rPr>
          <w:w w:val="100"/>
        </w:rPr>
        <w:t>事制度</w:t>
      </w:r>
      <w:r>
        <w:rPr>
          <w:spacing w:val="-2"/>
          <w:w w:val="100"/>
        </w:rPr>
        <w:t>》等</w:t>
      </w:r>
      <w:r>
        <w:rPr>
          <w:w w:val="100"/>
        </w:rPr>
        <w:t>的规定</w:t>
      </w:r>
      <w:r>
        <w:rPr>
          <w:spacing w:val="-2"/>
          <w:w w:val="100"/>
        </w:rPr>
        <w:t>，本</w:t>
      </w:r>
      <w:r>
        <w:rPr>
          <w:w w:val="100"/>
        </w:rPr>
        <w:t>着对公</w:t>
      </w:r>
      <w:r>
        <w:rPr>
          <w:spacing w:val="-2"/>
          <w:w w:val="100"/>
        </w:rPr>
        <w:t>司、</w:t>
      </w:r>
      <w:r>
        <w:rPr>
          <w:w w:val="100"/>
        </w:rPr>
        <w:t>股东负</w:t>
      </w:r>
      <w:r>
        <w:rPr>
          <w:spacing w:val="-2"/>
          <w:w w:val="100"/>
        </w:rPr>
        <w:t>责的</w:t>
      </w:r>
      <w:r>
        <w:rPr>
          <w:w w:val="100"/>
        </w:rPr>
        <w:t>态度，</w:t>
      </w:r>
      <w:r>
        <w:rPr>
          <w:spacing w:val="-2"/>
          <w:w w:val="100"/>
        </w:rPr>
        <w:t>勤勉</w:t>
      </w:r>
      <w:r>
        <w:rPr>
          <w:w w:val="100"/>
        </w:rPr>
        <w:t>尽</w:t>
      </w:r>
    </w:p>
    <w:p>
      <w:pPr>
        <w:pStyle w:val="BodyText"/>
        <w:spacing w:line="357" w:lineRule="auto" w:before="146"/>
        <w:ind w:right="227"/>
        <w:jc w:val="both"/>
      </w:pPr>
      <w:r>
        <w:rPr>
          <w:spacing w:val="-1"/>
        </w:rPr>
        <w:t>责，忠实履行职责，积极出席相关会议，认真审议各项议案，客观地发表自己的看</w:t>
      </w:r>
      <w:r>
        <w:rPr>
          <w:spacing w:val="-93"/>
        </w:rPr>
        <w:t> </w:t>
      </w:r>
      <w:r>
        <w:rPr>
          <w:spacing w:val="-93"/>
        </w:rPr>
      </w:r>
      <w:r>
        <w:rPr>
          <w:spacing w:val="-1"/>
        </w:rPr>
        <w:t>法及观点，深入了解公司运营状况、内部控制的建设及董事会决议、股东会决议的</w:t>
      </w:r>
      <w:r>
        <w:rPr>
          <w:spacing w:val="-93"/>
        </w:rPr>
        <w:t> </w:t>
      </w:r>
      <w:r>
        <w:rPr>
          <w:spacing w:val="-93"/>
        </w:rPr>
      </w:r>
      <w:r>
        <w:rPr>
          <w:spacing w:val="-1"/>
        </w:rPr>
        <w:t>执行情况，并利用自己的专业知识做出独立、公正的判断。在报告期内，对公司发</w:t>
      </w:r>
      <w:r>
        <w:rPr>
          <w:spacing w:val="-93"/>
        </w:rPr>
        <w:t> </w:t>
      </w:r>
      <w:r>
        <w:rPr>
          <w:spacing w:val="-93"/>
        </w:rPr>
      </w:r>
      <w:r>
        <w:rPr>
          <w:spacing w:val="-1"/>
        </w:rPr>
        <w:t>生的凡需要独立董事发表意见的事项发表独立董事意见，不受公司和控股股东的影</w:t>
      </w:r>
      <w:r>
        <w:rPr>
          <w:spacing w:val="-93"/>
        </w:rPr>
        <w:t> </w:t>
      </w:r>
      <w:r>
        <w:rPr>
          <w:spacing w:val="-93"/>
        </w:rPr>
      </w:r>
      <w:r>
        <w:rPr/>
        <w:t>响，切实维护了中小股东的利益。</w:t>
      </w:r>
    </w:p>
    <w:p>
      <w:pPr>
        <w:pStyle w:val="BodyText"/>
        <w:spacing w:line="357" w:lineRule="auto" w:before="34"/>
        <w:ind w:right="186" w:firstLine="459"/>
        <w:jc w:val="left"/>
      </w:pPr>
      <w:r>
        <w:rPr>
          <w:spacing w:val="-1"/>
        </w:rPr>
        <w:t>报告期内，公司三名独立董事对公司董事会的议案及公司其他事项均没有提出</w:t>
      </w:r>
      <w:r>
        <w:rPr>
          <w:w w:val="100"/>
        </w:rPr>
        <w:t> </w:t>
      </w:r>
      <w:r>
        <w:rPr/>
        <w:t>异议。</w:t>
      </w:r>
    </w:p>
    <w:p>
      <w:pPr>
        <w:pStyle w:val="Heading5"/>
        <w:spacing w:line="240" w:lineRule="auto" w:before="154"/>
        <w:ind w:left="137" w:right="186"/>
        <w:jc w:val="left"/>
        <w:rPr>
          <w:b w:val="0"/>
          <w:bCs w:val="0"/>
        </w:rPr>
      </w:pPr>
      <w:r>
        <w:rPr/>
        <w:t>三、报告期内召开股东大会、董事会的情况</w:t>
      </w:r>
      <w:r>
        <w:rPr>
          <w:b w:val="0"/>
          <w:bCs w:val="0"/>
        </w:rPr>
      </w:r>
    </w:p>
    <w:p>
      <w:pPr>
        <w:spacing w:line="240" w:lineRule="auto" w:before="4"/>
        <w:rPr>
          <w:rFonts w:ascii="宋体" w:hAnsi="宋体" w:cs="宋体" w:eastAsia="宋体" w:hint="default"/>
          <w:b/>
          <w:bCs/>
          <w:sz w:val="20"/>
          <w:szCs w:val="20"/>
        </w:rPr>
      </w:pPr>
    </w:p>
    <w:p>
      <w:pPr>
        <w:pStyle w:val="BodyText"/>
        <w:spacing w:line="357" w:lineRule="auto" w:before="0"/>
        <w:ind w:left="597" w:right="186" w:hanging="460"/>
        <w:jc w:val="left"/>
      </w:pPr>
      <w:r>
        <w:rPr/>
        <w:t>（一）股东大会</w:t>
      </w:r>
      <w:r>
        <w:rPr>
          <w:w w:val="100"/>
        </w:rPr>
        <w:t> </w:t>
      </w:r>
      <w:r>
        <w:rPr>
          <w:spacing w:val="-1"/>
        </w:rPr>
        <w:t>报告期内，公司召开了一次年度股东大会和一次临时股东大会。会议的召集、</w:t>
      </w:r>
    </w:p>
    <w:p>
      <w:pPr>
        <w:pStyle w:val="BodyText"/>
        <w:spacing w:line="357" w:lineRule="auto" w:before="34"/>
        <w:ind w:right="227"/>
        <w:jc w:val="both"/>
      </w:pPr>
      <w:r>
        <w:rPr>
          <w:spacing w:val="-7"/>
          <w:w w:val="100"/>
        </w:rPr>
        <w:t>召开与表决程序符合《公司法》、《公司章程》等法律、法规及规范性文件的规定。</w:t>
      </w:r>
      <w:r>
        <w:rPr>
          <w:w w:val="100"/>
        </w:rPr>
        <w:t> </w:t>
      </w:r>
      <w:r>
        <w:rPr/>
        <w:t>股东大会召开情况如下：</w:t>
      </w:r>
    </w:p>
    <w:p>
      <w:pPr>
        <w:pStyle w:val="BodyText"/>
        <w:spacing w:line="338" w:lineRule="auto" w:before="34"/>
        <w:ind w:left="597" w:right="18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t>年年度股东大会</w:t>
      </w:r>
      <w:r>
        <w:rPr>
          <w:spacing w:val="-2"/>
          <w:w w:val="100"/>
        </w:rPr>
        <w:t> </w:t>
      </w:r>
      <w:r>
        <w:rPr>
          <w:spacing w:val="-1"/>
        </w:rPr>
        <w:t>深圳市银之杰科技股份有限公司</w:t>
      </w:r>
      <w:r>
        <w:rPr>
          <w:rFonts w:ascii="Times New Roman" w:hAnsi="Times New Roman" w:cs="Times New Roman" w:eastAsia="Times New Roman" w:hint="default"/>
          <w:spacing w:val="-1"/>
        </w:rPr>
        <w:t>2009</w:t>
      </w:r>
      <w:r>
        <w:rPr>
          <w:spacing w:val="-1"/>
        </w:rPr>
        <w:t>年年度股东大会会议于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日在</w:t>
      </w:r>
    </w:p>
    <w:p>
      <w:pPr>
        <w:spacing w:after="0" w:line="338" w:lineRule="auto"/>
        <w:jc w:val="left"/>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36" w:lineRule="auto"/>
        <w:ind w:left="217" w:right="269"/>
        <w:jc w:val="left"/>
      </w:pPr>
      <w:r>
        <w:rPr>
          <w:spacing w:val="-1"/>
        </w:rPr>
        <w:t>深圳市福田区天安数码城天祥大厦</w:t>
      </w:r>
      <w:r>
        <w:rPr>
          <w:rFonts w:ascii="Times New Roman" w:hAnsi="Times New Roman" w:cs="Times New Roman" w:eastAsia="Times New Roman" w:hint="default"/>
          <w:spacing w:val="-1"/>
        </w:rPr>
        <w:t>AB</w:t>
      </w:r>
      <w:r>
        <w:rPr>
          <w:spacing w:val="-1"/>
        </w:rPr>
        <w:t>座</w:t>
      </w:r>
      <w:r>
        <w:rPr>
          <w:rFonts w:ascii="Times New Roman" w:hAnsi="Times New Roman" w:cs="Times New Roman" w:eastAsia="Times New Roman" w:hint="default"/>
          <w:spacing w:val="-1"/>
        </w:rPr>
        <w:t>5B2</w:t>
      </w:r>
      <w:r>
        <w:rPr>
          <w:spacing w:val="-1"/>
        </w:rPr>
        <w:t>公司会议室召开。出席会议的股东及股</w:t>
      </w:r>
      <w:r>
        <w:rPr>
          <w:spacing w:val="-101"/>
        </w:rPr>
        <w:t> </w:t>
      </w:r>
      <w:r>
        <w:rPr>
          <w:spacing w:val="-101"/>
        </w:rPr>
      </w:r>
      <w:r>
        <w:rPr/>
        <w:t>东代表</w:t>
      </w:r>
      <w:r>
        <w:rPr>
          <w:rFonts w:ascii="Times New Roman" w:hAnsi="Times New Roman" w:cs="Times New Roman" w:eastAsia="Times New Roman" w:hint="default"/>
        </w:rPr>
        <w:t>45</w:t>
      </w:r>
      <w:r>
        <w:rPr/>
        <w:t>人，合计持有公司股份</w:t>
      </w:r>
      <w:r>
        <w:rPr>
          <w:rFonts w:ascii="Times New Roman" w:hAnsi="Times New Roman" w:cs="Times New Roman" w:eastAsia="Times New Roman" w:hint="default"/>
        </w:rPr>
        <w:t>4,500</w:t>
      </w:r>
      <w:r>
        <w:rPr/>
        <w:t>万股，占公司有表决权股份总数的</w:t>
      </w:r>
      <w:r>
        <w:rPr>
          <w:rFonts w:ascii="Times New Roman" w:hAnsi="Times New Roman" w:cs="Times New Roman" w:eastAsia="Times New Roman" w:hint="default"/>
        </w:rPr>
        <w:t>100%</w:t>
      </w:r>
      <w:r>
        <w:rPr/>
        <w:t>。会</w:t>
      </w:r>
      <w:r>
        <w:rPr>
          <w:w w:val="100"/>
        </w:rPr>
        <w:t> </w:t>
      </w:r>
      <w:r>
        <w:rPr>
          <w:spacing w:val="-12"/>
          <w:w w:val="100"/>
        </w:rPr>
        <w:t>议审议通过了《</w:t>
      </w:r>
      <w:r>
        <w:rPr>
          <w:rFonts w:ascii="Times New Roman" w:hAnsi="Times New Roman" w:cs="Times New Roman" w:eastAsia="Times New Roman" w:hint="default"/>
          <w:spacing w:val="-12"/>
          <w:w w:val="100"/>
        </w:rPr>
        <w:t>2009</w:t>
      </w:r>
      <w:r>
        <w:rPr>
          <w:spacing w:val="-12"/>
          <w:w w:val="100"/>
        </w:rPr>
        <w:t>年度董事会工作报告》、《</w:t>
      </w:r>
      <w:r>
        <w:rPr>
          <w:rFonts w:ascii="Times New Roman" w:hAnsi="Times New Roman" w:cs="Times New Roman" w:eastAsia="Times New Roman" w:hint="default"/>
          <w:spacing w:val="-12"/>
          <w:w w:val="100"/>
        </w:rPr>
        <w:t>2009</w:t>
      </w:r>
      <w:r>
        <w:rPr>
          <w:spacing w:val="-12"/>
          <w:w w:val="100"/>
        </w:rPr>
        <w:t>年度监事会工作报告》、《</w:t>
      </w:r>
      <w:r>
        <w:rPr>
          <w:rFonts w:ascii="Times New Roman" w:hAnsi="Times New Roman" w:cs="Times New Roman" w:eastAsia="Times New Roman" w:hint="default"/>
          <w:spacing w:val="-12"/>
          <w:w w:val="100"/>
        </w:rPr>
        <w:t>2009</w:t>
      </w:r>
      <w:r>
        <w:rPr>
          <w:spacing w:val="-12"/>
          <w:w w:val="100"/>
        </w:rPr>
        <w:t>年</w:t>
      </w:r>
      <w:r>
        <w:rPr>
          <w:spacing w:val="-79"/>
          <w:w w:val="100"/>
        </w:rPr>
        <w:t> </w:t>
      </w:r>
      <w:r>
        <w:rPr>
          <w:spacing w:val="-7"/>
          <w:w w:val="100"/>
        </w:rPr>
        <w:t>度财务报告》、《</w:t>
      </w:r>
      <w:r>
        <w:rPr>
          <w:rFonts w:ascii="Times New Roman" w:hAnsi="Times New Roman" w:cs="Times New Roman" w:eastAsia="Times New Roman" w:hint="default"/>
          <w:spacing w:val="-7"/>
          <w:w w:val="100"/>
        </w:rPr>
        <w:t>2009</w:t>
      </w:r>
      <w:r>
        <w:rPr>
          <w:spacing w:val="-7"/>
          <w:w w:val="100"/>
        </w:rPr>
        <w:t>年度利润分配议案》及《续聘深圳市鹏城会计师事务所有限公</w:t>
      </w:r>
      <w:r>
        <w:rPr>
          <w:spacing w:val="-103"/>
          <w:w w:val="100"/>
        </w:rPr>
        <w:t> </w:t>
      </w:r>
      <w:r>
        <w:rPr>
          <w:spacing w:val="-103"/>
          <w:w w:val="100"/>
        </w:rPr>
      </w:r>
      <w:r>
        <w:rPr>
          <w:spacing w:val="-7"/>
          <w:w w:val="100"/>
        </w:rPr>
        <w:t>司为公司</w:t>
      </w:r>
      <w:r>
        <w:rPr>
          <w:rFonts w:ascii="Times New Roman" w:hAnsi="Times New Roman" w:cs="Times New Roman" w:eastAsia="Times New Roman" w:hint="default"/>
          <w:spacing w:val="-7"/>
          <w:w w:val="100"/>
        </w:rPr>
        <w:t>2010</w:t>
      </w:r>
      <w:r>
        <w:rPr>
          <w:spacing w:val="-7"/>
          <w:w w:val="100"/>
        </w:rPr>
        <w:t>年度审计机构的议案》。</w:t>
      </w:r>
    </w:p>
    <w:p>
      <w:pPr>
        <w:pStyle w:val="BodyText"/>
        <w:spacing w:line="348" w:lineRule="auto" w:before="27"/>
        <w:ind w:left="677" w:right="269"/>
        <w:jc w:val="left"/>
      </w:pPr>
      <w:r>
        <w:rPr/>
        <w:t>本次会议召开之时公司尚未上市，会议内容未公开披露。</w:t>
      </w:r>
      <w:r>
        <w:rPr>
          <w:w w:val="10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年第一次临时股东大会</w:t>
      </w:r>
      <w:r>
        <w:rPr>
          <w:w w:val="100"/>
        </w:rPr>
        <w:t> </w:t>
      </w:r>
      <w:r>
        <w:rPr>
          <w:spacing w:val="-1"/>
        </w:rPr>
        <w:t>公司</w:t>
      </w:r>
      <w:r>
        <w:rPr>
          <w:rFonts w:ascii="Times New Roman" w:hAnsi="Times New Roman" w:cs="Times New Roman" w:eastAsia="Times New Roman" w:hint="default"/>
          <w:spacing w:val="-1"/>
        </w:rPr>
        <w:t>2010</w:t>
      </w:r>
      <w:r>
        <w:rPr>
          <w:spacing w:val="-1"/>
        </w:rPr>
        <w:t>年度第一次临时股东大会会议于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日在深圳市南山区科发</w:t>
      </w:r>
    </w:p>
    <w:p>
      <w:pPr>
        <w:pStyle w:val="BodyText"/>
        <w:spacing w:line="345" w:lineRule="auto" w:before="14"/>
        <w:ind w:left="217" w:right="269" w:hanging="1"/>
        <w:jc w:val="left"/>
      </w:pPr>
      <w:r>
        <w:rPr>
          <w:spacing w:val="-1"/>
        </w:rPr>
        <w:t>路</w:t>
      </w:r>
      <w:r>
        <w:rPr>
          <w:rFonts w:ascii="Times New Roman" w:hAnsi="Times New Roman" w:cs="Times New Roman" w:eastAsia="Times New Roman" w:hint="default"/>
          <w:spacing w:val="-1"/>
        </w:rPr>
        <w:t>8</w:t>
      </w:r>
      <w:r>
        <w:rPr>
          <w:spacing w:val="-1"/>
        </w:rPr>
        <w:t>号金融服务技术创新基地</w:t>
      </w:r>
      <w:r>
        <w:rPr>
          <w:rFonts w:ascii="Times New Roman" w:hAnsi="Times New Roman" w:cs="Times New Roman" w:eastAsia="Times New Roman" w:hint="default"/>
          <w:spacing w:val="-1"/>
        </w:rPr>
        <w:t>1</w:t>
      </w:r>
      <w:r>
        <w:rPr>
          <w:spacing w:val="-1"/>
        </w:rPr>
        <w:t>栋</w:t>
      </w:r>
      <w:r>
        <w:rPr>
          <w:rFonts w:ascii="Times New Roman" w:hAnsi="Times New Roman" w:cs="Times New Roman" w:eastAsia="Times New Roman" w:hint="default"/>
          <w:spacing w:val="-1"/>
        </w:rPr>
        <w:t>6</w:t>
      </w:r>
      <w:r>
        <w:rPr>
          <w:spacing w:val="-1"/>
        </w:rPr>
        <w:t>楼</w:t>
      </w:r>
      <w:r>
        <w:rPr>
          <w:rFonts w:ascii="Times New Roman" w:hAnsi="Times New Roman" w:cs="Times New Roman" w:eastAsia="Times New Roman" w:hint="default"/>
          <w:spacing w:val="-1"/>
        </w:rPr>
        <w:t>F</w:t>
      </w:r>
      <w:r>
        <w:rPr>
          <w:spacing w:val="-1"/>
        </w:rPr>
        <w:t>单元公司会议室召开。出席会议的股东及股东</w:t>
      </w:r>
      <w:r>
        <w:rPr>
          <w:spacing w:val="-99"/>
        </w:rPr>
        <w:t> </w:t>
      </w:r>
      <w:r>
        <w:rPr>
          <w:spacing w:val="-99"/>
        </w:rPr>
      </w:r>
      <w:r>
        <w:rPr/>
        <w:t>代表共</w:t>
      </w:r>
      <w:r>
        <w:rPr>
          <w:rFonts w:ascii="Times New Roman" w:hAnsi="Times New Roman" w:cs="Times New Roman" w:eastAsia="Times New Roman" w:hint="default"/>
        </w:rPr>
        <w:t>14</w:t>
      </w:r>
      <w:r>
        <w:rPr/>
        <w:t>人，代表公司有表决权的股份</w:t>
      </w:r>
      <w:r>
        <w:rPr>
          <w:rFonts w:ascii="Times New Roman" w:hAnsi="Times New Roman" w:cs="Times New Roman" w:eastAsia="Times New Roman" w:hint="default"/>
        </w:rPr>
        <w:t>39,008,100</w:t>
      </w:r>
      <w:r>
        <w:rPr/>
        <w:t>股，占公司总股本的</w:t>
      </w:r>
      <w:r>
        <w:rPr>
          <w:rFonts w:ascii="Times New Roman" w:hAnsi="Times New Roman" w:cs="Times New Roman" w:eastAsia="Times New Roman" w:hint="default"/>
        </w:rPr>
        <w:t>65.01%</w:t>
      </w:r>
      <w:r>
        <w:rPr/>
        <w:t>。公</w:t>
      </w:r>
      <w:r>
        <w:rPr>
          <w:spacing w:val="-2"/>
          <w:w w:val="100"/>
        </w:rPr>
        <w:t> </w:t>
      </w:r>
      <w:r>
        <w:rPr>
          <w:spacing w:val="-1"/>
        </w:rPr>
        <w:t>司部分董事、监事、高级管理人员及见证律师列席了会议。会议审议通过了《关于</w:t>
      </w:r>
      <w:r>
        <w:rPr>
          <w:spacing w:val="-94"/>
        </w:rPr>
        <w:t> </w:t>
      </w:r>
      <w:r>
        <w:rPr>
          <w:spacing w:val="-94"/>
        </w:rPr>
      </w:r>
      <w:r>
        <w:rPr>
          <w:spacing w:val="-19"/>
          <w:w w:val="100"/>
        </w:rPr>
        <w:t>修改</w:t>
      </w:r>
      <w:r>
        <w:rPr>
          <w:rFonts w:ascii="Times New Roman" w:hAnsi="Times New Roman" w:cs="Times New Roman" w:eastAsia="Times New Roman" w:hint="default"/>
          <w:spacing w:val="-19"/>
          <w:w w:val="100"/>
        </w:rPr>
        <w:t>&lt;</w:t>
      </w:r>
      <w:r>
        <w:rPr>
          <w:spacing w:val="-19"/>
          <w:w w:val="100"/>
        </w:rPr>
        <w:t>公司章程</w:t>
      </w:r>
      <w:r>
        <w:rPr>
          <w:rFonts w:ascii="Times New Roman" w:hAnsi="Times New Roman" w:cs="Times New Roman" w:eastAsia="Times New Roman" w:hint="default"/>
          <w:spacing w:val="-19"/>
          <w:w w:val="100"/>
        </w:rPr>
        <w:t>&gt;</w:t>
      </w:r>
      <w:r>
        <w:rPr>
          <w:spacing w:val="-19"/>
          <w:w w:val="100"/>
        </w:rPr>
        <w:t>的议案》、《股东大会议事规则》、《董事会议事规则》、《独立董事工</w:t>
      </w:r>
      <w:r>
        <w:rPr>
          <w:spacing w:val="-103"/>
          <w:w w:val="100"/>
        </w:rPr>
        <w:t> </w:t>
      </w:r>
      <w:r>
        <w:rPr>
          <w:spacing w:val="-103"/>
          <w:w w:val="100"/>
        </w:rPr>
      </w:r>
      <w:r>
        <w:rPr>
          <w:spacing w:val="-13"/>
          <w:w w:val="100"/>
        </w:rPr>
        <w:t>作制度》、《关联交易决策制度》、《监事会议事规则》以及《关于董事会换届选举的</w:t>
      </w:r>
      <w:r>
        <w:rPr>
          <w:spacing w:val="-113"/>
          <w:w w:val="100"/>
        </w:rPr>
        <w:t> </w:t>
      </w:r>
      <w:r>
        <w:rPr>
          <w:spacing w:val="-113"/>
          <w:w w:val="100"/>
        </w:rPr>
      </w:r>
      <w:r>
        <w:rPr>
          <w:spacing w:val="-19"/>
          <w:w w:val="100"/>
        </w:rPr>
        <w:t>议案》、《关于监事会换届选举的议案》。</w:t>
      </w:r>
    </w:p>
    <w:p>
      <w:pPr>
        <w:pStyle w:val="BodyText"/>
        <w:spacing w:line="240" w:lineRule="auto" w:before="45"/>
        <w:ind w:left="677" w:right="269"/>
        <w:jc w:val="left"/>
      </w:pPr>
      <w:r>
        <w:rPr/>
        <w:t>本次会议内容公司于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日在公司指定信息披露网站巨潮资讯网</w:t>
      </w:r>
    </w:p>
    <w:p>
      <w:pPr>
        <w:pStyle w:val="BodyText"/>
        <w:spacing w:line="240" w:lineRule="auto" w:before="129"/>
        <w:ind w:left="217" w:right="269"/>
        <w:jc w:val="left"/>
      </w:pPr>
      <w:r>
        <w:rPr/>
        <w:t>（</w:t>
      </w:r>
      <w:hyperlink r:id="rId10">
        <w:r>
          <w:rPr>
            <w:rFonts w:ascii="Times New Roman" w:hAnsi="Times New Roman" w:cs="Times New Roman" w:eastAsia="Times New Roman" w:hint="default"/>
          </w:rPr>
          <w:t>www.cninfo.com.cn</w:t>
        </w:r>
      </w:hyperlink>
      <w:r>
        <w:rPr/>
        <w:t>）上进行了披露。</w:t>
      </w:r>
    </w:p>
    <w:p>
      <w:pPr>
        <w:spacing w:line="240" w:lineRule="auto" w:before="0"/>
        <w:rPr>
          <w:rFonts w:ascii="宋体" w:hAnsi="宋体" w:cs="宋体" w:eastAsia="宋体" w:hint="default"/>
          <w:sz w:val="24"/>
          <w:szCs w:val="24"/>
        </w:rPr>
      </w:pPr>
    </w:p>
    <w:p>
      <w:pPr>
        <w:pStyle w:val="BodyText"/>
        <w:spacing w:line="240" w:lineRule="auto" w:before="211"/>
        <w:ind w:left="217" w:right="269"/>
        <w:jc w:val="left"/>
      </w:pPr>
      <w:r>
        <w:rPr/>
        <w:t>（二）董事会</w:t>
      </w:r>
    </w:p>
    <w:p>
      <w:pPr>
        <w:pStyle w:val="BodyText"/>
        <w:spacing w:line="240" w:lineRule="auto" w:before="146"/>
        <w:ind w:left="677" w:right="155"/>
        <w:jc w:val="left"/>
      </w:pPr>
      <w:r>
        <w:rPr>
          <w:w w:val="100"/>
        </w:rPr>
        <w:t>报告期</w:t>
      </w:r>
      <w:r>
        <w:rPr>
          <w:spacing w:val="-2"/>
          <w:w w:val="100"/>
        </w:rPr>
        <w:t>内</w:t>
      </w:r>
      <w:r>
        <w:rPr>
          <w:spacing w:val="-58"/>
          <w:w w:val="100"/>
        </w:rPr>
        <w:t>，</w:t>
      </w:r>
      <w:r>
        <w:rPr>
          <w:w w:val="100"/>
        </w:rPr>
        <w:t>公司全</w:t>
      </w:r>
      <w:r>
        <w:rPr>
          <w:spacing w:val="-2"/>
          <w:w w:val="100"/>
        </w:rPr>
        <w:t>体董</w:t>
      </w:r>
      <w:r>
        <w:rPr>
          <w:w w:val="100"/>
        </w:rPr>
        <w:t>事严格</w:t>
      </w:r>
      <w:r>
        <w:rPr>
          <w:spacing w:val="-2"/>
          <w:w w:val="100"/>
        </w:rPr>
        <w:t>按</w:t>
      </w:r>
      <w:r>
        <w:rPr>
          <w:spacing w:val="-58"/>
          <w:w w:val="100"/>
        </w:rPr>
        <w:t>照</w:t>
      </w:r>
      <w:r>
        <w:rPr>
          <w:w w:val="100"/>
        </w:rPr>
        <w:t>《公司</w:t>
      </w:r>
      <w:r>
        <w:rPr>
          <w:spacing w:val="-2"/>
          <w:w w:val="100"/>
        </w:rPr>
        <w:t>法</w:t>
      </w:r>
      <w:r>
        <w:rPr>
          <w:spacing w:val="-116"/>
          <w:w w:val="100"/>
        </w:rPr>
        <w:t>》</w:t>
      </w:r>
      <w:r>
        <w:rPr>
          <w:spacing w:val="-173"/>
          <w:w w:val="100"/>
        </w:rPr>
        <w:t>、</w:t>
      </w:r>
      <w:r>
        <w:rPr>
          <w:w w:val="100"/>
        </w:rPr>
        <w:t>《证券</w:t>
      </w:r>
      <w:r>
        <w:rPr>
          <w:spacing w:val="-2"/>
          <w:w w:val="100"/>
        </w:rPr>
        <w:t>法</w:t>
      </w:r>
      <w:r>
        <w:rPr>
          <w:spacing w:val="-116"/>
          <w:w w:val="100"/>
        </w:rPr>
        <w:t>》</w:t>
      </w:r>
      <w:r>
        <w:rPr>
          <w:spacing w:val="-173"/>
          <w:w w:val="100"/>
        </w:rPr>
        <w:t>、</w:t>
      </w:r>
      <w:r>
        <w:rPr>
          <w:w w:val="100"/>
        </w:rPr>
        <w:t>《上市</w:t>
      </w:r>
      <w:r>
        <w:rPr>
          <w:spacing w:val="-2"/>
          <w:w w:val="100"/>
        </w:rPr>
        <w:t>公司</w:t>
      </w:r>
      <w:r>
        <w:rPr>
          <w:w w:val="100"/>
        </w:rPr>
        <w:t>治理准</w:t>
      </w:r>
      <w:r>
        <w:rPr>
          <w:spacing w:val="-2"/>
          <w:w w:val="100"/>
        </w:rPr>
        <w:t>则</w:t>
      </w:r>
      <w:r>
        <w:rPr>
          <w:spacing w:val="-114"/>
          <w:w w:val="100"/>
        </w:rPr>
        <w:t>》</w:t>
      </w:r>
      <w:r>
        <w:rPr>
          <w:w w:val="100"/>
        </w:rPr>
        <w:t>、</w:t>
      </w:r>
    </w:p>
    <w:p>
      <w:pPr>
        <w:pStyle w:val="BodyText"/>
        <w:spacing w:line="357" w:lineRule="auto" w:before="146"/>
        <w:ind w:left="217" w:right="155"/>
        <w:jc w:val="left"/>
      </w:pPr>
      <w:r>
        <w:rPr/>
        <w:t>《深圳证券交易所创业板上市公司规范运作指引》等有关法律法规和《公司章程》</w:t>
      </w:r>
      <w:r>
        <w:rPr>
          <w:w w:val="100"/>
        </w:rPr>
        <w:t> </w:t>
      </w:r>
      <w:r>
        <w:rPr>
          <w:spacing w:val="-4"/>
        </w:rPr>
        <w:t>的规定，勤勉尽责地履行董事的职责，持续关注公司经营状况，遵守董事行为规范，</w:t>
      </w:r>
      <w:r>
        <w:rPr>
          <w:spacing w:val="-91"/>
        </w:rPr>
        <w:t> </w:t>
      </w:r>
      <w:r>
        <w:rPr>
          <w:spacing w:val="-91"/>
        </w:rPr>
      </w:r>
      <w:r>
        <w:rPr/>
        <w:t>积极参加相关培训，提高规范运作水平，发挥各自的专业特长，积极地履行职责。</w:t>
      </w:r>
      <w:r>
        <w:rPr>
          <w:w w:val="100"/>
        </w:rPr>
        <w:t> </w:t>
      </w:r>
      <w:r>
        <w:rPr/>
        <w:t>董事在董事会会议投票表决重大事项或其他对公司有重大影响的事项时，严格遵循</w:t>
      </w:r>
      <w:r>
        <w:rPr>
          <w:w w:val="100"/>
        </w:rPr>
        <w:t> </w:t>
      </w:r>
      <w:r>
        <w:rPr/>
        <w:t>公司董事会议事规则的有关审议规定，审慎决策，切实保护公司和股东特别是社会</w:t>
      </w:r>
      <w:r>
        <w:rPr>
          <w:w w:val="100"/>
        </w:rPr>
        <w:t> </w:t>
      </w:r>
      <w:r>
        <w:rPr/>
        <w:t>公众股股东的利益。</w:t>
      </w:r>
    </w:p>
    <w:p>
      <w:pPr>
        <w:pStyle w:val="BodyText"/>
        <w:spacing w:line="240" w:lineRule="auto" w:before="34"/>
        <w:ind w:left="677" w:right="269"/>
        <w:jc w:val="left"/>
      </w:pPr>
      <w:r>
        <w:rPr/>
        <w:t>报告期内公司董事会共召开</w:t>
      </w:r>
      <w:r>
        <w:rPr>
          <w:rFonts w:ascii="Times New Roman" w:hAnsi="Times New Roman" w:cs="Times New Roman" w:eastAsia="Times New Roman" w:hint="default"/>
        </w:rPr>
        <w:t>7</w:t>
      </w:r>
      <w:r>
        <w:rPr>
          <w:rFonts w:ascii="Times New Roman" w:hAnsi="Times New Roman" w:cs="Times New Roman" w:eastAsia="Times New Roman" w:hint="default"/>
          <w:spacing w:val="47"/>
        </w:rPr>
        <w:t> </w:t>
      </w:r>
      <w:r>
        <w:rPr/>
        <w:t>次董事会会议，公司董事出席董事会情况如下：</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188"/>
        <w:gridCol w:w="1440"/>
        <w:gridCol w:w="900"/>
        <w:gridCol w:w="1080"/>
        <w:gridCol w:w="1080"/>
        <w:gridCol w:w="1080"/>
        <w:gridCol w:w="1800"/>
      </w:tblGrid>
      <w:tr>
        <w:trPr>
          <w:trHeight w:val="650" w:hRule="exact"/>
        </w:trPr>
        <w:tc>
          <w:tcPr>
            <w:tcW w:w="11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8"/>
              <w:ind w:left="379"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235" w:right="128" w:hanging="106"/>
              <w:jc w:val="left"/>
              <w:rPr>
                <w:rFonts w:ascii="宋体" w:hAnsi="宋体" w:cs="宋体" w:eastAsia="宋体" w:hint="default"/>
                <w:sz w:val="21"/>
                <w:szCs w:val="21"/>
              </w:rPr>
            </w:pPr>
            <w:r>
              <w:rPr>
                <w:rFonts w:ascii="宋体" w:hAnsi="宋体" w:cs="宋体" w:eastAsia="宋体" w:hint="default"/>
                <w:sz w:val="21"/>
                <w:szCs w:val="21"/>
              </w:rPr>
              <w:t>应出席 次数</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325" w:right="11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325" w:right="11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265" w:right="158" w:hanging="106"/>
              <w:jc w:val="left"/>
              <w:rPr>
                <w:rFonts w:ascii="宋体" w:hAnsi="宋体" w:cs="宋体" w:eastAsia="宋体" w:hint="default"/>
                <w:sz w:val="21"/>
                <w:szCs w:val="21"/>
              </w:rPr>
            </w:pPr>
            <w:r>
              <w:rPr>
                <w:rFonts w:ascii="宋体" w:hAnsi="宋体" w:cs="宋体" w:eastAsia="宋体" w:hint="default"/>
                <w:sz w:val="21"/>
                <w:szCs w:val="21"/>
              </w:rPr>
              <w:t>是否连续两次未 亲自出席会议</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何晔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82" w:top="1100" w:bottom="1180" w:left="1580" w:right="152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188"/>
        <w:gridCol w:w="1440"/>
        <w:gridCol w:w="900"/>
        <w:gridCol w:w="1080"/>
        <w:gridCol w:w="1080"/>
        <w:gridCol w:w="1080"/>
        <w:gridCol w:w="1800"/>
      </w:tblGrid>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单怀光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9"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宋靖雁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朱厚佳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2"/>
        <w:rPr>
          <w:rFonts w:ascii="宋体" w:hAnsi="宋体" w:cs="宋体" w:eastAsia="宋体" w:hint="default"/>
          <w:sz w:val="25"/>
          <w:szCs w:val="25"/>
        </w:rPr>
      </w:pPr>
    </w:p>
    <w:p>
      <w:pPr>
        <w:pStyle w:val="BodyText"/>
        <w:spacing w:line="240" w:lineRule="auto"/>
        <w:ind w:left="677" w:right="269"/>
        <w:jc w:val="left"/>
      </w:pPr>
      <w:r>
        <w:rPr/>
        <w:t>报告期内召开的</w:t>
      </w:r>
      <w:r>
        <w:rPr>
          <w:rFonts w:ascii="Times New Roman" w:hAnsi="Times New Roman" w:cs="Times New Roman" w:eastAsia="Times New Roman" w:hint="default"/>
        </w:rPr>
        <w:t>7</w:t>
      </w:r>
      <w:r>
        <w:rPr>
          <w:rFonts w:ascii="Times New Roman" w:hAnsi="Times New Roman" w:cs="Times New Roman" w:eastAsia="Times New Roman" w:hint="default"/>
          <w:spacing w:val="50"/>
        </w:rPr>
        <w:t> </w:t>
      </w:r>
      <w:r>
        <w:rPr/>
        <w:t>次董事会会议的具体情况如下：</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339"/>
        <w:gridCol w:w="1196"/>
        <w:gridCol w:w="4592"/>
        <w:gridCol w:w="1440"/>
      </w:tblGrid>
      <w:tr>
        <w:trPr>
          <w:trHeight w:val="378" w:hRule="exact"/>
        </w:trPr>
        <w:tc>
          <w:tcPr>
            <w:tcW w:w="13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届次</w:t>
            </w:r>
          </w:p>
        </w:tc>
        <w:tc>
          <w:tcPr>
            <w:tcW w:w="11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5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审议内容</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刊登媒体</w:t>
            </w:r>
          </w:p>
        </w:tc>
      </w:tr>
      <w:tr>
        <w:trPr>
          <w:trHeight w:val="329" w:hRule="exact"/>
        </w:trPr>
        <w:tc>
          <w:tcPr>
            <w:tcW w:w="1339"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45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董事会工作报告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9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年度财务</w:t>
            </w: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1090" w:hRule="exact"/>
        </w:trPr>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一届九次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2010-1-15</w:t>
            </w: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hanging="1"/>
              <w:jc w:val="both"/>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9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年度总</w:t>
            </w:r>
            <w:r>
              <w:rPr>
                <w:rFonts w:ascii="宋体" w:hAnsi="宋体" w:cs="宋体" w:eastAsia="宋体" w:hint="default"/>
                <w:spacing w:val="-2"/>
                <w:sz w:val="21"/>
                <w:szCs w:val="21"/>
              </w:rPr>
              <w:t>经</w:t>
            </w:r>
            <w:r>
              <w:rPr>
                <w:rFonts w:ascii="宋体" w:hAnsi="宋体" w:cs="宋体" w:eastAsia="宋体" w:hint="default"/>
                <w:sz w:val="21"/>
                <w:szCs w:val="21"/>
              </w:rPr>
              <w:t>理工作报告</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9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p>
          <w:p>
            <w:pPr>
              <w:pStyle w:val="TableParagraph"/>
              <w:spacing w:line="272" w:lineRule="exact" w:before="18"/>
              <w:ind w:left="103" w:right="99" w:hanging="1"/>
              <w:jc w:val="both"/>
              <w:rPr>
                <w:rFonts w:ascii="宋体" w:hAnsi="宋体" w:cs="宋体" w:eastAsia="宋体" w:hint="default"/>
                <w:sz w:val="21"/>
                <w:szCs w:val="21"/>
              </w:rPr>
            </w:pPr>
            <w:r>
              <w:rPr>
                <w:rFonts w:ascii="宋体" w:hAnsi="宋体" w:cs="宋体" w:eastAsia="宋体" w:hint="default"/>
                <w:sz w:val="21"/>
                <w:szCs w:val="21"/>
              </w:rPr>
              <w:t>度利润分配议案</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《改</w:t>
            </w:r>
            <w:r>
              <w:rPr>
                <w:rFonts w:ascii="宋体" w:hAnsi="宋体" w:cs="宋体" w:eastAsia="宋体" w:hint="default"/>
                <w:spacing w:val="-2"/>
                <w:sz w:val="21"/>
                <w:szCs w:val="21"/>
              </w:rPr>
              <w:t>选</w:t>
            </w:r>
            <w:r>
              <w:rPr>
                <w:rFonts w:ascii="宋体" w:hAnsi="宋体" w:cs="宋体" w:eastAsia="宋体" w:hint="default"/>
                <w:sz w:val="21"/>
                <w:szCs w:val="21"/>
              </w:rPr>
              <w:t>董事会审计委员会成员</w:t>
            </w:r>
            <w:r>
              <w:rPr>
                <w:rFonts w:ascii="宋体" w:hAnsi="宋体" w:cs="宋体" w:eastAsia="宋体" w:hint="default"/>
                <w:sz w:val="21"/>
                <w:szCs w:val="21"/>
              </w:rPr>
              <w:t> 的议案</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续</w:t>
            </w:r>
            <w:r>
              <w:rPr>
                <w:rFonts w:ascii="宋体" w:hAnsi="宋体" w:cs="宋体" w:eastAsia="宋体" w:hint="default"/>
                <w:sz w:val="21"/>
                <w:szCs w:val="21"/>
              </w:rPr>
              <w:t>聘深圳市鹏城会计师事务所有限公</w:t>
            </w:r>
            <w:r>
              <w:rPr>
                <w:rFonts w:ascii="宋体" w:hAnsi="宋体" w:cs="宋体" w:eastAsia="宋体" w:hint="default"/>
                <w:sz w:val="21"/>
                <w:szCs w:val="21"/>
              </w:rPr>
              <w:t> 司为公司</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年度审</w:t>
            </w:r>
            <w:r>
              <w:rPr>
                <w:rFonts w:ascii="宋体" w:hAnsi="宋体" w:cs="宋体" w:eastAsia="宋体" w:hint="default"/>
                <w:spacing w:val="-2"/>
                <w:sz w:val="21"/>
                <w:szCs w:val="21"/>
              </w:rPr>
              <w:t>计</w:t>
            </w:r>
            <w:r>
              <w:rPr>
                <w:rFonts w:ascii="宋体" w:hAnsi="宋体" w:cs="宋体" w:eastAsia="宋体" w:hint="default"/>
                <w:sz w:val="21"/>
                <w:szCs w:val="21"/>
              </w:rPr>
              <w:t>机构的议案</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《关于提</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72" w:lineRule="exact" w:before="124"/>
              <w:ind w:left="189" w:right="188"/>
              <w:jc w:val="center"/>
              <w:rPr>
                <w:rFonts w:ascii="宋体" w:hAnsi="宋体" w:cs="宋体" w:eastAsia="宋体" w:hint="default"/>
                <w:sz w:val="21"/>
                <w:szCs w:val="21"/>
              </w:rPr>
            </w:pPr>
            <w:r>
              <w:rPr>
                <w:rFonts w:ascii="宋体" w:hAnsi="宋体" w:cs="宋体" w:eastAsia="宋体" w:hint="default"/>
                <w:sz w:val="21"/>
                <w:szCs w:val="21"/>
              </w:rPr>
              <w:t>因公司尚未 上市而未公 告</w:t>
            </w:r>
          </w:p>
        </w:tc>
      </w:tr>
      <w:tr>
        <w:trPr>
          <w:trHeight w:val="321" w:hRule="exact"/>
        </w:trPr>
        <w:tc>
          <w:tcPr>
            <w:tcW w:w="1339"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4592"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议召开公司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年度股东大会的议案》</w:t>
            </w:r>
          </w:p>
        </w:tc>
        <w:tc>
          <w:tcPr>
            <w:tcW w:w="1440"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1339"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45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《关于设立募集资金专用账户的议案</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《关于签</w:t>
            </w: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278" w:hRule="exact"/>
        </w:trPr>
        <w:tc>
          <w:tcPr>
            <w:tcW w:w="133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一届十次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2010-6-17</w:t>
            </w: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订募集资金三方监管协议的议案</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募集资金管</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1" w:hRule="exact"/>
        </w:trPr>
        <w:tc>
          <w:tcPr>
            <w:tcW w:w="1339"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459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理制度</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信息披露管理制度》</w:t>
            </w:r>
          </w:p>
        </w:tc>
        <w:tc>
          <w:tcPr>
            <w:tcW w:w="1440"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339"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459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《关于用募集资金置换预先已投入募集资金投</w:t>
            </w:r>
            <w:r>
              <w:rPr>
                <w:rFonts w:ascii="宋体" w:hAnsi="宋体" w:cs="宋体" w:eastAsia="宋体" w:hint="default"/>
                <w:sz w:val="21"/>
                <w:szCs w:val="21"/>
              </w:rPr>
            </w: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资项目的自筹资金的议案</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首</w:t>
            </w:r>
            <w:r>
              <w:rPr>
                <w:rFonts w:ascii="宋体" w:hAnsi="宋体" w:cs="宋体" w:eastAsia="宋体" w:hint="default"/>
                <w:sz w:val="21"/>
                <w:szCs w:val="21"/>
              </w:rPr>
              <w:t>次公开发行</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股票募集资金中其他与主营业务相关的营运资</w:t>
            </w:r>
            <w:r>
              <w:rPr>
                <w:rFonts w:ascii="宋体" w:hAnsi="宋体" w:cs="宋体" w:eastAsia="宋体" w:hint="default"/>
                <w:sz w:val="21"/>
                <w:szCs w:val="21"/>
              </w:rPr>
            </w:r>
          </w:p>
        </w:tc>
        <w:tc>
          <w:tcPr>
            <w:tcW w:w="1440" w:type="dxa"/>
            <w:tcBorders>
              <w:top w:val="nil" w:sz="6" w:space="0" w:color="auto"/>
              <w:left w:val="single" w:sz="4" w:space="0" w:color="000000"/>
              <w:bottom w:val="nil" w:sz="6" w:space="0" w:color="auto"/>
              <w:right w:val="single" w:sz="4" w:space="0" w:color="000000"/>
            </w:tcBorders>
          </w:tcPr>
          <w:p>
            <w:pPr/>
          </w:p>
        </w:tc>
      </w:tr>
      <w:tr>
        <w:trPr>
          <w:trHeight w:val="545" w:hRule="exact"/>
        </w:trPr>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一届十一次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2010-8-3</w:t>
            </w: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金使用计划的议案</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年</w:t>
            </w:r>
            <w:r>
              <w:rPr>
                <w:rFonts w:ascii="宋体" w:hAnsi="宋体" w:cs="宋体" w:eastAsia="宋体" w:hint="default"/>
                <w:sz w:val="21"/>
                <w:szCs w:val="21"/>
              </w:rPr>
              <w:t>报信息披露重大差错责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任追究制度</w:t>
            </w:r>
            <w:r>
              <w:rPr>
                <w:rFonts w:ascii="宋体" w:hAnsi="宋体" w:cs="宋体" w:eastAsia="宋体" w:hint="default"/>
                <w:spacing w:val="-106"/>
                <w:sz w:val="21"/>
                <w:szCs w:val="21"/>
              </w:rPr>
              <w:t>》</w:t>
            </w:r>
            <w:r>
              <w:rPr>
                <w:rFonts w:ascii="宋体" w:hAnsi="宋体" w:cs="宋体" w:eastAsia="宋体" w:hint="default"/>
                <w:spacing w:val="-122"/>
                <w:sz w:val="21"/>
                <w:szCs w:val="21"/>
              </w:rPr>
              <w:t>、</w:t>
            </w:r>
            <w:r>
              <w:rPr>
                <w:rFonts w:ascii="宋体" w:hAnsi="宋体" w:cs="宋体" w:eastAsia="宋体" w:hint="default"/>
                <w:sz w:val="21"/>
                <w:szCs w:val="21"/>
              </w:rPr>
              <w:t>《内幕信息知情人登记制度</w:t>
            </w:r>
            <w:r>
              <w:rPr>
                <w:rFonts w:ascii="宋体" w:hAnsi="宋体" w:cs="宋体" w:eastAsia="宋体" w:hint="default"/>
                <w:spacing w:val="-105"/>
                <w:sz w:val="21"/>
                <w:szCs w:val="21"/>
              </w:rPr>
              <w:t>》</w:t>
            </w:r>
            <w:r>
              <w:rPr>
                <w:rFonts w:ascii="宋体" w:hAnsi="宋体" w:cs="宋体" w:eastAsia="宋体" w:hint="default"/>
                <w:spacing w:val="-122"/>
                <w:sz w:val="21"/>
                <w:szCs w:val="21"/>
              </w:rPr>
              <w:t>、</w:t>
            </w:r>
            <w:r>
              <w:rPr>
                <w:rFonts w:ascii="宋体" w:hAnsi="宋体" w:cs="宋体" w:eastAsia="宋体" w:hint="default"/>
                <w:sz w:val="21"/>
                <w:szCs w:val="21"/>
              </w:rPr>
              <w:t>《重</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大信息内部报告制度</w:t>
            </w:r>
            <w:r>
              <w:rPr>
                <w:rFonts w:ascii="宋体" w:hAnsi="宋体" w:cs="宋体" w:eastAsia="宋体" w:hint="default"/>
                <w:spacing w:val="-105"/>
                <w:sz w:val="21"/>
                <w:szCs w:val="21"/>
              </w:rPr>
              <w:t>》</w:t>
            </w:r>
            <w:r>
              <w:rPr>
                <w:rFonts w:ascii="宋体" w:hAnsi="宋体" w:cs="宋体" w:eastAsia="宋体" w:hint="default"/>
                <w:spacing w:val="-123"/>
                <w:sz w:val="21"/>
                <w:szCs w:val="21"/>
              </w:rPr>
              <w:t>、</w:t>
            </w:r>
            <w:r>
              <w:rPr>
                <w:rFonts w:ascii="宋体" w:hAnsi="宋体" w:cs="宋体" w:eastAsia="宋体" w:hint="default"/>
                <w:sz w:val="21"/>
                <w:szCs w:val="21"/>
              </w:rPr>
              <w:t>《董事</w:t>
            </w:r>
            <w:r>
              <w:rPr>
                <w:rFonts w:ascii="宋体" w:hAnsi="宋体" w:cs="宋体" w:eastAsia="宋体" w:hint="default"/>
                <w:spacing w:val="-17"/>
                <w:sz w:val="21"/>
                <w:szCs w:val="21"/>
              </w:rPr>
              <w:t>、</w:t>
            </w:r>
            <w:r>
              <w:rPr>
                <w:rFonts w:ascii="宋体" w:hAnsi="宋体" w:cs="宋体" w:eastAsia="宋体" w:hint="default"/>
                <w:sz w:val="21"/>
                <w:szCs w:val="21"/>
              </w:rPr>
              <w:t>监事和高级管理</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人员所持本公司股份及其变动管理制度</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《投资</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339"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459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者关系管理制度》</w:t>
            </w:r>
          </w:p>
        </w:tc>
        <w:tc>
          <w:tcPr>
            <w:tcW w:w="1440" w:type="dxa"/>
            <w:tcBorders>
              <w:top w:val="nil" w:sz="6" w:space="0" w:color="auto"/>
              <w:left w:val="single" w:sz="4" w:space="0" w:color="000000"/>
              <w:bottom w:val="single" w:sz="4" w:space="0" w:color="000000"/>
              <w:right w:val="single" w:sz="4" w:space="0" w:color="000000"/>
            </w:tcBorders>
          </w:tcPr>
          <w:p>
            <w:pPr/>
          </w:p>
        </w:tc>
      </w:tr>
      <w:tr>
        <w:trPr>
          <w:trHeight w:val="378"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一届十二次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21"/>
                <w:szCs w:val="21"/>
              </w:rPr>
            </w:pPr>
            <w:r>
              <w:rPr>
                <w:rFonts w:ascii="Times New Roman"/>
                <w:sz w:val="21"/>
              </w:rPr>
              <w:t>2010-8-18</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年度半年度报告及其摘要》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339"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4592" w:type="dxa"/>
            <w:tcBorders>
              <w:top w:val="single" w:sz="4" w:space="0" w:color="000000"/>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r>
              <w:rPr>
                <w:rFonts w:ascii="宋体" w:hAnsi="宋体" w:cs="宋体" w:eastAsia="宋体" w:hint="default"/>
                <w:spacing w:val="-2"/>
                <w:sz w:val="21"/>
                <w:szCs w:val="21"/>
              </w:rPr>
              <w:t>第</w:t>
            </w:r>
            <w:r>
              <w:rPr>
                <w:rFonts w:ascii="宋体" w:hAnsi="宋体" w:cs="宋体" w:eastAsia="宋体" w:hint="default"/>
                <w:sz w:val="21"/>
                <w:szCs w:val="21"/>
              </w:rPr>
              <w:t>三季度报告全文及正文</w:t>
            </w:r>
            <w:r>
              <w:rPr>
                <w:rFonts w:ascii="宋体" w:hAnsi="宋体" w:cs="宋体" w:eastAsia="宋体" w:hint="default"/>
                <w:spacing w:val="-106"/>
                <w:sz w:val="21"/>
                <w:szCs w:val="21"/>
              </w:rPr>
              <w:t>》</w:t>
            </w:r>
            <w:r>
              <w:rPr>
                <w:rFonts w:ascii="宋体" w:hAnsi="宋体" w:cs="宋体" w:eastAsia="宋体" w:hint="default"/>
                <w:spacing w:val="-190"/>
                <w:sz w:val="21"/>
                <w:szCs w:val="21"/>
              </w:rPr>
              <w:t>、</w:t>
            </w:r>
            <w:r>
              <w:rPr>
                <w:rFonts w:ascii="宋体" w:hAnsi="宋体" w:cs="宋体" w:eastAsia="宋体" w:hint="default"/>
                <w:sz w:val="21"/>
                <w:szCs w:val="21"/>
              </w:rPr>
              <w:t>《关于加强</w:t>
            </w: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267"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上市公司治理专项活动的自查事项报告</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《关于</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加强上市公司治理专项活动的自查报告和整改</w:t>
            </w:r>
            <w:r>
              <w:rPr>
                <w:rFonts w:ascii="宋体" w:hAnsi="宋体" w:cs="宋体" w:eastAsia="宋体" w:hint="default"/>
                <w:sz w:val="21"/>
                <w:szCs w:val="21"/>
              </w:rPr>
            </w:r>
          </w:p>
        </w:tc>
        <w:tc>
          <w:tcPr>
            <w:tcW w:w="1440"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33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一届十三次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2010-10-22</w:t>
            </w: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全面深入开展规范财务会计基础工</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67"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作专项活动的自查报告</w:t>
            </w:r>
            <w:r>
              <w:rPr>
                <w:rFonts w:ascii="宋体" w:hAnsi="宋体" w:cs="宋体" w:eastAsia="宋体" w:hint="default"/>
                <w:spacing w:val="-106"/>
                <w:sz w:val="21"/>
                <w:szCs w:val="21"/>
              </w:rPr>
              <w:t>》</w:t>
            </w:r>
            <w:r>
              <w:rPr>
                <w:rFonts w:ascii="宋体" w:hAnsi="宋体" w:cs="宋体" w:eastAsia="宋体" w:hint="default"/>
                <w:spacing w:val="-137"/>
                <w:sz w:val="21"/>
                <w:szCs w:val="21"/>
              </w:rPr>
              <w:t>、</w:t>
            </w:r>
            <w:r>
              <w:rPr>
                <w:rFonts w:ascii="宋体" w:hAnsi="宋体" w:cs="宋体" w:eastAsia="宋体" w:hint="default"/>
                <w:sz w:val="21"/>
                <w:szCs w:val="21"/>
              </w:rPr>
              <w:t>《关于对</w:t>
            </w:r>
            <w:r>
              <w:rPr>
                <w:rFonts w:ascii="宋体" w:hAnsi="宋体" w:cs="宋体" w:eastAsia="宋体" w:hint="default"/>
                <w:spacing w:val="-2"/>
                <w:sz w:val="21"/>
                <w:szCs w:val="21"/>
              </w:rPr>
              <w:t>防</w:t>
            </w:r>
            <w:r>
              <w:rPr>
                <w:rFonts w:ascii="宋体" w:hAnsi="宋体" w:cs="宋体" w:eastAsia="宋体" w:hint="default"/>
                <w:sz w:val="21"/>
                <w:szCs w:val="21"/>
              </w:rPr>
              <w:t>止资金占用</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长效机制建立和落实情况的自查报告</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《关于董</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339"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459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事会换届选举并征集董事候选人的议案》</w:t>
            </w:r>
          </w:p>
        </w:tc>
        <w:tc>
          <w:tcPr>
            <w:tcW w:w="1440"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339"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459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《关于董事会换届选举暨第二届董事会董事候</w:t>
            </w:r>
            <w:r>
              <w:rPr>
                <w:rFonts w:ascii="宋体" w:hAnsi="宋体" w:cs="宋体" w:eastAsia="宋体" w:hint="default"/>
                <w:sz w:val="21"/>
                <w:szCs w:val="21"/>
              </w:rPr>
            </w: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选人提名的议案</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调整公司内部管理机构</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设置的</w:t>
            </w:r>
            <w:r>
              <w:rPr>
                <w:rFonts w:ascii="宋体" w:hAnsi="宋体" w:cs="宋体" w:eastAsia="宋体" w:hint="default"/>
                <w:spacing w:val="9"/>
                <w:sz w:val="21"/>
                <w:szCs w:val="21"/>
              </w:rPr>
              <w:t>议</w:t>
            </w:r>
            <w:r>
              <w:rPr>
                <w:rFonts w:ascii="宋体" w:hAnsi="宋体" w:cs="宋体" w:eastAsia="宋体" w:hint="default"/>
                <w:spacing w:val="8"/>
                <w:sz w:val="21"/>
                <w:szCs w:val="21"/>
              </w:rPr>
              <w:t>案</w:t>
            </w:r>
            <w:r>
              <w:rPr>
                <w:rFonts w:ascii="宋体" w:hAnsi="宋体" w:cs="宋体" w:eastAsia="宋体" w:hint="default"/>
                <w:spacing w:val="-95"/>
                <w:sz w:val="21"/>
                <w:szCs w:val="21"/>
              </w:rPr>
              <w:t>》</w:t>
            </w:r>
            <w:r>
              <w:rPr>
                <w:rFonts w:ascii="宋体" w:hAnsi="宋体" w:cs="宋体" w:eastAsia="宋体" w:hint="default"/>
                <w:spacing w:val="-96"/>
                <w:sz w:val="21"/>
                <w:szCs w:val="21"/>
              </w:rPr>
              <w:t>、</w:t>
            </w:r>
            <w:r>
              <w:rPr>
                <w:rFonts w:ascii="宋体" w:hAnsi="宋体" w:cs="宋体" w:eastAsia="宋体" w:hint="default"/>
                <w:spacing w:val="8"/>
                <w:sz w:val="21"/>
                <w:szCs w:val="21"/>
              </w:rPr>
              <w:t>《关于</w:t>
            </w:r>
            <w:r>
              <w:rPr>
                <w:rFonts w:ascii="宋体" w:hAnsi="宋体" w:cs="宋体" w:eastAsia="宋体" w:hint="default"/>
                <w:spacing w:val="9"/>
                <w:sz w:val="21"/>
                <w:szCs w:val="21"/>
              </w:rPr>
              <w:t>聘任</w:t>
            </w:r>
            <w:r>
              <w:rPr>
                <w:rFonts w:ascii="宋体" w:hAnsi="宋体" w:cs="宋体" w:eastAsia="宋体" w:hint="default"/>
                <w:spacing w:val="8"/>
                <w:sz w:val="21"/>
                <w:szCs w:val="21"/>
              </w:rPr>
              <w:t>内部审</w:t>
            </w:r>
            <w:r>
              <w:rPr>
                <w:rFonts w:ascii="宋体" w:hAnsi="宋体" w:cs="宋体" w:eastAsia="宋体" w:hint="default"/>
                <w:spacing w:val="9"/>
                <w:sz w:val="21"/>
                <w:szCs w:val="21"/>
              </w:rPr>
              <w:t>计负</w:t>
            </w:r>
            <w:r>
              <w:rPr>
                <w:rFonts w:ascii="宋体" w:hAnsi="宋体" w:cs="宋体" w:eastAsia="宋体" w:hint="default"/>
                <w:spacing w:val="8"/>
                <w:sz w:val="21"/>
                <w:szCs w:val="21"/>
              </w:rPr>
              <w:t>责人的议</w:t>
            </w:r>
            <w:r>
              <w:rPr>
                <w:rFonts w:ascii="宋体" w:hAnsi="宋体" w:cs="宋体" w:eastAsia="宋体" w:hint="default"/>
                <w:sz w:val="21"/>
                <w:szCs w:val="21"/>
              </w:rPr>
            </w:r>
          </w:p>
        </w:tc>
        <w:tc>
          <w:tcPr>
            <w:tcW w:w="1440"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35"/>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136"/>
                <w:sz w:val="21"/>
                <w:szCs w:val="21"/>
              </w:rPr>
              <w:t>、</w:t>
            </w:r>
            <w:r>
              <w:rPr>
                <w:rFonts w:ascii="宋体" w:hAnsi="宋体" w:cs="宋体" w:eastAsia="宋体" w:hint="default"/>
                <w:sz w:val="21"/>
                <w:szCs w:val="21"/>
              </w:rPr>
              <w:t>《关于修改</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董事、监事和高级管理人员所持本公司股份及</w:t>
            </w:r>
            <w:r>
              <w:rPr>
                <w:rFonts w:ascii="宋体" w:hAnsi="宋体" w:cs="宋体" w:eastAsia="宋体" w:hint="default"/>
                <w:sz w:val="21"/>
                <w:szCs w:val="21"/>
              </w:rPr>
            </w:r>
          </w:p>
        </w:tc>
        <w:tc>
          <w:tcPr>
            <w:tcW w:w="14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一届十四次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2010-11-23</w:t>
            </w: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3"/>
              <w:jc w:val="left"/>
              <w:rPr>
                <w:rFonts w:ascii="宋体" w:hAnsi="宋体" w:cs="宋体" w:eastAsia="宋体" w:hint="default"/>
                <w:sz w:val="21"/>
                <w:szCs w:val="21"/>
              </w:rPr>
            </w:pPr>
            <w:r>
              <w:rPr>
                <w:rFonts w:ascii="宋体" w:hAnsi="宋体" w:cs="宋体" w:eastAsia="宋体" w:hint="default"/>
                <w:sz w:val="21"/>
                <w:szCs w:val="21"/>
              </w:rPr>
              <w:t>其变动管理制度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152"/>
                <w:sz w:val="21"/>
                <w:szCs w:val="21"/>
              </w:rPr>
              <w:t>、</w:t>
            </w:r>
            <w:r>
              <w:rPr>
                <w:rFonts w:ascii="宋体" w:hAnsi="宋体" w:cs="宋体" w:eastAsia="宋体" w:hint="default"/>
                <w:sz w:val="21"/>
                <w:szCs w:val="21"/>
              </w:rPr>
              <w:t>《股东大</w:t>
            </w:r>
            <w:r>
              <w:rPr>
                <w:rFonts w:ascii="宋体" w:hAnsi="宋体" w:cs="宋体" w:eastAsia="宋体" w:hint="default"/>
                <w:spacing w:val="-2"/>
                <w:sz w:val="21"/>
                <w:szCs w:val="21"/>
              </w:rPr>
              <w:t>会</w:t>
            </w:r>
            <w:r>
              <w:rPr>
                <w:rFonts w:ascii="宋体" w:hAnsi="宋体" w:cs="宋体" w:eastAsia="宋体" w:hint="default"/>
                <w:sz w:val="21"/>
                <w:szCs w:val="21"/>
              </w:rPr>
              <w:t>议事规则》</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67"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《董事会议事原则</w:t>
            </w:r>
            <w:r>
              <w:rPr>
                <w:rFonts w:ascii="宋体" w:hAnsi="宋体" w:cs="宋体" w:eastAsia="宋体" w:hint="default"/>
                <w:spacing w:val="-105"/>
                <w:sz w:val="21"/>
                <w:szCs w:val="21"/>
              </w:rPr>
              <w:t>》</w:t>
            </w:r>
            <w:r>
              <w:rPr>
                <w:rFonts w:ascii="宋体" w:hAnsi="宋体" w:cs="宋体" w:eastAsia="宋体" w:hint="default"/>
                <w:spacing w:val="-12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独立董事工作制度</w:t>
            </w:r>
            <w:r>
              <w:rPr>
                <w:rFonts w:ascii="宋体" w:hAnsi="宋体" w:cs="宋体" w:eastAsia="宋体" w:hint="default"/>
                <w:spacing w:val="-105"/>
                <w:sz w:val="21"/>
                <w:szCs w:val="21"/>
              </w:rPr>
              <w:t>》</w:t>
            </w:r>
            <w:r>
              <w:rPr>
                <w:rFonts w:ascii="宋体" w:hAnsi="宋体" w:cs="宋体" w:eastAsia="宋体" w:hint="default"/>
                <w:spacing w:val="-122"/>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r>
          </w:p>
        </w:tc>
        <w:tc>
          <w:tcPr>
            <w:tcW w:w="14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联交易决策制度</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《财</w:t>
            </w:r>
            <w:r>
              <w:rPr>
                <w:rFonts w:ascii="宋体" w:hAnsi="宋体" w:cs="宋体" w:eastAsia="宋体" w:hint="default"/>
                <w:spacing w:val="-2"/>
                <w:sz w:val="21"/>
                <w:szCs w:val="21"/>
              </w:rPr>
              <w:t>务</w:t>
            </w:r>
            <w:r>
              <w:rPr>
                <w:rFonts w:ascii="宋体" w:hAnsi="宋体" w:cs="宋体" w:eastAsia="宋体" w:hint="default"/>
                <w:sz w:val="21"/>
                <w:szCs w:val="21"/>
              </w:rPr>
              <w:t>会计相关负责人管理制</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pacing w:val="-105"/>
                <w:sz w:val="21"/>
                <w:szCs w:val="21"/>
              </w:rPr>
              <w:t>》</w:t>
            </w:r>
            <w:r>
              <w:rPr>
                <w:rFonts w:ascii="宋体" w:hAnsi="宋体" w:cs="宋体" w:eastAsia="宋体" w:hint="default"/>
                <w:spacing w:val="-122"/>
                <w:sz w:val="21"/>
                <w:szCs w:val="21"/>
              </w:rPr>
              <w:t>、</w:t>
            </w:r>
            <w:r>
              <w:rPr>
                <w:rFonts w:ascii="宋体" w:hAnsi="宋体" w:cs="宋体" w:eastAsia="宋体" w:hint="default"/>
                <w:sz w:val="21"/>
                <w:szCs w:val="21"/>
              </w:rPr>
              <w:t>《内</w:t>
            </w:r>
            <w:r>
              <w:rPr>
                <w:rFonts w:ascii="宋体" w:hAnsi="宋体" w:cs="宋体" w:eastAsia="宋体" w:hint="default"/>
                <w:spacing w:val="-2"/>
                <w:sz w:val="21"/>
                <w:szCs w:val="21"/>
              </w:rPr>
              <w:t>部</w:t>
            </w:r>
            <w:r>
              <w:rPr>
                <w:rFonts w:ascii="宋体" w:hAnsi="宋体" w:cs="宋体" w:eastAsia="宋体" w:hint="default"/>
                <w:sz w:val="21"/>
                <w:szCs w:val="21"/>
              </w:rPr>
              <w:t>审计制度</w:t>
            </w:r>
            <w:r>
              <w:rPr>
                <w:rFonts w:ascii="宋体" w:hAnsi="宋体" w:cs="宋体" w:eastAsia="宋体" w:hint="default"/>
                <w:spacing w:val="-105"/>
                <w:sz w:val="21"/>
                <w:szCs w:val="21"/>
              </w:rPr>
              <w:t>》</w:t>
            </w:r>
            <w:r>
              <w:rPr>
                <w:rFonts w:ascii="宋体" w:hAnsi="宋体" w:cs="宋体" w:eastAsia="宋体" w:hint="default"/>
                <w:spacing w:val="-123"/>
                <w:sz w:val="21"/>
                <w:szCs w:val="21"/>
              </w:rPr>
              <w:t>、</w:t>
            </w:r>
            <w:r>
              <w:rPr>
                <w:rFonts w:ascii="宋体" w:hAnsi="宋体" w:cs="宋体" w:eastAsia="宋体" w:hint="default"/>
                <w:sz w:val="21"/>
                <w:szCs w:val="21"/>
              </w:rPr>
              <w:t>《关于开展规范财务会计</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339"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基础工作专项活动的整改报告</w:t>
            </w:r>
            <w:r>
              <w:rPr>
                <w:rFonts w:ascii="宋体" w:hAnsi="宋体" w:cs="宋体" w:eastAsia="宋体" w:hint="default"/>
                <w:spacing w:val="-105"/>
                <w:sz w:val="21"/>
                <w:szCs w:val="21"/>
              </w:rPr>
              <w:t>》</w:t>
            </w:r>
            <w:r>
              <w:rPr>
                <w:rFonts w:ascii="宋体" w:hAnsi="宋体" w:cs="宋体" w:eastAsia="宋体" w:hint="default"/>
                <w:spacing w:val="-190"/>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于召开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w:t>
            </w:r>
          </w:p>
        </w:tc>
        <w:tc>
          <w:tcPr>
            <w:tcW w:w="1440"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339"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459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年第一次临时股东大会的议案》</w:t>
            </w:r>
          </w:p>
        </w:tc>
        <w:tc>
          <w:tcPr>
            <w:tcW w:w="1440"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339"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459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pacing w:val="8"/>
                <w:sz w:val="21"/>
                <w:szCs w:val="21"/>
              </w:rPr>
              <w:t>《关于</w:t>
            </w:r>
            <w:r>
              <w:rPr>
                <w:rFonts w:ascii="宋体" w:hAnsi="宋体" w:cs="宋体" w:eastAsia="宋体" w:hint="default"/>
                <w:spacing w:val="9"/>
                <w:sz w:val="21"/>
                <w:szCs w:val="21"/>
              </w:rPr>
              <w:t>选举</w:t>
            </w:r>
            <w:r>
              <w:rPr>
                <w:rFonts w:ascii="宋体" w:hAnsi="宋体" w:cs="宋体" w:eastAsia="宋体" w:hint="default"/>
                <w:spacing w:val="8"/>
                <w:sz w:val="21"/>
                <w:szCs w:val="21"/>
              </w:rPr>
              <w:t>公司第</w:t>
            </w:r>
            <w:r>
              <w:rPr>
                <w:rFonts w:ascii="宋体" w:hAnsi="宋体" w:cs="宋体" w:eastAsia="宋体" w:hint="default"/>
                <w:spacing w:val="9"/>
                <w:sz w:val="21"/>
                <w:szCs w:val="21"/>
              </w:rPr>
              <w:t>二届</w:t>
            </w:r>
            <w:r>
              <w:rPr>
                <w:rFonts w:ascii="宋体" w:hAnsi="宋体" w:cs="宋体" w:eastAsia="宋体" w:hint="default"/>
                <w:spacing w:val="8"/>
                <w:sz w:val="21"/>
                <w:szCs w:val="21"/>
              </w:rPr>
              <w:t>董事会</w:t>
            </w:r>
            <w:r>
              <w:rPr>
                <w:rFonts w:ascii="宋体" w:hAnsi="宋体" w:cs="宋体" w:eastAsia="宋体" w:hint="default"/>
                <w:spacing w:val="9"/>
                <w:sz w:val="21"/>
                <w:szCs w:val="21"/>
              </w:rPr>
              <w:t>董事</w:t>
            </w:r>
            <w:r>
              <w:rPr>
                <w:rFonts w:ascii="宋体" w:hAnsi="宋体" w:cs="宋体" w:eastAsia="宋体" w:hint="default"/>
                <w:spacing w:val="8"/>
                <w:sz w:val="21"/>
                <w:szCs w:val="21"/>
              </w:rPr>
              <w:t>长的议案</w:t>
            </w:r>
            <w:r>
              <w:rPr>
                <w:rFonts w:ascii="宋体" w:hAnsi="宋体" w:cs="宋体" w:eastAsia="宋体" w:hint="default"/>
                <w:spacing w:val="-96"/>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二届一次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2010-12-10</w:t>
            </w:r>
          </w:p>
        </w:tc>
        <w:tc>
          <w:tcPr>
            <w:tcW w:w="459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《关于选举董事会专门委员会的议案</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z w:val="21"/>
                <w:szCs w:val="21"/>
              </w:rPr>
              <w:t>《关于聘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任公司总经理的议案</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关于聘任公司高级管理</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0" w:hRule="exact"/>
        </w:trPr>
        <w:tc>
          <w:tcPr>
            <w:tcW w:w="1339"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459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人员的议案》</w:t>
            </w:r>
          </w:p>
        </w:tc>
        <w:tc>
          <w:tcPr>
            <w:tcW w:w="144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1580" w:right="15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355" w:lineRule="auto"/>
        <w:ind w:left="597" w:right="186" w:hanging="460"/>
        <w:jc w:val="left"/>
      </w:pPr>
      <w:r>
        <w:rPr/>
        <w:t>（三）专业委员会运行情况</w:t>
      </w:r>
      <w:r>
        <w:rPr>
          <w:w w:val="100"/>
        </w:rPr>
        <w:t> </w:t>
      </w:r>
      <w:r>
        <w:rPr>
          <w:spacing w:val="-1"/>
        </w:rPr>
        <w:t>公司董事会下设审计委员会、薪酬与考核委员会、提名委员会、战略决策委员</w:t>
      </w:r>
    </w:p>
    <w:p>
      <w:pPr>
        <w:pStyle w:val="BodyText"/>
        <w:spacing w:line="357" w:lineRule="auto" w:before="36"/>
        <w:ind w:right="0"/>
        <w:jc w:val="left"/>
      </w:pPr>
      <w:r>
        <w:rPr/>
        <w:t>会等专门委员会。各专门委员会依据公司董事会所制定的各专门委员会工作细则规</w:t>
      </w:r>
      <w:r>
        <w:rPr>
          <w:w w:val="100"/>
        </w:rPr>
        <w:t> </w:t>
      </w:r>
      <w:r>
        <w:rPr>
          <w:spacing w:val="-4"/>
        </w:rPr>
        <w:t>定的职权范围运作，就专业性事项进行研究，提出意见及建议，供董事会决策参考。</w:t>
      </w:r>
    </w:p>
    <w:p>
      <w:pPr>
        <w:pStyle w:val="BodyText"/>
        <w:spacing w:line="348" w:lineRule="auto" w:before="34"/>
        <w:ind w:left="597" w:right="186"/>
        <w:jc w:val="left"/>
      </w:pPr>
      <w:r>
        <w:rPr/>
        <w:t>其中，审计委员会、薪酬与考核委员会的运行情况如下。</w:t>
      </w:r>
      <w:r>
        <w:rPr>
          <w:w w:val="100"/>
        </w:rPr>
        <w:t> </w:t>
      </w:r>
      <w:r>
        <w:rPr>
          <w:rFonts w:ascii="Times New Roman" w:hAnsi="Times New Roman" w:cs="Times New Roman" w:eastAsia="Times New Roman" w:hint="default"/>
        </w:rPr>
        <w:t>1</w:t>
      </w:r>
      <w:r>
        <w:rPr/>
        <w:t>．审计委员会履职情况</w:t>
      </w:r>
      <w:r>
        <w:rPr>
          <w:w w:val="100"/>
        </w:rPr>
        <w:t> </w:t>
      </w:r>
      <w:r>
        <w:rPr>
          <w:spacing w:val="-1"/>
        </w:rPr>
        <w:t>根据公司《董事会审计委员会工作细则》的相关规定，审计委员会主要负责：</w:t>
      </w:r>
    </w:p>
    <w:p>
      <w:pPr>
        <w:pStyle w:val="BodyText"/>
        <w:spacing w:line="357" w:lineRule="auto" w:before="43"/>
        <w:ind w:right="227"/>
        <w:jc w:val="both"/>
      </w:pPr>
      <w:r>
        <w:rPr>
          <w:spacing w:val="-1"/>
        </w:rPr>
        <w:t>提议聘请或更换外部审计机构；监督公司的内部审计制度及其实施；负责内部审计</w:t>
      </w:r>
      <w:r>
        <w:rPr>
          <w:spacing w:val="-93"/>
        </w:rPr>
        <w:t> </w:t>
      </w:r>
      <w:r>
        <w:rPr>
          <w:spacing w:val="-93"/>
        </w:rPr>
      </w:r>
      <w:r>
        <w:rPr>
          <w:spacing w:val="-1"/>
        </w:rPr>
        <w:t>与外部审计之间的沟通；审核公司的财务信息；审查公司内控制度，对重大关联交</w:t>
      </w:r>
      <w:r>
        <w:rPr>
          <w:spacing w:val="-93"/>
        </w:rPr>
        <w:t> </w:t>
      </w:r>
      <w:r>
        <w:rPr>
          <w:spacing w:val="-93"/>
        </w:rPr>
      </w:r>
      <w:r>
        <w:rPr>
          <w:spacing w:val="-1"/>
        </w:rPr>
        <w:t>易进行审计；公司董事会授予的其他事宜。公司审计委员会由三名董事组成，委员</w:t>
      </w:r>
      <w:r>
        <w:rPr>
          <w:spacing w:val="-93"/>
        </w:rPr>
        <w:t> </w:t>
      </w:r>
      <w:r>
        <w:rPr>
          <w:spacing w:val="-93"/>
        </w:rPr>
      </w:r>
      <w:r>
        <w:rPr>
          <w:spacing w:val="-1"/>
        </w:rPr>
        <w:t>分别为朱厚佳、单怀光、陈向军，其中朱厚佳、单怀光为独立董事，朱厚佳为审计</w:t>
      </w:r>
      <w:r>
        <w:rPr>
          <w:spacing w:val="-93"/>
        </w:rPr>
        <w:t> </w:t>
      </w:r>
      <w:r>
        <w:rPr>
          <w:spacing w:val="-93"/>
        </w:rPr>
      </w:r>
      <w:r>
        <w:rPr/>
        <w:t>委员会主任。</w:t>
      </w:r>
    </w:p>
    <w:p>
      <w:pPr>
        <w:pStyle w:val="BodyText"/>
        <w:spacing w:line="338" w:lineRule="auto" w:before="34"/>
        <w:ind w:left="597" w:right="186"/>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）本年度审计委员会召开会议情况</w:t>
      </w:r>
      <w:r>
        <w:rPr>
          <w:w w:val="100"/>
        </w:rPr>
        <w:t> </w:t>
      </w:r>
      <w:r>
        <w:rPr/>
        <w:t>报告期内，审计委员会共召开了</w:t>
      </w:r>
      <w:r>
        <w:rPr>
          <w:rFonts w:ascii="Times New Roman" w:hAnsi="Times New Roman" w:cs="Times New Roman" w:eastAsia="Times New Roman" w:hint="default"/>
        </w:rPr>
        <w:t>3</w:t>
      </w:r>
      <w:r>
        <w:rPr/>
        <w:t>次审计委员会会议，情况如下：</w:t>
      </w:r>
      <w:r>
        <w:rPr>
          <w:w w:val="100"/>
        </w:rPr>
        <w:t> </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1</w:t>
      </w:r>
      <w:r>
        <w:rPr>
          <w:spacing w:val="-7"/>
        </w:rPr>
        <w:t>月</w:t>
      </w:r>
      <w:r>
        <w:rPr>
          <w:rFonts w:ascii="Times New Roman" w:hAnsi="Times New Roman" w:cs="Times New Roman" w:eastAsia="Times New Roman" w:hint="default"/>
          <w:spacing w:val="-7"/>
        </w:rPr>
        <w:t>15</w:t>
      </w:r>
      <w:r>
        <w:rPr>
          <w:spacing w:val="-7"/>
        </w:rPr>
        <w:t>日，召开第一届审计委员会第三次会议，审议通过了公司《</w:t>
      </w:r>
      <w:r>
        <w:rPr>
          <w:rFonts w:ascii="Times New Roman" w:hAnsi="Times New Roman" w:cs="Times New Roman" w:eastAsia="Times New Roman" w:hint="default"/>
          <w:spacing w:val="-7"/>
        </w:rPr>
        <w:t>2009</w:t>
      </w:r>
    </w:p>
    <w:p>
      <w:pPr>
        <w:pStyle w:val="BodyText"/>
        <w:spacing w:line="338" w:lineRule="auto" w:before="23"/>
        <w:ind w:right="222" w:hanging="1"/>
        <w:jc w:val="both"/>
      </w:pPr>
      <w:r>
        <w:rPr>
          <w:w w:val="100"/>
        </w:rPr>
        <w:t>年度财</w:t>
      </w:r>
      <w:r>
        <w:rPr>
          <w:spacing w:val="-2"/>
          <w:w w:val="100"/>
        </w:rPr>
        <w:t>务报</w:t>
      </w:r>
      <w:r>
        <w:rPr>
          <w:w w:val="100"/>
        </w:rPr>
        <w:t>告</w:t>
      </w:r>
      <w:r>
        <w:rPr>
          <w:spacing w:val="-116"/>
          <w:w w:val="100"/>
        </w:rPr>
        <w:t>》</w:t>
      </w:r>
      <w:r>
        <w:rPr>
          <w:spacing w:val="-152"/>
          <w:w w:val="100"/>
        </w:rPr>
        <w:t>、</w:t>
      </w:r>
      <w:r>
        <w:rPr>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
          <w:w w:val="100"/>
        </w:rPr>
        <w:t>9</w:t>
      </w:r>
      <w:r>
        <w:rPr>
          <w:w w:val="100"/>
        </w:rPr>
        <w:t>年度内</w:t>
      </w:r>
      <w:r>
        <w:rPr>
          <w:spacing w:val="-2"/>
          <w:w w:val="100"/>
        </w:rPr>
        <w:t>部控</w:t>
      </w:r>
      <w:r>
        <w:rPr>
          <w:w w:val="100"/>
        </w:rPr>
        <w:t>制鉴证</w:t>
      </w:r>
      <w:r>
        <w:rPr>
          <w:spacing w:val="-2"/>
          <w:w w:val="100"/>
        </w:rPr>
        <w:t>报告</w:t>
      </w:r>
      <w:r>
        <w:rPr>
          <w:spacing w:val="-116"/>
          <w:w w:val="100"/>
        </w:rPr>
        <w:t>》</w:t>
      </w:r>
      <w:r>
        <w:rPr>
          <w:spacing w:val="-152"/>
          <w:w w:val="100"/>
        </w:rPr>
        <w:t>、</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7-2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09</w:t>
      </w:r>
      <w:r>
        <w:rPr>
          <w:w w:val="100"/>
        </w:rPr>
        <w:t>年度</w:t>
      </w:r>
      <w:r>
        <w:rPr>
          <w:spacing w:val="-2"/>
          <w:w w:val="100"/>
        </w:rPr>
        <w:t>非经</w:t>
      </w:r>
      <w:r>
        <w:rPr>
          <w:w w:val="100"/>
        </w:rPr>
        <w:t>常性损</w:t>
      </w:r>
      <w:r>
        <w:rPr>
          <w:spacing w:val="-2"/>
          <w:w w:val="100"/>
        </w:rPr>
        <w:t>益明</w:t>
      </w:r>
      <w:r>
        <w:rPr>
          <w:w w:val="100"/>
        </w:rPr>
        <w:t>细</w:t>
      </w:r>
      <w:r>
        <w:rPr>
          <w:w w:val="100"/>
        </w:rPr>
        <w:t> 表</w:t>
      </w:r>
      <w:r>
        <w:rPr>
          <w:spacing w:val="-116"/>
          <w:w w:val="100"/>
        </w:rPr>
        <w:t>》</w:t>
      </w:r>
      <w:r>
        <w:rPr>
          <w:spacing w:val="-140"/>
          <w:w w:val="100"/>
        </w:rPr>
        <w:t>、</w:t>
      </w:r>
      <w:r>
        <w:rPr>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007-2009</w:t>
      </w:r>
      <w:r>
        <w:rPr>
          <w:w w:val="100"/>
        </w:rPr>
        <w:t>年</w:t>
      </w:r>
      <w:r>
        <w:rPr>
          <w:spacing w:val="-2"/>
          <w:w w:val="100"/>
        </w:rPr>
        <w:t>度主</w:t>
      </w:r>
      <w:r>
        <w:rPr>
          <w:w w:val="100"/>
        </w:rPr>
        <w:t>要税种</w:t>
      </w:r>
      <w:r>
        <w:rPr>
          <w:spacing w:val="-2"/>
          <w:w w:val="100"/>
        </w:rPr>
        <w:t>纳税</w:t>
      </w:r>
      <w:r>
        <w:rPr>
          <w:w w:val="100"/>
        </w:rPr>
        <w:t>情况鉴</w:t>
      </w:r>
      <w:r>
        <w:rPr>
          <w:spacing w:val="-2"/>
          <w:w w:val="100"/>
        </w:rPr>
        <w:t>证报</w:t>
      </w:r>
      <w:r>
        <w:rPr>
          <w:w w:val="100"/>
        </w:rPr>
        <w:t>告</w:t>
      </w:r>
      <w:r>
        <w:rPr>
          <w:spacing w:val="-24"/>
          <w:w w:val="100"/>
        </w:rPr>
        <w:t>》</w:t>
      </w:r>
      <w:r>
        <w:rPr>
          <w:spacing w:val="-26"/>
          <w:w w:val="100"/>
        </w:rPr>
        <w:t>及</w:t>
      </w:r>
      <w:r>
        <w:rPr>
          <w:w w:val="100"/>
        </w:rPr>
        <w:t>《</w:t>
      </w:r>
      <w:r>
        <w:rPr>
          <w:spacing w:val="-2"/>
          <w:w w:val="100"/>
        </w:rPr>
        <w:t>聘</w:t>
      </w:r>
      <w:r>
        <w:rPr>
          <w:w w:val="100"/>
        </w:rPr>
        <w:t>请</w:t>
      </w:r>
      <w:r>
        <w:rPr>
          <w:rFonts w:ascii="Times New Roman" w:hAnsi="Times New Roman" w:cs="Times New Roman" w:eastAsia="Times New Roman" w:hint="default"/>
          <w:w w:val="100"/>
        </w:rPr>
        <w:t>2010</w:t>
      </w:r>
      <w:r>
        <w:rPr>
          <w:spacing w:val="-2"/>
          <w:w w:val="100"/>
        </w:rPr>
        <w:t>年度</w:t>
      </w:r>
      <w:r>
        <w:rPr>
          <w:w w:val="100"/>
        </w:rPr>
        <w:t>审计机</w:t>
      </w:r>
      <w:r>
        <w:rPr>
          <w:spacing w:val="-2"/>
          <w:w w:val="100"/>
        </w:rPr>
        <w:t>构的议</w:t>
      </w:r>
      <w:r>
        <w:rPr>
          <w:spacing w:val="-2"/>
          <w:w w:val="100"/>
        </w:rPr>
        <w:t> </w:t>
      </w:r>
      <w:r>
        <w:rPr>
          <w:w w:val="100"/>
        </w:rPr>
        <w:t>案</w:t>
      </w:r>
      <w:r>
        <w:rPr>
          <w:spacing w:val="-116"/>
          <w:w w:val="100"/>
        </w:rPr>
        <w:t>》</w:t>
      </w:r>
      <w:r>
        <w:rPr>
          <w:w w:val="100"/>
        </w:rPr>
        <w:t>。</w:t>
      </w:r>
    </w:p>
    <w:p>
      <w:pPr>
        <w:pStyle w:val="BodyText"/>
        <w:spacing w:line="350" w:lineRule="auto" w:before="52"/>
        <w:ind w:right="221" w:firstLine="459"/>
        <w:jc w:val="both"/>
      </w:pP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2010</w:t>
      </w:r>
      <w:r>
        <w:rPr>
          <w:spacing w:val="-9"/>
        </w:rPr>
        <w:t>年</w:t>
      </w:r>
      <w:r>
        <w:rPr>
          <w:rFonts w:ascii="Times New Roman" w:hAnsi="Times New Roman" w:cs="Times New Roman" w:eastAsia="Times New Roman" w:hint="default"/>
          <w:spacing w:val="-9"/>
        </w:rPr>
        <w:t>10</w:t>
      </w:r>
      <w:r>
        <w:rPr>
          <w:spacing w:val="-9"/>
        </w:rPr>
        <w:t>月</w:t>
      </w:r>
      <w:r>
        <w:rPr>
          <w:rFonts w:ascii="Times New Roman" w:hAnsi="Times New Roman" w:cs="Times New Roman" w:eastAsia="Times New Roman" w:hint="default"/>
          <w:spacing w:val="-9"/>
        </w:rPr>
        <w:t>18</w:t>
      </w:r>
      <w:r>
        <w:rPr>
          <w:spacing w:val="-9"/>
        </w:rPr>
        <w:t>日，召开第一届审计委员会第四次会议，审议通过了公司《</w:t>
      </w:r>
      <w:r>
        <w:rPr>
          <w:rFonts w:ascii="Times New Roman" w:hAnsi="Times New Roman" w:cs="Times New Roman" w:eastAsia="Times New Roman" w:hint="default"/>
          <w:spacing w:val="-9"/>
        </w:rPr>
        <w:t>2010</w:t>
      </w:r>
      <w:r>
        <w:rPr>
          <w:rFonts w:ascii="Times New Roman" w:hAnsi="Times New Roman" w:cs="Times New Roman" w:eastAsia="Times New Roman" w:hint="default"/>
          <w:w w:val="100"/>
        </w:rPr>
        <w:t> </w:t>
      </w:r>
      <w:r>
        <w:rPr>
          <w:spacing w:val="-13"/>
          <w:w w:val="100"/>
        </w:rPr>
        <w:t>年第三季度财务报告》、《募集资金的专项检查报告》、《货币资金内控的专项检查报</w:t>
      </w:r>
      <w:r>
        <w:rPr>
          <w:spacing w:val="-2"/>
          <w:w w:val="100"/>
        </w:rPr>
        <w:t> </w:t>
      </w:r>
      <w:r>
        <w:rPr>
          <w:spacing w:val="-7"/>
          <w:w w:val="100"/>
        </w:rPr>
        <w:t>告》、《防止资金占用长效机制建立和落实情况》及《规范财务会计基础工作专项活</w:t>
      </w:r>
      <w:r>
        <w:rPr>
          <w:w w:val="100"/>
        </w:rPr>
        <w:t> </w:t>
      </w:r>
      <w:r>
        <w:rPr>
          <w:spacing w:val="-15"/>
          <w:w w:val="100"/>
        </w:rPr>
        <w:t>动的自查报告》。</w:t>
      </w:r>
    </w:p>
    <w:p>
      <w:pPr>
        <w:pStyle w:val="BodyText"/>
        <w:spacing w:line="348" w:lineRule="auto" w:before="41"/>
        <w:ind w:right="221" w:firstLine="459"/>
        <w:jc w:val="both"/>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17</w:t>
      </w:r>
      <w:r>
        <w:rPr>
          <w:spacing w:val="-4"/>
        </w:rPr>
        <w:t>日，召开第一届审计委员会第五次会议，审议通过了《内部审</w:t>
      </w:r>
      <w:r>
        <w:rPr>
          <w:w w:val="100"/>
        </w:rPr>
        <w:t> </w:t>
      </w:r>
      <w:r>
        <w:rPr>
          <w:spacing w:val="-13"/>
          <w:w w:val="100"/>
        </w:rPr>
        <w:t>计制度》、《提名内部审计部负责人的议案》、《规范财务会计基础工作专项活动的整</w:t>
      </w:r>
      <w:r>
        <w:rPr>
          <w:spacing w:val="-112"/>
          <w:w w:val="100"/>
        </w:rPr>
        <w:t> </w:t>
      </w:r>
      <w:r>
        <w:rPr>
          <w:spacing w:val="-112"/>
          <w:w w:val="100"/>
        </w:rPr>
      </w:r>
      <w:r>
        <w:rPr>
          <w:spacing w:val="-7"/>
          <w:w w:val="100"/>
        </w:rPr>
        <w:t>改报告》及《</w:t>
      </w:r>
      <w:r>
        <w:rPr>
          <w:rFonts w:ascii="Times New Roman" w:hAnsi="Times New Roman" w:cs="Times New Roman" w:eastAsia="Times New Roman" w:hint="default"/>
          <w:spacing w:val="-7"/>
          <w:w w:val="100"/>
        </w:rPr>
        <w:t>2011</w:t>
      </w:r>
      <w:r>
        <w:rPr>
          <w:spacing w:val="-7"/>
          <w:w w:val="100"/>
        </w:rPr>
        <w:t>年内部审计工作计划》。</w:t>
      </w:r>
    </w:p>
    <w:p>
      <w:pPr>
        <w:pStyle w:val="BodyText"/>
        <w:spacing w:line="240" w:lineRule="auto" w:before="14"/>
        <w:ind w:left="597" w:right="186"/>
        <w:jc w:val="left"/>
      </w:pPr>
      <w:r>
        <w:rPr/>
        <w:t>（</w:t>
      </w:r>
      <w:r>
        <w:rPr>
          <w:rFonts w:ascii="Times New Roman" w:hAnsi="Times New Roman" w:cs="Times New Roman" w:eastAsia="Times New Roman" w:hint="default"/>
        </w:rPr>
        <w:t>2</w:t>
      </w:r>
      <w:r>
        <w:rPr/>
        <w:t>）对公司</w:t>
      </w:r>
      <w:r>
        <w:rPr>
          <w:rFonts w:ascii="Times New Roman" w:hAnsi="Times New Roman" w:cs="Times New Roman" w:eastAsia="Times New Roman" w:hint="default"/>
        </w:rPr>
        <w:t>2010</w:t>
      </w:r>
      <w:r>
        <w:rPr>
          <w:rFonts w:ascii="Times New Roman" w:hAnsi="Times New Roman" w:cs="Times New Roman" w:eastAsia="Times New Roman" w:hint="default"/>
          <w:spacing w:val="50"/>
        </w:rPr>
        <w:t> </w:t>
      </w:r>
      <w:r>
        <w:rPr/>
        <w:t>年度财务报告审计的工作情况</w:t>
      </w:r>
    </w:p>
    <w:p>
      <w:pPr>
        <w:pStyle w:val="BodyText"/>
        <w:spacing w:line="240" w:lineRule="auto" w:before="129"/>
        <w:ind w:left="597" w:right="186"/>
        <w:jc w:val="left"/>
      </w:pPr>
      <w:r>
        <w:rPr>
          <w:rFonts w:ascii="Times New Roman" w:hAnsi="Times New Roman" w:cs="Times New Roman" w:eastAsia="Times New Roman" w:hint="default"/>
        </w:rPr>
        <w:t>1</w:t>
      </w:r>
      <w:r>
        <w:rPr/>
        <w:t>）确定总体审计计划</w:t>
      </w:r>
    </w:p>
    <w:p>
      <w:pPr>
        <w:pStyle w:val="BodyText"/>
        <w:spacing w:line="336" w:lineRule="auto" w:before="129"/>
        <w:ind w:right="186" w:firstLine="459"/>
        <w:jc w:val="left"/>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日，审计委员会认真审阅了深圳市鹏城会计师事务所有限公司关</w:t>
      </w:r>
      <w:r>
        <w:rPr>
          <w:w w:val="100"/>
        </w:rPr>
        <w:t> </w:t>
      </w:r>
      <w:r>
        <w:rPr/>
        <w:t>于对公司</w:t>
      </w:r>
      <w:r>
        <w:rPr>
          <w:rFonts w:ascii="Times New Roman" w:hAnsi="Times New Roman" w:cs="Times New Roman" w:eastAsia="Times New Roman" w:hint="default"/>
        </w:rPr>
        <w:t>2010</w:t>
      </w:r>
      <w:r>
        <w:rPr/>
        <w:t>年度审计工作计划，与负责审计工作的注册会计师协商确定了公司</w:t>
      </w:r>
      <w:r>
        <w:rPr>
          <w:w w:val="100"/>
        </w:rPr>
        <w:t> </w:t>
      </w:r>
      <w:r>
        <w:rPr>
          <w:rFonts w:ascii="Times New Roman" w:hAnsi="Times New Roman" w:cs="Times New Roman" w:eastAsia="Times New Roman" w:hint="default"/>
        </w:rPr>
        <w:t>2010</w:t>
      </w:r>
      <w:r>
        <w:rPr/>
        <w:t>年度财务及相关专项报告审计工作的时间安排和总体审计策略。</w:t>
      </w:r>
    </w:p>
    <w:p>
      <w:pPr>
        <w:spacing w:after="0" w:line="336" w:lineRule="auto"/>
        <w:jc w:val="left"/>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38" w:lineRule="auto"/>
        <w:ind w:left="597" w:right="18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）对公司财务报告的两次审议意见</w:t>
      </w:r>
      <w:r>
        <w:rPr>
          <w:w w:val="100"/>
        </w:rPr>
        <w:t> </w:t>
      </w:r>
      <w:r>
        <w:rPr>
          <w:spacing w:val="-1"/>
        </w:rPr>
        <w:t>在会计师事务所进场前，审计委员会审阅了公司管理层编制的财务报表。</w:t>
      </w:r>
      <w:r>
        <w:rPr>
          <w:rFonts w:ascii="Times New Roman" w:hAnsi="Times New Roman" w:cs="Times New Roman" w:eastAsia="Times New Roman" w:hint="default"/>
          <w:spacing w:val="-1"/>
        </w:rPr>
        <w:t>2011</w:t>
      </w:r>
    </w:p>
    <w:p>
      <w:pPr>
        <w:pStyle w:val="BodyText"/>
        <w:spacing w:line="350" w:lineRule="auto" w:before="24"/>
        <w:ind w:right="221"/>
        <w:jc w:val="both"/>
      </w:pPr>
      <w:r>
        <w:rPr>
          <w:spacing w:val="-4"/>
          <w:w w:val="100"/>
        </w:rPr>
        <w:t>年</w:t>
      </w:r>
      <w:r>
        <w:rPr>
          <w:rFonts w:ascii="Times New Roman" w:hAnsi="Times New Roman" w:cs="Times New Roman" w:eastAsia="Times New Roman" w:hint="default"/>
          <w:spacing w:val="-4"/>
          <w:w w:val="100"/>
        </w:rPr>
        <w:t>1</w:t>
      </w:r>
      <w:r>
        <w:rPr>
          <w:spacing w:val="-4"/>
          <w:w w:val="100"/>
        </w:rPr>
        <w:t>月</w:t>
      </w:r>
      <w:r>
        <w:rPr>
          <w:rFonts w:ascii="Times New Roman" w:hAnsi="Times New Roman" w:cs="Times New Roman" w:eastAsia="Times New Roman" w:hint="default"/>
          <w:spacing w:val="-4"/>
          <w:w w:val="100"/>
        </w:rPr>
        <w:t>15</w:t>
      </w:r>
      <w:r>
        <w:rPr>
          <w:spacing w:val="-4"/>
          <w:w w:val="100"/>
        </w:rPr>
        <w:t>日审计委员会并就财务报表审阅的问题向财务部询问了相关情况，听取了财</w:t>
      </w:r>
      <w:r>
        <w:rPr>
          <w:spacing w:val="-102"/>
          <w:w w:val="100"/>
        </w:rPr>
        <w:t> </w:t>
      </w:r>
      <w:r>
        <w:rPr>
          <w:spacing w:val="-102"/>
          <w:w w:val="100"/>
        </w:rPr>
      </w:r>
      <w:r>
        <w:rPr>
          <w:spacing w:val="-1"/>
        </w:rPr>
        <w:t>务部门对公司财务情况的汇报。同时召开第二届审计委员会第一次会议，审议通过</w:t>
      </w:r>
      <w:r>
        <w:rPr>
          <w:spacing w:val="-93"/>
        </w:rPr>
        <w:t> </w:t>
      </w:r>
      <w:r>
        <w:rPr>
          <w:spacing w:val="-93"/>
        </w:rPr>
      </w:r>
      <w:r>
        <w:rPr>
          <w:spacing w:val="-1"/>
        </w:rPr>
        <w:t>了《关于深圳市银之杰科技股份有限公司董事会审计委员会对</w:t>
      </w:r>
      <w:r>
        <w:rPr>
          <w:rFonts w:ascii="Times New Roman" w:hAnsi="Times New Roman" w:cs="Times New Roman" w:eastAsia="Times New Roman" w:hint="default"/>
          <w:spacing w:val="-1"/>
        </w:rPr>
        <w:t>2010</w:t>
      </w:r>
      <w:r>
        <w:rPr>
          <w:spacing w:val="-1"/>
        </w:rPr>
        <w:t>年财务报告的意</w:t>
      </w:r>
      <w:r>
        <w:rPr>
          <w:spacing w:val="-94"/>
        </w:rPr>
        <w:t> </w:t>
      </w:r>
      <w:r>
        <w:rPr>
          <w:spacing w:val="-94"/>
        </w:rPr>
      </w:r>
      <w:r>
        <w:rPr>
          <w:spacing w:val="-7"/>
          <w:w w:val="100"/>
        </w:rPr>
        <w:t>见》，认为：公司财务报表依照公司会计政策编制、会计政策运用恰当，会计估计合</w:t>
      </w:r>
      <w:r>
        <w:rPr>
          <w:spacing w:val="-112"/>
          <w:w w:val="100"/>
        </w:rPr>
        <w:t> </w:t>
      </w:r>
      <w:r>
        <w:rPr>
          <w:spacing w:val="-112"/>
          <w:w w:val="100"/>
        </w:rPr>
      </w:r>
      <w:r>
        <w:rPr>
          <w:spacing w:val="-1"/>
        </w:rPr>
        <w:t>理，符合新企业会计准则及财政部发布的有关规定要求，审计委员会同意以此财务</w:t>
      </w:r>
      <w:r>
        <w:rPr>
          <w:spacing w:val="-93"/>
        </w:rPr>
        <w:t> </w:t>
      </w:r>
      <w:r>
        <w:rPr>
          <w:spacing w:val="-93"/>
        </w:rPr>
      </w:r>
      <w:r>
        <w:rPr>
          <w:spacing w:val="-1"/>
        </w:rPr>
        <w:t>报表提交年审注册会计师开展审计工作。随后与会计师事务所就公司财务报告进行</w:t>
      </w:r>
      <w:r>
        <w:rPr>
          <w:spacing w:val="-93"/>
        </w:rPr>
        <w:t> </w:t>
      </w:r>
      <w:r>
        <w:rPr>
          <w:spacing w:val="-93"/>
        </w:rPr>
      </w:r>
      <w:r>
        <w:rPr/>
        <w:t>了沟通，就相关情况对会计师事务所提出了审计要求。</w:t>
      </w:r>
    </w:p>
    <w:p>
      <w:pPr>
        <w:pStyle w:val="BodyText"/>
        <w:spacing w:line="336" w:lineRule="auto" w:before="41"/>
        <w:ind w:right="0" w:firstLine="459"/>
        <w:jc w:val="left"/>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24</w:t>
      </w:r>
      <w:r>
        <w:rPr>
          <w:spacing w:val="-4"/>
        </w:rPr>
        <w:t>日，会计师事务所初步完成审计工作，形成了审计意见，拟出具标</w:t>
      </w:r>
      <w:r>
        <w:rPr>
          <w:w w:val="100"/>
        </w:rPr>
        <w:t> </w:t>
      </w:r>
      <w:r>
        <w:rPr>
          <w:spacing w:val="-1"/>
        </w:rPr>
        <w:t>准无保留意见的审计报告，认为</w:t>
      </w:r>
      <w:r>
        <w:rPr>
          <w:rFonts w:ascii="Times New Roman" w:hAnsi="Times New Roman" w:cs="Times New Roman" w:eastAsia="Times New Roman" w:hint="default"/>
          <w:spacing w:val="-1"/>
        </w:rPr>
        <w:t>“</w:t>
      </w:r>
      <w:r>
        <w:rPr>
          <w:spacing w:val="-1"/>
        </w:rPr>
        <w:t>公司财务报表已经按照企业会计准则的规定编制，</w:t>
      </w:r>
      <w:r>
        <w:rPr>
          <w:spacing w:val="-91"/>
        </w:rPr>
        <w:t> </w:t>
      </w:r>
      <w:r>
        <w:rPr>
          <w:spacing w:val="-91"/>
        </w:rPr>
      </w:r>
      <w:r>
        <w:rPr/>
        <w:t>在所有重大方面公允反映了公司</w:t>
      </w:r>
      <w:r>
        <w:rPr>
          <w:rFonts w:ascii="Times New Roman" w:hAnsi="Times New Roman" w:cs="Times New Roman" w:eastAsia="Times New Roman" w:hint="default"/>
        </w:rPr>
        <w:t>2010</w:t>
      </w:r>
      <w:r>
        <w:rPr>
          <w:rFonts w:ascii="Times New Roman" w:hAnsi="Times New Roman" w:cs="Times New Roman" w:eastAsia="Times New Roman" w:hint="default"/>
          <w:spacing w:val="5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2010</w:t>
      </w:r>
      <w:r>
        <w:rPr/>
        <w:t>年度的经营</w:t>
      </w:r>
      <w:r>
        <w:rPr>
          <w:spacing w:val="-2"/>
          <w:w w:val="100"/>
        </w:rPr>
        <w:t> </w:t>
      </w:r>
      <w:r>
        <w:rPr>
          <w:spacing w:val="-4"/>
        </w:rPr>
        <w:t>成果和现金流量</w:t>
      </w:r>
      <w:r>
        <w:rPr>
          <w:rFonts w:ascii="Times New Roman" w:hAnsi="Times New Roman" w:cs="Times New Roman" w:eastAsia="Times New Roman" w:hint="default"/>
          <w:spacing w:val="-4"/>
        </w:rPr>
        <w:t>”</w:t>
      </w:r>
      <w:r>
        <w:rPr>
          <w:spacing w:val="-4"/>
        </w:rPr>
        <w:t>。审计委员会认真审阅了拟出具审计意见的财务报告，与会计师事</w:t>
      </w:r>
      <w:r>
        <w:rPr>
          <w:spacing w:val="-80"/>
        </w:rPr>
        <w:t> </w:t>
      </w:r>
      <w:r>
        <w:rPr>
          <w:spacing w:val="-80"/>
        </w:rPr>
      </w:r>
      <w:r>
        <w:rPr>
          <w:spacing w:val="-1"/>
        </w:rPr>
        <w:t>务所进行了讨论，并于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25</w:t>
      </w:r>
      <w:r>
        <w:rPr>
          <w:spacing w:val="-1"/>
        </w:rPr>
        <w:t>日召开第二届审计委员会第二次会议进行审议。</w:t>
      </w:r>
    </w:p>
    <w:p>
      <w:pPr>
        <w:pStyle w:val="BodyText"/>
        <w:spacing w:line="348" w:lineRule="auto" w:before="27"/>
        <w:ind w:right="225" w:firstLine="459"/>
        <w:jc w:val="both"/>
      </w:pPr>
      <w:r>
        <w:rPr>
          <w:spacing w:val="-1"/>
        </w:rPr>
        <w:t>审计委员会审议后认为：公司财务报表已经按照企业会计准则的规定编制，在</w:t>
      </w:r>
      <w:r>
        <w:rPr>
          <w:w w:val="100"/>
        </w:rPr>
        <w:t> </w:t>
      </w:r>
      <w:r>
        <w:rPr>
          <w:spacing w:val="-1"/>
        </w:rPr>
        <w:t>所有重大方面公允反映了公司</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日的财务状况以及</w:t>
      </w:r>
      <w:r>
        <w:rPr>
          <w:rFonts w:ascii="Times New Roman" w:hAnsi="Times New Roman" w:cs="Times New Roman" w:eastAsia="Times New Roman" w:hint="default"/>
          <w:spacing w:val="-1"/>
        </w:rPr>
        <w:t>2010</w:t>
      </w:r>
      <w:r>
        <w:rPr>
          <w:spacing w:val="-1"/>
        </w:rPr>
        <w:t>年度的经营成果</w:t>
      </w:r>
      <w:r>
        <w:rPr>
          <w:spacing w:val="-89"/>
        </w:rPr>
        <w:t> </w:t>
      </w:r>
      <w:r>
        <w:rPr>
          <w:spacing w:val="-89"/>
        </w:rPr>
      </w:r>
      <w:r>
        <w:rPr>
          <w:spacing w:val="-1"/>
        </w:rPr>
        <w:t>和现金流量，同意了会计师事务所拟发表的标准无保留审计意见的</w:t>
      </w:r>
      <w:r>
        <w:rPr>
          <w:rFonts w:ascii="Times New Roman" w:hAnsi="Times New Roman" w:cs="Times New Roman" w:eastAsia="Times New Roman" w:hint="default"/>
          <w:spacing w:val="-1"/>
        </w:rPr>
        <w:t>2010</w:t>
      </w:r>
      <w:r>
        <w:rPr>
          <w:spacing w:val="-1"/>
        </w:rPr>
        <w:t>年度财务报</w:t>
      </w:r>
      <w:r>
        <w:rPr>
          <w:spacing w:val="-93"/>
        </w:rPr>
        <w:t> </w:t>
      </w:r>
      <w:r>
        <w:rPr>
          <w:spacing w:val="-93"/>
        </w:rPr>
      </w:r>
      <w:r>
        <w:rPr>
          <w:spacing w:val="-1"/>
        </w:rPr>
        <w:t>告，并提请董事会审议。同时，会计师事务所按照计划如期完成了相关专项审核报</w:t>
      </w:r>
      <w:r>
        <w:rPr>
          <w:spacing w:val="-93"/>
        </w:rPr>
        <w:t> </w:t>
      </w:r>
      <w:r>
        <w:rPr>
          <w:spacing w:val="-93"/>
        </w:rPr>
      </w:r>
      <w:r>
        <w:rPr/>
        <w:t>告。</w:t>
      </w:r>
    </w:p>
    <w:p>
      <w:pPr>
        <w:pStyle w:val="BodyText"/>
        <w:spacing w:line="240" w:lineRule="auto" w:before="43"/>
        <w:ind w:left="597" w:right="186"/>
        <w:jc w:val="left"/>
      </w:pPr>
      <w:r>
        <w:rPr>
          <w:rFonts w:ascii="Times New Roman" w:hAnsi="Times New Roman" w:cs="Times New Roman" w:eastAsia="Times New Roman" w:hint="default"/>
        </w:rPr>
        <w:t>3</w:t>
      </w:r>
      <w:r>
        <w:rPr/>
        <w:t>）对会计师事务所审计工作的督促情况</w:t>
      </w:r>
    </w:p>
    <w:p>
      <w:pPr>
        <w:pStyle w:val="BodyText"/>
        <w:spacing w:line="240" w:lineRule="auto" w:before="129"/>
        <w:ind w:left="597" w:right="186"/>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日，审计委员会就年审关注的重点领域向会计师事务所提出要求。</w:t>
      </w:r>
    </w:p>
    <w:p>
      <w:pPr>
        <w:pStyle w:val="BodyText"/>
        <w:spacing w:line="338" w:lineRule="auto" w:before="129"/>
        <w:ind w:right="222"/>
        <w:jc w:val="both"/>
      </w:pPr>
      <w:r>
        <w:rPr>
          <w:rFonts w:ascii="Times New Roman" w:hAnsi="Times New Roman" w:cs="Times New Roman" w:eastAsia="Times New Roman" w:hint="default"/>
          <w:spacing w:val="-4"/>
          <w:w w:val="100"/>
        </w:rPr>
        <w:t>2011</w:t>
      </w:r>
      <w:r>
        <w:rPr>
          <w:spacing w:val="-4"/>
          <w:w w:val="100"/>
        </w:rPr>
        <w:t>年</w:t>
      </w:r>
      <w:r>
        <w:rPr>
          <w:rFonts w:ascii="Times New Roman" w:hAnsi="Times New Roman" w:cs="Times New Roman" w:eastAsia="Times New Roman" w:hint="default"/>
          <w:spacing w:val="-4"/>
          <w:w w:val="100"/>
        </w:rPr>
        <w:t>2</w:t>
      </w:r>
      <w:r>
        <w:rPr>
          <w:spacing w:val="-4"/>
          <w:w w:val="100"/>
        </w:rPr>
        <w:t>月</w:t>
      </w:r>
      <w:r>
        <w:rPr>
          <w:rFonts w:ascii="Times New Roman" w:hAnsi="Times New Roman" w:cs="Times New Roman" w:eastAsia="Times New Roman" w:hint="default"/>
          <w:spacing w:val="-4"/>
          <w:w w:val="100"/>
        </w:rPr>
        <w:t>20</w:t>
      </w:r>
      <w:r>
        <w:rPr>
          <w:spacing w:val="-4"/>
          <w:w w:val="100"/>
        </w:rPr>
        <w:t>日，审计委员会在审阅了拟出具初步审计意见的财务会计报表后与会计</w:t>
      </w:r>
      <w:r>
        <w:rPr>
          <w:spacing w:val="-95"/>
          <w:w w:val="100"/>
        </w:rPr>
        <w:t> </w:t>
      </w:r>
      <w:r>
        <w:rPr>
          <w:spacing w:val="-95"/>
          <w:w w:val="100"/>
        </w:rPr>
      </w:r>
      <w:r>
        <w:rPr/>
        <w:t>师事务进行审计情况沟通，并交换意见。</w:t>
      </w:r>
    </w:p>
    <w:p>
      <w:pPr>
        <w:pStyle w:val="BodyText"/>
        <w:spacing w:line="336" w:lineRule="auto" w:before="52"/>
        <w:ind w:right="186" w:firstLine="459"/>
        <w:jc w:val="left"/>
      </w:pPr>
      <w:r>
        <w:rPr>
          <w:spacing w:val="-4"/>
          <w:w w:val="100"/>
        </w:rPr>
        <w:t>（</w:t>
      </w:r>
      <w:r>
        <w:rPr>
          <w:rFonts w:ascii="Times New Roman" w:hAnsi="Times New Roman" w:cs="Times New Roman" w:eastAsia="Times New Roman" w:hint="default"/>
          <w:spacing w:val="-4"/>
          <w:w w:val="100"/>
        </w:rPr>
        <w:t>3</w:t>
      </w:r>
      <w:r>
        <w:rPr>
          <w:spacing w:val="-4"/>
          <w:w w:val="100"/>
        </w:rPr>
        <w:t>）会计师事务所从事</w:t>
      </w:r>
      <w:r>
        <w:rPr>
          <w:rFonts w:ascii="Times New Roman" w:hAnsi="Times New Roman" w:cs="Times New Roman" w:eastAsia="Times New Roman" w:hint="default"/>
          <w:spacing w:val="-4"/>
          <w:w w:val="100"/>
        </w:rPr>
        <w:t>2010</w:t>
      </w:r>
      <w:r>
        <w:rPr>
          <w:spacing w:val="-4"/>
          <w:w w:val="100"/>
        </w:rPr>
        <w:t>年公司审计工作的总结报告及下年度续聘会计师事</w:t>
      </w:r>
      <w:r>
        <w:rPr>
          <w:w w:val="100"/>
        </w:rPr>
        <w:t> </w:t>
      </w:r>
      <w:r>
        <w:rPr/>
        <w:t>务所的情况</w:t>
      </w:r>
    </w:p>
    <w:p>
      <w:pPr>
        <w:pStyle w:val="BodyText"/>
        <w:spacing w:line="338" w:lineRule="auto" w:before="54"/>
        <w:ind w:right="186" w:firstLine="459"/>
        <w:jc w:val="left"/>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25</w:t>
      </w:r>
      <w:r>
        <w:rPr>
          <w:spacing w:val="-4"/>
        </w:rPr>
        <w:t>日，第二届审计委员会第二次会议审议通过了《关于续聘会计师事</w:t>
      </w:r>
      <w:r>
        <w:rPr>
          <w:w w:val="100"/>
        </w:rPr>
        <w:t> </w:t>
      </w:r>
      <w:r>
        <w:rPr>
          <w:spacing w:val="-20"/>
          <w:w w:val="100"/>
        </w:rPr>
        <w:t>务所意见》。</w:t>
      </w:r>
    </w:p>
    <w:p>
      <w:pPr>
        <w:pStyle w:val="BodyText"/>
        <w:spacing w:line="357" w:lineRule="auto" w:before="52"/>
        <w:ind w:right="0" w:firstLine="459"/>
        <w:jc w:val="left"/>
      </w:pPr>
      <w:r>
        <w:rPr/>
        <w:t>审计委员会认为：深圳市鹏城会计师事务所有限公司具有证券审计从业资格，</w:t>
      </w:r>
      <w:r>
        <w:rPr>
          <w:w w:val="100"/>
        </w:rPr>
        <w:t> </w:t>
      </w:r>
      <w:r>
        <w:rPr>
          <w:spacing w:val="-4"/>
          <w:w w:val="100"/>
        </w:rPr>
        <w:t>签字注册会计师和项目负责人具有相应的专业胜任能力，在执业过程中坚持以独立、</w:t>
      </w:r>
      <w:r>
        <w:rPr>
          <w:spacing w:val="-105"/>
          <w:w w:val="100"/>
        </w:rPr>
        <w:t> </w:t>
      </w:r>
      <w:r>
        <w:rPr>
          <w:spacing w:val="-105"/>
          <w:w w:val="100"/>
        </w:rPr>
      </w:r>
      <w:r>
        <w:rPr/>
        <w:t>客观、公正的态度进行审计，表现了良好的的职业规范和精神，很好地履行了双方</w:t>
      </w:r>
      <w:r>
        <w:rPr>
          <w:w w:val="100"/>
        </w:rPr>
        <w:t> </w:t>
      </w:r>
      <w:r>
        <w:rPr>
          <w:spacing w:val="-4"/>
        </w:rPr>
        <w:t>签订的《业务约定书》所规定的责任与义务，按时完成了公司</w:t>
      </w:r>
      <w:r>
        <w:rPr>
          <w:rFonts w:ascii="Times New Roman" w:hAnsi="Times New Roman" w:cs="Times New Roman" w:eastAsia="Times New Roman" w:hint="default"/>
          <w:spacing w:val="-4"/>
        </w:rPr>
        <w:t>2010</w:t>
      </w:r>
      <w:r>
        <w:rPr>
          <w:spacing w:val="-4"/>
        </w:rPr>
        <w:t>年年报审计工作。</w:t>
      </w:r>
    </w:p>
    <w:p>
      <w:pPr>
        <w:spacing w:after="0" w:line="357" w:lineRule="auto"/>
        <w:jc w:val="left"/>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50" w:lineRule="auto"/>
        <w:ind w:right="186" w:firstLine="459"/>
        <w:jc w:val="left"/>
      </w:pPr>
      <w:r>
        <w:rPr>
          <w:spacing w:val="-1"/>
        </w:rPr>
        <w:t>鉴于前述情况，审计委员会认为：聘任深圳市鹏城会计师事务所有限公司作为</w:t>
      </w:r>
      <w:r>
        <w:rPr>
          <w:w w:val="100"/>
        </w:rPr>
        <w:t> </w:t>
      </w:r>
      <w:r>
        <w:rPr>
          <w:spacing w:val="-1"/>
        </w:rPr>
        <w:t>财务审计机构，能够为我公司提供高质量的审计服务。因此审计委员会提议董事会</w:t>
      </w:r>
      <w:r>
        <w:rPr>
          <w:spacing w:val="-93"/>
        </w:rPr>
        <w:t> </w:t>
      </w:r>
      <w:r>
        <w:rPr>
          <w:spacing w:val="-93"/>
        </w:rPr>
      </w:r>
      <w:r>
        <w:rPr/>
        <w:t>提请股东大会续聘深圳市鹏城会计师事务所有限公司担任我公司</w:t>
      </w:r>
      <w:r>
        <w:rPr>
          <w:rFonts w:ascii="Times New Roman" w:hAnsi="Times New Roman" w:cs="Times New Roman" w:eastAsia="Times New Roman" w:hint="default"/>
        </w:rPr>
        <w:t>2011</w:t>
      </w:r>
      <w:r>
        <w:rPr/>
        <w:t>年度审计机</w:t>
      </w:r>
      <w:r>
        <w:rPr>
          <w:w w:val="100"/>
        </w:rPr>
        <w:t> </w:t>
      </w:r>
      <w:r>
        <w:rPr/>
        <w:t>构。</w:t>
      </w:r>
    </w:p>
    <w:p>
      <w:pPr>
        <w:pStyle w:val="BodyText"/>
        <w:spacing w:line="338" w:lineRule="auto" w:before="39"/>
        <w:ind w:right="186" w:firstLine="459"/>
        <w:jc w:val="left"/>
      </w:pPr>
      <w:r>
        <w:rPr>
          <w:spacing w:val="-4"/>
        </w:rPr>
        <w:t>（</w:t>
      </w:r>
      <w:r>
        <w:rPr>
          <w:rFonts w:ascii="Times New Roman" w:hAnsi="Times New Roman" w:cs="Times New Roman" w:eastAsia="Times New Roman" w:hint="default"/>
          <w:spacing w:val="-4"/>
        </w:rPr>
        <w:t>4</w:t>
      </w:r>
      <w:r>
        <w:rPr>
          <w:spacing w:val="-4"/>
        </w:rPr>
        <w:t>）对公司内部控制的自我评价报告、公司控股股东及其他关联方占用资金情</w:t>
      </w:r>
      <w:r>
        <w:rPr>
          <w:w w:val="100"/>
        </w:rPr>
        <w:t> </w:t>
      </w:r>
      <w:r>
        <w:rPr/>
        <w:t>况报告的审议情况</w:t>
      </w:r>
    </w:p>
    <w:p>
      <w:pPr>
        <w:pStyle w:val="BodyText"/>
        <w:spacing w:line="338" w:lineRule="auto" w:before="52"/>
        <w:ind w:right="221" w:firstLine="459"/>
        <w:jc w:val="both"/>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15</w:t>
      </w:r>
      <w:r>
        <w:rPr>
          <w:spacing w:val="-4"/>
        </w:rPr>
        <w:t>日，在第二届审计委员会第一次会议审议通过了《关于公司控股股</w:t>
      </w:r>
      <w:r>
        <w:rPr>
          <w:w w:val="100"/>
        </w:rPr>
        <w:t> </w:t>
      </w:r>
      <w:r>
        <w:rPr>
          <w:spacing w:val="-4"/>
          <w:w w:val="100"/>
        </w:rPr>
        <w:t>东及其他关联方占用资金情况报告的审议意见》；</w:t>
      </w:r>
      <w:r>
        <w:rPr>
          <w:rFonts w:ascii="Times New Roman" w:hAnsi="Times New Roman" w:cs="Times New Roman" w:eastAsia="Times New Roman" w:hint="default"/>
          <w:spacing w:val="-4"/>
          <w:w w:val="100"/>
        </w:rPr>
        <w:t>2011</w:t>
      </w:r>
      <w:r>
        <w:rPr>
          <w:spacing w:val="-4"/>
          <w:w w:val="100"/>
        </w:rPr>
        <w:t>年</w:t>
      </w:r>
      <w:r>
        <w:rPr>
          <w:rFonts w:ascii="Times New Roman" w:hAnsi="Times New Roman" w:cs="Times New Roman" w:eastAsia="Times New Roman" w:hint="default"/>
          <w:spacing w:val="-4"/>
          <w:w w:val="100"/>
        </w:rPr>
        <w:t>2</w:t>
      </w:r>
      <w:r>
        <w:rPr>
          <w:spacing w:val="-4"/>
          <w:w w:val="100"/>
        </w:rPr>
        <w:t>月</w:t>
      </w:r>
      <w:r>
        <w:rPr>
          <w:rFonts w:ascii="Times New Roman" w:hAnsi="Times New Roman" w:cs="Times New Roman" w:eastAsia="Times New Roman" w:hint="default"/>
          <w:spacing w:val="-4"/>
          <w:w w:val="100"/>
        </w:rPr>
        <w:t>28</w:t>
      </w:r>
      <w:r>
        <w:rPr>
          <w:spacing w:val="-4"/>
          <w:w w:val="100"/>
        </w:rPr>
        <w:t>日，在第二届审计委</w:t>
      </w:r>
      <w:r>
        <w:rPr>
          <w:spacing w:val="-111"/>
          <w:w w:val="100"/>
        </w:rPr>
        <w:t> </w:t>
      </w:r>
      <w:r>
        <w:rPr>
          <w:spacing w:val="-111"/>
          <w:w w:val="100"/>
        </w:rPr>
      </w:r>
      <w:r>
        <w:rPr>
          <w:spacing w:val="-5"/>
          <w:w w:val="100"/>
        </w:rPr>
        <w:t>员会第二次会议审议通过了《关于内部控制的自我评价报告的审议意见》。</w:t>
      </w:r>
    </w:p>
    <w:p>
      <w:pPr>
        <w:pStyle w:val="BodyText"/>
        <w:spacing w:line="338" w:lineRule="auto" w:before="52"/>
        <w:ind w:right="186" w:firstLine="459"/>
        <w:jc w:val="left"/>
      </w:pPr>
      <w:r>
        <w:rPr>
          <w:spacing w:val="-1"/>
        </w:rPr>
        <w:t>审计委员会认为：</w:t>
      </w:r>
      <w:r>
        <w:rPr>
          <w:rFonts w:ascii="Times New Roman" w:hAnsi="Times New Roman" w:cs="Times New Roman" w:eastAsia="Times New Roman" w:hint="default"/>
          <w:spacing w:val="-1"/>
        </w:rPr>
        <w:t>2010</w:t>
      </w:r>
      <w:r>
        <w:rPr>
          <w:spacing w:val="-1"/>
        </w:rPr>
        <w:t>年度控股股东及其他关联方占用资金情况报告符合公司</w:t>
      </w:r>
      <w:r>
        <w:rPr>
          <w:w w:val="100"/>
        </w:rPr>
        <w:t> </w:t>
      </w:r>
      <w:r>
        <w:rPr/>
        <w:t>的实际情况。</w:t>
      </w:r>
    </w:p>
    <w:p>
      <w:pPr>
        <w:pStyle w:val="BodyText"/>
        <w:spacing w:line="338" w:lineRule="auto" w:before="51"/>
        <w:ind w:right="186" w:firstLine="459"/>
        <w:jc w:val="left"/>
      </w:pPr>
      <w:r>
        <w:rPr>
          <w:spacing w:val="-4"/>
        </w:rPr>
        <w:t>审计委员会认为：公司内部控制的自我评价报告的意见：</w:t>
      </w:r>
      <w:r>
        <w:rPr>
          <w:rFonts w:ascii="Times New Roman" w:hAnsi="Times New Roman" w:cs="Times New Roman" w:eastAsia="Times New Roman" w:hint="default"/>
          <w:spacing w:val="-4"/>
        </w:rPr>
        <w:t>“</w:t>
      </w:r>
      <w:r>
        <w:rPr>
          <w:spacing w:val="-4"/>
        </w:rPr>
        <w:t>公司不存在内部控制</w:t>
      </w:r>
      <w:r>
        <w:rPr>
          <w:w w:val="100"/>
        </w:rPr>
        <w:t> </w:t>
      </w:r>
      <w:r>
        <w:rPr/>
        <w:t>设计或执行方面的重大缺陷。</w:t>
      </w:r>
      <w:r>
        <w:rPr>
          <w:rFonts w:ascii="Times New Roman" w:hAnsi="Times New Roman" w:cs="Times New Roman" w:eastAsia="Times New Roman" w:hint="default"/>
        </w:rPr>
        <w:t>”</w:t>
      </w:r>
      <w:r>
        <w:rPr/>
        <w:t>符合公司内部控制设计及执行情况。</w:t>
      </w:r>
    </w:p>
    <w:p>
      <w:pPr>
        <w:pStyle w:val="BodyText"/>
        <w:spacing w:line="338" w:lineRule="auto" w:before="24"/>
        <w:ind w:left="597" w:right="0"/>
        <w:jc w:val="left"/>
      </w:pPr>
      <w:r>
        <w:rPr>
          <w:rFonts w:ascii="Times New Roman" w:hAnsi="Times New Roman" w:cs="Times New Roman" w:eastAsia="Times New Roman" w:hint="default"/>
        </w:rPr>
        <w:t>2</w:t>
      </w:r>
      <w:r>
        <w:rPr/>
        <w:t>．薪酬与考核委员会履职情况</w:t>
      </w:r>
      <w:r>
        <w:rPr>
          <w:w w:val="100"/>
        </w:rPr>
        <w:t> </w:t>
      </w:r>
      <w:r>
        <w:rPr>
          <w:spacing w:val="-4"/>
        </w:rPr>
        <w:t>公司薪酬与考核委员会由三名董事组成，委员分别为宋靖雁、朱厚佳、张学君，</w:t>
      </w:r>
    </w:p>
    <w:p>
      <w:pPr>
        <w:pStyle w:val="BodyText"/>
        <w:spacing w:line="357" w:lineRule="auto" w:before="52"/>
        <w:ind w:left="597" w:right="186" w:hanging="460"/>
        <w:jc w:val="left"/>
      </w:pPr>
      <w:r>
        <w:rPr/>
        <w:t>其中宋靖雁为薪酬与考核委员会主任。</w:t>
      </w:r>
      <w:r>
        <w:rPr>
          <w:w w:val="100"/>
        </w:rPr>
        <w:t> </w:t>
      </w:r>
      <w:r>
        <w:rPr>
          <w:spacing w:val="-1"/>
        </w:rPr>
        <w:t>公司董事会薪酬与考核委员会对公司</w:t>
      </w:r>
      <w:r>
        <w:rPr>
          <w:rFonts w:ascii="Times New Roman" w:hAnsi="Times New Roman" w:cs="Times New Roman" w:eastAsia="Times New Roman" w:hint="default"/>
          <w:spacing w:val="-1"/>
        </w:rPr>
        <w:t>2010</w:t>
      </w:r>
      <w:r>
        <w:rPr>
          <w:spacing w:val="-1"/>
        </w:rPr>
        <w:t>年度董事、监事、高级管理人员的薪</w:t>
      </w:r>
    </w:p>
    <w:p>
      <w:pPr>
        <w:pStyle w:val="BodyText"/>
        <w:spacing w:line="338" w:lineRule="auto" w:before="3"/>
        <w:ind w:right="186"/>
        <w:jc w:val="left"/>
      </w:pPr>
      <w:r>
        <w:rPr>
          <w:spacing w:val="-1"/>
        </w:rPr>
        <w:t>酬情况进行审核，认为：公司董事、监事、高级管理人员</w:t>
      </w:r>
      <w:r>
        <w:rPr>
          <w:rFonts w:ascii="Times New Roman" w:hAnsi="Times New Roman" w:cs="Times New Roman" w:eastAsia="Times New Roman" w:hint="default"/>
          <w:spacing w:val="-1"/>
        </w:rPr>
        <w:t>2010</w:t>
      </w:r>
      <w:r>
        <w:rPr>
          <w:spacing w:val="-1"/>
        </w:rPr>
        <w:t>年度薪酬符合公司股</w:t>
      </w:r>
      <w:r>
        <w:rPr>
          <w:spacing w:val="-93"/>
        </w:rPr>
        <w:t> </w:t>
      </w:r>
      <w:r>
        <w:rPr>
          <w:spacing w:val="-93"/>
        </w:rPr>
      </w:r>
      <w:r>
        <w:rPr/>
        <w:t>东大会、董事会制定的相关制度和方案，符合公司的经营业绩和个人绩效。</w:t>
      </w:r>
    </w:p>
    <w:p>
      <w:pPr>
        <w:pStyle w:val="BodyText"/>
        <w:spacing w:line="240" w:lineRule="auto" w:before="52"/>
        <w:ind w:left="597" w:right="186"/>
        <w:jc w:val="left"/>
      </w:pPr>
      <w:r>
        <w:rPr/>
        <w:t>报告期内，公司未实施股权激励计划。</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8"/>
          <w:szCs w:val="28"/>
        </w:rPr>
      </w:pPr>
    </w:p>
    <w:p>
      <w:pPr>
        <w:pStyle w:val="BodyText"/>
        <w:spacing w:line="451" w:lineRule="auto" w:before="0"/>
        <w:ind w:left="597" w:right="186" w:hanging="460"/>
        <w:jc w:val="left"/>
      </w:pPr>
      <w:r>
        <w:rPr>
          <w:rFonts w:ascii="宋体" w:hAnsi="宋体" w:cs="宋体" w:eastAsia="宋体" w:hint="default"/>
          <w:b/>
          <w:bCs/>
        </w:rPr>
        <w:t>五、公司独立性</w:t>
      </w:r>
      <w:r>
        <w:rPr>
          <w:rFonts w:ascii="宋体" w:hAnsi="宋体" w:cs="宋体" w:eastAsia="宋体" w:hint="default"/>
          <w:b/>
          <w:bCs/>
          <w:w w:val="99"/>
        </w:rPr>
        <w:t> </w:t>
      </w:r>
      <w:r>
        <w:rPr>
          <w:spacing w:val="-8"/>
          <w:w w:val="100"/>
        </w:rPr>
        <w:t>报告期内，公司严格按照《公司法》、《证券法》等有关法律、法规和《公司章</w:t>
      </w:r>
    </w:p>
    <w:p>
      <w:pPr>
        <w:pStyle w:val="BodyText"/>
        <w:spacing w:line="245" w:lineRule="exact" w:before="0"/>
        <w:ind w:right="0"/>
        <w:jc w:val="left"/>
      </w:pPr>
      <w:r>
        <w:rPr>
          <w:spacing w:val="-4"/>
        </w:rPr>
        <w:t>程》的要求规范运作，具有独立、完整的资产和业务及面向市场、自主经营的能力。</w:t>
      </w:r>
    </w:p>
    <w:p>
      <w:pPr>
        <w:pStyle w:val="BodyText"/>
        <w:spacing w:line="338" w:lineRule="auto" w:before="146"/>
        <w:ind w:left="597" w:right="186"/>
        <w:jc w:val="left"/>
      </w:pPr>
      <w:r>
        <w:rPr>
          <w:rFonts w:ascii="Times New Roman" w:hAnsi="Times New Roman" w:cs="Times New Roman" w:eastAsia="Times New Roman" w:hint="default"/>
        </w:rPr>
        <w:t>1</w:t>
      </w:r>
      <w:r>
        <w:rPr/>
        <w:t>．业务独立</w:t>
      </w:r>
      <w:r>
        <w:rPr>
          <w:spacing w:val="-2"/>
          <w:w w:val="100"/>
        </w:rPr>
        <w:t> </w:t>
      </w:r>
      <w:r>
        <w:rPr>
          <w:spacing w:val="-1"/>
        </w:rPr>
        <w:t>公司拥有完整独立的研发、运营、采购和销售系统，具有独立完整的业务体系</w:t>
      </w:r>
    </w:p>
    <w:p>
      <w:pPr>
        <w:pStyle w:val="BodyText"/>
        <w:spacing w:line="357" w:lineRule="auto" w:before="52"/>
        <w:ind w:right="186"/>
        <w:jc w:val="left"/>
      </w:pPr>
      <w:r>
        <w:rPr>
          <w:spacing w:val="-1"/>
        </w:rPr>
        <w:t>及面向市场独立经营的能力，不依赖于股东或其它任何关联方，也不存在与控股股</w:t>
      </w:r>
      <w:r>
        <w:rPr>
          <w:spacing w:val="-93"/>
        </w:rPr>
        <w:t> </w:t>
      </w:r>
      <w:r>
        <w:rPr>
          <w:spacing w:val="-93"/>
        </w:rPr>
      </w:r>
      <w:r>
        <w:rPr/>
        <w:t>东、实际控制人之间的同业竞争。</w:t>
      </w:r>
    </w:p>
    <w:p>
      <w:pPr>
        <w:pStyle w:val="BodyText"/>
        <w:spacing w:line="336" w:lineRule="auto" w:before="34"/>
        <w:ind w:left="597" w:right="0"/>
        <w:jc w:val="left"/>
      </w:pPr>
      <w:r>
        <w:rPr>
          <w:rFonts w:ascii="Times New Roman" w:hAnsi="Times New Roman" w:cs="Times New Roman" w:eastAsia="Times New Roman" w:hint="default"/>
        </w:rPr>
        <w:t>2</w:t>
      </w:r>
      <w:r>
        <w:rPr/>
        <w:t>．人员独立</w:t>
      </w:r>
      <w:r>
        <w:rPr>
          <w:spacing w:val="-2"/>
          <w:w w:val="100"/>
        </w:rPr>
        <w:t> </w:t>
      </w:r>
      <w:r>
        <w:rPr>
          <w:spacing w:val="-4"/>
        </w:rPr>
        <w:t>公司人员、劳动、人事及工资完全独立。公司总经理、副总经理、董事会秘书、</w:t>
      </w:r>
    </w:p>
    <w:p>
      <w:pPr>
        <w:pStyle w:val="BodyText"/>
        <w:spacing w:line="240" w:lineRule="auto" w:before="54"/>
        <w:ind w:right="186"/>
        <w:jc w:val="left"/>
      </w:pPr>
      <w:r>
        <w:rPr/>
        <w:t>财务负责人等高级管理人员均在公司工作并领取薪酬，没有在控股股东及其下属企</w:t>
      </w:r>
    </w:p>
    <w:p>
      <w:pPr>
        <w:spacing w:after="0" w:line="240" w:lineRule="auto"/>
        <w:jc w:val="left"/>
        <w:sectPr>
          <w:footerReference w:type="default" r:id="rId20"/>
          <w:pgSz w:w="11910" w:h="16840"/>
          <w:pgMar w:footer="982" w:header="877" w:top="1100" w:bottom="1180" w:left="1660" w:right="1600"/>
          <w:pgNumType w:start="50"/>
        </w:sectPr>
      </w:pPr>
    </w:p>
    <w:p>
      <w:pPr>
        <w:spacing w:line="240" w:lineRule="auto" w:before="4"/>
        <w:rPr>
          <w:rFonts w:ascii="宋体" w:hAnsi="宋体" w:cs="宋体" w:eastAsia="宋体" w:hint="default"/>
          <w:sz w:val="19"/>
          <w:szCs w:val="19"/>
        </w:rPr>
      </w:pPr>
    </w:p>
    <w:p>
      <w:pPr>
        <w:pStyle w:val="BodyText"/>
        <w:spacing w:line="357" w:lineRule="auto"/>
        <w:ind w:right="186"/>
        <w:jc w:val="left"/>
      </w:pPr>
      <w:r>
        <w:rPr>
          <w:spacing w:val="-1"/>
        </w:rPr>
        <w:t>业担任除董事、监事以外的任何职务和领取报酬的情况；公司财务人员没有在控股</w:t>
      </w:r>
      <w:r>
        <w:rPr>
          <w:spacing w:val="-93"/>
        </w:rPr>
        <w:t> </w:t>
      </w:r>
      <w:r>
        <w:rPr>
          <w:spacing w:val="-93"/>
        </w:rPr>
      </w:r>
      <w:r>
        <w:rPr/>
        <w:t>股东及其下属企业兼职。</w:t>
      </w:r>
    </w:p>
    <w:p>
      <w:pPr>
        <w:pStyle w:val="BodyText"/>
        <w:spacing w:line="338" w:lineRule="auto" w:before="34"/>
        <w:ind w:left="597" w:right="186"/>
        <w:jc w:val="left"/>
      </w:pPr>
      <w:r>
        <w:rPr>
          <w:rFonts w:ascii="Times New Roman" w:hAnsi="Times New Roman" w:cs="Times New Roman" w:eastAsia="Times New Roman" w:hint="default"/>
        </w:rPr>
        <w:t>3</w:t>
      </w:r>
      <w:r>
        <w:rPr/>
        <w:t>．资产完整</w:t>
      </w:r>
      <w:r>
        <w:rPr>
          <w:spacing w:val="-2"/>
          <w:w w:val="100"/>
        </w:rPr>
        <w:t> </w:t>
      </w:r>
      <w:r>
        <w:rPr>
          <w:spacing w:val="-1"/>
        </w:rPr>
        <w:t>公司资产完整，与控股股东产权关系界定清晰，拥有独立的经营系统和配套设</w:t>
      </w:r>
    </w:p>
    <w:p>
      <w:pPr>
        <w:pStyle w:val="BodyText"/>
        <w:spacing w:line="357" w:lineRule="auto" w:before="51"/>
        <w:ind w:right="186"/>
        <w:jc w:val="left"/>
      </w:pPr>
      <w:r>
        <w:rPr>
          <w:spacing w:val="-7"/>
          <w:w w:val="100"/>
        </w:rPr>
        <w:t>施以及商标（商标申请权）、专利、专有技术、计算机软件著作权等资产。公司没有</w:t>
      </w:r>
      <w:r>
        <w:rPr>
          <w:spacing w:val="-106"/>
          <w:w w:val="100"/>
        </w:rPr>
        <w:t> </w:t>
      </w:r>
      <w:r>
        <w:rPr>
          <w:spacing w:val="-106"/>
          <w:w w:val="100"/>
        </w:rPr>
      </w:r>
      <w:r>
        <w:rPr/>
        <w:t>以公司资产为股东或个人债务以及其他法人或自然人提供任何形式的担保。</w:t>
      </w:r>
    </w:p>
    <w:p>
      <w:pPr>
        <w:pStyle w:val="BodyText"/>
        <w:spacing w:line="338" w:lineRule="auto" w:before="34"/>
        <w:ind w:left="597" w:right="186"/>
        <w:jc w:val="left"/>
      </w:pPr>
      <w:r>
        <w:rPr>
          <w:rFonts w:ascii="Times New Roman" w:hAnsi="Times New Roman" w:cs="Times New Roman" w:eastAsia="Times New Roman" w:hint="default"/>
        </w:rPr>
        <w:t>4</w:t>
      </w:r>
      <w:r>
        <w:rPr/>
        <w:t>．机构独立</w:t>
      </w:r>
      <w:r>
        <w:rPr>
          <w:spacing w:val="-2"/>
          <w:w w:val="100"/>
        </w:rPr>
        <w:t> </w:t>
      </w:r>
      <w:r>
        <w:rPr>
          <w:spacing w:val="-1"/>
        </w:rPr>
        <w:t>本公司具有独立健全的法人治理结构，董事会、监事会等内部机构独立运作，</w:t>
      </w:r>
    </w:p>
    <w:p>
      <w:pPr>
        <w:pStyle w:val="BodyText"/>
        <w:spacing w:line="357" w:lineRule="auto" w:before="52"/>
        <w:ind w:right="0"/>
        <w:jc w:val="left"/>
      </w:pPr>
      <w:r>
        <w:rPr/>
        <w:t>不存在与控股股东及其职能部门之间的从属关系。各部门独立履行其职责，负责公</w:t>
      </w:r>
      <w:r>
        <w:rPr>
          <w:w w:val="100"/>
        </w:rPr>
        <w:t> </w:t>
      </w:r>
      <w:r>
        <w:rPr>
          <w:spacing w:val="-4"/>
        </w:rPr>
        <w:t>司的生产经营活动，其履行职能不受控股股东、其他有关部门或单位、个人的干预。</w:t>
      </w:r>
    </w:p>
    <w:p>
      <w:pPr>
        <w:pStyle w:val="BodyText"/>
        <w:spacing w:line="336" w:lineRule="auto" w:before="34"/>
        <w:ind w:left="597" w:right="186"/>
        <w:jc w:val="left"/>
      </w:pPr>
      <w:r>
        <w:rPr>
          <w:rFonts w:ascii="Times New Roman" w:hAnsi="Times New Roman" w:cs="Times New Roman" w:eastAsia="Times New Roman" w:hint="default"/>
        </w:rPr>
        <w:t>5</w:t>
      </w:r>
      <w:r>
        <w:rPr/>
        <w:t>．财务独立</w:t>
      </w:r>
      <w:r>
        <w:rPr>
          <w:spacing w:val="-2"/>
          <w:w w:val="100"/>
        </w:rPr>
        <w:t> </w:t>
      </w:r>
      <w:r>
        <w:rPr>
          <w:spacing w:val="-1"/>
        </w:rPr>
        <w:t>本公司设有独立的财务部门、财务负责人和财务会计工作人员，建立了独立的</w:t>
      </w:r>
    </w:p>
    <w:p>
      <w:pPr>
        <w:pStyle w:val="BodyText"/>
        <w:spacing w:line="357" w:lineRule="auto" w:before="54"/>
        <w:ind w:right="0"/>
        <w:jc w:val="left"/>
      </w:pPr>
      <w:r>
        <w:rPr/>
        <w:t>财务规章制度和财务核算体系，独立进行财务决策。公司开设了独立的银行账户，</w:t>
      </w:r>
      <w:r>
        <w:rPr>
          <w:w w:val="100"/>
        </w:rPr>
        <w:t> </w:t>
      </w:r>
      <w:r>
        <w:rPr>
          <w:spacing w:val="-4"/>
        </w:rPr>
        <w:t>依法独立纳税，不存在与股东单位及其关联方共用银行账户的情况，也不存在资金、</w:t>
      </w:r>
      <w:r>
        <w:rPr>
          <w:spacing w:val="-91"/>
        </w:rPr>
        <w:t> </w:t>
      </w:r>
      <w:r>
        <w:rPr>
          <w:spacing w:val="-91"/>
        </w:rPr>
      </w:r>
      <w:r>
        <w:rPr/>
        <w:t>资产被股东单位及其关联方非法占用的情况。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pStyle w:val="Heading5"/>
        <w:spacing w:line="240" w:lineRule="auto"/>
        <w:ind w:left="137" w:right="186"/>
        <w:jc w:val="left"/>
        <w:rPr>
          <w:b w:val="0"/>
          <w:bCs w:val="0"/>
        </w:rPr>
      </w:pPr>
      <w:r>
        <w:rPr/>
        <w:t>六、公司内部控制制度的建立健全情况</w:t>
      </w:r>
      <w:r>
        <w:rPr>
          <w:b w:val="0"/>
          <w:bCs w:val="0"/>
        </w:rPr>
      </w:r>
    </w:p>
    <w:p>
      <w:pPr>
        <w:spacing w:line="240" w:lineRule="auto" w:before="5"/>
        <w:rPr>
          <w:rFonts w:ascii="宋体" w:hAnsi="宋体" w:cs="宋体" w:eastAsia="宋体" w:hint="default"/>
          <w:b/>
          <w:bCs/>
          <w:sz w:val="20"/>
          <w:szCs w:val="20"/>
        </w:rPr>
      </w:pPr>
    </w:p>
    <w:p>
      <w:pPr>
        <w:pStyle w:val="BodyText"/>
        <w:spacing w:line="357" w:lineRule="auto" w:before="0"/>
        <w:ind w:left="597" w:right="186" w:hanging="460"/>
        <w:jc w:val="left"/>
      </w:pPr>
      <w:r>
        <w:rPr/>
        <w:t>（一）内部控制制度的建立和健全情况</w:t>
      </w:r>
      <w:r>
        <w:rPr>
          <w:w w:val="100"/>
        </w:rPr>
        <w:t> </w:t>
      </w:r>
      <w:r>
        <w:rPr>
          <w:spacing w:val="-20"/>
          <w:w w:val="100"/>
        </w:rPr>
        <w:t>公司已建立了《内部审计制度》、《关联交易决策制度》、《信息披露制度》、《募</w:t>
      </w:r>
    </w:p>
    <w:p>
      <w:pPr>
        <w:pStyle w:val="BodyText"/>
        <w:spacing w:line="357" w:lineRule="auto" w:before="34"/>
        <w:ind w:right="0" w:hanging="1"/>
        <w:jc w:val="left"/>
      </w:pPr>
      <w:r>
        <w:rPr>
          <w:spacing w:val="-19"/>
          <w:w w:val="100"/>
        </w:rPr>
        <w:t>集资金管理制度》、《重大信息内部报告制度》、《内幕信息知情人登记制度》、《年报</w:t>
      </w:r>
      <w:r>
        <w:rPr>
          <w:spacing w:val="-100"/>
          <w:w w:val="100"/>
        </w:rPr>
        <w:t> </w:t>
      </w:r>
      <w:r>
        <w:rPr>
          <w:spacing w:val="-100"/>
          <w:w w:val="100"/>
        </w:rPr>
      </w:r>
      <w:r>
        <w:rPr/>
        <w:t>信息披露重大差错责任追究制度》等重要的内部控制制度，并严格遵照执行。公司</w:t>
      </w:r>
      <w:r>
        <w:rPr>
          <w:w w:val="100"/>
        </w:rPr>
        <w:t> </w:t>
      </w:r>
      <w:r>
        <w:rPr>
          <w:spacing w:val="-4"/>
        </w:rPr>
        <w:t>以谨慎性和安全性为原则，慎重决策对外投资和对外担保事项，以防范潜在的风险，</w:t>
      </w:r>
      <w:r>
        <w:rPr>
          <w:spacing w:val="-92"/>
        </w:rPr>
        <w:t> </w:t>
      </w:r>
      <w:r>
        <w:rPr>
          <w:spacing w:val="-92"/>
        </w:rPr>
      </w:r>
      <w:r>
        <w:rPr/>
        <w:t>避免和减少可能发生的损失；明确规定了公司信息披露义务人、信息披露内容等事</w:t>
      </w:r>
      <w:r>
        <w:rPr>
          <w:w w:val="100"/>
        </w:rPr>
        <w:t> </w:t>
      </w:r>
      <w:r>
        <w:rPr/>
        <w:t>项，以及重大内部信息知情人的保密义务。</w:t>
      </w:r>
    </w:p>
    <w:p>
      <w:pPr>
        <w:pStyle w:val="BodyText"/>
        <w:spacing w:line="357" w:lineRule="auto" w:before="34"/>
        <w:ind w:left="597" w:right="186" w:hanging="460"/>
        <w:jc w:val="left"/>
      </w:pPr>
      <w:r>
        <w:rPr/>
        <w:t>（二）内部控制的工作计划及其实施情况</w:t>
      </w:r>
      <w:r>
        <w:rPr>
          <w:w w:val="100"/>
        </w:rPr>
        <w:t> </w:t>
      </w:r>
      <w:r>
        <w:rPr>
          <w:spacing w:val="-1"/>
        </w:rPr>
        <w:t>报告期内，公司根据企业实际情况、有关法律法规以及《深圳证券交易所创业</w:t>
      </w:r>
    </w:p>
    <w:p>
      <w:pPr>
        <w:pStyle w:val="BodyText"/>
        <w:spacing w:line="357" w:lineRule="auto" w:before="34"/>
        <w:ind w:right="0"/>
        <w:jc w:val="left"/>
      </w:pPr>
      <w:r>
        <w:rPr>
          <w:spacing w:val="-4"/>
          <w:w w:val="100"/>
        </w:rPr>
        <w:t>板上市公司规范运作指引》，不断修订和完善公司主要内部控制制度，涵盖了研发、</w:t>
      </w:r>
      <w:r>
        <w:rPr>
          <w:spacing w:val="-111"/>
          <w:w w:val="100"/>
        </w:rPr>
        <w:t> </w:t>
      </w:r>
      <w:r>
        <w:rPr>
          <w:spacing w:val="-111"/>
          <w:w w:val="100"/>
        </w:rPr>
      </w:r>
      <w:r>
        <w:rPr>
          <w:spacing w:val="-7"/>
        </w:rPr>
        <w:t>销售、财务、采购、信息安全、人力资源等各环节。报告期内，公司审议修订了《内</w:t>
      </w:r>
      <w:r>
        <w:rPr>
          <w:spacing w:val="-96"/>
        </w:rPr>
        <w:t> </w:t>
      </w:r>
      <w:r>
        <w:rPr>
          <w:spacing w:val="-96"/>
        </w:rPr>
      </w:r>
      <w:r>
        <w:rPr>
          <w:spacing w:val="-4"/>
          <w:w w:val="100"/>
        </w:rPr>
        <w:t>部审计制度》，新聘任了专职内部审计负责人，独立开展内部审计工作。报告期内，</w:t>
      </w:r>
      <w:r>
        <w:rPr>
          <w:spacing w:val="-111"/>
          <w:w w:val="100"/>
        </w:rPr>
        <w:t> </w:t>
      </w:r>
      <w:r>
        <w:rPr>
          <w:spacing w:val="-111"/>
          <w:w w:val="100"/>
        </w:rPr>
      </w:r>
      <w:r>
        <w:rPr/>
        <w:t>公司各项制度基本得到有效实施。</w:t>
      </w:r>
    </w:p>
    <w:p>
      <w:pPr>
        <w:pStyle w:val="BodyText"/>
        <w:spacing w:line="240" w:lineRule="auto" w:before="34"/>
        <w:ind w:right="186"/>
        <w:jc w:val="left"/>
      </w:pPr>
      <w:r>
        <w:rPr/>
        <w:t>（三）内部控制检查监督部门的设置情况</w:t>
      </w:r>
    </w:p>
    <w:p>
      <w:pPr>
        <w:spacing w:after="0" w:line="240" w:lineRule="auto"/>
        <w:jc w:val="left"/>
        <w:sectPr>
          <w:footerReference w:type="default" r:id="rId21"/>
          <w:pgSz w:w="11910" w:h="16840"/>
          <w:pgMar w:footer="982" w:header="877" w:top="1100" w:bottom="1180" w:left="1660" w:right="1600"/>
          <w:pgNumType w:start="51"/>
        </w:sectPr>
      </w:pPr>
    </w:p>
    <w:p>
      <w:pPr>
        <w:spacing w:line="240" w:lineRule="auto" w:before="4"/>
        <w:rPr>
          <w:rFonts w:ascii="宋体" w:hAnsi="宋体" w:cs="宋体" w:eastAsia="宋体" w:hint="default"/>
          <w:sz w:val="19"/>
          <w:szCs w:val="19"/>
        </w:rPr>
      </w:pPr>
    </w:p>
    <w:p>
      <w:pPr>
        <w:pStyle w:val="BodyText"/>
        <w:spacing w:line="357" w:lineRule="auto"/>
        <w:ind w:right="185" w:firstLine="459"/>
        <w:jc w:val="both"/>
      </w:pPr>
      <w:r>
        <w:rPr>
          <w:spacing w:val="-1"/>
        </w:rPr>
        <w:t>公司成立了董事会下辖的审计委员会，审计委员会由三名董事组成，其中独立</w:t>
      </w:r>
      <w:r>
        <w:rPr>
          <w:w w:val="100"/>
        </w:rPr>
        <w:t> </w:t>
      </w:r>
      <w:r>
        <w:rPr>
          <w:spacing w:val="-1"/>
        </w:rPr>
        <w:t>董事两名，召集人由独立董事担任。公司设立了独立于财务部直接对审计委员会负</w:t>
      </w:r>
      <w:r>
        <w:rPr>
          <w:spacing w:val="-93"/>
        </w:rPr>
        <w:t> </w:t>
      </w:r>
      <w:r>
        <w:rPr>
          <w:spacing w:val="-93"/>
        </w:rPr>
      </w:r>
      <w:r>
        <w:rPr/>
        <w:t>责的内部审计部，配置专职内部审计人员。</w:t>
      </w:r>
    </w:p>
    <w:p>
      <w:pPr>
        <w:pStyle w:val="BodyText"/>
        <w:spacing w:line="240" w:lineRule="auto" w:before="34"/>
        <w:ind w:right="0"/>
        <w:jc w:val="both"/>
      </w:pPr>
      <w:r>
        <w:rPr/>
        <w:t>（四）董事会对内部控制有关工作的安排</w:t>
      </w:r>
    </w:p>
    <w:p>
      <w:pPr>
        <w:pStyle w:val="BodyText"/>
        <w:spacing w:line="348" w:lineRule="auto" w:before="145"/>
        <w:ind w:right="187" w:firstLine="459"/>
        <w:jc w:val="both"/>
      </w:pPr>
      <w:r>
        <w:rPr>
          <w:rFonts w:ascii="Times New Roman" w:hAnsi="Times New Roman" w:cs="Times New Roman" w:eastAsia="Times New Roman" w:hint="default"/>
          <w:spacing w:val="-1"/>
        </w:rPr>
        <w:t>2011</w:t>
      </w:r>
      <w:r>
        <w:rPr>
          <w:spacing w:val="-1"/>
        </w:rPr>
        <w:t>年度，公司董事会将按照《企业内部控制基本规范》的要求，进一步完善</w:t>
      </w:r>
      <w:r>
        <w:rPr>
          <w:w w:val="100"/>
        </w:rPr>
        <w:t> </w:t>
      </w:r>
      <w:r>
        <w:rPr>
          <w:spacing w:val="-1"/>
        </w:rPr>
        <w:t>公司的内部控制。审计委员会持续监督公司内部审计制度的完善和内部审计工作的</w:t>
      </w:r>
      <w:r>
        <w:rPr>
          <w:spacing w:val="-93"/>
        </w:rPr>
        <w:t> </w:t>
      </w:r>
      <w:r>
        <w:rPr>
          <w:spacing w:val="-93"/>
        </w:rPr>
      </w:r>
      <w:r>
        <w:rPr>
          <w:spacing w:val="-1"/>
        </w:rPr>
        <w:t>开展，关注公司内控制度的建设及执行。审计委员会将定期召开会议，审议公司内</w:t>
      </w:r>
      <w:r>
        <w:rPr>
          <w:spacing w:val="-93"/>
        </w:rPr>
        <w:t> </w:t>
      </w:r>
      <w:r>
        <w:rPr>
          <w:spacing w:val="-93"/>
        </w:rPr>
      </w:r>
      <w:r>
        <w:rPr>
          <w:spacing w:val="-1"/>
        </w:rPr>
        <w:t>部审计部审核的募集资金的使用情况报告和工作总结，报告公司的内部审计工作情</w:t>
      </w:r>
      <w:r>
        <w:rPr>
          <w:spacing w:val="-93"/>
        </w:rPr>
        <w:t> </w:t>
      </w:r>
      <w:r>
        <w:rPr>
          <w:spacing w:val="-93"/>
        </w:rPr>
      </w:r>
      <w:r>
        <w:rPr>
          <w:spacing w:val="-1"/>
        </w:rPr>
        <w:t>况。内部审计部将按照</w:t>
      </w:r>
      <w:r>
        <w:rPr>
          <w:rFonts w:ascii="Times New Roman" w:hAnsi="Times New Roman" w:cs="Times New Roman" w:eastAsia="Times New Roman" w:hint="default"/>
          <w:spacing w:val="-1"/>
        </w:rPr>
        <w:t>2011</w:t>
      </w:r>
      <w:r>
        <w:rPr>
          <w:spacing w:val="-1"/>
        </w:rPr>
        <w:t>年的工作计划实施内部审计工作，持续评价内部控制的</w:t>
      </w:r>
      <w:r>
        <w:rPr>
          <w:spacing w:val="-100"/>
        </w:rPr>
        <w:t> </w:t>
      </w:r>
      <w:r>
        <w:rPr>
          <w:spacing w:val="-100"/>
        </w:rPr>
      </w:r>
      <w:r>
        <w:rPr/>
        <w:t>有效性，并向审计委员会报告。</w:t>
      </w:r>
    </w:p>
    <w:p>
      <w:pPr>
        <w:pStyle w:val="BodyText"/>
        <w:spacing w:line="355" w:lineRule="auto" w:before="43"/>
        <w:ind w:left="597" w:right="0" w:hanging="460"/>
        <w:jc w:val="left"/>
      </w:pPr>
      <w:r>
        <w:rPr/>
        <w:t>（五）财务管理内部控制的执行情况</w:t>
      </w:r>
      <w:r>
        <w:rPr>
          <w:w w:val="100"/>
        </w:rPr>
        <w:t> </w:t>
      </w:r>
      <w:r>
        <w:rPr>
          <w:spacing w:val="-1"/>
        </w:rPr>
        <w:t>公司建立了与公司财务信息相关的、符合公司实际情况的、较为合理的内部控</w:t>
      </w:r>
    </w:p>
    <w:p>
      <w:pPr>
        <w:pStyle w:val="BodyText"/>
        <w:spacing w:line="357" w:lineRule="auto" w:before="36"/>
        <w:ind w:right="187"/>
        <w:jc w:val="both"/>
      </w:pPr>
      <w:r>
        <w:rPr>
          <w:spacing w:val="-1"/>
        </w:rPr>
        <w:t>制制度，并且得到了有效的执行。在财务管理和会计审核方面均设置了较为合理的</w:t>
      </w:r>
      <w:r>
        <w:rPr>
          <w:spacing w:val="-93"/>
        </w:rPr>
        <w:t> </w:t>
      </w:r>
      <w:r>
        <w:rPr>
          <w:spacing w:val="-93"/>
        </w:rPr>
      </w:r>
      <w:r>
        <w:rPr>
          <w:spacing w:val="-1"/>
        </w:rPr>
        <w:t>岗位职责权限，并配备了相应的人员以保证财会工作的顺利开展，财务会计机构人</w:t>
      </w:r>
      <w:r>
        <w:rPr>
          <w:spacing w:val="-93"/>
        </w:rPr>
        <w:t> </w:t>
      </w:r>
      <w:r>
        <w:rPr>
          <w:spacing w:val="-93"/>
        </w:rPr>
      </w:r>
      <w:r>
        <w:rPr>
          <w:spacing w:val="-1"/>
        </w:rPr>
        <w:t>员分工明确，实行岗位责任制，各岗位都能相互牵制相互制衡。公司的会计管理内</w:t>
      </w:r>
      <w:r>
        <w:rPr>
          <w:spacing w:val="-93"/>
        </w:rPr>
        <w:t> </w:t>
      </w:r>
      <w:r>
        <w:rPr>
          <w:spacing w:val="-93"/>
        </w:rPr>
      </w:r>
      <w:r>
        <w:rPr>
          <w:spacing w:val="-1"/>
        </w:rPr>
        <w:t>部控制完整、合理、有效，公司各级会计人员具备了相应的专业素质，不定期的参</w:t>
      </w:r>
      <w:r>
        <w:rPr>
          <w:spacing w:val="-93"/>
        </w:rPr>
        <w:t> </w:t>
      </w:r>
      <w:r>
        <w:rPr>
          <w:spacing w:val="-93"/>
        </w:rPr>
      </w:r>
      <w:r>
        <w:rPr>
          <w:spacing w:val="-1"/>
        </w:rPr>
        <w:t>加相关业务培训，对重要会计业务和电算化操作制定和执行了明确的授权规定。公</w:t>
      </w:r>
      <w:r>
        <w:rPr>
          <w:spacing w:val="-93"/>
        </w:rPr>
        <w:t> </w:t>
      </w:r>
      <w:r>
        <w:rPr>
          <w:spacing w:val="-93"/>
        </w:rPr>
      </w:r>
      <w:r>
        <w:rPr/>
        <w:t>司的内部控制机制较为完善，能够得到切实有效的实施。</w:t>
      </w:r>
    </w:p>
    <w:p>
      <w:pPr>
        <w:pStyle w:val="BodyText"/>
        <w:spacing w:line="357" w:lineRule="auto" w:before="34"/>
        <w:ind w:left="597" w:right="0" w:hanging="460"/>
        <w:jc w:val="left"/>
      </w:pPr>
      <w:r>
        <w:rPr/>
        <w:t>（六）经营管理方面的内部控制情况</w:t>
      </w:r>
      <w:r>
        <w:rPr>
          <w:w w:val="100"/>
        </w:rPr>
        <w:t> </w:t>
      </w:r>
      <w:r>
        <w:rPr>
          <w:spacing w:val="-1"/>
        </w:rPr>
        <w:t>公司根据自身经营特点，制定了较为科学、切实可行的覆盖公司研发、销售、</w:t>
      </w:r>
    </w:p>
    <w:p>
      <w:pPr>
        <w:pStyle w:val="BodyText"/>
        <w:spacing w:line="357" w:lineRule="auto" w:before="34"/>
        <w:ind w:right="187"/>
        <w:jc w:val="both"/>
      </w:pPr>
      <w:r>
        <w:rPr>
          <w:spacing w:val="-1"/>
        </w:rPr>
        <w:t>采购、质量管理、人力资源、行政管理等各系统和部门的规章制度，并认真落实和</w:t>
      </w:r>
      <w:r>
        <w:rPr>
          <w:spacing w:val="-93"/>
        </w:rPr>
        <w:t> </w:t>
      </w:r>
      <w:r>
        <w:rPr>
          <w:spacing w:val="-93"/>
        </w:rPr>
      </w:r>
      <w:r>
        <w:rPr>
          <w:spacing w:val="-1"/>
        </w:rPr>
        <w:t>严格执行，以保障经营管理的规范和高效。在具体业务管理方面，公司正在梳理和</w:t>
      </w:r>
      <w:r>
        <w:rPr>
          <w:spacing w:val="-93"/>
        </w:rPr>
        <w:t> </w:t>
      </w:r>
      <w:r>
        <w:rPr>
          <w:spacing w:val="-93"/>
        </w:rPr>
      </w:r>
      <w:r>
        <w:rPr>
          <w:spacing w:val="-1"/>
        </w:rPr>
        <w:t>完善业务流程，制订一系列的工作流程指引、岗位说明书等规范性文件，保证各项</w:t>
      </w:r>
      <w:r>
        <w:rPr>
          <w:spacing w:val="-93"/>
        </w:rPr>
        <w:t> </w:t>
      </w:r>
      <w:r>
        <w:rPr>
          <w:spacing w:val="-93"/>
        </w:rPr>
      </w:r>
      <w:r>
        <w:rPr/>
        <w:t>业务有章可循，规范操作。公司在经营管理的各个方面没有重大漏洞。</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spacing w:line="453" w:lineRule="auto" w:before="0"/>
        <w:ind w:left="597" w:right="0" w:hanging="460"/>
        <w:jc w:val="left"/>
        <w:rPr>
          <w:rFonts w:ascii="宋体" w:hAnsi="宋体" w:cs="宋体" w:eastAsia="宋体" w:hint="default"/>
          <w:sz w:val="23"/>
          <w:szCs w:val="23"/>
        </w:rPr>
      </w:pPr>
      <w:r>
        <w:rPr>
          <w:rFonts w:ascii="宋体" w:hAnsi="宋体" w:cs="宋体" w:eastAsia="宋体" w:hint="default"/>
          <w:b/>
          <w:bCs/>
          <w:sz w:val="23"/>
          <w:szCs w:val="23"/>
        </w:rPr>
        <w:t>七、高级管理人员的考评及激励情况</w:t>
      </w:r>
      <w:r>
        <w:rPr>
          <w:rFonts w:ascii="宋体" w:hAnsi="宋体" w:cs="宋体" w:eastAsia="宋体" w:hint="default"/>
          <w:b/>
          <w:bCs/>
          <w:w w:val="99"/>
          <w:sz w:val="23"/>
          <w:szCs w:val="23"/>
        </w:rPr>
        <w:t> </w:t>
      </w:r>
      <w:r>
        <w:rPr>
          <w:rFonts w:ascii="宋体" w:hAnsi="宋体" w:cs="宋体" w:eastAsia="宋体" w:hint="default"/>
          <w:spacing w:val="-1"/>
          <w:sz w:val="23"/>
          <w:szCs w:val="23"/>
        </w:rPr>
        <w:t>公司高级管理人员、核心人员及骨干多为公司股东，与股东利益的取向是一致</w:t>
      </w:r>
    </w:p>
    <w:p>
      <w:pPr>
        <w:pStyle w:val="BodyText"/>
        <w:spacing w:line="243" w:lineRule="exact" w:before="0"/>
        <w:ind w:right="0"/>
        <w:jc w:val="both"/>
      </w:pPr>
      <w:r>
        <w:rPr/>
        <w:t>的。同时，公司已经聘请了专业机构为公司建立更为完善的高级管理人员、核心人</w:t>
      </w:r>
    </w:p>
    <w:p>
      <w:pPr>
        <w:pStyle w:val="BodyText"/>
        <w:spacing w:line="357" w:lineRule="auto" w:before="146"/>
        <w:ind w:right="187"/>
        <w:jc w:val="both"/>
      </w:pPr>
      <w:r>
        <w:rPr>
          <w:spacing w:val="-1"/>
        </w:rPr>
        <w:t>员的绩效考评体系，对公司高管及核心人员的业绩完成情况进行考核，以促使公司</w:t>
      </w:r>
      <w:r>
        <w:rPr>
          <w:spacing w:val="-93"/>
        </w:rPr>
        <w:t> </w:t>
      </w:r>
      <w:r>
        <w:rPr>
          <w:spacing w:val="-93"/>
        </w:rPr>
      </w:r>
      <w:r>
        <w:rPr>
          <w:spacing w:val="-1"/>
        </w:rPr>
        <w:t>高管人员、核心人员勤勉尽责，恪守职责，努力超额完成公司制定的各项任务，进</w:t>
      </w:r>
      <w:r>
        <w:rPr>
          <w:spacing w:val="-93"/>
        </w:rPr>
        <w:t> </w:t>
      </w:r>
      <w:r>
        <w:rPr>
          <w:spacing w:val="-93"/>
        </w:rPr>
      </w:r>
      <w:r>
        <w:rPr/>
        <w:t>而实现股东价值最大化和公司利益最大化。</w:t>
      </w:r>
    </w:p>
    <w:p>
      <w:pPr>
        <w:spacing w:after="0" w:line="357" w:lineRule="auto"/>
        <w:jc w:val="both"/>
        <w:sectPr>
          <w:footerReference w:type="default" r:id="rId22"/>
          <w:pgSz w:w="11910" w:h="16840"/>
          <w:pgMar w:footer="982" w:header="877" w:top="1100" w:bottom="1180" w:left="1660" w:right="1640"/>
          <w:pgNumType w:start="5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451" w:lineRule="auto" w:before="29"/>
        <w:ind w:left="597" w:right="186" w:hanging="460"/>
        <w:jc w:val="left"/>
        <w:rPr>
          <w:rFonts w:ascii="宋体" w:hAnsi="宋体" w:cs="宋体" w:eastAsia="宋体" w:hint="default"/>
          <w:sz w:val="23"/>
          <w:szCs w:val="23"/>
        </w:rPr>
      </w:pPr>
      <w:r>
        <w:rPr>
          <w:rFonts w:ascii="宋体" w:hAnsi="宋体" w:cs="宋体" w:eastAsia="宋体" w:hint="default"/>
          <w:b/>
          <w:bCs/>
          <w:sz w:val="23"/>
          <w:szCs w:val="23"/>
        </w:rPr>
        <w:t>八、执行中国证监会及其派出机构监管工作要求的情况</w:t>
      </w:r>
      <w:r>
        <w:rPr>
          <w:rFonts w:ascii="宋体" w:hAnsi="宋体" w:cs="宋体" w:eastAsia="宋体" w:hint="default"/>
          <w:b/>
          <w:bCs/>
          <w:w w:val="99"/>
          <w:sz w:val="23"/>
          <w:szCs w:val="23"/>
        </w:rPr>
        <w:t> </w:t>
      </w:r>
      <w:r>
        <w:rPr>
          <w:rFonts w:ascii="宋体" w:hAnsi="宋体" w:cs="宋体" w:eastAsia="宋体" w:hint="default"/>
          <w:spacing w:val="-1"/>
          <w:sz w:val="23"/>
          <w:szCs w:val="23"/>
        </w:rPr>
        <w:t>报告期内，公司认真对待、严格执行中国证券监督管理委员会及其派出机构深</w:t>
      </w:r>
    </w:p>
    <w:p>
      <w:pPr>
        <w:pStyle w:val="BodyText"/>
        <w:spacing w:line="245" w:lineRule="exact" w:before="0"/>
        <w:ind w:right="0"/>
        <w:jc w:val="both"/>
      </w:pPr>
      <w:r>
        <w:rPr/>
        <w:t>圳监管局的监管要求。针对中国证监会及深圳监管局提出的各项具体监管要求，公</w:t>
      </w:r>
    </w:p>
    <w:p>
      <w:pPr>
        <w:pStyle w:val="BodyText"/>
        <w:spacing w:line="357" w:lineRule="auto" w:before="146"/>
        <w:ind w:right="227"/>
        <w:jc w:val="both"/>
      </w:pPr>
      <w:r>
        <w:rPr>
          <w:spacing w:val="-1"/>
        </w:rPr>
        <w:t>司从组织、实施、披露到建立长效机制逐步推进落实，既收到了显著的效果，又从</w:t>
      </w:r>
      <w:r>
        <w:rPr>
          <w:spacing w:val="-93"/>
        </w:rPr>
        <w:t> </w:t>
      </w:r>
      <w:r>
        <w:rPr>
          <w:spacing w:val="-93"/>
        </w:rPr>
      </w:r>
      <w:r>
        <w:rPr>
          <w:spacing w:val="-1"/>
        </w:rPr>
        <w:t>中发现了自身存在的不足，明确了今后持续改进的目标。具体开展的主要工作报告</w:t>
      </w:r>
      <w:r>
        <w:rPr>
          <w:spacing w:val="-93"/>
        </w:rPr>
        <w:t> </w:t>
      </w:r>
      <w:r>
        <w:rPr>
          <w:spacing w:val="-93"/>
        </w:rPr>
      </w:r>
      <w:r>
        <w:rPr/>
        <w:t>如下：</w:t>
      </w:r>
    </w:p>
    <w:p>
      <w:pPr>
        <w:pStyle w:val="Heading5"/>
        <w:spacing w:line="240" w:lineRule="auto" w:before="154"/>
        <w:ind w:left="137" w:right="0"/>
        <w:jc w:val="both"/>
        <w:rPr>
          <w:b w:val="0"/>
          <w:bCs w:val="0"/>
        </w:rPr>
      </w:pPr>
      <w:r>
        <w:rPr/>
        <w:t>（一）开展加强上市公司治理专项活动的自查和整改情况</w:t>
      </w:r>
      <w:r>
        <w:rPr>
          <w:b w:val="0"/>
          <w:bCs w:val="0"/>
        </w:rPr>
      </w:r>
    </w:p>
    <w:p>
      <w:pPr>
        <w:spacing w:line="240" w:lineRule="auto" w:before="5"/>
        <w:rPr>
          <w:rFonts w:ascii="宋体" w:hAnsi="宋体" w:cs="宋体" w:eastAsia="宋体" w:hint="default"/>
          <w:b/>
          <w:bCs/>
          <w:sz w:val="20"/>
          <w:szCs w:val="20"/>
        </w:rPr>
      </w:pPr>
    </w:p>
    <w:p>
      <w:pPr>
        <w:pStyle w:val="BodyText"/>
        <w:spacing w:line="345" w:lineRule="auto" w:before="0"/>
        <w:ind w:right="101" w:firstLine="459"/>
        <w:jc w:val="left"/>
      </w:pPr>
      <w:r>
        <w:rPr/>
        <w:t>中国证监会</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日下发了《关于开展加强上市公司治理专项活动有关事</w:t>
      </w:r>
      <w:r>
        <w:rPr>
          <w:w w:val="100"/>
        </w:rPr>
        <w:t> </w:t>
      </w:r>
      <w:r>
        <w:rPr>
          <w:spacing w:val="-11"/>
          <w:w w:val="100"/>
        </w:rPr>
        <w:t>项的通知》（证监公司字【</w:t>
      </w:r>
      <w:r>
        <w:rPr>
          <w:rFonts w:ascii="Times New Roman" w:hAnsi="Times New Roman" w:cs="Times New Roman" w:eastAsia="Times New Roman" w:hint="default"/>
          <w:spacing w:val="-11"/>
          <w:w w:val="100"/>
        </w:rPr>
        <w:t>2007</w:t>
      </w:r>
      <w:r>
        <w:rPr>
          <w:spacing w:val="-11"/>
          <w:w w:val="100"/>
        </w:rPr>
        <w:t>】</w:t>
      </w:r>
      <w:r>
        <w:rPr>
          <w:rFonts w:ascii="Times New Roman" w:hAnsi="Times New Roman" w:cs="Times New Roman" w:eastAsia="Times New Roman" w:hint="default"/>
          <w:spacing w:val="-11"/>
          <w:w w:val="100"/>
        </w:rPr>
        <w:t>28</w:t>
      </w:r>
      <w:r>
        <w:rPr>
          <w:spacing w:val="-11"/>
          <w:w w:val="100"/>
        </w:rPr>
        <w:t>号），公司</w:t>
      </w:r>
      <w:r>
        <w:rPr>
          <w:rFonts w:ascii="Times New Roman" w:hAnsi="Times New Roman" w:cs="Times New Roman" w:eastAsia="Times New Roman" w:hint="default"/>
          <w:spacing w:val="-11"/>
          <w:w w:val="100"/>
        </w:rPr>
        <w:t>2010</w:t>
      </w:r>
      <w:r>
        <w:rPr>
          <w:spacing w:val="-11"/>
          <w:w w:val="100"/>
        </w:rPr>
        <w:t>年</w:t>
      </w:r>
      <w:r>
        <w:rPr>
          <w:rFonts w:ascii="Times New Roman" w:hAnsi="Times New Roman" w:cs="Times New Roman" w:eastAsia="Times New Roman" w:hint="default"/>
          <w:spacing w:val="-11"/>
          <w:w w:val="100"/>
        </w:rPr>
        <w:t>5</w:t>
      </w:r>
      <w:r>
        <w:rPr>
          <w:spacing w:val="-11"/>
          <w:w w:val="100"/>
        </w:rPr>
        <w:t>月上市后，对照该项工作要求，</w:t>
      </w:r>
      <w:r>
        <w:rPr>
          <w:w w:val="100"/>
        </w:rPr>
        <w:t> </w:t>
      </w:r>
      <w:r>
        <w:rPr/>
        <w:t>逐步开展了自查、公众评议和整改提高阶段的工作。公司董事会于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w:t>
      </w:r>
      <w:r>
        <w:rPr>
          <w:w w:val="100"/>
        </w:rPr>
        <w:t> </w:t>
      </w:r>
      <w:r>
        <w:rPr/>
        <w:t>披露了经公司第一届董事会第十三次会议审议通过的《深圳市银之杰科技股份有限</w:t>
      </w:r>
      <w:r>
        <w:rPr>
          <w:w w:val="100"/>
        </w:rPr>
        <w:t> </w:t>
      </w:r>
      <w:r>
        <w:rPr>
          <w:spacing w:val="-7"/>
          <w:w w:val="100"/>
        </w:rPr>
        <w:t>公司加强上市公司治理专项活动自查报告和整改计划》，对自查情况及整改计划进行</w:t>
      </w:r>
      <w:r>
        <w:rPr>
          <w:spacing w:val="-111"/>
          <w:w w:val="100"/>
        </w:rPr>
        <w:t> </w:t>
      </w:r>
      <w:r>
        <w:rPr>
          <w:spacing w:val="-111"/>
          <w:w w:val="100"/>
        </w:rPr>
      </w:r>
      <w:r>
        <w:rPr/>
        <w:t>了报告。自查阶段发现公司在治理方面存在的问题包括：</w:t>
      </w:r>
    </w:p>
    <w:p>
      <w:pPr>
        <w:pStyle w:val="BodyText"/>
        <w:spacing w:line="240" w:lineRule="auto" w:before="45"/>
        <w:ind w:left="597" w:right="186"/>
        <w:jc w:val="left"/>
      </w:pPr>
      <w:r>
        <w:rPr>
          <w:rFonts w:ascii="Times New Roman" w:hAnsi="Times New Roman" w:cs="Times New Roman" w:eastAsia="Times New Roman" w:hint="default"/>
        </w:rPr>
        <w:t>1</w:t>
      </w:r>
      <w:r>
        <w:rPr/>
        <w:t>．公司内部控制管理制度尚需进一步完善；</w:t>
      </w:r>
    </w:p>
    <w:p>
      <w:pPr>
        <w:pStyle w:val="BodyText"/>
        <w:spacing w:line="240" w:lineRule="auto" w:before="129"/>
        <w:ind w:left="597" w:right="186"/>
        <w:jc w:val="left"/>
      </w:pPr>
      <w:r>
        <w:rPr>
          <w:rFonts w:ascii="Times New Roman" w:hAnsi="Times New Roman" w:cs="Times New Roman" w:eastAsia="Times New Roman" w:hint="default"/>
        </w:rPr>
        <w:t>2</w:t>
      </w:r>
      <w:r>
        <w:rPr/>
        <w:t>．公司治理中应充分发挥董事会专门委员会的作用；</w:t>
      </w:r>
    </w:p>
    <w:p>
      <w:pPr>
        <w:pStyle w:val="BodyText"/>
        <w:spacing w:line="240" w:lineRule="auto" w:before="128"/>
        <w:ind w:left="597" w:right="186"/>
        <w:jc w:val="left"/>
      </w:pPr>
      <w:r>
        <w:rPr>
          <w:rFonts w:ascii="Times New Roman" w:hAnsi="Times New Roman" w:cs="Times New Roman" w:eastAsia="Times New Roman" w:hint="default"/>
        </w:rPr>
        <w:t>3</w:t>
      </w:r>
      <w:r>
        <w:rPr/>
        <w:t>．公司应加强内部审计工作的深度和广度；</w:t>
      </w:r>
    </w:p>
    <w:p>
      <w:pPr>
        <w:pStyle w:val="BodyText"/>
        <w:spacing w:line="240" w:lineRule="auto" w:before="129"/>
        <w:ind w:left="597" w:right="186"/>
        <w:jc w:val="left"/>
      </w:pPr>
      <w:r>
        <w:rPr>
          <w:rFonts w:ascii="Times New Roman" w:hAnsi="Times New Roman" w:cs="Times New Roman" w:eastAsia="Times New Roman" w:hint="default"/>
        </w:rPr>
        <w:t>4</w:t>
      </w:r>
      <w:r>
        <w:rPr/>
        <w:t>．公司应进一步加强投资者关系管理工作；</w:t>
      </w:r>
    </w:p>
    <w:p>
      <w:pPr>
        <w:pStyle w:val="BodyText"/>
        <w:spacing w:line="338" w:lineRule="auto" w:before="129"/>
        <w:ind w:left="597" w:right="186"/>
        <w:jc w:val="left"/>
      </w:pPr>
      <w:r>
        <w:rPr>
          <w:rFonts w:ascii="Times New Roman" w:hAnsi="Times New Roman" w:cs="Times New Roman" w:eastAsia="Times New Roman" w:hint="default"/>
        </w:rPr>
        <w:t>5</w:t>
      </w:r>
      <w:r>
        <w:rPr/>
        <w:t>．公司应加强董事、监事、高级管理人员的培训。</w:t>
      </w:r>
      <w:r>
        <w:rPr>
          <w:w w:val="100"/>
        </w:rPr>
        <w:t> </w:t>
      </w:r>
      <w:r>
        <w:rPr>
          <w:spacing w:val="-1"/>
        </w:rPr>
        <w:t>针对自查阶段发现的问题，公司成立了以董事长为第一责任人、董事会秘书为</w:t>
      </w:r>
    </w:p>
    <w:p>
      <w:pPr>
        <w:pStyle w:val="BodyText"/>
        <w:spacing w:line="357" w:lineRule="auto" w:before="52"/>
        <w:ind w:right="227"/>
        <w:jc w:val="both"/>
      </w:pPr>
      <w:r>
        <w:rPr>
          <w:spacing w:val="-1"/>
        </w:rPr>
        <w:t>具体实施负责人的专项工作小组，制定了相应的整改计划并明确了各项整改工作的</w:t>
      </w:r>
      <w:r>
        <w:rPr>
          <w:spacing w:val="-93"/>
        </w:rPr>
        <w:t> </w:t>
      </w:r>
      <w:r>
        <w:rPr>
          <w:spacing w:val="-93"/>
        </w:rPr>
      </w:r>
      <w:r>
        <w:rPr>
          <w:spacing w:val="-1"/>
        </w:rPr>
        <w:t>相应责任人。同时，公司董事会专门设立了电话、传真、电子邮箱等联系方式，接</w:t>
      </w:r>
      <w:r>
        <w:rPr>
          <w:spacing w:val="-93"/>
        </w:rPr>
        <w:t> </w:t>
      </w:r>
      <w:r>
        <w:rPr>
          <w:spacing w:val="-93"/>
        </w:rPr>
      </w:r>
      <w:r>
        <w:rPr>
          <w:spacing w:val="-1"/>
        </w:rPr>
        <w:t>受公众对公司治理状况的评议。自对外公布接受公众评议的相关信息以来，公司未</w:t>
      </w:r>
      <w:r>
        <w:rPr>
          <w:spacing w:val="-93"/>
        </w:rPr>
        <w:t> </w:t>
      </w:r>
      <w:r>
        <w:rPr>
          <w:spacing w:val="-93"/>
        </w:rPr>
      </w:r>
      <w:r>
        <w:rPr/>
        <w:t>收到投资者和社会公众关于公司治理的评议信息。</w:t>
      </w:r>
    </w:p>
    <w:p>
      <w:pPr>
        <w:pStyle w:val="BodyText"/>
        <w:spacing w:line="348" w:lineRule="auto" w:before="34"/>
        <w:ind w:left="597" w:right="186"/>
        <w:jc w:val="left"/>
      </w:pPr>
      <w:r>
        <w:rPr/>
        <w:t>截止报告期末，公司该项整改计划的执行情况如下：</w:t>
      </w:r>
      <w:r>
        <w:rPr>
          <w:w w:val="100"/>
        </w:rPr>
        <w:t> </w:t>
      </w:r>
      <w:r>
        <w:rPr>
          <w:rFonts w:ascii="Times New Roman" w:hAnsi="Times New Roman" w:cs="Times New Roman" w:eastAsia="Times New Roman" w:hint="default"/>
        </w:rPr>
        <w:t>1</w:t>
      </w:r>
      <w:r>
        <w:rPr/>
        <w:t>．修订完善公司内部控制管理制度</w:t>
      </w:r>
      <w:r>
        <w:rPr>
          <w:w w:val="100"/>
        </w:rPr>
        <w:t> </w:t>
      </w:r>
      <w:r>
        <w:rPr>
          <w:spacing w:val="-1"/>
        </w:rPr>
        <w:t>公司已聘请了专业管理咨询机构，根据《深圳证券交易所上市公司规范运作指</w:t>
      </w:r>
    </w:p>
    <w:p>
      <w:pPr>
        <w:pStyle w:val="BodyText"/>
        <w:spacing w:line="357" w:lineRule="auto" w:before="43"/>
        <w:ind w:right="0"/>
        <w:jc w:val="left"/>
      </w:pPr>
      <w:r>
        <w:rPr>
          <w:spacing w:val="-10"/>
          <w:w w:val="100"/>
        </w:rPr>
        <w:t>引》、《企业内部控制基本规范》等相关法律、法规的要求，结合公司具体经营情况，</w:t>
      </w:r>
      <w:r>
        <w:rPr>
          <w:spacing w:val="-104"/>
          <w:w w:val="100"/>
        </w:rPr>
        <w:t> </w:t>
      </w:r>
      <w:r>
        <w:rPr>
          <w:spacing w:val="-104"/>
          <w:w w:val="100"/>
        </w:rPr>
      </w:r>
      <w:r>
        <w:rPr/>
        <w:t>对有关公司治理、日常经营的规章制度、流程规范进行梳理和修订，不断健全完善</w:t>
      </w:r>
      <w:r>
        <w:rPr>
          <w:w w:val="100"/>
        </w:rPr>
        <w:t> </w:t>
      </w:r>
      <w:r>
        <w:rPr/>
        <w:t>内部控制制度和内部控制体系。目前该项工作仍在进行过程中。</w:t>
      </w:r>
    </w:p>
    <w:p>
      <w:pPr>
        <w:spacing w:after="0" w:line="357" w:lineRule="auto"/>
        <w:jc w:val="left"/>
        <w:sectPr>
          <w:footerReference w:type="default" r:id="rId23"/>
          <w:pgSz w:w="11910" w:h="16840"/>
          <w:pgMar w:footer="982" w:header="877" w:top="1100" w:bottom="1180" w:left="1660" w:right="1600"/>
          <w:pgNumType w:start="53"/>
        </w:sectPr>
      </w:pPr>
    </w:p>
    <w:p>
      <w:pPr>
        <w:spacing w:line="240" w:lineRule="auto" w:before="4"/>
        <w:rPr>
          <w:rFonts w:ascii="宋体" w:hAnsi="宋体" w:cs="宋体" w:eastAsia="宋体" w:hint="default"/>
          <w:sz w:val="19"/>
          <w:szCs w:val="19"/>
        </w:rPr>
      </w:pPr>
    </w:p>
    <w:p>
      <w:pPr>
        <w:pStyle w:val="BodyText"/>
        <w:spacing w:line="338" w:lineRule="auto"/>
        <w:ind w:left="597" w:right="103"/>
        <w:jc w:val="left"/>
      </w:pPr>
      <w:r>
        <w:rPr>
          <w:rFonts w:ascii="Times New Roman" w:hAnsi="Times New Roman" w:cs="Times New Roman" w:eastAsia="Times New Roman" w:hint="default"/>
        </w:rPr>
        <w:t>2</w:t>
      </w:r>
      <w:r>
        <w:rPr/>
        <w:t>．充分发挥董事会专门委员会的作用</w:t>
      </w:r>
      <w:r>
        <w:rPr>
          <w:w w:val="100"/>
        </w:rPr>
        <w:t> </w:t>
      </w:r>
      <w:r>
        <w:rPr>
          <w:spacing w:val="-4"/>
          <w:w w:val="100"/>
        </w:rPr>
        <w:t>主要整改工作是对照公司已参照相关法律、法规制定的各专门委员会工作细则，</w:t>
      </w:r>
    </w:p>
    <w:p>
      <w:pPr>
        <w:pStyle w:val="BodyText"/>
        <w:spacing w:line="357" w:lineRule="auto" w:before="52"/>
        <w:ind w:right="0"/>
        <w:jc w:val="left"/>
      </w:pPr>
      <w:r>
        <w:rPr/>
        <w:t>在董事长、董事会秘书的引导和贯彻执行下，促进各专门委员会严格按照议事规则</w:t>
      </w:r>
      <w:r>
        <w:rPr>
          <w:w w:val="100"/>
        </w:rPr>
        <w:t> </w:t>
      </w:r>
      <w:r>
        <w:rPr>
          <w:spacing w:val="-4"/>
        </w:rPr>
        <w:t>积极开展工作，对需要提交专门委员会审议的事项，积极向专门委员会报告，征询、</w:t>
      </w:r>
      <w:r>
        <w:rPr>
          <w:spacing w:val="-91"/>
        </w:rPr>
        <w:t> </w:t>
      </w:r>
      <w:r>
        <w:rPr>
          <w:spacing w:val="-91"/>
        </w:rPr>
      </w:r>
      <w:r>
        <w:rPr/>
        <w:t>听取委员会成员的专业意见，进一步发挥各专门委员会的作用。各专门委员会具体</w:t>
      </w:r>
      <w:r>
        <w:rPr>
          <w:w w:val="100"/>
        </w:rPr>
        <w:t> </w:t>
      </w:r>
      <w:r>
        <w:rPr>
          <w:spacing w:val="-5"/>
          <w:w w:val="100"/>
        </w:rPr>
        <w:t>开展工作的情况详见本报告</w:t>
      </w:r>
      <w:r>
        <w:rPr>
          <w:rFonts w:ascii="Times New Roman" w:hAnsi="Times New Roman" w:cs="Times New Roman" w:eastAsia="Times New Roman" w:hint="default"/>
          <w:spacing w:val="-5"/>
          <w:w w:val="100"/>
        </w:rPr>
        <w:t>“</w:t>
      </w:r>
      <w:r>
        <w:rPr>
          <w:spacing w:val="-5"/>
          <w:w w:val="100"/>
        </w:rPr>
        <w:t>第六节、三、（三）专门委员会的运行情况</w:t>
      </w:r>
      <w:r>
        <w:rPr>
          <w:rFonts w:ascii="Times New Roman" w:hAnsi="Times New Roman" w:cs="Times New Roman" w:eastAsia="Times New Roman" w:hint="default"/>
          <w:spacing w:val="-5"/>
          <w:w w:val="100"/>
        </w:rPr>
        <w:t>”</w:t>
      </w:r>
      <w:r>
        <w:rPr>
          <w:spacing w:val="-5"/>
          <w:w w:val="100"/>
        </w:rPr>
        <w:t>。</w:t>
      </w:r>
    </w:p>
    <w:p>
      <w:pPr>
        <w:pStyle w:val="BodyText"/>
        <w:spacing w:line="338" w:lineRule="auto" w:before="4"/>
        <w:ind w:left="597" w:right="186"/>
        <w:jc w:val="left"/>
      </w:pPr>
      <w:r>
        <w:rPr>
          <w:rFonts w:ascii="Times New Roman" w:hAnsi="Times New Roman" w:cs="Times New Roman" w:eastAsia="Times New Roman" w:hint="default"/>
        </w:rPr>
        <w:t>3</w:t>
      </w:r>
      <w:r>
        <w:rPr/>
        <w:t>．扩充内部审计人员队伍，加强公司内部审计工作</w:t>
      </w:r>
      <w:r>
        <w:rPr>
          <w:w w:val="100"/>
        </w:rPr>
        <w:t> </w:t>
      </w:r>
      <w:r>
        <w:rPr>
          <w:spacing w:val="-8"/>
          <w:w w:val="100"/>
        </w:rPr>
        <w:t>公司已建立经董事会审议通过的《内部审计制度》，聘任了专职的内部审计负责</w:t>
      </w:r>
    </w:p>
    <w:p>
      <w:pPr>
        <w:pStyle w:val="BodyText"/>
        <w:spacing w:line="357" w:lineRule="auto" w:before="52"/>
        <w:ind w:right="227"/>
        <w:jc w:val="both"/>
      </w:pPr>
      <w:r>
        <w:rPr>
          <w:spacing w:val="-1"/>
        </w:rPr>
        <w:t>人，加强对内部审计人员的专业知识培训，积极开展内部审计工作，发挥内审部对</w:t>
      </w:r>
      <w:r>
        <w:rPr>
          <w:spacing w:val="-93"/>
        </w:rPr>
        <w:t> </w:t>
      </w:r>
      <w:r>
        <w:rPr>
          <w:spacing w:val="-93"/>
        </w:rPr>
      </w:r>
      <w:r>
        <w:rPr/>
        <w:t>公司内部控制等各个环节进行审查与评价的实效作用。</w:t>
      </w:r>
    </w:p>
    <w:p>
      <w:pPr>
        <w:pStyle w:val="BodyText"/>
        <w:spacing w:line="336" w:lineRule="auto" w:before="34"/>
        <w:ind w:left="597" w:right="186"/>
        <w:jc w:val="left"/>
      </w:pPr>
      <w:r>
        <w:rPr>
          <w:rFonts w:ascii="Times New Roman" w:hAnsi="Times New Roman" w:cs="Times New Roman" w:eastAsia="Times New Roman" w:hint="default"/>
        </w:rPr>
        <w:t>4</w:t>
      </w:r>
      <w:r>
        <w:rPr/>
        <w:t>．加强投资者关系管理工作</w:t>
      </w:r>
      <w:r>
        <w:rPr>
          <w:w w:val="100"/>
        </w:rPr>
        <w:t> </w:t>
      </w:r>
      <w:r>
        <w:rPr>
          <w:spacing w:val="-1"/>
        </w:rPr>
        <w:t>公司已设立每月固定的</w:t>
      </w:r>
      <w:r>
        <w:rPr>
          <w:rFonts w:ascii="Times New Roman" w:hAnsi="Times New Roman" w:cs="Times New Roman" w:eastAsia="Times New Roman" w:hint="default"/>
          <w:spacing w:val="-1"/>
        </w:rPr>
        <w:t>“</w:t>
      </w:r>
      <w:r>
        <w:rPr>
          <w:spacing w:val="-1"/>
        </w:rPr>
        <w:t>投资者接待日</w:t>
      </w:r>
      <w:r>
        <w:rPr>
          <w:rFonts w:ascii="Times New Roman" w:hAnsi="Times New Roman" w:cs="Times New Roman" w:eastAsia="Times New Roman" w:hint="default"/>
          <w:spacing w:val="-1"/>
        </w:rPr>
        <w:t>”</w:t>
      </w:r>
      <w:r>
        <w:rPr>
          <w:spacing w:val="-1"/>
        </w:rPr>
        <w:t>，建立多层次、多渠道的投资者沟通机</w:t>
      </w:r>
    </w:p>
    <w:p>
      <w:pPr>
        <w:pStyle w:val="BodyText"/>
        <w:spacing w:line="357" w:lineRule="auto" w:before="27"/>
        <w:ind w:right="227"/>
        <w:jc w:val="both"/>
      </w:pPr>
      <w:r>
        <w:rPr>
          <w:spacing w:val="-1"/>
        </w:rPr>
        <w:t>制，认真倾听投资者对公司的建议和批评，通过主动的、充分的信息披露与投资者</w:t>
      </w:r>
      <w:r>
        <w:rPr>
          <w:spacing w:val="-93"/>
        </w:rPr>
        <w:t> </w:t>
      </w:r>
      <w:r>
        <w:rPr>
          <w:spacing w:val="-93"/>
        </w:rPr>
      </w:r>
      <w:r>
        <w:rPr>
          <w:spacing w:val="-1"/>
        </w:rPr>
        <w:t>进行良性互动，提高投资者对公司的关注度和认知度。同时加强对公司投资者关系</w:t>
      </w:r>
      <w:r>
        <w:rPr>
          <w:spacing w:val="-93"/>
        </w:rPr>
        <w:t> </w:t>
      </w:r>
      <w:r>
        <w:rPr>
          <w:spacing w:val="-93"/>
        </w:rPr>
      </w:r>
      <w:r>
        <w:rPr/>
        <w:t>管理工作人员的培训，努力做好投资者关系管理工作。</w:t>
      </w:r>
    </w:p>
    <w:p>
      <w:pPr>
        <w:pStyle w:val="BodyText"/>
        <w:spacing w:line="338" w:lineRule="auto" w:before="34"/>
        <w:ind w:left="597" w:right="186"/>
        <w:jc w:val="left"/>
      </w:pPr>
      <w:r>
        <w:rPr>
          <w:rFonts w:ascii="Times New Roman" w:hAnsi="Times New Roman" w:cs="Times New Roman" w:eastAsia="Times New Roman" w:hint="default"/>
        </w:rPr>
        <w:t>5</w:t>
      </w:r>
      <w:r>
        <w:rPr/>
        <w:t>．加强公司董事、监事、高级管理人员等对法律法规的学习</w:t>
      </w:r>
      <w:r>
        <w:rPr>
          <w:w w:val="100"/>
        </w:rPr>
        <w:t> </w:t>
      </w:r>
      <w:r>
        <w:rPr>
          <w:spacing w:val="-1"/>
        </w:rPr>
        <w:t>严格执行有关董事、监事、董事会秘书、财务总监的定期培训要求，同时对监</w:t>
      </w:r>
    </w:p>
    <w:p>
      <w:pPr>
        <w:pStyle w:val="BodyText"/>
        <w:spacing w:line="357" w:lineRule="auto" w:before="51"/>
        <w:ind w:right="227"/>
        <w:jc w:val="both"/>
      </w:pPr>
      <w:r>
        <w:rPr>
          <w:spacing w:val="-1"/>
        </w:rPr>
        <w:t>管部门以及国家有关主管部门下达的政策、法规、通知等及时转达，督促学习，加</w:t>
      </w:r>
      <w:r>
        <w:rPr>
          <w:spacing w:val="-93"/>
        </w:rPr>
        <w:t> </w:t>
      </w:r>
      <w:r>
        <w:rPr>
          <w:spacing w:val="-93"/>
        </w:rPr>
      </w:r>
      <w:r>
        <w:rPr>
          <w:spacing w:val="-1"/>
        </w:rPr>
        <w:t>强规范运作意识。公司内部也不定期通过电子邮件、现场会议等形式组织学习活动</w:t>
      </w:r>
      <w:r>
        <w:rPr>
          <w:spacing w:val="-93"/>
        </w:rPr>
        <w:t> </w:t>
      </w:r>
      <w:r>
        <w:rPr>
          <w:spacing w:val="-93"/>
        </w:rPr>
      </w:r>
      <w:r>
        <w:rPr/>
        <w:t>和讨论。</w:t>
      </w:r>
    </w:p>
    <w:p>
      <w:pPr>
        <w:pStyle w:val="BodyText"/>
        <w:spacing w:line="357" w:lineRule="auto" w:before="34"/>
        <w:ind w:right="225" w:firstLine="459"/>
        <w:jc w:val="both"/>
      </w:pPr>
      <w:r>
        <w:rPr>
          <w:spacing w:val="-1"/>
        </w:rPr>
        <w:t>通过以上自查和整改活动，公司董事、监事、高级管理人员更加重视公司治理</w:t>
      </w:r>
      <w:r>
        <w:rPr>
          <w:w w:val="100"/>
        </w:rPr>
        <w:t> </w:t>
      </w:r>
      <w:r>
        <w:rPr>
          <w:spacing w:val="-1"/>
        </w:rPr>
        <w:t>的建设，同时也认识到，作为一家创业板新上市公司，很多方面还不成熟，有待进</w:t>
      </w:r>
      <w:r>
        <w:rPr>
          <w:spacing w:val="-93"/>
        </w:rPr>
        <w:t> </w:t>
      </w:r>
      <w:r>
        <w:rPr>
          <w:spacing w:val="-93"/>
        </w:rPr>
      </w:r>
      <w:r>
        <w:rPr>
          <w:spacing w:val="-1"/>
        </w:rPr>
        <w:t>一步完善。公司将通过此类专项治理活动，广泛听取各方意见，持续完善公司治理</w:t>
      </w:r>
      <w:r>
        <w:rPr>
          <w:spacing w:val="-93"/>
        </w:rPr>
        <w:t> </w:t>
      </w:r>
      <w:r>
        <w:rPr>
          <w:spacing w:val="-93"/>
        </w:rPr>
      </w:r>
      <w:r>
        <w:rPr/>
        <w:t>结构。</w:t>
      </w:r>
    </w:p>
    <w:p>
      <w:pPr>
        <w:spacing w:line="240" w:lineRule="auto" w:before="9"/>
        <w:rPr>
          <w:rFonts w:ascii="宋体" w:hAnsi="宋体" w:cs="宋体" w:eastAsia="宋体" w:hint="default"/>
          <w:sz w:val="20"/>
          <w:szCs w:val="20"/>
        </w:rPr>
      </w:pPr>
    </w:p>
    <w:p>
      <w:pPr>
        <w:spacing w:line="580" w:lineRule="atLeast" w:before="0"/>
        <w:ind w:left="597" w:right="186" w:hanging="460"/>
        <w:jc w:val="left"/>
        <w:rPr>
          <w:rFonts w:ascii="宋体" w:hAnsi="宋体" w:cs="宋体" w:eastAsia="宋体" w:hint="default"/>
          <w:sz w:val="23"/>
          <w:szCs w:val="23"/>
        </w:rPr>
      </w:pPr>
      <w:r>
        <w:rPr>
          <w:rFonts w:ascii="宋体" w:hAnsi="宋体" w:cs="宋体" w:eastAsia="宋体" w:hint="default"/>
          <w:b/>
          <w:bCs/>
          <w:sz w:val="23"/>
          <w:szCs w:val="23"/>
        </w:rPr>
        <w:t>（二）开展规范财务会计基础工作专项活动的自查和整改情况</w:t>
      </w:r>
      <w:r>
        <w:rPr>
          <w:rFonts w:ascii="宋体" w:hAnsi="宋体" w:cs="宋体" w:eastAsia="宋体" w:hint="default"/>
          <w:b/>
          <w:bCs/>
          <w:w w:val="99"/>
          <w:sz w:val="23"/>
          <w:szCs w:val="23"/>
        </w:rPr>
        <w:t> </w:t>
      </w:r>
      <w:r>
        <w:rPr>
          <w:rFonts w:ascii="宋体" w:hAnsi="宋体" w:cs="宋体" w:eastAsia="宋体" w:hint="default"/>
          <w:spacing w:val="-1"/>
          <w:sz w:val="23"/>
          <w:szCs w:val="23"/>
        </w:rPr>
        <w:t>中国证监会深圳监管局</w:t>
      </w:r>
      <w:r>
        <w:rPr>
          <w:rFonts w:ascii="Times New Roman" w:hAnsi="Times New Roman" w:cs="Times New Roman" w:eastAsia="Times New Roman" w:hint="default"/>
          <w:spacing w:val="-1"/>
          <w:sz w:val="23"/>
          <w:szCs w:val="23"/>
        </w:rPr>
        <w:t>2010</w:t>
      </w:r>
      <w:r>
        <w:rPr>
          <w:rFonts w:ascii="宋体" w:hAnsi="宋体" w:cs="宋体" w:eastAsia="宋体" w:hint="default"/>
          <w:spacing w:val="-1"/>
          <w:sz w:val="23"/>
          <w:szCs w:val="23"/>
        </w:rPr>
        <w:t>年</w:t>
      </w:r>
      <w:r>
        <w:rPr>
          <w:rFonts w:ascii="Times New Roman" w:hAnsi="Times New Roman" w:cs="Times New Roman" w:eastAsia="Times New Roman" w:hint="default"/>
          <w:spacing w:val="-1"/>
          <w:sz w:val="23"/>
          <w:szCs w:val="23"/>
        </w:rPr>
        <w:t>4</w:t>
      </w:r>
      <w:r>
        <w:rPr>
          <w:rFonts w:ascii="宋体" w:hAnsi="宋体" w:cs="宋体" w:eastAsia="宋体" w:hint="default"/>
          <w:spacing w:val="-1"/>
          <w:sz w:val="23"/>
          <w:szCs w:val="23"/>
        </w:rPr>
        <w:t>月</w:t>
      </w:r>
      <w:r>
        <w:rPr>
          <w:rFonts w:ascii="Times New Roman" w:hAnsi="Times New Roman" w:cs="Times New Roman" w:eastAsia="Times New Roman" w:hint="default"/>
          <w:spacing w:val="-1"/>
          <w:sz w:val="23"/>
          <w:szCs w:val="23"/>
        </w:rPr>
        <w:t>6</w:t>
      </w:r>
      <w:r>
        <w:rPr>
          <w:rFonts w:ascii="宋体" w:hAnsi="宋体" w:cs="宋体" w:eastAsia="宋体" w:hint="default"/>
          <w:spacing w:val="-1"/>
          <w:sz w:val="23"/>
          <w:szCs w:val="23"/>
        </w:rPr>
        <w:t>日下发了《关于在深圳辖区上市公司全面深</w:t>
      </w:r>
    </w:p>
    <w:p>
      <w:pPr>
        <w:pStyle w:val="BodyText"/>
        <w:spacing w:line="343" w:lineRule="auto" w:before="129"/>
        <w:ind w:right="227"/>
        <w:jc w:val="both"/>
      </w:pPr>
      <w:r>
        <w:rPr>
          <w:spacing w:val="-4"/>
          <w:w w:val="100"/>
        </w:rPr>
        <w:t>入开展规范财务会计基础工作专项活动的通知》（深证局发〔</w:t>
      </w:r>
      <w:r>
        <w:rPr>
          <w:rFonts w:ascii="Times New Roman" w:hAnsi="Times New Roman" w:cs="Times New Roman" w:eastAsia="Times New Roman" w:hint="default"/>
          <w:spacing w:val="-4"/>
          <w:w w:val="100"/>
        </w:rPr>
        <w:t>2010</w:t>
      </w:r>
      <w:r>
        <w:rPr>
          <w:spacing w:val="-4"/>
          <w:w w:val="100"/>
        </w:rPr>
        <w:t>〕</w:t>
      </w:r>
      <w:r>
        <w:rPr>
          <w:rFonts w:ascii="Times New Roman" w:hAnsi="Times New Roman" w:cs="Times New Roman" w:eastAsia="Times New Roman" w:hint="default"/>
          <w:spacing w:val="-4"/>
          <w:w w:val="100"/>
        </w:rPr>
        <w:t>109</w:t>
      </w:r>
      <w:r>
        <w:rPr>
          <w:rFonts w:ascii="Times New Roman" w:hAnsi="Times New Roman" w:cs="Times New Roman" w:eastAsia="Times New Roman" w:hint="default"/>
          <w:w w:val="100"/>
        </w:rPr>
        <w:t> </w:t>
      </w:r>
      <w:r>
        <w:rPr>
          <w:spacing w:val="-24"/>
          <w:w w:val="100"/>
        </w:rPr>
        <w:t>号）。为贯</w:t>
      </w:r>
      <w:r>
        <w:rPr>
          <w:w w:val="100"/>
        </w:rPr>
        <w:t> </w:t>
      </w:r>
      <w:r>
        <w:rPr>
          <w:spacing w:val="-1"/>
        </w:rPr>
        <w:t>彻《通知》精神，公司成立了以李军总经理为组长的专项活动领导小组，开展了规</w:t>
      </w:r>
      <w:r>
        <w:rPr>
          <w:spacing w:val="-93"/>
        </w:rPr>
        <w:t> </w:t>
      </w:r>
      <w:r>
        <w:rPr>
          <w:spacing w:val="-93"/>
        </w:rPr>
      </w:r>
      <w:r>
        <w:rPr>
          <w:spacing w:val="-1"/>
        </w:rPr>
        <w:t>范财务会计基础工作专项活动。根据</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日公司第一届董事会第十三次会</w:t>
      </w:r>
      <w:r>
        <w:rPr>
          <w:spacing w:val="-90"/>
        </w:rPr>
        <w:t> </w:t>
      </w:r>
      <w:r>
        <w:rPr>
          <w:spacing w:val="-90"/>
        </w:rPr>
      </w:r>
      <w:r>
        <w:rPr>
          <w:spacing w:val="-1"/>
        </w:rPr>
        <w:t>议审议通过的《关于开展规范财务会计基础工作专项活动的自查报告》的自查工作</w:t>
      </w:r>
    </w:p>
    <w:p>
      <w:pPr>
        <w:spacing w:after="0" w:line="343" w:lineRule="auto"/>
        <w:jc w:val="both"/>
        <w:sectPr>
          <w:footerReference w:type="default" r:id="rId24"/>
          <w:pgSz w:w="11910" w:h="16840"/>
          <w:pgMar w:footer="982" w:header="877" w:top="1100" w:bottom="1180" w:left="1660" w:right="1600"/>
          <w:pgNumType w:start="54"/>
        </w:sectPr>
      </w:pPr>
    </w:p>
    <w:p>
      <w:pPr>
        <w:spacing w:line="240" w:lineRule="auto" w:before="4"/>
        <w:rPr>
          <w:rFonts w:ascii="宋体" w:hAnsi="宋体" w:cs="宋体" w:eastAsia="宋体" w:hint="default"/>
          <w:sz w:val="19"/>
          <w:szCs w:val="19"/>
        </w:rPr>
      </w:pPr>
    </w:p>
    <w:p>
      <w:pPr>
        <w:pStyle w:val="BodyText"/>
        <w:spacing w:line="350" w:lineRule="auto"/>
        <w:ind w:right="222"/>
        <w:jc w:val="both"/>
      </w:pPr>
      <w:r>
        <w:rPr>
          <w:spacing w:val="-1"/>
        </w:rPr>
        <w:t>发现的问题，专项活动小组组织进行了问题整改。</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23</w:t>
      </w:r>
      <w:r>
        <w:rPr>
          <w:spacing w:val="-1"/>
        </w:rPr>
        <w:t>日，公司第一届董</w:t>
      </w:r>
      <w:r>
        <w:rPr>
          <w:spacing w:val="-101"/>
        </w:rPr>
        <w:t> </w:t>
      </w:r>
      <w:r>
        <w:rPr>
          <w:spacing w:val="-101"/>
        </w:rPr>
      </w:r>
      <w:r>
        <w:rPr>
          <w:spacing w:val="-1"/>
        </w:rPr>
        <w:t>事会第十四次会议审议通过了《关于开展规范财务会计基础工作专项活动的整改报</w:t>
      </w:r>
      <w:r>
        <w:rPr>
          <w:spacing w:val="-93"/>
        </w:rPr>
        <w:t> </w:t>
      </w:r>
      <w:r>
        <w:rPr>
          <w:spacing w:val="-93"/>
        </w:rPr>
      </w:r>
      <w:r>
        <w:rPr>
          <w:spacing w:val="-7"/>
          <w:w w:val="100"/>
        </w:rPr>
        <w:t>告》。本次规范财务会计基础工作专项活动发现的公司财务基础工作存在的问题及整</w:t>
      </w:r>
      <w:r>
        <w:rPr>
          <w:spacing w:val="-111"/>
          <w:w w:val="100"/>
        </w:rPr>
        <w:t> </w:t>
      </w:r>
      <w:r>
        <w:rPr>
          <w:spacing w:val="-111"/>
          <w:w w:val="100"/>
        </w:rPr>
      </w:r>
      <w:r>
        <w:rPr/>
        <w:t>改情况如下：</w:t>
      </w:r>
    </w:p>
    <w:p>
      <w:pPr>
        <w:pStyle w:val="BodyText"/>
        <w:spacing w:line="240" w:lineRule="auto" w:before="39"/>
        <w:ind w:left="597" w:right="186"/>
        <w:jc w:val="left"/>
      </w:pPr>
      <w:r>
        <w:rPr>
          <w:rFonts w:ascii="Times New Roman" w:hAnsi="Times New Roman" w:cs="Times New Roman" w:eastAsia="Times New Roman" w:hint="default"/>
        </w:rPr>
        <w:t>1</w:t>
      </w:r>
      <w:r>
        <w:rPr/>
        <w:t>．财务人员和机构设置基本情况存在的相关问题：</w:t>
      </w:r>
    </w:p>
    <w:p>
      <w:pPr>
        <w:pStyle w:val="BodyText"/>
        <w:spacing w:line="338" w:lineRule="auto" w:before="129"/>
        <w:ind w:left="597" w:right="0"/>
        <w:jc w:val="left"/>
      </w:pPr>
      <w:r>
        <w:rPr>
          <w:spacing w:val="-1"/>
        </w:rPr>
        <w:t>（</w:t>
      </w:r>
      <w:r>
        <w:rPr>
          <w:rFonts w:ascii="Times New Roman" w:hAnsi="Times New Roman" w:cs="Times New Roman" w:eastAsia="Times New Roman" w:hint="default"/>
          <w:spacing w:val="-1"/>
        </w:rPr>
        <w:t>1</w:t>
      </w:r>
      <w:r>
        <w:rPr>
          <w:spacing w:val="-1"/>
        </w:rPr>
        <w:t>）存在个别财务人员持有的会计上岗证未在公司所在地深圳市注册的情况。</w:t>
      </w:r>
      <w:r>
        <w:rPr>
          <w:spacing w:val="-93"/>
        </w:rPr>
        <w:t> </w:t>
      </w:r>
      <w:r>
        <w:rPr>
          <w:spacing w:val="-93"/>
        </w:rPr>
      </w:r>
      <w:r>
        <w:rPr/>
        <w:t>整改情况：相关人员已开始办理会计上岗证的调转手续和深圳注册备案工作，</w:t>
      </w:r>
    </w:p>
    <w:p>
      <w:pPr>
        <w:pStyle w:val="BodyText"/>
        <w:spacing w:line="240" w:lineRule="auto" w:before="52"/>
        <w:ind w:right="0"/>
        <w:jc w:val="both"/>
      </w:pPr>
      <w:r>
        <w:rPr/>
        <w:t>目前相关手续已办理完成。</w:t>
      </w:r>
    </w:p>
    <w:p>
      <w:pPr>
        <w:pStyle w:val="BodyText"/>
        <w:spacing w:line="338" w:lineRule="auto" w:before="146"/>
        <w:ind w:left="597" w:right="186"/>
        <w:jc w:val="left"/>
      </w:pPr>
      <w:r>
        <w:rPr/>
        <w:t>（</w:t>
      </w:r>
      <w:r>
        <w:rPr>
          <w:rFonts w:ascii="Times New Roman" w:hAnsi="Times New Roman" w:cs="Times New Roman" w:eastAsia="Times New Roman" w:hint="default"/>
        </w:rPr>
        <w:t>2</w:t>
      </w:r>
      <w:r>
        <w:rPr/>
        <w:t>）会计人员专业培训不足，培训的次数和时间较少。</w:t>
      </w:r>
      <w:r>
        <w:rPr>
          <w:w w:val="100"/>
        </w:rPr>
        <w:t> </w:t>
      </w:r>
      <w:r>
        <w:rPr>
          <w:spacing w:val="-8"/>
          <w:w w:val="100"/>
        </w:rPr>
        <w:t>整改情况：财务部制订了《财务人员后续培训制度》、《</w:t>
      </w:r>
      <w:r>
        <w:rPr>
          <w:rFonts w:ascii="Times New Roman" w:hAnsi="Times New Roman" w:cs="Times New Roman" w:eastAsia="Times New Roman" w:hint="default"/>
          <w:spacing w:val="-8"/>
          <w:w w:val="100"/>
        </w:rPr>
        <w:t>2011</w:t>
      </w:r>
      <w:r>
        <w:rPr>
          <w:spacing w:val="-8"/>
          <w:w w:val="100"/>
        </w:rPr>
        <w:t>年度财务人员培训</w:t>
      </w:r>
    </w:p>
    <w:p>
      <w:pPr>
        <w:pStyle w:val="BodyText"/>
        <w:spacing w:line="240" w:lineRule="auto" w:before="24"/>
        <w:ind w:right="0"/>
        <w:jc w:val="both"/>
      </w:pPr>
      <w:r>
        <w:rPr>
          <w:w w:val="100"/>
        </w:rPr>
        <w:t>计划</w:t>
      </w:r>
      <w:r>
        <w:rPr>
          <w:spacing w:val="-116"/>
          <w:w w:val="100"/>
        </w:rPr>
        <w:t>》</w:t>
      </w:r>
      <w:r>
        <w:rPr>
          <w:spacing w:val="-2"/>
          <w:w w:val="100"/>
        </w:rPr>
        <w:t>，并</w:t>
      </w:r>
      <w:r>
        <w:rPr>
          <w:w w:val="100"/>
        </w:rPr>
        <w:t>报财务</w:t>
      </w:r>
      <w:r>
        <w:rPr>
          <w:spacing w:val="-2"/>
          <w:w w:val="100"/>
        </w:rPr>
        <w:t>总监</w:t>
      </w:r>
      <w:r>
        <w:rPr>
          <w:w w:val="100"/>
        </w:rPr>
        <w:t>、总经</w:t>
      </w:r>
      <w:r>
        <w:rPr>
          <w:spacing w:val="-2"/>
          <w:w w:val="100"/>
        </w:rPr>
        <w:t>理获</w:t>
      </w:r>
      <w:r>
        <w:rPr>
          <w:w w:val="100"/>
        </w:rPr>
        <w:t>得批准</w:t>
      </w:r>
      <w:r>
        <w:rPr>
          <w:spacing w:val="-2"/>
          <w:w w:val="100"/>
        </w:rPr>
        <w:t>，正</w:t>
      </w:r>
      <w:r>
        <w:rPr>
          <w:w w:val="100"/>
        </w:rPr>
        <w:t>逐步组</w:t>
      </w:r>
      <w:r>
        <w:rPr>
          <w:spacing w:val="-2"/>
          <w:w w:val="100"/>
        </w:rPr>
        <w:t>织落</w:t>
      </w:r>
      <w:r>
        <w:rPr>
          <w:w w:val="100"/>
        </w:rPr>
        <w:t>实财务</w:t>
      </w:r>
      <w:r>
        <w:rPr>
          <w:spacing w:val="-2"/>
          <w:w w:val="100"/>
        </w:rPr>
        <w:t>人员</w:t>
      </w:r>
      <w:r>
        <w:rPr>
          <w:w w:val="100"/>
        </w:rPr>
        <w:t>培训工</w:t>
      </w:r>
      <w:r>
        <w:rPr>
          <w:spacing w:val="-2"/>
          <w:w w:val="100"/>
        </w:rPr>
        <w:t>作</w:t>
      </w:r>
      <w:r>
        <w:rPr>
          <w:w w:val="100"/>
        </w:rPr>
        <w:t>。</w:t>
      </w:r>
    </w:p>
    <w:p>
      <w:pPr>
        <w:pStyle w:val="BodyText"/>
        <w:spacing w:line="338" w:lineRule="auto" w:before="145"/>
        <w:ind w:left="597" w:right="186"/>
        <w:jc w:val="left"/>
      </w:pPr>
      <w:r>
        <w:rPr/>
        <w:t>（</w:t>
      </w:r>
      <w:r>
        <w:rPr>
          <w:rFonts w:ascii="Times New Roman" w:hAnsi="Times New Roman" w:cs="Times New Roman" w:eastAsia="Times New Roman" w:hint="default"/>
        </w:rPr>
        <w:t>3</w:t>
      </w:r>
      <w:r>
        <w:rPr/>
        <w:t>）会计人员的考核制度仍需完善，考核主要内容仍需清晰。</w:t>
      </w:r>
      <w:r>
        <w:rPr>
          <w:w w:val="100"/>
        </w:rPr>
        <w:t> </w:t>
      </w:r>
      <w:r>
        <w:rPr>
          <w:spacing w:val="-7"/>
        </w:rPr>
        <w:t>整改情况：</w:t>
      </w:r>
      <w:r>
        <w:rPr>
          <w:rFonts w:ascii="新宋体" w:hAnsi="新宋体" w:cs="新宋体" w:eastAsia="新宋体" w:hint="default"/>
          <w:spacing w:val="-7"/>
        </w:rPr>
        <w:t>①</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11</w:t>
      </w:r>
      <w:r>
        <w:rPr>
          <w:spacing w:val="-7"/>
        </w:rPr>
        <w:t>月</w:t>
      </w:r>
      <w:r>
        <w:rPr>
          <w:rFonts w:ascii="Times New Roman" w:hAnsi="Times New Roman" w:cs="Times New Roman" w:eastAsia="Times New Roman" w:hint="default"/>
          <w:spacing w:val="-7"/>
        </w:rPr>
        <w:t>23</w:t>
      </w:r>
      <w:r>
        <w:rPr>
          <w:spacing w:val="-7"/>
        </w:rPr>
        <w:t>日，公司第一届董事会第十四次会议审议通过了《财</w:t>
      </w:r>
    </w:p>
    <w:p>
      <w:pPr>
        <w:pStyle w:val="BodyText"/>
        <w:spacing w:line="357" w:lineRule="auto" w:before="24"/>
        <w:ind w:right="222"/>
        <w:jc w:val="both"/>
      </w:pPr>
      <w:r>
        <w:rPr>
          <w:spacing w:val="-7"/>
          <w:w w:val="100"/>
        </w:rPr>
        <w:t>务会计相关负责人管理制度》；</w:t>
      </w:r>
      <w:r>
        <w:rPr>
          <w:rFonts w:ascii="新宋体" w:hAnsi="新宋体" w:cs="新宋体" w:eastAsia="新宋体" w:hint="default"/>
          <w:spacing w:val="-7"/>
          <w:w w:val="100"/>
        </w:rPr>
        <w:t>②</w:t>
      </w:r>
      <w:r>
        <w:rPr>
          <w:spacing w:val="-7"/>
          <w:w w:val="100"/>
        </w:rPr>
        <w:t>对于一般会计人员的考核，已纳入公司人力资源体</w:t>
      </w:r>
      <w:r>
        <w:rPr>
          <w:spacing w:val="-112"/>
          <w:w w:val="100"/>
        </w:rPr>
        <w:t> </w:t>
      </w:r>
      <w:r>
        <w:rPr>
          <w:spacing w:val="-112"/>
          <w:w w:val="100"/>
        </w:rPr>
      </w:r>
      <w:r>
        <w:rPr/>
        <w:t>系薪酬与绩效考核制度优化工作中，相关工作正在有序地进行中。</w:t>
      </w:r>
    </w:p>
    <w:p>
      <w:pPr>
        <w:pStyle w:val="BodyText"/>
        <w:spacing w:line="240" w:lineRule="auto" w:before="34"/>
        <w:ind w:left="597" w:right="186"/>
        <w:jc w:val="left"/>
      </w:pPr>
      <w:r>
        <w:rPr>
          <w:rFonts w:ascii="Times New Roman" w:hAnsi="Times New Roman" w:cs="Times New Roman" w:eastAsia="Times New Roman" w:hint="default"/>
        </w:rPr>
        <w:t>2</w:t>
      </w:r>
      <w:r>
        <w:rPr/>
        <w:t>．会计核算基础工作规范性情况存在的相关问题：</w:t>
      </w:r>
    </w:p>
    <w:p>
      <w:pPr>
        <w:pStyle w:val="BodyText"/>
        <w:spacing w:line="336" w:lineRule="auto" w:before="129"/>
        <w:ind w:left="597" w:right="0"/>
        <w:jc w:val="left"/>
      </w:pPr>
      <w:r>
        <w:rPr>
          <w:spacing w:val="-1"/>
        </w:rPr>
        <w:t>（</w:t>
      </w:r>
      <w:r>
        <w:rPr>
          <w:rFonts w:ascii="Times New Roman" w:hAnsi="Times New Roman" w:cs="Times New Roman" w:eastAsia="Times New Roman" w:hint="default"/>
          <w:spacing w:val="-1"/>
        </w:rPr>
        <w:t>1</w:t>
      </w:r>
      <w:r>
        <w:rPr>
          <w:spacing w:val="-1"/>
        </w:rPr>
        <w:t>）财务部门与各业务部门之间账务核对、账实核对工作，未形成书面记录。</w:t>
      </w:r>
      <w:r>
        <w:rPr>
          <w:spacing w:val="-93"/>
        </w:rPr>
        <w:t> </w:t>
      </w:r>
      <w:r>
        <w:rPr>
          <w:spacing w:val="-93"/>
        </w:rPr>
      </w:r>
      <w:r>
        <w:rPr/>
        <w:t>整改情况：公司财务人员已设计账务核对、账实核对专用记录表格，并已实际</w:t>
      </w:r>
    </w:p>
    <w:p>
      <w:pPr>
        <w:pStyle w:val="BodyText"/>
        <w:spacing w:line="240" w:lineRule="auto" w:before="54"/>
        <w:ind w:right="0"/>
        <w:jc w:val="both"/>
      </w:pPr>
      <w:r>
        <w:rPr/>
        <w:t>运行，相关责任人签章确认措施已实施。</w:t>
      </w:r>
    </w:p>
    <w:p>
      <w:pPr>
        <w:pStyle w:val="BodyText"/>
        <w:spacing w:line="338" w:lineRule="auto" w:before="146"/>
        <w:ind w:left="597" w:right="186" w:hanging="1"/>
        <w:jc w:val="left"/>
      </w:pPr>
      <w:r>
        <w:rPr/>
        <w:t>（</w:t>
      </w:r>
      <w:r>
        <w:rPr>
          <w:rFonts w:ascii="Times New Roman" w:hAnsi="Times New Roman" w:cs="Times New Roman" w:eastAsia="Times New Roman" w:hint="default"/>
        </w:rPr>
        <w:t>2</w:t>
      </w:r>
      <w:r>
        <w:rPr/>
        <w:t>）会计凭证和账簿的借阅手续不规范。</w:t>
      </w:r>
      <w:r>
        <w:rPr>
          <w:w w:val="100"/>
        </w:rPr>
        <w:t> </w:t>
      </w:r>
      <w:r>
        <w:rPr>
          <w:spacing w:val="-1"/>
        </w:rPr>
        <w:t>整改情况：公司财务部已建立会计资料借用审批登记簿，登记簿已规定明确的</w:t>
      </w:r>
    </w:p>
    <w:p>
      <w:pPr>
        <w:pStyle w:val="BodyText"/>
        <w:spacing w:line="240" w:lineRule="auto" w:before="52"/>
        <w:ind w:right="0"/>
        <w:jc w:val="both"/>
      </w:pPr>
      <w:r>
        <w:rPr/>
        <w:t>审批人，财务人员已严格按照审批内容进行会计资料的借用。</w:t>
      </w:r>
    </w:p>
    <w:p>
      <w:pPr>
        <w:pStyle w:val="BodyText"/>
        <w:spacing w:line="338" w:lineRule="auto" w:before="146"/>
        <w:ind w:left="597" w:right="186"/>
        <w:jc w:val="left"/>
      </w:pPr>
      <w:r>
        <w:rPr/>
        <w:t>（</w:t>
      </w:r>
      <w:r>
        <w:rPr>
          <w:rFonts w:ascii="Times New Roman" w:hAnsi="Times New Roman" w:cs="Times New Roman" w:eastAsia="Times New Roman" w:hint="default"/>
        </w:rPr>
        <w:t>3</w:t>
      </w:r>
      <w:r>
        <w:rPr/>
        <w:t>）部分会计核算误差调整，缺少相应的审批手续。</w:t>
      </w:r>
      <w:r>
        <w:rPr>
          <w:w w:val="100"/>
        </w:rPr>
        <w:t> </w:t>
      </w:r>
      <w:r>
        <w:rPr>
          <w:spacing w:val="-1"/>
        </w:rPr>
        <w:t>整改情况：公司财务人员对会计核算的误差进行账务调整的事项已提出书面申</w:t>
      </w:r>
    </w:p>
    <w:p>
      <w:pPr>
        <w:pStyle w:val="BodyText"/>
        <w:spacing w:line="240" w:lineRule="auto" w:before="51"/>
        <w:ind w:right="0"/>
        <w:jc w:val="both"/>
      </w:pPr>
      <w:r>
        <w:rPr/>
        <w:t>请书，并解释说明原因，经财务负责人审批后，方可进行相应的账务调整。</w:t>
      </w:r>
    </w:p>
    <w:p>
      <w:pPr>
        <w:pStyle w:val="BodyText"/>
        <w:spacing w:line="338" w:lineRule="auto" w:before="146"/>
        <w:ind w:left="597" w:right="0"/>
        <w:jc w:val="left"/>
      </w:pPr>
      <w:r>
        <w:rPr>
          <w:spacing w:val="-1"/>
        </w:rPr>
        <w:t>（</w:t>
      </w:r>
      <w:r>
        <w:rPr>
          <w:rFonts w:ascii="Times New Roman" w:hAnsi="Times New Roman" w:cs="Times New Roman" w:eastAsia="Times New Roman" w:hint="default"/>
          <w:spacing w:val="-1"/>
        </w:rPr>
        <w:t>4</w:t>
      </w:r>
      <w:r>
        <w:rPr>
          <w:spacing w:val="-1"/>
        </w:rPr>
        <w:t>）对支票作废情况的处理不妥善，只是保管，未建立注销审批、登记制度。</w:t>
      </w:r>
      <w:r>
        <w:rPr>
          <w:spacing w:val="-93"/>
        </w:rPr>
        <w:t> </w:t>
      </w:r>
      <w:r>
        <w:rPr>
          <w:spacing w:val="-93"/>
        </w:rPr>
      </w:r>
      <w:r>
        <w:rPr>
          <w:spacing w:val="-4"/>
        </w:rPr>
        <w:t>整改情况：公司出纳人员已建立票据备查簿，对所有票据的获取、领用、作废、</w:t>
      </w:r>
    </w:p>
    <w:p>
      <w:pPr>
        <w:pStyle w:val="BodyText"/>
        <w:spacing w:line="348" w:lineRule="auto" w:before="52"/>
        <w:ind w:right="227"/>
        <w:jc w:val="both"/>
      </w:pPr>
      <w:r>
        <w:rPr/>
        <w:t>注销进行了逐张登记，并对于已作废的支票采用加盖</w:t>
      </w:r>
      <w:r>
        <w:rPr>
          <w:rFonts w:ascii="Times New Roman" w:hAnsi="Times New Roman" w:cs="Times New Roman" w:eastAsia="Times New Roman" w:hint="default"/>
        </w:rPr>
        <w:t>“</w:t>
      </w:r>
      <w:r>
        <w:rPr/>
        <w:t>作废</w:t>
      </w:r>
      <w:r>
        <w:rPr>
          <w:rFonts w:ascii="Times New Roman" w:hAnsi="Times New Roman" w:cs="Times New Roman" w:eastAsia="Times New Roman" w:hint="default"/>
        </w:rPr>
        <w:t>”</w:t>
      </w:r>
      <w:r>
        <w:rPr/>
        <w:t>章、剪角、妥善保管以</w:t>
      </w:r>
      <w:r>
        <w:rPr>
          <w:w w:val="100"/>
        </w:rPr>
        <w:t> </w:t>
      </w:r>
      <w:r>
        <w:rPr>
          <w:spacing w:val="-1"/>
        </w:rPr>
        <w:t>备查；对超过法定保管期限、可以销毁的票据，在履行审核批准手续后，由授权人</w:t>
      </w:r>
      <w:r>
        <w:rPr>
          <w:spacing w:val="-93"/>
        </w:rPr>
        <w:t> </w:t>
      </w:r>
      <w:r>
        <w:rPr>
          <w:spacing w:val="-93"/>
        </w:rPr>
      </w:r>
      <w:r>
        <w:rPr/>
        <w:t>员监销。</w:t>
      </w:r>
    </w:p>
    <w:p>
      <w:pPr>
        <w:pStyle w:val="BodyText"/>
        <w:spacing w:line="240" w:lineRule="auto" w:before="43"/>
        <w:ind w:left="597" w:right="186"/>
        <w:jc w:val="left"/>
      </w:pPr>
      <w:r>
        <w:rPr>
          <w:rFonts w:ascii="Times New Roman" w:hAnsi="Times New Roman" w:cs="Times New Roman" w:eastAsia="Times New Roman" w:hint="default"/>
        </w:rPr>
        <w:t>3</w:t>
      </w:r>
      <w:r>
        <w:rPr/>
        <w:t>、财务管理制度建设和执行情况存在的相关问题：</w:t>
      </w:r>
    </w:p>
    <w:p>
      <w:pPr>
        <w:spacing w:after="0" w:line="240" w:lineRule="auto"/>
        <w:jc w:val="left"/>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50" w:lineRule="auto"/>
        <w:ind w:right="0" w:firstLine="459"/>
        <w:jc w:val="left"/>
      </w:pPr>
      <w:r>
        <w:rPr>
          <w:spacing w:val="-4"/>
        </w:rPr>
        <w:t>（</w:t>
      </w:r>
      <w:r>
        <w:rPr>
          <w:rFonts w:ascii="Times New Roman" w:hAnsi="Times New Roman" w:cs="Times New Roman" w:eastAsia="Times New Roman" w:hint="default"/>
          <w:spacing w:val="-4"/>
        </w:rPr>
        <w:t>1</w:t>
      </w:r>
      <w:r>
        <w:rPr>
          <w:spacing w:val="-4"/>
        </w:rPr>
        <w:t>）财务会计管理制度仍需完善。有的财务会计管理措施，如财务预算、财务</w:t>
      </w:r>
      <w:r>
        <w:rPr>
          <w:w w:val="100"/>
        </w:rPr>
        <w:t> </w:t>
      </w:r>
      <w:r>
        <w:rPr/>
        <w:t>负责人管理、会计电算化管理等方面；有的财务会计处理因公司经营过程中未有发</w:t>
      </w:r>
      <w:r>
        <w:rPr>
          <w:w w:val="100"/>
        </w:rPr>
        <w:t> </w:t>
      </w:r>
      <w:r>
        <w:rPr>
          <w:spacing w:val="-4"/>
        </w:rPr>
        <w:t>生，故尚未形成规范的管理制度，如会计政策及会计估计变更、前期会计差错更正、</w:t>
      </w:r>
      <w:r>
        <w:rPr>
          <w:spacing w:val="-91"/>
        </w:rPr>
        <w:t> </w:t>
      </w:r>
      <w:r>
        <w:rPr>
          <w:spacing w:val="-91"/>
        </w:rPr>
      </w:r>
      <w:r>
        <w:rPr/>
        <w:t>资产减值准备核销管理等相关制度或规定。</w:t>
      </w:r>
    </w:p>
    <w:p>
      <w:pPr>
        <w:pStyle w:val="BodyText"/>
        <w:spacing w:line="348" w:lineRule="auto" w:before="39"/>
        <w:ind w:right="0" w:firstLine="459"/>
        <w:jc w:val="left"/>
      </w:pPr>
      <w:r>
        <w:rPr/>
        <w:t>（</w:t>
      </w:r>
      <w:r>
        <w:rPr>
          <w:rFonts w:ascii="Times New Roman" w:hAnsi="Times New Roman" w:cs="Times New Roman" w:eastAsia="Times New Roman" w:hint="default"/>
        </w:rPr>
        <w:t>2</w:t>
      </w:r>
      <w:r>
        <w:rPr/>
        <w:t>）财务会计管理制度修订不够及时。公司目前的财务会计管理制度是</w:t>
      </w:r>
      <w:r>
        <w:rPr>
          <w:rFonts w:ascii="Times New Roman" w:hAnsi="Times New Roman" w:cs="Times New Roman" w:eastAsia="Times New Roman" w:hint="default"/>
        </w:rPr>
        <w:t>2007</w:t>
      </w:r>
      <w:r>
        <w:rPr>
          <w:rFonts w:ascii="Times New Roman" w:hAnsi="Times New Roman" w:cs="Times New Roman" w:eastAsia="Times New Roman" w:hint="default"/>
          <w:w w:val="100"/>
        </w:rPr>
        <w:t> </w:t>
      </w:r>
      <w:r>
        <w:rPr>
          <w:spacing w:val="-4"/>
          <w:w w:val="100"/>
        </w:rPr>
        <w:t>年制定并实施的，部分内容有待根据国家及有关部门颁布的财务会计管理的新政策、</w:t>
      </w:r>
      <w:r>
        <w:rPr>
          <w:spacing w:val="-106"/>
          <w:w w:val="100"/>
        </w:rPr>
        <w:t> </w:t>
      </w:r>
      <w:r>
        <w:rPr>
          <w:spacing w:val="-106"/>
          <w:w w:val="100"/>
        </w:rPr>
      </w:r>
      <w:r>
        <w:rPr/>
        <w:t>新规定进行修订。</w:t>
      </w:r>
    </w:p>
    <w:p>
      <w:pPr>
        <w:pStyle w:val="BodyText"/>
        <w:spacing w:line="357" w:lineRule="auto" w:before="43"/>
        <w:ind w:right="221" w:firstLine="459"/>
        <w:jc w:val="both"/>
      </w:pPr>
      <w:r>
        <w:rPr>
          <w:spacing w:val="-8"/>
          <w:w w:val="100"/>
        </w:rPr>
        <w:t>整改情况：公司已制定了《财务会计负责人管理制度》，修订完善了《财务会计</w:t>
      </w:r>
      <w:r>
        <w:rPr>
          <w:w w:val="100"/>
        </w:rPr>
        <w:t> </w:t>
      </w:r>
      <w:r>
        <w:rPr>
          <w:spacing w:val="-7"/>
          <w:w w:val="100"/>
        </w:rPr>
        <w:t>管理制度》。将实际工作中虽然有具体做法但尚未形成规范的管理制度的，如财务预</w:t>
      </w:r>
      <w:r>
        <w:rPr>
          <w:spacing w:val="-112"/>
          <w:w w:val="100"/>
        </w:rPr>
        <w:t> </w:t>
      </w:r>
      <w:r>
        <w:rPr>
          <w:spacing w:val="-112"/>
          <w:w w:val="100"/>
        </w:rPr>
      </w:r>
      <w:r>
        <w:rPr>
          <w:spacing w:val="-1"/>
        </w:rPr>
        <w:t>算、会计电算化管理等，以及实际工作中尚未有发生的账务会计处理事项，如会计</w:t>
      </w:r>
      <w:r>
        <w:rPr>
          <w:spacing w:val="-93"/>
        </w:rPr>
        <w:t> </w:t>
      </w:r>
      <w:r>
        <w:rPr>
          <w:spacing w:val="-93"/>
        </w:rPr>
      </w:r>
      <w:r>
        <w:rPr>
          <w:spacing w:val="-1"/>
        </w:rPr>
        <w:t>政策及会计估计变更、前期会计差错更正、资产减值准备核销管理等，均已根据有</w:t>
      </w:r>
      <w:r>
        <w:rPr>
          <w:spacing w:val="-93"/>
        </w:rPr>
        <w:t> </w:t>
      </w:r>
      <w:r>
        <w:rPr>
          <w:spacing w:val="-93"/>
        </w:rPr>
      </w:r>
      <w:r>
        <w:rPr>
          <w:spacing w:val="-1"/>
        </w:rPr>
        <w:t>关法律、法规制定了相应的规范性管理制度或规定。同时，进一步明确财务负责人</w:t>
      </w:r>
      <w:r>
        <w:rPr>
          <w:spacing w:val="-93"/>
        </w:rPr>
        <w:t> </w:t>
      </w:r>
      <w:r>
        <w:rPr>
          <w:spacing w:val="-93"/>
        </w:rPr>
      </w:r>
      <w:r>
        <w:rPr>
          <w:spacing w:val="-1"/>
        </w:rPr>
        <w:t>是公司财务会计基础工作规范化的责任人，负责建立财务会计基础工作规范化的长</w:t>
      </w:r>
      <w:r>
        <w:rPr>
          <w:spacing w:val="-93"/>
        </w:rPr>
        <w:t> </w:t>
      </w:r>
      <w:r>
        <w:rPr>
          <w:spacing w:val="-93"/>
        </w:rPr>
      </w:r>
      <w:r>
        <w:rPr>
          <w:spacing w:val="-1"/>
        </w:rPr>
        <w:t>效机制；内审部负责人是公司财务会计基础工作规范化的督导责任人，负责检查财</w:t>
      </w:r>
      <w:r>
        <w:rPr>
          <w:spacing w:val="-93"/>
        </w:rPr>
        <w:t> </w:t>
      </w:r>
      <w:r>
        <w:rPr>
          <w:spacing w:val="-93"/>
        </w:rPr>
      </w:r>
      <w:r>
        <w:rPr/>
        <w:t>务会计基础工作规范化中存在的问题，并督导长效规范机制的持续有效性。</w:t>
      </w:r>
    </w:p>
    <w:p>
      <w:pPr>
        <w:pStyle w:val="BodyText"/>
        <w:spacing w:line="240" w:lineRule="auto" w:before="34"/>
        <w:ind w:left="597" w:right="186"/>
        <w:jc w:val="left"/>
      </w:pPr>
      <w:r>
        <w:rPr>
          <w:rFonts w:ascii="Times New Roman" w:hAnsi="Times New Roman" w:cs="Times New Roman" w:eastAsia="Times New Roman" w:hint="default"/>
        </w:rPr>
        <w:t>4</w:t>
      </w:r>
      <w:r>
        <w:rPr/>
        <w:t>、财务信息系统使用存在的相关问题：</w:t>
      </w:r>
    </w:p>
    <w:p>
      <w:pPr>
        <w:pStyle w:val="BodyText"/>
        <w:spacing w:line="345" w:lineRule="auto" w:before="129"/>
        <w:ind w:right="221" w:firstLine="459"/>
        <w:jc w:val="both"/>
      </w:pPr>
      <w:r>
        <w:rPr>
          <w:spacing w:val="-4"/>
        </w:rPr>
        <w:t>（</w:t>
      </w:r>
      <w:r>
        <w:rPr>
          <w:rFonts w:ascii="Times New Roman" w:hAnsi="Times New Roman" w:cs="Times New Roman" w:eastAsia="Times New Roman" w:hint="default"/>
          <w:spacing w:val="-4"/>
        </w:rPr>
        <w:t>1</w:t>
      </w:r>
      <w:r>
        <w:rPr>
          <w:spacing w:val="-4"/>
        </w:rPr>
        <w:t>）财务信息系统方面投入有限，难以满足业务长远发展的需要。尤其是涉及</w:t>
      </w:r>
      <w:r>
        <w:rPr>
          <w:w w:val="100"/>
        </w:rPr>
        <w:t> </w:t>
      </w:r>
      <w:r>
        <w:rPr>
          <w:spacing w:val="-1"/>
        </w:rPr>
        <w:t>财务与销售、采购等其他相关职能部门数据共享和协同管理方面，尚没有统一的信</w:t>
      </w:r>
      <w:r>
        <w:rPr>
          <w:spacing w:val="-93"/>
        </w:rPr>
        <w:t> </w:t>
      </w:r>
      <w:r>
        <w:rPr>
          <w:spacing w:val="-93"/>
        </w:rPr>
      </w:r>
      <w:r>
        <w:rPr/>
        <w:t>息管理系统平台，影响相关数据传递、衔接的工作效率和管理效果。</w:t>
      </w:r>
    </w:p>
    <w:p>
      <w:pPr>
        <w:pStyle w:val="BodyText"/>
        <w:spacing w:line="357" w:lineRule="auto" w:before="45"/>
        <w:ind w:right="227" w:firstLine="459"/>
        <w:jc w:val="both"/>
      </w:pPr>
      <w:r>
        <w:rPr>
          <w:spacing w:val="-1"/>
        </w:rPr>
        <w:t>整改情况：公司已明确由综合管理部负责公司管理信息系统建设，该责任部门</w:t>
      </w:r>
      <w:r>
        <w:rPr>
          <w:w w:val="100"/>
        </w:rPr>
        <w:t> </w:t>
      </w:r>
      <w:r>
        <w:rPr>
          <w:spacing w:val="-1"/>
        </w:rPr>
        <w:t>正在通过外购和研制开发相结合的方式建立涉及财务与销售、采购等其他相关职能</w:t>
      </w:r>
      <w:r>
        <w:rPr>
          <w:spacing w:val="-93"/>
        </w:rPr>
        <w:t> </w:t>
      </w:r>
      <w:r>
        <w:rPr>
          <w:spacing w:val="-93"/>
        </w:rPr>
      </w:r>
      <w:r>
        <w:rPr/>
        <w:t>部门的数据共享和协同管理信息管理平台，相关工作正在有序进行中。</w:t>
      </w:r>
    </w:p>
    <w:p>
      <w:pPr>
        <w:pStyle w:val="BodyText"/>
        <w:spacing w:line="338" w:lineRule="auto" w:before="34"/>
        <w:ind w:left="597" w:right="186"/>
        <w:jc w:val="left"/>
      </w:pPr>
      <w:r>
        <w:rPr/>
        <w:t>（</w:t>
      </w:r>
      <w:r>
        <w:rPr>
          <w:rFonts w:ascii="Times New Roman" w:hAnsi="Times New Roman" w:cs="Times New Roman" w:eastAsia="Times New Roman" w:hint="default"/>
        </w:rPr>
        <w:t>2</w:t>
      </w:r>
      <w:r>
        <w:rPr/>
        <w:t>）对财务信息系统进行管理的权限设置尚不完全规范。</w:t>
      </w:r>
      <w:r>
        <w:rPr>
          <w:w w:val="100"/>
        </w:rPr>
        <w:t> </w:t>
      </w:r>
      <w:r>
        <w:rPr>
          <w:spacing w:val="-1"/>
        </w:rPr>
        <w:t>整改情况：公司已对财务信息系统的权限管理进行重新划分，指派财务部门以</w:t>
      </w:r>
    </w:p>
    <w:p>
      <w:pPr>
        <w:pStyle w:val="BodyText"/>
        <w:spacing w:line="357" w:lineRule="auto" w:before="51"/>
        <w:ind w:right="186"/>
        <w:jc w:val="left"/>
      </w:pPr>
      <w:r>
        <w:rPr>
          <w:spacing w:val="-1"/>
        </w:rPr>
        <w:t>外的公司信息安全责任部门负责财务信息系统的安全和权限管理，并已遵照权限管</w:t>
      </w:r>
      <w:r>
        <w:rPr>
          <w:spacing w:val="-93"/>
        </w:rPr>
        <w:t> </w:t>
      </w:r>
      <w:r>
        <w:rPr>
          <w:spacing w:val="-93"/>
        </w:rPr>
      </w:r>
      <w:r>
        <w:rPr/>
        <w:t>理规定执行。</w:t>
      </w:r>
    </w:p>
    <w:p>
      <w:pPr>
        <w:pStyle w:val="BodyText"/>
        <w:spacing w:line="357" w:lineRule="auto" w:before="34"/>
        <w:ind w:right="227" w:firstLine="459"/>
        <w:jc w:val="both"/>
      </w:pPr>
      <w:r>
        <w:rPr>
          <w:spacing w:val="-1"/>
        </w:rPr>
        <w:t>公司董事会、财务相关负责人对本次规范财务会计基础工作专项活动给予了高</w:t>
      </w:r>
      <w:r>
        <w:rPr>
          <w:w w:val="100"/>
        </w:rPr>
        <w:t> </w:t>
      </w:r>
      <w:r>
        <w:rPr>
          <w:spacing w:val="-1"/>
        </w:rPr>
        <w:t>度重视，认真、有效地开展了相关工作，并取得了明显成效。通过本次专项活动，</w:t>
      </w:r>
      <w:r>
        <w:rPr>
          <w:spacing w:val="-93"/>
        </w:rPr>
        <w:t> </w:t>
      </w:r>
      <w:r>
        <w:rPr>
          <w:spacing w:val="-93"/>
        </w:rPr>
      </w:r>
      <w:r>
        <w:rPr>
          <w:spacing w:val="-1"/>
        </w:rPr>
        <w:t>公司董事会、总经理及各级财务会计相关人员对财务会计基础工作规范化的重要性</w:t>
      </w:r>
      <w:r>
        <w:rPr>
          <w:spacing w:val="-93"/>
        </w:rPr>
        <w:t> </w:t>
      </w:r>
      <w:r>
        <w:rPr>
          <w:spacing w:val="-93"/>
        </w:rPr>
      </w:r>
      <w:r>
        <w:rPr>
          <w:spacing w:val="-1"/>
        </w:rPr>
        <w:t>有了更充分、深刻的认识，将有效推进公司财务会计规范化建设工作，进一步提升</w:t>
      </w:r>
      <w:r>
        <w:rPr>
          <w:spacing w:val="-93"/>
        </w:rPr>
        <w:t> </w:t>
      </w:r>
      <w:r>
        <w:rPr>
          <w:spacing w:val="-93"/>
        </w:rPr>
      </w:r>
      <w:r>
        <w:rPr/>
        <w:t>公司的规范运作水平。</w:t>
      </w:r>
    </w:p>
    <w:p>
      <w:pPr>
        <w:spacing w:after="0" w:line="357" w:lineRule="auto"/>
        <w:jc w:val="both"/>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5"/>
        <w:spacing w:line="240" w:lineRule="auto" w:before="29"/>
        <w:ind w:left="137" w:right="0"/>
        <w:jc w:val="both"/>
        <w:rPr>
          <w:b w:val="0"/>
          <w:bCs w:val="0"/>
        </w:rPr>
      </w:pPr>
      <w:r>
        <w:rPr/>
        <w:t>（三）对防止资金占用长效机制建立和落实情况开展自查工作的情况</w:t>
      </w:r>
      <w:r>
        <w:rPr>
          <w:b w:val="0"/>
          <w:bCs w:val="0"/>
        </w:rPr>
      </w:r>
    </w:p>
    <w:p>
      <w:pPr>
        <w:spacing w:line="240" w:lineRule="auto" w:before="4"/>
        <w:rPr>
          <w:rFonts w:ascii="宋体" w:hAnsi="宋体" w:cs="宋体" w:eastAsia="宋体" w:hint="default"/>
          <w:b/>
          <w:bCs/>
          <w:sz w:val="20"/>
          <w:szCs w:val="20"/>
        </w:rPr>
      </w:pPr>
    </w:p>
    <w:p>
      <w:pPr>
        <w:pStyle w:val="BodyText"/>
        <w:spacing w:line="343" w:lineRule="auto" w:before="0"/>
        <w:ind w:right="103" w:firstLine="459"/>
        <w:jc w:val="left"/>
      </w:pPr>
      <w:r>
        <w:rPr>
          <w:spacing w:val="-4"/>
          <w:w w:val="100"/>
        </w:rPr>
        <w:t>中国证监会深圳监管局</w:t>
      </w:r>
      <w:r>
        <w:rPr>
          <w:rFonts w:ascii="Times New Roman" w:hAnsi="Times New Roman" w:cs="Times New Roman" w:eastAsia="Times New Roman" w:hint="default"/>
          <w:spacing w:val="-4"/>
          <w:w w:val="100"/>
        </w:rPr>
        <w:t>2010</w:t>
      </w:r>
      <w:r>
        <w:rPr>
          <w:spacing w:val="-4"/>
          <w:w w:val="100"/>
        </w:rPr>
        <w:t>年</w:t>
      </w:r>
      <w:r>
        <w:rPr>
          <w:rFonts w:ascii="Times New Roman" w:hAnsi="Times New Roman" w:cs="Times New Roman" w:eastAsia="Times New Roman" w:hint="default"/>
          <w:spacing w:val="-4"/>
          <w:w w:val="100"/>
        </w:rPr>
        <w:t>9</w:t>
      </w:r>
      <w:r>
        <w:rPr>
          <w:spacing w:val="-4"/>
          <w:w w:val="100"/>
        </w:rPr>
        <w:t>月</w:t>
      </w:r>
      <w:r>
        <w:rPr>
          <w:rFonts w:ascii="Times New Roman" w:hAnsi="Times New Roman" w:cs="Times New Roman" w:eastAsia="Times New Roman" w:hint="default"/>
          <w:spacing w:val="-4"/>
          <w:w w:val="100"/>
        </w:rPr>
        <w:t>17</w:t>
      </w:r>
      <w:r>
        <w:rPr>
          <w:spacing w:val="-4"/>
          <w:w w:val="100"/>
        </w:rPr>
        <w:t>日下发了《关于对防止资金占用长效机制建</w:t>
      </w:r>
      <w:r>
        <w:rPr>
          <w:w w:val="100"/>
        </w:rPr>
        <w:t> </w:t>
      </w:r>
      <w:r>
        <w:rPr>
          <w:spacing w:val="-7"/>
          <w:w w:val="100"/>
        </w:rPr>
        <w:t>立和落实情况开展自查工作的通知》（深证局公司字</w:t>
      </w:r>
      <w:r>
        <w:rPr>
          <w:rFonts w:ascii="Times New Roman" w:hAnsi="Times New Roman" w:cs="Times New Roman" w:eastAsia="Times New Roman" w:hint="default"/>
          <w:spacing w:val="-7"/>
          <w:w w:val="100"/>
        </w:rPr>
        <w:t>[2010]59</w:t>
      </w:r>
      <w:r>
        <w:rPr>
          <w:spacing w:val="-7"/>
          <w:w w:val="100"/>
        </w:rPr>
        <w:t>号）。根据该通知要求，</w:t>
      </w:r>
      <w:r>
        <w:rPr>
          <w:w w:val="100"/>
        </w:rPr>
        <w:t> </w:t>
      </w:r>
      <w:r>
        <w:rPr/>
        <w:t>公司对防止大股东及其关联方资金占用长效机制建立和的落实情况进行了全面自</w:t>
      </w:r>
      <w:r>
        <w:rPr>
          <w:w w:val="100"/>
        </w:rPr>
        <w:t> </w:t>
      </w:r>
      <w:r>
        <w:rPr/>
        <w:t>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日，公司第一届董事会第十三次会议审议通过了《关于防止资金</w:t>
      </w:r>
      <w:r>
        <w:rPr>
          <w:w w:val="100"/>
        </w:rPr>
        <w:t> </w:t>
      </w:r>
      <w:r>
        <w:rPr>
          <w:spacing w:val="-7"/>
          <w:w w:val="100"/>
        </w:rPr>
        <w:t>占用长效机制建立和落实情况的自查报告》。</w:t>
      </w:r>
    </w:p>
    <w:p>
      <w:pPr>
        <w:pStyle w:val="BodyText"/>
        <w:spacing w:line="348" w:lineRule="auto" w:before="47"/>
        <w:ind w:right="226" w:firstLine="459"/>
        <w:jc w:val="right"/>
      </w:pPr>
      <w:r>
        <w:rPr>
          <w:spacing w:val="-1"/>
        </w:rPr>
        <w:t>本次对公司防止资金占用长效机制建立和落实情况的自查持续跟踪结果如下：</w:t>
      </w:r>
      <w:r>
        <w:rPr>
          <w:w w:val="100"/>
        </w:rPr>
        <w:t> </w:t>
      </w:r>
      <w:r>
        <w:rPr>
          <w:rFonts w:ascii="Times New Roman" w:hAnsi="Times New Roman" w:cs="Times New Roman" w:eastAsia="Times New Roman" w:hint="default"/>
          <w:spacing w:val="-1"/>
        </w:rPr>
        <w:t>2010</w:t>
      </w:r>
      <w:r>
        <w:rPr>
          <w:spacing w:val="-1"/>
        </w:rPr>
        <w:t>年以来，公司不存在大股东及其关联方违规占用公司资金的情况，公司已</w:t>
      </w:r>
      <w:r>
        <w:rPr>
          <w:w w:val="100"/>
        </w:rPr>
        <w:t> </w:t>
      </w:r>
      <w:r>
        <w:rPr>
          <w:spacing w:val="-1"/>
        </w:rPr>
        <w:t>经建立了较为完善的关联方资金占用防范机制。公司与大股东及其关联方之间不存</w:t>
      </w:r>
      <w:r>
        <w:rPr>
          <w:w w:val="100"/>
        </w:rPr>
        <w:t> </w:t>
      </w:r>
      <w:r>
        <w:rPr>
          <w:spacing w:val="-1"/>
        </w:rPr>
        <w:t>在以经营性资金占用代替非经营性资金占用的情况；不存在公司为大股东及其关联</w:t>
      </w:r>
      <w:r>
        <w:rPr>
          <w:w w:val="100"/>
        </w:rPr>
        <w:t> </w:t>
      </w:r>
      <w:r>
        <w:rPr>
          <w:spacing w:val="-1"/>
        </w:rPr>
        <w:t>方垫付费用的情况；不存在大股东及其关联方</w:t>
      </w:r>
      <w:r>
        <w:rPr>
          <w:rFonts w:ascii="Times New Roman" w:hAnsi="Times New Roman" w:cs="Times New Roman" w:eastAsia="Times New Roman" w:hint="default"/>
          <w:spacing w:val="-1"/>
        </w:rPr>
        <w:t>“</w:t>
      </w:r>
      <w:r>
        <w:rPr>
          <w:spacing w:val="-1"/>
        </w:rPr>
        <w:t>期间占用、期末返还</w:t>
      </w:r>
      <w:r>
        <w:rPr>
          <w:rFonts w:ascii="Times New Roman" w:hAnsi="Times New Roman" w:cs="Times New Roman" w:eastAsia="Times New Roman" w:hint="default"/>
          <w:spacing w:val="-1"/>
        </w:rPr>
        <w:t>”</w:t>
      </w:r>
      <w:r>
        <w:rPr>
          <w:spacing w:val="-1"/>
        </w:rPr>
        <w:t>以及通过不公</w:t>
      </w:r>
      <w:r>
        <w:rPr>
          <w:w w:val="100"/>
        </w:rPr>
        <w:t> </w:t>
      </w:r>
      <w:r>
        <w:rPr>
          <w:spacing w:val="-8"/>
          <w:w w:val="100"/>
        </w:rPr>
        <w:t>允关联交易等方式变相占用公司资金问题；公司严格按照《公司章程》、《关联交易</w:t>
      </w:r>
      <w:r>
        <w:rPr>
          <w:w w:val="100"/>
        </w:rPr>
      </w:r>
    </w:p>
    <w:p>
      <w:pPr>
        <w:pStyle w:val="BodyText"/>
        <w:spacing w:line="357" w:lineRule="auto" w:before="43"/>
        <w:ind w:left="597" w:right="0" w:hanging="460"/>
        <w:jc w:val="left"/>
      </w:pPr>
      <w:r>
        <w:rPr>
          <w:spacing w:val="-4"/>
        </w:rPr>
        <w:t>决策制度》以及《财务管理制度》等要求履行资金支付管理以及关联交易决策程序。</w:t>
      </w:r>
      <w:r>
        <w:rPr>
          <w:spacing w:val="-92"/>
        </w:rPr>
        <w:t> </w:t>
      </w:r>
      <w:r>
        <w:rPr>
          <w:spacing w:val="-92"/>
        </w:rPr>
      </w:r>
      <w:r>
        <w:rPr/>
        <w:t>通过本次自查活动，公司充分认识到了对防止大股东及其关联方资金占用建立</w:t>
      </w:r>
    </w:p>
    <w:p>
      <w:pPr>
        <w:pStyle w:val="BodyText"/>
        <w:spacing w:line="357" w:lineRule="auto" w:before="34"/>
        <w:ind w:right="227"/>
        <w:jc w:val="both"/>
      </w:pPr>
      <w:r>
        <w:rPr>
          <w:spacing w:val="-1"/>
        </w:rPr>
        <w:t>长效机制的重要性，并提高了对关联方资金占用的防范意识，也有助于发现公司内</w:t>
      </w:r>
      <w:r>
        <w:rPr>
          <w:spacing w:val="-93"/>
        </w:rPr>
        <w:t> </w:t>
      </w:r>
      <w:r>
        <w:rPr>
          <w:spacing w:val="-93"/>
        </w:rPr>
      </w:r>
      <w:r>
        <w:rPr>
          <w:spacing w:val="-1"/>
        </w:rPr>
        <w:t>控制度存在的漏洞与不足。今后公司将进一步健全内控制度，不断提高公司治理水</w:t>
      </w:r>
      <w:r>
        <w:rPr>
          <w:spacing w:val="-93"/>
        </w:rPr>
        <w:t> </w:t>
      </w:r>
      <w:r>
        <w:rPr>
          <w:spacing w:val="-93"/>
        </w:rPr>
      </w:r>
      <w:r>
        <w:rPr/>
        <w:t>平，维护公司和投资者的利益。</w:t>
      </w:r>
    </w:p>
    <w:p>
      <w:pPr>
        <w:spacing w:after="0" w:line="357" w:lineRule="auto"/>
        <w:jc w:val="both"/>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1"/>
        <w:spacing w:line="240" w:lineRule="auto"/>
        <w:ind w:right="14"/>
        <w:jc w:val="center"/>
      </w:pPr>
      <w:bookmarkStart w:name="_TOC_250002" w:id="8"/>
      <w:r>
        <w:rPr/>
        <w:t>第八节</w:t>
      </w:r>
      <w:r>
        <w:rPr>
          <w:spacing w:val="-4"/>
        </w:rPr>
        <w:t> </w:t>
      </w:r>
      <w:bookmarkEnd w:id="8"/>
      <w:r>
        <w:rPr/>
        <w:t>监事会报告</w:t>
      </w:r>
    </w:p>
    <w:p>
      <w:pPr>
        <w:spacing w:line="240" w:lineRule="auto" w:before="0"/>
        <w:rPr>
          <w:rFonts w:ascii="黑体" w:hAnsi="黑体" w:cs="黑体" w:eastAsia="黑体" w:hint="default"/>
          <w:sz w:val="32"/>
          <w:szCs w:val="32"/>
        </w:rPr>
      </w:pPr>
    </w:p>
    <w:p>
      <w:pPr>
        <w:pStyle w:val="Heading5"/>
        <w:spacing w:line="240" w:lineRule="auto" w:before="247"/>
        <w:ind w:left="137" w:right="0"/>
        <w:jc w:val="left"/>
        <w:rPr>
          <w:b w:val="0"/>
          <w:bCs w:val="0"/>
        </w:rPr>
      </w:pPr>
      <w:r>
        <w:rPr/>
        <w:t>一、报告期内监事会工作情况</w:t>
      </w:r>
      <w:r>
        <w:rPr>
          <w:b w:val="0"/>
          <w:bCs w:val="0"/>
        </w:rPr>
      </w:r>
    </w:p>
    <w:p>
      <w:pPr>
        <w:spacing w:line="240" w:lineRule="auto" w:before="5"/>
        <w:rPr>
          <w:rFonts w:ascii="宋体" w:hAnsi="宋体" w:cs="宋体" w:eastAsia="宋体" w:hint="default"/>
          <w:b/>
          <w:bCs/>
          <w:sz w:val="20"/>
          <w:szCs w:val="20"/>
        </w:rPr>
      </w:pPr>
    </w:p>
    <w:p>
      <w:pPr>
        <w:pStyle w:val="BodyText"/>
        <w:spacing w:line="350" w:lineRule="auto" w:before="0"/>
        <w:ind w:right="187" w:firstLine="459"/>
        <w:jc w:val="both"/>
      </w:pPr>
      <w:r>
        <w:rPr>
          <w:rFonts w:ascii="Times New Roman" w:hAnsi="Times New Roman" w:cs="Times New Roman" w:eastAsia="Times New Roman" w:hint="default"/>
          <w:spacing w:val="-13"/>
          <w:w w:val="100"/>
        </w:rPr>
        <w:t>2010</w:t>
      </w:r>
      <w:r>
        <w:rPr>
          <w:spacing w:val="-13"/>
          <w:w w:val="100"/>
        </w:rPr>
        <w:t>年度，公司监事会严格按照《公司法》、《证券法》、《公司章程》和有关法</w:t>
      </w:r>
      <w:r>
        <w:rPr>
          <w:w w:val="100"/>
        </w:rPr>
        <w:t> </w:t>
      </w:r>
      <w:r>
        <w:rPr>
          <w:spacing w:val="-1"/>
        </w:rPr>
        <w:t>律法规的要求，本着对全体股东负责的态度，积极有效地开展工作，认真履行了自</w:t>
      </w:r>
      <w:r>
        <w:rPr>
          <w:spacing w:val="-93"/>
        </w:rPr>
        <w:t> </w:t>
      </w:r>
      <w:r>
        <w:rPr>
          <w:spacing w:val="-93"/>
        </w:rPr>
      </w:r>
      <w:r>
        <w:rPr>
          <w:spacing w:val="-1"/>
        </w:rPr>
        <w:t>身职责。监事会对公司依法运作情况和公司董事、高级管理人员履行职责情况进行</w:t>
      </w:r>
      <w:r>
        <w:rPr>
          <w:spacing w:val="-93"/>
        </w:rPr>
        <w:t> </w:t>
      </w:r>
      <w:r>
        <w:rPr>
          <w:spacing w:val="-93"/>
        </w:rPr>
      </w:r>
      <w:r>
        <w:rPr/>
        <w:t>了监督和检查，维护了公司及股东的合法权益。</w:t>
      </w:r>
    </w:p>
    <w:p>
      <w:pPr>
        <w:pStyle w:val="BodyText"/>
        <w:spacing w:line="240" w:lineRule="auto" w:before="41"/>
        <w:ind w:left="597" w:right="0"/>
        <w:jc w:val="left"/>
      </w:pPr>
      <w:r>
        <w:rPr/>
        <w:t>报告期内，公司监事会共召开了六次会议，具体如下：</w:t>
      </w:r>
    </w:p>
    <w:p>
      <w:pPr>
        <w:pStyle w:val="BodyText"/>
        <w:spacing w:line="338" w:lineRule="auto" w:before="145"/>
        <w:ind w:right="187" w:firstLine="459"/>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15</w:t>
      </w:r>
      <w:r>
        <w:rPr>
          <w:spacing w:val="-1"/>
        </w:rPr>
        <w:t>日，召开第一届监事会第六次会议，审议通过了《公司</w:t>
      </w:r>
      <w:r>
        <w:rPr>
          <w:rFonts w:ascii="Times New Roman" w:hAnsi="Times New Roman" w:cs="Times New Roman" w:eastAsia="Times New Roman" w:hint="default"/>
          <w:spacing w:val="-1"/>
        </w:rPr>
        <w:t>2009</w:t>
      </w:r>
      <w:r>
        <w:rPr>
          <w:spacing w:val="-1"/>
        </w:rPr>
        <w:t>年</w:t>
      </w:r>
      <w:r>
        <w:rPr>
          <w:w w:val="100"/>
        </w:rPr>
        <w:t> </w:t>
      </w:r>
      <w:r>
        <w:rPr>
          <w:spacing w:val="-13"/>
          <w:w w:val="100"/>
        </w:rPr>
        <w:t>度监事会工作报告》；</w:t>
      </w:r>
    </w:p>
    <w:p>
      <w:pPr>
        <w:pStyle w:val="BodyText"/>
        <w:spacing w:line="348" w:lineRule="auto" w:before="52"/>
        <w:ind w:right="181" w:firstLine="459"/>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3</w:t>
      </w:r>
      <w:r>
        <w:rPr>
          <w:spacing w:val="-4"/>
        </w:rPr>
        <w:t>日，召开第一届监事会第七次会议，审议通过了《关于用募集资</w:t>
      </w:r>
      <w:r>
        <w:rPr>
          <w:w w:val="100"/>
        </w:rPr>
        <w:t> </w:t>
      </w:r>
      <w:r>
        <w:rPr>
          <w:spacing w:val="-1"/>
        </w:rPr>
        <w:t>金置换预先已投入募集资金投资项目的自筹资金的议案》和《关于首次公开发行股</w:t>
      </w:r>
      <w:r>
        <w:rPr>
          <w:spacing w:val="-93"/>
        </w:rPr>
        <w:t> </w:t>
      </w:r>
      <w:r>
        <w:rPr>
          <w:spacing w:val="-93"/>
        </w:rPr>
      </w:r>
      <w:r>
        <w:rPr>
          <w:spacing w:val="-5"/>
          <w:w w:val="100"/>
        </w:rPr>
        <w:t>票募集资金中其他与主营业务相关的营运资金使用计划的议案》；</w:t>
      </w:r>
    </w:p>
    <w:p>
      <w:pPr>
        <w:pStyle w:val="BodyText"/>
        <w:spacing w:line="336" w:lineRule="auto" w:before="43"/>
        <w:ind w:right="187" w:firstLine="459"/>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18</w:t>
      </w:r>
      <w:r>
        <w:rPr>
          <w:spacing w:val="-1"/>
        </w:rPr>
        <w:t>日，召开第一届监事会第八次会议，审议通过了《公司</w:t>
      </w:r>
      <w:r>
        <w:rPr>
          <w:rFonts w:ascii="Times New Roman" w:hAnsi="Times New Roman" w:cs="Times New Roman" w:eastAsia="Times New Roman" w:hint="default"/>
          <w:spacing w:val="-1"/>
        </w:rPr>
        <w:t>2010</w:t>
      </w:r>
      <w:r>
        <w:rPr>
          <w:spacing w:val="-1"/>
        </w:rPr>
        <w:t>年</w:t>
      </w:r>
      <w:r>
        <w:rPr>
          <w:w w:val="100"/>
        </w:rPr>
        <w:t> </w:t>
      </w:r>
      <w:r>
        <w:rPr/>
        <w:t>半年度报告及其摘要》议案；</w:t>
      </w:r>
    </w:p>
    <w:p>
      <w:pPr>
        <w:pStyle w:val="BodyText"/>
        <w:spacing w:line="352" w:lineRule="auto" w:before="54"/>
        <w:ind w:right="0" w:firstLine="459"/>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22</w:t>
      </w:r>
      <w:r>
        <w:rPr>
          <w:spacing w:val="-4"/>
        </w:rPr>
        <w:t>日，召开了第一届监事会第九次会议，审议通过了《</w:t>
      </w:r>
      <w:r>
        <w:rPr>
          <w:rFonts w:ascii="Times New Roman" w:hAnsi="Times New Roman" w:cs="Times New Roman" w:eastAsia="Times New Roman" w:hint="default"/>
          <w:spacing w:val="-4"/>
        </w:rPr>
        <w:t>2010</w:t>
      </w:r>
      <w:r>
        <w:rPr>
          <w:spacing w:val="-4"/>
        </w:rPr>
        <w:t>年第</w:t>
      </w:r>
      <w:r>
        <w:rPr>
          <w:w w:val="100"/>
        </w:rPr>
        <w:t> </w:t>
      </w:r>
      <w:r>
        <w:rPr>
          <w:spacing w:val="-8"/>
          <w:w w:val="100"/>
        </w:rPr>
        <w:t>三季度报告全文及正文》、《关于加强上市公司治理专项活动的自查报告和整改计</w:t>
      </w:r>
      <w:r>
        <w:rPr>
          <w:spacing w:val="-86"/>
          <w:w w:val="100"/>
        </w:rPr>
        <w:t> </w:t>
      </w:r>
      <w:r>
        <w:rPr>
          <w:spacing w:val="-86"/>
          <w:w w:val="100"/>
        </w:rPr>
      </w:r>
      <w:r>
        <w:rPr>
          <w:spacing w:val="-13"/>
          <w:w w:val="100"/>
        </w:rPr>
        <w:t>划》、《关于全面深入开展规范财务会计基础工作专项活动的自查报告》、《关于对防</w:t>
      </w:r>
      <w:r>
        <w:rPr>
          <w:spacing w:val="-2"/>
          <w:w w:val="100"/>
        </w:rPr>
        <w:t> </w:t>
      </w:r>
      <w:r>
        <w:rPr>
          <w:spacing w:val="-7"/>
          <w:w w:val="100"/>
        </w:rPr>
        <w:t>止资金占用长效机制建立和落实情况的自查报告》、《关于监事会换届选举并征集监</w:t>
      </w:r>
      <w:r>
        <w:rPr>
          <w:w w:val="100"/>
        </w:rPr>
        <w:t> </w:t>
      </w:r>
      <w:r>
        <w:rPr/>
        <w:t>事候选人的议案》等议案；</w:t>
      </w:r>
    </w:p>
    <w:p>
      <w:pPr>
        <w:pStyle w:val="BodyText"/>
        <w:spacing w:line="345" w:lineRule="auto" w:before="38"/>
        <w:ind w:right="181" w:firstLine="459"/>
        <w:jc w:val="both"/>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23</w:t>
      </w:r>
      <w:r>
        <w:rPr>
          <w:spacing w:val="-4"/>
        </w:rPr>
        <w:t>日，召开第一届监事会第十次会议，审议通过了《关于公司监</w:t>
      </w:r>
      <w:r>
        <w:rPr>
          <w:w w:val="100"/>
        </w:rPr>
        <w:t> </w:t>
      </w:r>
      <w:r>
        <w:rPr>
          <w:spacing w:val="-8"/>
          <w:w w:val="100"/>
        </w:rPr>
        <w:t>事会换届选举暨第二届监事会非职工监事候选人提名的议案》、《监事会议事规则》</w:t>
      </w:r>
      <w:r>
        <w:rPr>
          <w:spacing w:val="-82"/>
          <w:w w:val="100"/>
        </w:rPr>
        <w:t> </w:t>
      </w:r>
      <w:r>
        <w:rPr>
          <w:spacing w:val="-82"/>
          <w:w w:val="100"/>
        </w:rPr>
      </w:r>
      <w:r>
        <w:rPr/>
        <w:t>等议案；</w:t>
      </w:r>
    </w:p>
    <w:p>
      <w:pPr>
        <w:pStyle w:val="BodyText"/>
        <w:spacing w:line="338" w:lineRule="auto" w:before="45"/>
        <w:ind w:right="181" w:firstLine="459"/>
        <w:jc w:val="both"/>
      </w:pP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10</w:t>
      </w:r>
      <w:r>
        <w:rPr>
          <w:spacing w:val="-4"/>
        </w:rPr>
        <w:t>日，召开第二届监事会第一次会议，选举汪婉欣为公司第二届</w:t>
      </w:r>
      <w:r>
        <w:rPr>
          <w:w w:val="100"/>
        </w:rPr>
        <w:t> </w:t>
      </w:r>
      <w:r>
        <w:rPr/>
        <w:t>监事会主席。</w:t>
      </w:r>
    </w:p>
    <w:p>
      <w:pPr>
        <w:spacing w:line="240" w:lineRule="auto" w:before="0"/>
        <w:rPr>
          <w:rFonts w:ascii="宋体" w:hAnsi="宋体" w:cs="宋体" w:eastAsia="宋体" w:hint="default"/>
          <w:sz w:val="22"/>
          <w:szCs w:val="22"/>
        </w:rPr>
      </w:pPr>
    </w:p>
    <w:p>
      <w:pPr>
        <w:spacing w:line="453" w:lineRule="auto" w:before="160"/>
        <w:ind w:left="597" w:right="0" w:hanging="460"/>
        <w:jc w:val="left"/>
        <w:rPr>
          <w:rFonts w:ascii="宋体" w:hAnsi="宋体" w:cs="宋体" w:eastAsia="宋体" w:hint="default"/>
          <w:sz w:val="23"/>
          <w:szCs w:val="23"/>
        </w:rPr>
      </w:pPr>
      <w:r>
        <w:rPr>
          <w:rFonts w:ascii="宋体" w:hAnsi="宋体" w:cs="宋体" w:eastAsia="宋体" w:hint="default"/>
          <w:b/>
          <w:bCs/>
          <w:sz w:val="23"/>
          <w:szCs w:val="23"/>
        </w:rPr>
        <w:t>二、监事会对公司报告期内有关事项的独立意见</w:t>
      </w:r>
      <w:r>
        <w:rPr>
          <w:rFonts w:ascii="宋体" w:hAnsi="宋体" w:cs="宋体" w:eastAsia="宋体" w:hint="default"/>
          <w:b/>
          <w:bCs/>
          <w:w w:val="99"/>
          <w:sz w:val="23"/>
          <w:szCs w:val="23"/>
        </w:rPr>
        <w:t> </w:t>
      </w:r>
      <w:r>
        <w:rPr>
          <w:rFonts w:ascii="宋体" w:hAnsi="宋体" w:cs="宋体" w:eastAsia="宋体" w:hint="default"/>
          <w:spacing w:val="-1"/>
          <w:sz w:val="23"/>
          <w:szCs w:val="23"/>
        </w:rPr>
        <w:t>报告期内，公司监事会根据相关法律法规及《公司章程》的有关规定，对公司</w:t>
      </w:r>
    </w:p>
    <w:p>
      <w:pPr>
        <w:pStyle w:val="BodyText"/>
        <w:spacing w:line="243" w:lineRule="exact" w:before="0"/>
        <w:ind w:right="0"/>
        <w:jc w:val="left"/>
      </w:pPr>
      <w:r>
        <w:rPr/>
        <w:t>的依法运作、财务状况、募集资金、关联交易、对外担保、内部控制等方面事项进</w:t>
      </w:r>
    </w:p>
    <w:p>
      <w:pPr>
        <w:spacing w:after="0" w:line="243" w:lineRule="exact"/>
        <w:jc w:val="left"/>
        <w:sectPr>
          <w:pgSz w:w="11910" w:h="16840"/>
          <w:pgMar w:header="877" w:footer="982" w:top="1100" w:bottom="1180" w:left="1660" w:right="1640"/>
        </w:sectPr>
      </w:pPr>
    </w:p>
    <w:p>
      <w:pPr>
        <w:spacing w:line="240" w:lineRule="auto" w:before="4"/>
        <w:rPr>
          <w:rFonts w:ascii="宋体" w:hAnsi="宋体" w:cs="宋体" w:eastAsia="宋体" w:hint="default"/>
          <w:sz w:val="19"/>
          <w:szCs w:val="19"/>
        </w:rPr>
      </w:pPr>
    </w:p>
    <w:p>
      <w:pPr>
        <w:pStyle w:val="BodyText"/>
        <w:spacing w:line="240" w:lineRule="auto"/>
        <w:ind w:right="0"/>
        <w:jc w:val="both"/>
      </w:pPr>
      <w:r>
        <w:rPr/>
        <w:t>行了认真监督检查，根据检查结果，对报告期内公司有关情况发表如下独立意见：</w:t>
      </w:r>
    </w:p>
    <w:p>
      <w:pPr>
        <w:pStyle w:val="BodyText"/>
        <w:spacing w:line="357" w:lineRule="auto" w:before="146"/>
        <w:ind w:left="597" w:right="186"/>
        <w:jc w:val="left"/>
      </w:pPr>
      <w:r>
        <w:rPr/>
        <w:t>（一）公司依法运作情况</w:t>
      </w:r>
      <w:r>
        <w:rPr>
          <w:w w:val="100"/>
        </w:rPr>
        <w:t> </w:t>
      </w:r>
      <w:r>
        <w:rPr>
          <w:spacing w:val="-14"/>
          <w:w w:val="100"/>
        </w:rPr>
        <w:t>公司监事会依照《公司法》、《证券法》、《公司章程》及有关法律法规的规定，</w:t>
      </w:r>
    </w:p>
    <w:p>
      <w:pPr>
        <w:pStyle w:val="BodyText"/>
        <w:spacing w:line="357" w:lineRule="auto" w:before="34"/>
        <w:ind w:right="227"/>
        <w:jc w:val="both"/>
      </w:pPr>
      <w:r>
        <w:rPr>
          <w:spacing w:val="-1"/>
        </w:rPr>
        <w:t>对公司股东大会、董事会的召开程序、决议事项，董事会对股东大会决议的执行情</w:t>
      </w:r>
      <w:r>
        <w:rPr>
          <w:spacing w:val="-93"/>
        </w:rPr>
        <w:t> </w:t>
      </w:r>
      <w:r>
        <w:rPr>
          <w:spacing w:val="-93"/>
        </w:rPr>
      </w:r>
      <w:r>
        <w:rPr>
          <w:spacing w:val="-1"/>
        </w:rPr>
        <w:t>况，公司高级管理人员的执行情况及公司管理制度等进行了监督，认为公司决策程</w:t>
      </w:r>
      <w:r>
        <w:rPr>
          <w:spacing w:val="-93"/>
        </w:rPr>
        <w:t> </w:t>
      </w:r>
      <w:r>
        <w:rPr>
          <w:spacing w:val="-93"/>
        </w:rPr>
      </w:r>
      <w:r>
        <w:rPr>
          <w:spacing w:val="-1"/>
        </w:rPr>
        <w:t>序合法，公司建立了较为完善的内部控制制度。公司董事、经理及高级管理人员履</w:t>
      </w:r>
      <w:r>
        <w:rPr>
          <w:spacing w:val="-93"/>
        </w:rPr>
        <w:t> </w:t>
      </w:r>
      <w:r>
        <w:rPr>
          <w:spacing w:val="-93"/>
        </w:rPr>
      </w:r>
      <w:r>
        <w:rPr>
          <w:spacing w:val="-1"/>
        </w:rPr>
        <w:t>行公司职务时，没有发现违反法律、法规和《公司章程》的行为，没有损害公司利</w:t>
      </w:r>
      <w:r>
        <w:rPr>
          <w:spacing w:val="-93"/>
        </w:rPr>
        <w:t> </w:t>
      </w:r>
      <w:r>
        <w:rPr>
          <w:spacing w:val="-93"/>
        </w:rPr>
      </w:r>
      <w:r>
        <w:rPr/>
        <w:t>益的行为。</w:t>
      </w:r>
    </w:p>
    <w:p>
      <w:pPr>
        <w:pStyle w:val="BodyText"/>
        <w:spacing w:line="357" w:lineRule="auto" w:before="34"/>
        <w:ind w:left="597" w:right="186"/>
        <w:jc w:val="left"/>
      </w:pPr>
      <w:r>
        <w:rPr/>
        <w:t>（二）公司财务情况</w:t>
      </w:r>
      <w:r>
        <w:rPr>
          <w:w w:val="100"/>
        </w:rPr>
        <w:t> </w:t>
      </w:r>
      <w:r>
        <w:rPr>
          <w:spacing w:val="-1"/>
        </w:rPr>
        <w:t>监事会对公司报告期内的财务状况、财务管理和经营成果进行了认真地检查和</w:t>
      </w:r>
    </w:p>
    <w:p>
      <w:pPr>
        <w:pStyle w:val="BodyText"/>
        <w:spacing w:line="355" w:lineRule="auto" w:before="34"/>
        <w:ind w:right="101"/>
        <w:jc w:val="left"/>
      </w:pPr>
      <w:r>
        <w:rPr/>
        <w:t>审核，认为公司财务状况良好、财务制度健全、内控机制基本健全、会计无重大遗</w:t>
      </w:r>
      <w:r>
        <w:rPr>
          <w:w w:val="100"/>
        </w:rPr>
        <w:t> </w:t>
      </w:r>
      <w:r>
        <w:rPr>
          <w:spacing w:val="-11"/>
          <w:w w:val="100"/>
        </w:rPr>
        <w:t>漏和虚假记载。</w:t>
      </w:r>
      <w:r>
        <w:rPr>
          <w:rFonts w:ascii="Times New Roman" w:hAnsi="Times New Roman" w:cs="Times New Roman" w:eastAsia="Times New Roman" w:hint="default"/>
          <w:spacing w:val="-11"/>
          <w:w w:val="100"/>
        </w:rPr>
        <w:t>2010</w:t>
      </w:r>
      <w:r>
        <w:rPr>
          <w:rFonts w:ascii="Times New Roman" w:hAnsi="Times New Roman" w:cs="Times New Roman" w:eastAsia="Times New Roman" w:hint="default"/>
          <w:w w:val="100"/>
        </w:rPr>
        <w:t> </w:t>
      </w:r>
      <w:r>
        <w:rPr>
          <w:rFonts w:ascii="Times New Roman" w:hAnsi="Times New Roman" w:cs="Times New Roman" w:eastAsia="Times New Roman" w:hint="default"/>
          <w:spacing w:val="7"/>
          <w:w w:val="100"/>
        </w:rPr>
        <w:t> </w:t>
      </w:r>
      <w:r>
        <w:rPr>
          <w:spacing w:val="-5"/>
          <w:w w:val="100"/>
        </w:rPr>
        <w:t>年度财务报告真实、客观地反映了公司的财务状况和经营成果。</w:t>
      </w:r>
    </w:p>
    <w:p>
      <w:pPr>
        <w:pStyle w:val="BodyText"/>
        <w:spacing w:line="357" w:lineRule="auto" w:before="7"/>
        <w:ind w:left="597" w:right="186"/>
        <w:jc w:val="left"/>
      </w:pPr>
      <w:r>
        <w:rPr/>
        <w:t>（三）募集资金使用情况</w:t>
      </w:r>
      <w:r>
        <w:rPr>
          <w:w w:val="100"/>
        </w:rPr>
        <w:t> </w:t>
      </w:r>
      <w:r>
        <w:rPr>
          <w:spacing w:val="-1"/>
        </w:rPr>
        <w:t>报告期内，公司严格按照《募集资金管理制度》对募集资金进行使用和管理。</w:t>
      </w:r>
    </w:p>
    <w:p>
      <w:pPr>
        <w:pStyle w:val="BodyText"/>
        <w:spacing w:line="348" w:lineRule="auto" w:before="34"/>
        <w:ind w:right="222"/>
        <w:jc w:val="both"/>
      </w:pPr>
      <w:r>
        <w:rPr>
          <w:spacing w:val="-1"/>
        </w:rPr>
        <w:t>公司募集资金存放于专项账户集中管理，实际投入项目与承诺投入项目一致，没有</w:t>
      </w:r>
      <w:r>
        <w:rPr>
          <w:spacing w:val="-93"/>
        </w:rPr>
        <w:t> </w:t>
      </w:r>
      <w:r>
        <w:rPr>
          <w:spacing w:val="-93"/>
        </w:rPr>
      </w:r>
      <w:r>
        <w:rPr>
          <w:spacing w:val="-3"/>
        </w:rPr>
        <w:t>变更投向和用途，符合中国证监会、深圳证券交易所关于募集资金使用的相关规定</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4"/>
        </w:rPr>
        <w:t> </w:t>
      </w:r>
      <w:r>
        <w:rPr>
          <w:spacing w:val="-2"/>
        </w:rPr>
        <w:t>不存在违规使用募集资金的行为。监事会对公司使用募集资金</w:t>
      </w:r>
      <w:r>
        <w:rPr>
          <w:rFonts w:ascii="Times New Roman" w:hAnsi="Times New Roman" w:cs="Times New Roman" w:eastAsia="Times New Roman" w:hint="default"/>
          <w:spacing w:val="-2"/>
        </w:rPr>
        <w:t>8,793,875.86</w:t>
      </w:r>
      <w:r>
        <w:rPr>
          <w:spacing w:val="-2"/>
        </w:rPr>
        <w:t>元置换预</w:t>
      </w:r>
      <w:r>
        <w:rPr>
          <w:spacing w:val="-97"/>
        </w:rPr>
        <w:t> </w:t>
      </w:r>
      <w:r>
        <w:rPr>
          <w:spacing w:val="-97"/>
        </w:rPr>
      </w:r>
      <w:r>
        <w:rPr/>
        <w:t>先已投入募集资金投资项目的自筹资金、使用募集资金</w:t>
      </w:r>
      <w:r>
        <w:rPr>
          <w:rFonts w:ascii="Times New Roman" w:hAnsi="Times New Roman" w:cs="Times New Roman" w:eastAsia="Times New Roman" w:hint="default"/>
        </w:rPr>
        <w:t>45,000,000.00</w:t>
      </w:r>
      <w:r>
        <w:rPr/>
        <w:t>元永久补充流</w:t>
      </w:r>
      <w:r>
        <w:rPr>
          <w:w w:val="100"/>
        </w:rPr>
        <w:t> </w:t>
      </w:r>
      <w:r>
        <w:rPr>
          <w:spacing w:val="-1"/>
        </w:rPr>
        <w:t>动资金两项事项进行了审查，认为以上事项符合公司利益和有关规定，并履行了相</w:t>
      </w:r>
      <w:r>
        <w:rPr>
          <w:spacing w:val="-93"/>
        </w:rPr>
        <w:t> </w:t>
      </w:r>
      <w:r>
        <w:rPr>
          <w:spacing w:val="-93"/>
        </w:rPr>
      </w:r>
      <w:r>
        <w:rPr>
          <w:spacing w:val="-1"/>
        </w:rPr>
        <w:t>应的程序，不存在改变或变相改变募集资金投向和损害股东利益的情况，并发表了</w:t>
      </w:r>
      <w:r>
        <w:rPr>
          <w:spacing w:val="-93"/>
        </w:rPr>
        <w:t> </w:t>
      </w:r>
      <w:r>
        <w:rPr>
          <w:spacing w:val="-93"/>
        </w:rPr>
      </w:r>
      <w:r>
        <w:rPr/>
        <w:t>同意的意见。</w:t>
      </w:r>
    </w:p>
    <w:p>
      <w:pPr>
        <w:pStyle w:val="BodyText"/>
        <w:spacing w:line="357" w:lineRule="auto" w:before="43"/>
        <w:ind w:left="597" w:right="4134"/>
        <w:jc w:val="left"/>
      </w:pPr>
      <w:r>
        <w:rPr/>
        <w:t>（四）公司关联交易情况</w:t>
      </w:r>
      <w:r>
        <w:rPr>
          <w:w w:val="100"/>
        </w:rPr>
        <w:t> </w:t>
      </w:r>
      <w:r>
        <w:rPr>
          <w:spacing w:val="-1"/>
        </w:rPr>
        <w:t>报告期内，公司未发生关联交易行为。</w:t>
      </w:r>
    </w:p>
    <w:p>
      <w:pPr>
        <w:pStyle w:val="BodyText"/>
        <w:spacing w:line="355" w:lineRule="auto" w:before="34"/>
        <w:ind w:left="597" w:right="186"/>
        <w:jc w:val="left"/>
      </w:pPr>
      <w:r>
        <w:rPr/>
        <w:t>（五）公司对外担保情况保及股权、资产置换情况</w:t>
      </w:r>
      <w:r>
        <w:rPr>
          <w:w w:val="100"/>
        </w:rPr>
        <w:t> </w:t>
      </w:r>
      <w:r>
        <w:rPr>
          <w:spacing w:val="-1"/>
        </w:rPr>
        <w:t>报告期内，公司未发生对外担保及股权、资产置换情况，也未发生其他损害公</w:t>
      </w:r>
    </w:p>
    <w:p>
      <w:pPr>
        <w:pStyle w:val="BodyText"/>
        <w:spacing w:line="240" w:lineRule="auto" w:before="36"/>
        <w:ind w:right="0"/>
        <w:jc w:val="both"/>
      </w:pPr>
      <w:r>
        <w:rPr/>
        <w:t>司股东利益或造成公司资产流失的情况。</w:t>
      </w:r>
    </w:p>
    <w:p>
      <w:pPr>
        <w:pStyle w:val="BodyText"/>
        <w:spacing w:line="357" w:lineRule="auto" w:before="146"/>
        <w:ind w:left="597" w:right="1062"/>
        <w:jc w:val="left"/>
      </w:pPr>
      <w:r>
        <w:rPr/>
        <w:t>（六）公司收购、出售资产情况</w:t>
      </w:r>
      <w:r>
        <w:rPr>
          <w:w w:val="100"/>
        </w:rPr>
        <w:t> </w:t>
      </w:r>
      <w:r>
        <w:rPr>
          <w:spacing w:val="-1"/>
        </w:rPr>
        <w:t>报告期内，公司未发生收购、出售资产情况。</w:t>
      </w:r>
    </w:p>
    <w:p>
      <w:pPr>
        <w:pStyle w:val="BodyText"/>
        <w:spacing w:line="357" w:lineRule="auto" w:before="34"/>
        <w:ind w:left="597" w:right="186"/>
        <w:jc w:val="left"/>
      </w:pPr>
      <w:r>
        <w:rPr/>
        <w:t>（七）对内部控制自我评价报告的意见</w:t>
      </w:r>
      <w:r>
        <w:rPr>
          <w:w w:val="100"/>
        </w:rPr>
        <w:t> </w:t>
      </w:r>
      <w:r>
        <w:rPr>
          <w:spacing w:val="-1"/>
        </w:rPr>
        <w:t>监事会对董事会关于公司</w:t>
      </w:r>
      <w:r>
        <w:rPr>
          <w:rFonts w:ascii="Times New Roman" w:hAnsi="Times New Roman" w:cs="Times New Roman" w:eastAsia="Times New Roman" w:hint="default"/>
          <w:spacing w:val="-1"/>
        </w:rPr>
        <w:t>2010</w:t>
      </w:r>
      <w:r>
        <w:rPr>
          <w:spacing w:val="-1"/>
        </w:rPr>
        <w:t>年度内部控制自我评价报告、公司内部控制制度</w:t>
      </w:r>
    </w:p>
    <w:p>
      <w:pPr>
        <w:pStyle w:val="BodyText"/>
        <w:spacing w:line="240" w:lineRule="auto" w:before="4"/>
        <w:ind w:right="0"/>
        <w:jc w:val="both"/>
      </w:pPr>
      <w:r>
        <w:rPr/>
        <w:t>的建设和运行情况进行了审核，认为：公司已基本建立了较为完善的内部控制制度</w:t>
      </w:r>
    </w:p>
    <w:p>
      <w:pPr>
        <w:spacing w:after="0" w:line="240" w:lineRule="auto"/>
        <w:jc w:val="both"/>
        <w:sectPr>
          <w:pgSz w:w="11910" w:h="16840"/>
          <w:pgMar w:header="877" w:footer="982" w:top="1100" w:bottom="1180" w:left="1660" w:right="1600"/>
        </w:sectPr>
      </w:pPr>
    </w:p>
    <w:p>
      <w:pPr>
        <w:spacing w:line="240" w:lineRule="auto" w:before="4"/>
        <w:rPr>
          <w:rFonts w:ascii="宋体" w:hAnsi="宋体" w:cs="宋体" w:eastAsia="宋体" w:hint="default"/>
          <w:sz w:val="19"/>
          <w:szCs w:val="19"/>
        </w:rPr>
      </w:pPr>
    </w:p>
    <w:p>
      <w:pPr>
        <w:pStyle w:val="BodyText"/>
        <w:spacing w:line="357" w:lineRule="auto"/>
        <w:ind w:right="187"/>
        <w:jc w:val="both"/>
      </w:pPr>
      <w:r>
        <w:rPr>
          <w:spacing w:val="-1"/>
        </w:rPr>
        <w:t>体系，符合国家有关法律法规要求以及公司生产经营管理实际需要，并能得到有效</w:t>
      </w:r>
      <w:r>
        <w:rPr>
          <w:spacing w:val="-93"/>
        </w:rPr>
        <w:t> </w:t>
      </w:r>
      <w:r>
        <w:rPr>
          <w:spacing w:val="-93"/>
        </w:rPr>
      </w:r>
      <w:r>
        <w:rPr>
          <w:spacing w:val="-1"/>
        </w:rPr>
        <w:t>的执行。公司内部控制的自我评价报告真实、客观地反映了公司内部控制制度的建</w:t>
      </w:r>
      <w:r>
        <w:rPr>
          <w:spacing w:val="-93"/>
        </w:rPr>
        <w:t> </w:t>
      </w:r>
      <w:r>
        <w:rPr>
          <w:spacing w:val="-93"/>
        </w:rPr>
      </w:r>
      <w:r>
        <w:rPr/>
        <w:t>设及运行情况。</w:t>
      </w:r>
    </w:p>
    <w:p>
      <w:pPr>
        <w:pStyle w:val="BodyText"/>
        <w:spacing w:line="355" w:lineRule="auto" w:before="34"/>
        <w:ind w:right="0" w:firstLine="459"/>
        <w:jc w:val="left"/>
      </w:pPr>
      <w:r>
        <w:rPr>
          <w:spacing w:val="-8"/>
          <w:w w:val="100"/>
        </w:rPr>
        <w:t>本届监事会将继续严格按照《公司法》、《公司章程》和国家有关法规政策的规</w:t>
      </w:r>
      <w:r>
        <w:rPr>
          <w:w w:val="100"/>
        </w:rPr>
        <w:t> </w:t>
      </w:r>
      <w:r>
        <w:rPr/>
        <w:t>定，忠实履行自己的职责，进一步促进公司的规范运作。</w:t>
      </w:r>
    </w:p>
    <w:p>
      <w:pPr>
        <w:spacing w:after="0" w:line="355" w:lineRule="auto"/>
        <w:jc w:val="left"/>
        <w:sectPr>
          <w:pgSz w:w="11910" w:h="16840"/>
          <w:pgMar w:header="877"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6"/>
        <w:jc w:val="center"/>
      </w:pPr>
      <w:bookmarkStart w:name="_TOC_250001" w:id="9"/>
      <w:r>
        <w:rPr/>
        <w:t>第九节</w:t>
      </w:r>
      <w:r>
        <w:rPr>
          <w:spacing w:val="-4"/>
        </w:rPr>
        <w:t> </w:t>
      </w:r>
      <w:bookmarkEnd w:id="9"/>
      <w:r>
        <w:rPr/>
        <w:t>财务报告</w:t>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10"/>
        <w:rPr>
          <w:rFonts w:ascii="黑体" w:hAnsi="黑体" w:cs="黑体" w:eastAsia="黑体" w:hint="default"/>
          <w:sz w:val="25"/>
          <w:szCs w:val="25"/>
        </w:rPr>
      </w:pPr>
    </w:p>
    <w:p>
      <w:pPr>
        <w:spacing w:before="0"/>
        <w:ind w:left="3474" w:right="2931" w:firstLine="0"/>
        <w:jc w:val="center"/>
        <w:rPr>
          <w:rFonts w:ascii="宋体" w:hAnsi="宋体" w:cs="宋体" w:eastAsia="宋体" w:hint="default"/>
          <w:sz w:val="28"/>
          <w:szCs w:val="28"/>
        </w:rPr>
      </w:pPr>
      <w:r>
        <w:rPr>
          <w:rFonts w:ascii="宋体" w:hAnsi="宋体" w:cs="宋体" w:eastAsia="宋体" w:hint="default"/>
          <w:sz w:val="28"/>
          <w:szCs w:val="28"/>
        </w:rPr>
        <w:t>目</w:t>
      </w:r>
      <w:r>
        <w:rPr>
          <w:rFonts w:ascii="宋体" w:hAnsi="宋体" w:cs="宋体" w:eastAsia="宋体" w:hint="default"/>
          <w:spacing w:val="-2"/>
          <w:sz w:val="28"/>
          <w:szCs w:val="28"/>
        </w:rPr>
        <w:t> </w:t>
      </w:r>
      <w:r>
        <w:rPr>
          <w:rFonts w:ascii="宋体" w:hAnsi="宋体" w:cs="宋体" w:eastAsia="宋体" w:hint="default"/>
          <w:sz w:val="28"/>
          <w:szCs w:val="28"/>
        </w:rPr>
        <w:t>录</w:t>
      </w:r>
    </w:p>
    <w:p>
      <w:pPr>
        <w:pStyle w:val="BodyText"/>
        <w:tabs>
          <w:tab w:pos="7955" w:val="right" w:leader="dot"/>
        </w:tabs>
        <w:spacing w:line="240" w:lineRule="auto" w:before="703"/>
        <w:ind w:left="597" w:right="0"/>
        <w:jc w:val="left"/>
        <w:rPr>
          <w:rFonts w:ascii="Times New Roman" w:hAnsi="Times New Roman" w:cs="Times New Roman" w:eastAsia="Times New Roman" w:hint="default"/>
        </w:rPr>
      </w:pPr>
      <w:r>
        <w:rPr/>
        <w:t>审计报告</w:t>
      </w:r>
      <w:r>
        <w:rPr>
          <w:rFonts w:ascii="Times New Roman" w:hAnsi="Times New Roman" w:cs="Times New Roman" w:eastAsia="Times New Roman" w:hint="default"/>
        </w:rPr>
        <w:tab/>
        <w:t>62</w:t>
      </w:r>
    </w:p>
    <w:p>
      <w:pPr>
        <w:pStyle w:val="BodyText"/>
        <w:tabs>
          <w:tab w:pos="7955" w:val="right" w:leader="dot"/>
        </w:tabs>
        <w:spacing w:line="240" w:lineRule="auto" w:before="129"/>
        <w:ind w:left="597" w:right="0"/>
        <w:jc w:val="left"/>
        <w:rPr>
          <w:rFonts w:ascii="Times New Roman" w:hAnsi="Times New Roman" w:cs="Times New Roman" w:eastAsia="Times New Roman" w:hint="default"/>
        </w:rPr>
      </w:pPr>
      <w:r>
        <w:rPr/>
        <w:t>已审财务报表</w:t>
      </w:r>
      <w:r>
        <w:rPr>
          <w:rFonts w:ascii="Times New Roman" w:hAnsi="Times New Roman" w:cs="Times New Roman" w:eastAsia="Times New Roman" w:hint="default"/>
        </w:rPr>
        <w:tab/>
        <w:t>63</w:t>
      </w:r>
    </w:p>
    <w:p>
      <w:pPr>
        <w:pStyle w:val="BodyText"/>
        <w:tabs>
          <w:tab w:pos="7956" w:val="right" w:leader="dot"/>
        </w:tabs>
        <w:spacing w:line="240" w:lineRule="auto" w:before="129"/>
        <w:ind w:left="1058" w:right="0"/>
        <w:jc w:val="left"/>
        <w:rPr>
          <w:rFonts w:ascii="Times New Roman" w:hAnsi="Times New Roman" w:cs="Times New Roman" w:eastAsia="Times New Roman" w:hint="default"/>
        </w:rPr>
      </w:pPr>
      <w:r>
        <w:rPr/>
        <w:t>合并及母公司资产负债表</w:t>
      </w:r>
      <w:r>
        <w:rPr>
          <w:rFonts w:ascii="Times New Roman" w:hAnsi="Times New Roman" w:cs="Times New Roman" w:eastAsia="Times New Roman" w:hint="default"/>
        </w:rPr>
        <w:tab/>
        <w:t>63</w:t>
      </w:r>
    </w:p>
    <w:p>
      <w:pPr>
        <w:pStyle w:val="BodyText"/>
        <w:tabs>
          <w:tab w:pos="7956" w:val="right" w:leader="dot"/>
        </w:tabs>
        <w:spacing w:line="240" w:lineRule="auto" w:before="129"/>
        <w:ind w:left="1058" w:right="0"/>
        <w:jc w:val="left"/>
        <w:rPr>
          <w:rFonts w:ascii="Times New Roman" w:hAnsi="Times New Roman" w:cs="Times New Roman" w:eastAsia="Times New Roman" w:hint="default"/>
        </w:rPr>
      </w:pPr>
      <w:r>
        <w:rPr/>
        <w:t>合并及母公司利润表</w:t>
      </w:r>
      <w:r>
        <w:rPr>
          <w:rFonts w:ascii="Times New Roman" w:hAnsi="Times New Roman" w:cs="Times New Roman" w:eastAsia="Times New Roman" w:hint="default"/>
        </w:rPr>
        <w:tab/>
        <w:t>67</w:t>
      </w:r>
    </w:p>
    <w:p>
      <w:pPr>
        <w:pStyle w:val="BodyText"/>
        <w:tabs>
          <w:tab w:pos="7956" w:val="right" w:leader="dot"/>
        </w:tabs>
        <w:spacing w:line="240" w:lineRule="auto" w:before="128"/>
        <w:ind w:left="1058" w:right="0"/>
        <w:jc w:val="left"/>
        <w:rPr>
          <w:rFonts w:ascii="Times New Roman" w:hAnsi="Times New Roman" w:cs="Times New Roman" w:eastAsia="Times New Roman" w:hint="default"/>
        </w:rPr>
      </w:pPr>
      <w:r>
        <w:rPr/>
        <w:t>合并及母公司现金流量表</w:t>
      </w:r>
      <w:r>
        <w:rPr>
          <w:rFonts w:ascii="Times New Roman" w:hAnsi="Times New Roman" w:cs="Times New Roman" w:eastAsia="Times New Roman" w:hint="default"/>
        </w:rPr>
        <w:tab/>
        <w:t>69</w:t>
      </w:r>
    </w:p>
    <w:p>
      <w:pPr>
        <w:pStyle w:val="BodyText"/>
        <w:tabs>
          <w:tab w:pos="7956" w:val="right" w:leader="dot"/>
        </w:tabs>
        <w:spacing w:line="240" w:lineRule="auto" w:before="129"/>
        <w:ind w:left="1058" w:right="0"/>
        <w:jc w:val="left"/>
        <w:rPr>
          <w:rFonts w:ascii="Times New Roman" w:hAnsi="Times New Roman" w:cs="Times New Roman" w:eastAsia="Times New Roman" w:hint="default"/>
        </w:rPr>
      </w:pPr>
      <w:r>
        <w:rPr/>
        <w:t>合并及母公司所有者权益变动表</w:t>
      </w:r>
      <w:r>
        <w:rPr>
          <w:rFonts w:ascii="Times New Roman" w:hAnsi="Times New Roman" w:cs="Times New Roman" w:eastAsia="Times New Roman" w:hint="default"/>
        </w:rPr>
        <w:tab/>
        <w:t>72</w:t>
      </w:r>
    </w:p>
    <w:p>
      <w:pPr>
        <w:pStyle w:val="BodyText"/>
        <w:tabs>
          <w:tab w:pos="7955" w:val="right" w:leader="dot"/>
        </w:tabs>
        <w:spacing w:line="240" w:lineRule="auto" w:before="129"/>
        <w:ind w:left="597" w:right="0"/>
        <w:jc w:val="left"/>
        <w:rPr>
          <w:rFonts w:ascii="Times New Roman" w:hAnsi="Times New Roman" w:cs="Times New Roman" w:eastAsia="Times New Roman" w:hint="default"/>
        </w:rPr>
      </w:pPr>
      <w:r>
        <w:rPr/>
        <w:t>财务报表附注</w:t>
      </w:r>
      <w:r>
        <w:rPr>
          <w:rFonts w:ascii="Times New Roman" w:hAnsi="Times New Roman" w:cs="Times New Roman" w:eastAsia="Times New Roman" w:hint="default"/>
        </w:rPr>
        <w:tab/>
        <w:t>76</w:t>
      </w:r>
    </w:p>
    <w:p>
      <w:pPr>
        <w:spacing w:after="0" w:line="240" w:lineRule="auto"/>
        <w:jc w:val="left"/>
        <w:rPr>
          <w:rFonts w:ascii="Times New Roman" w:hAnsi="Times New Roman" w:cs="Times New Roman" w:eastAsia="Times New Roman" w:hint="default"/>
        </w:rPr>
        <w:sectPr>
          <w:pgSz w:w="11910" w:h="16840"/>
          <w:pgMar w:header="877" w:footer="982" w:top="1100" w:bottom="1180" w:left="1660" w:right="1640"/>
        </w:sectPr>
      </w:pPr>
    </w:p>
    <w:p>
      <w:pPr>
        <w:spacing w:before="735"/>
        <w:ind w:left="3395" w:right="3470"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1"/>
          <w:sz w:val="32"/>
          <w:szCs w:val="32"/>
        </w:rPr>
        <w:t> </w:t>
      </w:r>
      <w:r>
        <w:rPr>
          <w:rFonts w:ascii="黑体" w:hAnsi="黑体" w:cs="黑体" w:eastAsia="黑体" w:hint="default"/>
          <w:sz w:val="32"/>
          <w:szCs w:val="32"/>
        </w:rPr>
        <w:t>告</w:t>
      </w:r>
    </w:p>
    <w:p>
      <w:pPr>
        <w:spacing w:before="377"/>
        <w:ind w:left="0" w:right="212" w:firstLine="0"/>
        <w:jc w:val="right"/>
        <w:rPr>
          <w:rFonts w:ascii="宋体" w:hAnsi="宋体" w:cs="宋体" w:eastAsia="宋体" w:hint="default"/>
          <w:sz w:val="21"/>
          <w:szCs w:val="21"/>
        </w:rPr>
      </w:pPr>
      <w:r>
        <w:rPr>
          <w:rFonts w:ascii="宋体" w:hAnsi="宋体" w:cs="宋体" w:eastAsia="宋体" w:hint="default"/>
          <w:sz w:val="21"/>
          <w:szCs w:val="21"/>
        </w:rPr>
        <w:t>深鹏所股审字</w:t>
      </w:r>
      <w:r>
        <w:rPr>
          <w:rFonts w:ascii="Times New Roman" w:hAnsi="Times New Roman" w:cs="Times New Roman" w:eastAsia="Times New Roman" w:hint="default"/>
          <w:sz w:val="21"/>
          <w:szCs w:val="21"/>
        </w:rPr>
        <w:t>[2011]0037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p>
    <w:p>
      <w:pPr>
        <w:spacing w:line="530" w:lineRule="exact" w:before="58"/>
        <w:ind w:left="557" w:right="95" w:hanging="420"/>
        <w:jc w:val="left"/>
        <w:rPr>
          <w:rFonts w:ascii="宋体" w:hAnsi="宋体" w:cs="宋体" w:eastAsia="宋体" w:hint="default"/>
          <w:sz w:val="21"/>
          <w:szCs w:val="21"/>
        </w:rPr>
      </w:pPr>
      <w:r>
        <w:rPr>
          <w:rFonts w:ascii="宋体" w:hAnsi="宋体" w:cs="宋体" w:eastAsia="宋体" w:hint="default"/>
          <w:sz w:val="21"/>
          <w:szCs w:val="21"/>
        </w:rPr>
        <w:t>深圳市银之杰科技股份有限公司全体股东： </w:t>
      </w:r>
      <w:r>
        <w:rPr>
          <w:rFonts w:ascii="宋体" w:hAnsi="宋体" w:cs="宋体" w:eastAsia="宋体" w:hint="default"/>
          <w:spacing w:val="-5"/>
          <w:sz w:val="21"/>
          <w:szCs w:val="21"/>
        </w:rPr>
        <w:t>我们审计了后附的深圳市银之杰科技股份有限公司（以下简称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银之杰公司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）财务报表，</w:t>
      </w:r>
    </w:p>
    <w:p>
      <w:pPr>
        <w:spacing w:line="338" w:lineRule="auto" w:before="56"/>
        <w:ind w:left="137" w:right="205" w:firstLine="0"/>
        <w:jc w:val="left"/>
        <w:rPr>
          <w:rFonts w:ascii="宋体" w:hAnsi="宋体" w:cs="宋体" w:eastAsia="宋体" w:hint="default"/>
          <w:sz w:val="21"/>
          <w:szCs w:val="21"/>
        </w:rPr>
      </w:pPr>
      <w:r>
        <w:rPr>
          <w:rFonts w:ascii="宋体" w:hAnsi="宋体" w:cs="宋体" w:eastAsia="宋体" w:hint="default"/>
          <w:sz w:val="21"/>
          <w:szCs w:val="21"/>
        </w:rPr>
        <w:t>包括</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日的公司及合并资产负债表，</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年度的公司及合并利润表、公司及 合并所有者权益变动表和公司及合并现金流量表以及财务报表附注。</w:t>
      </w:r>
    </w:p>
    <w:p>
      <w:pPr>
        <w:spacing w:before="167"/>
        <w:ind w:left="559" w:right="95"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一、管理层对财务报表的责任</w:t>
      </w:r>
      <w:r>
        <w:rPr>
          <w:rFonts w:ascii="黑体" w:hAnsi="黑体" w:cs="黑体" w:eastAsia="黑体" w:hint="default"/>
          <w:sz w:val="21"/>
          <w:szCs w:val="21"/>
        </w:rPr>
      </w:r>
    </w:p>
    <w:p>
      <w:pPr>
        <w:spacing w:line="240" w:lineRule="auto" w:before="6"/>
        <w:rPr>
          <w:rFonts w:ascii="黑体" w:hAnsi="黑体" w:cs="黑体" w:eastAsia="黑体" w:hint="default"/>
          <w:b/>
          <w:bCs/>
          <w:sz w:val="19"/>
          <w:szCs w:val="19"/>
        </w:rPr>
      </w:pPr>
    </w:p>
    <w:p>
      <w:pPr>
        <w:spacing w:line="345" w:lineRule="auto" w:before="0"/>
        <w:ind w:left="137" w:right="95" w:firstLine="420"/>
        <w:jc w:val="left"/>
        <w:rPr>
          <w:rFonts w:ascii="宋体" w:hAnsi="宋体" w:cs="宋体" w:eastAsia="宋体" w:hint="default"/>
          <w:sz w:val="21"/>
          <w:szCs w:val="21"/>
        </w:rPr>
      </w:pPr>
      <w:r>
        <w:rPr>
          <w:rFonts w:ascii="宋体" w:hAnsi="宋体" w:cs="宋体" w:eastAsia="宋体" w:hint="default"/>
          <w:spacing w:val="-3"/>
          <w:sz w:val="21"/>
          <w:szCs w:val="21"/>
        </w:rPr>
        <w:t>按照企业会计准则规定编制财务报表是银之杰公司管理层的责任。这种责任包括：（</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r>
        <w:rPr>
          <w:rFonts w:ascii="宋体" w:hAnsi="宋体" w:cs="宋体" w:eastAsia="宋体" w:hint="default"/>
          <w:spacing w:val="-3"/>
          <w:sz w:val="21"/>
          <w:szCs w:val="21"/>
        </w:rPr>
        <w:t>设计、实施和维护与财务报表编制相关的内部控制，以使财务报表不存在由于舞弊或错误而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导致的重大错报；（</w:t>
      </w:r>
      <w:r>
        <w:rPr>
          <w:rFonts w:ascii="Times New Roman" w:hAnsi="Times New Roman" w:cs="Times New Roman" w:eastAsia="Times New Roman" w:hint="default"/>
          <w:sz w:val="21"/>
          <w:szCs w:val="21"/>
        </w:rPr>
        <w:t>2</w:t>
      </w:r>
      <w:r>
        <w:rPr>
          <w:rFonts w:ascii="宋体" w:hAnsi="宋体" w:cs="宋体" w:eastAsia="宋体" w:hint="default"/>
          <w:sz w:val="21"/>
          <w:szCs w:val="21"/>
        </w:rPr>
        <w:t>）选择和运用恰当的会计政策；（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before="136"/>
        <w:ind w:left="559" w:right="95"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5"/>
        <w:rPr>
          <w:rFonts w:ascii="黑体" w:hAnsi="黑体" w:cs="黑体" w:eastAsia="黑体" w:hint="default"/>
          <w:b/>
          <w:bCs/>
          <w:sz w:val="19"/>
          <w:szCs w:val="19"/>
        </w:rPr>
      </w:pPr>
    </w:p>
    <w:p>
      <w:pPr>
        <w:spacing w:line="357" w:lineRule="auto" w:before="0"/>
        <w:ind w:left="137" w:right="212" w:firstLine="420"/>
        <w:jc w:val="both"/>
        <w:rPr>
          <w:rFonts w:ascii="宋体" w:hAnsi="宋体" w:cs="宋体" w:eastAsia="宋体" w:hint="default"/>
          <w:sz w:val="21"/>
          <w:szCs w:val="21"/>
        </w:rPr>
      </w:pPr>
      <w:r>
        <w:rPr>
          <w:rFonts w:ascii="宋体" w:hAnsi="宋体" w:cs="宋体" w:eastAsia="宋体" w:hint="default"/>
          <w:spacing w:val="-3"/>
          <w:sz w:val="21"/>
          <w:szCs w:val="21"/>
        </w:rPr>
        <w:t>我们的责任是在实施审计工作的基础上对财务报表发表审计意见。我们按照中国注册会</w:t>
      </w:r>
      <w:r>
        <w:rPr>
          <w:rFonts w:ascii="宋体" w:hAnsi="宋体" w:cs="宋体" w:eastAsia="宋体" w:hint="default"/>
          <w:sz w:val="21"/>
          <w:szCs w:val="21"/>
        </w:rPr>
        <w:t> </w:t>
      </w:r>
      <w:r>
        <w:rPr>
          <w:rFonts w:ascii="宋体" w:hAnsi="宋体" w:cs="宋体" w:eastAsia="宋体" w:hint="default"/>
          <w:spacing w:val="2"/>
          <w:sz w:val="21"/>
          <w:szCs w:val="21"/>
        </w:rPr>
        <w:t>计师审计准则的规定执行了审计工作。中国注册会计师审计准则要求我们遵守职业道德规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范，计划和实施审计工作以对财务报表是否不存在重大错报获取合理保证。</w:t>
      </w:r>
    </w:p>
    <w:p>
      <w:pPr>
        <w:spacing w:line="357" w:lineRule="auto" w:before="31"/>
        <w:ind w:left="137" w:right="102" w:firstLine="420"/>
        <w:jc w:val="left"/>
        <w:rPr>
          <w:rFonts w:ascii="宋体" w:hAnsi="宋体" w:cs="宋体" w:eastAsia="宋体" w:hint="default"/>
          <w:sz w:val="21"/>
          <w:szCs w:val="21"/>
        </w:rPr>
      </w:pPr>
      <w:r>
        <w:rPr>
          <w:rFonts w:ascii="宋体" w:hAnsi="宋体" w:cs="宋体" w:eastAsia="宋体" w:hint="default"/>
          <w:spacing w:val="-3"/>
          <w:sz w:val="21"/>
          <w:szCs w:val="21"/>
        </w:rPr>
        <w:t>审计工作涉及实施审计程序，以获取有关财务报表金额和披露的审计证据。选择的审计</w:t>
      </w:r>
      <w:r>
        <w:rPr>
          <w:rFonts w:ascii="宋体" w:hAnsi="宋体" w:cs="宋体" w:eastAsia="宋体" w:hint="default"/>
          <w:sz w:val="21"/>
          <w:szCs w:val="21"/>
        </w:rPr>
        <w:t> </w:t>
      </w:r>
      <w:r>
        <w:rPr>
          <w:rFonts w:ascii="宋体" w:hAnsi="宋体" w:cs="宋体" w:eastAsia="宋体" w:hint="default"/>
          <w:spacing w:val="2"/>
          <w:sz w:val="21"/>
          <w:szCs w:val="21"/>
        </w:rPr>
        <w:t>程序取决于注册会计师的判断，包括对由于舞弊或错误导致的财务报表重大错报风险的评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估。在进行风险评估时，我们考虑与财务报表编制相关的内部控制，以设计恰当的审计程序，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但目的并非对内部控制的有效性发表意见。审计工作还包括评价管理层选用会计政策的恰当</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性和作出会计估计的合理性，以及评价财务报表的总体列报。</w:t>
      </w:r>
    </w:p>
    <w:p>
      <w:pPr>
        <w:spacing w:before="31"/>
        <w:ind w:left="557" w:right="95"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5"/>
        <w:rPr>
          <w:rFonts w:ascii="宋体" w:hAnsi="宋体" w:cs="宋体" w:eastAsia="宋体" w:hint="default"/>
          <w:sz w:val="19"/>
          <w:szCs w:val="19"/>
        </w:rPr>
      </w:pPr>
    </w:p>
    <w:p>
      <w:pPr>
        <w:spacing w:before="0"/>
        <w:ind w:left="559" w:right="95"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6"/>
        <w:rPr>
          <w:rFonts w:ascii="黑体" w:hAnsi="黑体" w:cs="黑体" w:eastAsia="黑体" w:hint="default"/>
          <w:b/>
          <w:bCs/>
          <w:sz w:val="19"/>
          <w:szCs w:val="19"/>
        </w:rPr>
      </w:pPr>
    </w:p>
    <w:p>
      <w:pPr>
        <w:spacing w:line="345"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3"/>
          <w:sz w:val="21"/>
          <w:szCs w:val="21"/>
        </w:rPr>
        <w:t>我们认为，银之杰公司财务报表已经按照企业会计准则的规定编制，在所有重大方面公</w:t>
      </w:r>
      <w:r>
        <w:rPr>
          <w:rFonts w:ascii="宋体" w:hAnsi="宋体" w:cs="宋体" w:eastAsia="宋体" w:hint="default"/>
          <w:sz w:val="21"/>
          <w:szCs w:val="21"/>
        </w:rPr>
        <w:t> 允反映了银之杰公司</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日公司及合并的财务状况以及</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年度的公司及合并 的经营成果和现金流量。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tabs>
          <w:tab w:pos="4080" w:val="left" w:leader="none"/>
          <w:tab w:pos="7020" w:val="left" w:leader="none"/>
        </w:tabs>
        <w:spacing w:before="0"/>
        <w:ind w:left="168" w:right="95" w:firstLine="0"/>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tab/>
        <w:t>中国注册会计师</w:t>
        <w:tab/>
        <w:t>梅月欣</w:t>
      </w:r>
    </w:p>
    <w:p>
      <w:pPr>
        <w:spacing w:line="240" w:lineRule="auto" w:before="11"/>
        <w:rPr>
          <w:rFonts w:ascii="宋体" w:hAnsi="宋体" w:cs="宋体" w:eastAsia="宋体" w:hint="default"/>
          <w:sz w:val="24"/>
          <w:szCs w:val="24"/>
        </w:rPr>
      </w:pPr>
    </w:p>
    <w:p>
      <w:pPr>
        <w:tabs>
          <w:tab w:pos="7020" w:val="left" w:leader="none"/>
        </w:tabs>
        <w:spacing w:before="0"/>
        <w:ind w:left="4080" w:right="95" w:firstLine="0"/>
        <w:jc w:val="left"/>
        <w:rPr>
          <w:rFonts w:ascii="宋体" w:hAnsi="宋体" w:cs="宋体" w:eastAsia="宋体" w:hint="default"/>
          <w:sz w:val="21"/>
          <w:szCs w:val="21"/>
        </w:rPr>
      </w:pPr>
      <w:r>
        <w:rPr>
          <w:rFonts w:ascii="宋体" w:hAnsi="宋体" w:cs="宋体" w:eastAsia="宋体" w:hint="default"/>
          <w:sz w:val="21"/>
          <w:szCs w:val="21"/>
        </w:rPr>
        <w:t>中国注册会计师</w:t>
        <w:tab/>
        <w:t>蒙世权</w:t>
      </w:r>
    </w:p>
    <w:p>
      <w:pPr>
        <w:spacing w:line="240" w:lineRule="auto" w:before="11"/>
        <w:rPr>
          <w:rFonts w:ascii="宋体" w:hAnsi="宋体" w:cs="宋体" w:eastAsia="宋体" w:hint="default"/>
          <w:sz w:val="24"/>
          <w:szCs w:val="24"/>
        </w:rPr>
      </w:pPr>
    </w:p>
    <w:p>
      <w:pPr>
        <w:spacing w:line="247" w:lineRule="auto" w:before="0"/>
        <w:ind w:left="6762" w:right="559" w:hanging="18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 中国 </w:t>
      </w:r>
      <w:r>
        <w:rPr>
          <w:rFonts w:ascii="Wingdings" w:hAnsi="Wingdings" w:cs="Wingdings" w:eastAsia="Wingdings" w:hint="default"/>
          <w:sz w:val="21"/>
          <w:szCs w:val="21"/>
        </w:rPr>
        <w:t></w:t>
      </w:r>
      <w:r>
        <w:rPr>
          <w:rFonts w:ascii="Wingdings" w:hAnsi="Wingdings" w:cs="Wingdings" w:eastAsia="Wingdings" w:hint="default"/>
          <w:spacing w:val="-166"/>
          <w:sz w:val="21"/>
          <w:szCs w:val="21"/>
        </w:rPr>
        <w:t></w:t>
      </w:r>
      <w:r>
        <w:rPr>
          <w:rFonts w:ascii="Times New Roman" w:hAnsi="Times New Roman" w:cs="Times New Roman" w:eastAsia="Times New Roman" w:hint="default"/>
          <w:spacing w:val="-166"/>
          <w:sz w:val="21"/>
          <w:szCs w:val="21"/>
        </w:rPr>
      </w:r>
      <w:r>
        <w:rPr>
          <w:rFonts w:ascii="宋体" w:hAnsi="宋体" w:cs="宋体" w:eastAsia="宋体" w:hint="default"/>
          <w:sz w:val="21"/>
          <w:szCs w:val="21"/>
        </w:rPr>
        <w:t>深圳</w:t>
      </w:r>
    </w:p>
    <w:p>
      <w:pPr>
        <w:spacing w:after="0" w:line="247" w:lineRule="auto"/>
        <w:jc w:val="left"/>
        <w:rPr>
          <w:rFonts w:ascii="宋体" w:hAnsi="宋体" w:cs="宋体" w:eastAsia="宋体" w:hint="default"/>
          <w:sz w:val="21"/>
          <w:szCs w:val="21"/>
        </w:rPr>
        <w:sectPr>
          <w:pgSz w:w="11910" w:h="16840"/>
          <w:pgMar w:header="877" w:footer="982" w:top="1100" w:bottom="1180" w:left="1660" w:right="1580"/>
        </w:sectPr>
      </w:pPr>
    </w:p>
    <w:p>
      <w:pPr>
        <w:spacing w:line="240" w:lineRule="auto" w:before="8"/>
        <w:rPr>
          <w:rFonts w:ascii="宋体" w:hAnsi="宋体" w:cs="宋体" w:eastAsia="宋体" w:hint="default"/>
          <w:sz w:val="21"/>
          <w:szCs w:val="21"/>
        </w:rPr>
      </w:pPr>
    </w:p>
    <w:p>
      <w:pPr>
        <w:pStyle w:val="Heading2"/>
        <w:spacing w:line="244" w:lineRule="auto"/>
        <w:ind w:left="3544" w:right="2284" w:hanging="1180"/>
        <w:jc w:val="left"/>
        <w:rPr>
          <w:b w:val="0"/>
          <w:bCs w:val="0"/>
        </w:rPr>
      </w:pPr>
      <w:r>
        <w:rPr/>
        <w:t>深圳市银之杰科技股份有限公司</w:t>
      </w:r>
      <w:r>
        <w:rPr>
          <w:spacing w:val="1"/>
          <w:w w:val="99"/>
        </w:rPr>
        <w:t> </w:t>
      </w:r>
      <w:r>
        <w:rPr/>
        <w:t>财 务 报</w:t>
      </w:r>
      <w:r>
        <w:rPr>
          <w:spacing w:val="-3"/>
        </w:rPr>
        <w:t> </w:t>
      </w:r>
      <w:r>
        <w:rPr/>
        <w:t>表</w:t>
      </w:r>
      <w:r>
        <w:rPr>
          <w:b w:val="0"/>
          <w:bCs w:val="0"/>
        </w:rPr>
      </w:r>
    </w:p>
    <w:p>
      <w:pPr>
        <w:pStyle w:val="Heading3"/>
        <w:spacing w:line="240" w:lineRule="auto" w:before="227"/>
        <w:ind w:left="3381" w:right="3210"/>
        <w:jc w:val="center"/>
        <w:rPr>
          <w:b w:val="0"/>
          <w:bCs w:val="0"/>
        </w:rPr>
      </w:pPr>
      <w:r>
        <w:rPr/>
        <w:t>合并资产负债表</w:t>
      </w:r>
      <w:r>
        <w:rPr>
          <w:b w:val="0"/>
          <w:bCs w:val="0"/>
        </w:rPr>
      </w:r>
    </w:p>
    <w:p>
      <w:pPr>
        <w:tabs>
          <w:tab w:pos="5671" w:val="left" w:leader="none"/>
          <w:tab w:pos="7351" w:val="left" w:leader="none"/>
        </w:tabs>
        <w:spacing w:line="434" w:lineRule="auto" w:before="9"/>
        <w:ind w:left="317" w:right="271" w:firstLine="2818"/>
        <w:jc w:val="left"/>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2698"/>
        <w:gridCol w:w="1637"/>
        <w:gridCol w:w="2160"/>
        <w:gridCol w:w="2146"/>
      </w:tblGrid>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1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7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16" w:lineRule="exact"/>
              <w:ind w:left="7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4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spacing w:val="-1"/>
                <w:sz w:val="18"/>
              </w:rPr>
              <w:t>433,006,815.47</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pacing w:val="-1"/>
                <w:sz w:val="18"/>
              </w:rPr>
              <w:t>49,605,158.29</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pacing w:val="-1"/>
                <w:sz w:val="18"/>
              </w:rPr>
              <w:t>47,621,649.64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pacing w:val="-1"/>
                <w:sz w:val="18"/>
              </w:rPr>
              <w:t>31,843,047.81</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634,000.00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28,700.00</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pacing w:val="-1"/>
                <w:sz w:val="18"/>
              </w:rPr>
              <w:t>4,600,210.28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pacing w:val="-1"/>
                <w:sz w:val="18"/>
              </w:rPr>
              <w:t>1,576,853.06</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pacing w:val="-1"/>
                <w:sz w:val="18"/>
              </w:rPr>
              <w:t>1,247,558.79</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971,158.80</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289,731.28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134,497.33</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4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spacing w:val="-1"/>
                <w:sz w:val="18"/>
              </w:rPr>
              <w:t>487,399,965.46</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pacing w:val="-1"/>
                <w:sz w:val="18"/>
              </w:rPr>
              <w:t>84,159,415.29</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pacing w:val="-1"/>
                <w:sz w:val="18"/>
              </w:rPr>
              <w:t>46,336,627.59</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pacing w:val="-1"/>
                <w:sz w:val="18"/>
              </w:rPr>
              <w:t>46,097,962.50</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pacing w:val="-1"/>
                <w:sz w:val="18"/>
              </w:rPr>
              <w:t>3,861,610.85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pacing w:val="-1"/>
                <w:sz w:val="18"/>
              </w:rPr>
              <w:t>2,689,644.48</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34,883.25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25,653.14</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pacing w:val="-1"/>
                <w:sz w:val="18"/>
              </w:rPr>
              <w:t>2,061,331.41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826,426.16</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74,856.43</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2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505,567.75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272,613.00</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spacing w:val="-1"/>
                <w:sz w:val="18"/>
              </w:rPr>
              <w:t>53,626,447.01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
              <w:jc w:val="right"/>
              <w:rPr>
                <w:rFonts w:ascii="Times New Roman" w:hAnsi="Times New Roman" w:cs="Times New Roman" w:eastAsia="Times New Roman" w:hint="default"/>
                <w:sz w:val="18"/>
                <w:szCs w:val="18"/>
              </w:rPr>
            </w:pPr>
            <w:r>
              <w:rPr>
                <w:rFonts w:ascii="Times New Roman"/>
                <w:spacing w:val="-1"/>
                <w:sz w:val="18"/>
              </w:rPr>
              <w:t>49,160,729.55</w:t>
            </w:r>
          </w:p>
        </w:tc>
      </w:tr>
      <w:tr>
        <w:trPr>
          <w:trHeight w:val="270" w:hRule="exact"/>
        </w:trPr>
        <w:tc>
          <w:tcPr>
            <w:tcW w:w="269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37"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spacing w:val="-1"/>
                <w:sz w:val="18"/>
              </w:rPr>
              <w:t>541,026,412.47</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2"/>
              <w:jc w:val="right"/>
              <w:rPr>
                <w:rFonts w:ascii="Times New Roman" w:hAnsi="Times New Roman" w:cs="Times New Roman" w:eastAsia="Times New Roman" w:hint="default"/>
                <w:sz w:val="18"/>
                <w:szCs w:val="18"/>
              </w:rPr>
            </w:pPr>
            <w:r>
              <w:rPr>
                <w:rFonts w:ascii="Times New Roman"/>
                <w:spacing w:val="-1"/>
                <w:sz w:val="18"/>
              </w:rPr>
              <w:t>133,320,144.84</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1645" w:header="877" w:top="1100" w:bottom="1840" w:left="1480" w:right="1540"/>
          <w:pgNumType w:start="63"/>
        </w:sectPr>
      </w:pPr>
    </w:p>
    <w:p>
      <w:pPr>
        <w:spacing w:line="240" w:lineRule="auto" w:before="12"/>
        <w:rPr>
          <w:rFonts w:ascii="宋体" w:hAnsi="宋体" w:cs="宋体" w:eastAsia="宋体" w:hint="default"/>
          <w:sz w:val="19"/>
          <w:szCs w:val="19"/>
        </w:rPr>
      </w:pPr>
    </w:p>
    <w:p>
      <w:pPr>
        <w:pStyle w:val="Heading3"/>
        <w:spacing w:line="240" w:lineRule="auto" w:before="13"/>
        <w:ind w:left="3122" w:right="0"/>
        <w:jc w:val="left"/>
        <w:rPr>
          <w:b w:val="0"/>
          <w:bCs w:val="0"/>
        </w:rPr>
      </w:pPr>
      <w:r>
        <w:rPr/>
        <w:t>合并资产负债表（续）</w:t>
      </w:r>
      <w:r>
        <w:rPr>
          <w:b w:val="0"/>
          <w:bCs w:val="0"/>
        </w:rPr>
      </w:r>
    </w:p>
    <w:p>
      <w:pPr>
        <w:tabs>
          <w:tab w:pos="5671" w:val="left" w:leader="none"/>
          <w:tab w:pos="7351" w:val="left" w:leader="none"/>
        </w:tabs>
        <w:spacing w:line="434" w:lineRule="auto" w:before="9"/>
        <w:ind w:left="317" w:right="271" w:firstLine="2818"/>
        <w:jc w:val="left"/>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2702"/>
        <w:gridCol w:w="1632"/>
        <w:gridCol w:w="2160"/>
        <w:gridCol w:w="2146"/>
      </w:tblGrid>
      <w:tr>
        <w:trPr>
          <w:trHeight w:val="27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6" w:lineRule="exact"/>
              <w:ind w:left="2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7"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7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16" w:lineRule="exact"/>
              <w:ind w:left="7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13" w:space="0" w:color="DCDCDC"/>
              <w:left w:val="single" w:sz="4" w:space="0" w:color="000000"/>
              <w:bottom w:val="single" w:sz="4" w:space="0" w:color="000000"/>
              <w:right w:val="nil" w:sz="6" w:space="0" w:color="auto"/>
            </w:tcBorders>
          </w:tcPr>
          <w:p>
            <w:pPr>
              <w:pStyle w:val="TableParagraph"/>
              <w:spacing w:line="195"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pacing w:val="-1"/>
                <w:sz w:val="18"/>
              </w:rPr>
              <w:t>5,895,241.58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pacing w:val="-1"/>
                <w:sz w:val="18"/>
              </w:rPr>
              <w:t>2,184,597.34</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257,953.00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6,453.00</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15,120.35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125,005.35</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pacing w:val="-1"/>
                <w:sz w:val="18"/>
              </w:rPr>
              <w:t>3,463,204.76</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pacing w:val="-1"/>
                <w:sz w:val="18"/>
              </w:rPr>
              <w:t>3,250,956.17</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544,277.20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426,778.68</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12" w:space="0" w:color="DCDCDC"/>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pacing w:val="-1"/>
                <w:sz w:val="18"/>
              </w:rPr>
              <w:t>10,175,796.89</w:t>
            </w:r>
          </w:p>
        </w:tc>
        <w:tc>
          <w:tcPr>
            <w:tcW w:w="2146" w:type="dxa"/>
            <w:tcBorders>
              <w:top w:val="single" w:sz="4" w:space="0" w:color="000000"/>
              <w:left w:val="single" w:sz="4" w:space="0" w:color="000000"/>
              <w:bottom w:val="single" w:sz="12" w:space="0" w:color="DCDCDC"/>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pacing w:val="-1"/>
                <w:sz w:val="18"/>
              </w:rPr>
              <w:t>5,993,790.54</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.20</w:t>
            </w:r>
          </w:p>
        </w:tc>
        <w:tc>
          <w:tcPr>
            <w:tcW w:w="2160" w:type="dxa"/>
            <w:tcBorders>
              <w:top w:val="single" w:sz="9" w:space="0" w:color="DCDCDC"/>
              <w:left w:val="single" w:sz="4" w:space="0" w:color="000000"/>
              <w:bottom w:val="single" w:sz="4" w:space="0" w:color="000000"/>
              <w:right w:val="single" w:sz="4" w:space="0" w:color="000000"/>
            </w:tcBorders>
          </w:tcPr>
          <w:p>
            <w:pPr>
              <w:pStyle w:val="TableParagraph"/>
              <w:spacing w:line="200"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9" w:space="0" w:color="DCDCDC"/>
              <w:left w:val="single" w:sz="4" w:space="0" w:color="000000"/>
              <w:bottom w:val="single" w:sz="4" w:space="0" w:color="000000"/>
              <w:right w:val="nil" w:sz="6" w:space="0" w:color="auto"/>
            </w:tcBorders>
          </w:tcPr>
          <w:p>
            <w:pPr>
              <w:pStyle w:val="TableParagraph"/>
              <w:spacing w:line="200" w:lineRule="exact"/>
              <w:ind w:right="13"/>
              <w:jc w:val="right"/>
              <w:rPr>
                <w:rFonts w:ascii="Times New Roman" w:hAnsi="Times New Roman" w:cs="Times New Roman" w:eastAsia="Times New Roman" w:hint="default"/>
                <w:sz w:val="18"/>
                <w:szCs w:val="18"/>
              </w:rPr>
            </w:pPr>
            <w:r>
              <w:rPr>
                <w:rFonts w:ascii="Times New Roman"/>
                <w:spacing w:val="-1"/>
                <w:sz w:val="18"/>
              </w:rPr>
              <w:t>19,400,000.00</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pacing w:val="-1"/>
                <w:sz w:val="18"/>
              </w:rPr>
              <w:t>19,400,000.00</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13" w:space="0" w:color="DCDCDC"/>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pacing w:val="-1"/>
                <w:sz w:val="18"/>
              </w:rPr>
              <w:t>10,175,796.89</w:t>
            </w:r>
          </w:p>
        </w:tc>
        <w:tc>
          <w:tcPr>
            <w:tcW w:w="2146" w:type="dxa"/>
            <w:tcBorders>
              <w:top w:val="single" w:sz="4" w:space="0" w:color="000000"/>
              <w:left w:val="single" w:sz="4" w:space="0" w:color="000000"/>
              <w:bottom w:val="single" w:sz="13" w:space="0" w:color="DCDCDC"/>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pacing w:val="-1"/>
                <w:sz w:val="18"/>
              </w:rPr>
              <w:t>25,393,790.54</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.21</w:t>
            </w:r>
          </w:p>
        </w:tc>
        <w:tc>
          <w:tcPr>
            <w:tcW w:w="2160" w:type="dxa"/>
            <w:tcBorders>
              <w:top w:val="single" w:sz="13" w:space="0" w:color="DCDCDC"/>
              <w:left w:val="single" w:sz="4" w:space="0" w:color="000000"/>
              <w:bottom w:val="single" w:sz="4" w:space="0" w:color="000000"/>
              <w:right w:val="single" w:sz="4" w:space="0" w:color="000000"/>
            </w:tcBorders>
          </w:tcPr>
          <w:p>
            <w:pPr>
              <w:pStyle w:val="TableParagraph"/>
              <w:spacing w:line="195" w:lineRule="exact"/>
              <w:ind w:right="23"/>
              <w:jc w:val="right"/>
              <w:rPr>
                <w:rFonts w:ascii="Times New Roman" w:hAnsi="Times New Roman" w:cs="Times New Roman" w:eastAsia="Times New Roman" w:hint="default"/>
                <w:sz w:val="18"/>
                <w:szCs w:val="18"/>
              </w:rPr>
            </w:pPr>
            <w:r>
              <w:rPr>
                <w:rFonts w:ascii="Times New Roman"/>
                <w:spacing w:val="-1"/>
                <w:sz w:val="18"/>
              </w:rPr>
              <w:t>60,000,000.00</w:t>
            </w:r>
          </w:p>
        </w:tc>
        <w:tc>
          <w:tcPr>
            <w:tcW w:w="2146" w:type="dxa"/>
            <w:tcBorders>
              <w:top w:val="single" w:sz="13" w:space="0" w:color="DCDCDC"/>
              <w:left w:val="single" w:sz="4" w:space="0" w:color="000000"/>
              <w:bottom w:val="single" w:sz="4" w:space="0" w:color="000000"/>
              <w:right w:val="nil" w:sz="6" w:space="0" w:color="auto"/>
            </w:tcBorders>
          </w:tcPr>
          <w:p>
            <w:pPr>
              <w:pStyle w:val="TableParagraph"/>
              <w:spacing w:line="195" w:lineRule="exact"/>
              <w:ind w:right="13"/>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373,975,300.21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24,560.25</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pacing w:val="-1"/>
                <w:sz w:val="18"/>
              </w:rPr>
              <w:t>10,843,670.67</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pacing w:val="-1"/>
                <w:sz w:val="18"/>
              </w:rPr>
              <w:t>6,290,179.42</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22"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pacing w:val="-1"/>
                <w:sz w:val="18"/>
              </w:rPr>
              <w:t>86,031,644.70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pacing w:val="-1"/>
                <w:sz w:val="18"/>
              </w:rPr>
              <w:t>56,611,614.63</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22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530,850,615.58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pacing w:val="-1"/>
                <w:sz w:val="18"/>
              </w:rPr>
              <w:t>107,926,354.30</w:t>
            </w:r>
          </w:p>
        </w:tc>
      </w:tr>
      <w:tr>
        <w:trPr>
          <w:trHeight w:val="259"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530,850,615.58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pacing w:val="-1"/>
                <w:sz w:val="18"/>
              </w:rPr>
              <w:t>107,926,354.30</w:t>
            </w:r>
          </w:p>
        </w:tc>
      </w:tr>
      <w:tr>
        <w:trPr>
          <w:trHeight w:val="26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541,026,412.47</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pacing w:val="-1"/>
                <w:sz w:val="18"/>
              </w:rPr>
              <w:t>133,320,144.84</w:t>
            </w:r>
          </w:p>
        </w:tc>
      </w:tr>
    </w:tbl>
    <w:p>
      <w:pPr>
        <w:spacing w:after="0" w:line="207" w:lineRule="exact"/>
        <w:jc w:val="right"/>
        <w:rPr>
          <w:rFonts w:ascii="Times New Roman" w:hAnsi="Times New Roman" w:cs="Times New Roman" w:eastAsia="Times New Roman" w:hint="default"/>
          <w:sz w:val="18"/>
          <w:szCs w:val="18"/>
        </w:rPr>
        <w:sectPr>
          <w:pgSz w:w="11910" w:h="16840"/>
          <w:pgMar w:header="877" w:footer="1645" w:top="1100" w:bottom="1840" w:left="148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ind w:left="3381" w:right="3213"/>
        <w:jc w:val="center"/>
        <w:rPr>
          <w:b w:val="0"/>
          <w:bCs w:val="0"/>
        </w:rPr>
      </w:pPr>
      <w:r>
        <w:rPr/>
        <w:t>母公司资产负债表</w:t>
      </w:r>
      <w:r>
        <w:rPr>
          <w:b w:val="0"/>
          <w:bCs w:val="0"/>
        </w:rPr>
      </w:r>
    </w:p>
    <w:p>
      <w:pPr>
        <w:tabs>
          <w:tab w:pos="5671" w:val="left" w:leader="none"/>
          <w:tab w:pos="7351" w:val="left" w:leader="none"/>
        </w:tabs>
        <w:spacing w:line="434" w:lineRule="auto" w:before="190"/>
        <w:ind w:left="317" w:right="271" w:firstLine="2818"/>
        <w:jc w:val="left"/>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2702"/>
        <w:gridCol w:w="1632"/>
        <w:gridCol w:w="2160"/>
        <w:gridCol w:w="2146"/>
      </w:tblGrid>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7"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7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2"/>
              <w:ind w:left="7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406,944,604.19</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39,577,469.39</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47,621,649.64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31,843,047.81</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634,000.00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28,700.00</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23,000,000.00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4,568,650.05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1,576,853.06</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1,247,558.79</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971,158.80</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289,731.28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96,570.33</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484,306,193.95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74,093,799.39</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1,000,000.00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46,336,627.59</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46,097,962.50</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3,858,055.66</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2,685,123.05</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21,134.99</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16,594.84</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2,061,331.41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826,426.16</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74,856.43</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505,360.11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272,613.00</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54,608,935.92</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50,147,149.82</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538,915,129.87</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2"/>
              <w:jc w:val="right"/>
              <w:rPr>
                <w:rFonts w:ascii="Times New Roman" w:hAnsi="Times New Roman" w:cs="Times New Roman" w:eastAsia="Times New Roman" w:hint="default"/>
                <w:sz w:val="18"/>
                <w:szCs w:val="18"/>
              </w:rPr>
            </w:pPr>
            <w:r>
              <w:rPr>
                <w:rFonts w:ascii="Times New Roman"/>
                <w:spacing w:val="-1"/>
                <w:sz w:val="18"/>
              </w:rPr>
              <w:t>124,240,949.21</w:t>
            </w:r>
          </w:p>
        </w:tc>
      </w:tr>
    </w:tbl>
    <w:p>
      <w:pPr>
        <w:tabs>
          <w:tab w:pos="3018" w:val="left" w:leader="none"/>
          <w:tab w:pos="6348" w:val="left" w:leader="none"/>
        </w:tabs>
        <w:spacing w:before="67"/>
        <w:ind w:left="31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footerReference w:type="default" r:id="rId26"/>
          <w:pgSz w:w="11910" w:h="16840"/>
          <w:pgMar w:footer="982" w:header="877" w:top="1100" w:bottom="1180" w:left="1480" w:right="1540"/>
          <w:pgNumType w:start="6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ind w:left="2981" w:right="0"/>
        <w:jc w:val="left"/>
        <w:rPr>
          <w:b w:val="0"/>
          <w:bCs w:val="0"/>
        </w:rPr>
      </w:pPr>
      <w:r>
        <w:rPr/>
        <w:t>母公司资产负债表（续）</w:t>
      </w:r>
      <w:r>
        <w:rPr>
          <w:b w:val="0"/>
          <w:bCs w:val="0"/>
        </w:rPr>
      </w:r>
    </w:p>
    <w:p>
      <w:pPr>
        <w:tabs>
          <w:tab w:pos="5671" w:val="left" w:leader="none"/>
          <w:tab w:pos="7351" w:val="left" w:leader="none"/>
        </w:tabs>
        <w:spacing w:line="434" w:lineRule="auto" w:before="190"/>
        <w:ind w:left="317" w:right="271" w:firstLine="2818"/>
        <w:jc w:val="left"/>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2702"/>
        <w:gridCol w:w="1632"/>
        <w:gridCol w:w="2160"/>
        <w:gridCol w:w="2146"/>
      </w:tblGrid>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7"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7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2"/>
              <w:ind w:left="7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5,895,241.58</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2,184,597.34</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257,953.00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6,453.00</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15,120.35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125,005.35</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3,310,602.52</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1,965,733.32</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544,277.20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426,778.68</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10,023,194.65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4,708,567.69</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19,400,000.00</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19,400,000.00</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10,023,194.65</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24,108,567.69</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46" w:type="dxa"/>
            <w:tcBorders>
              <w:top w:val="single" w:sz="4" w:space="0" w:color="000000"/>
              <w:left w:val="single" w:sz="4" w:space="0" w:color="000000"/>
              <w:bottom w:val="single" w:sz="4" w:space="0" w:color="000000"/>
              <w:right w:val="nil" w:sz="6" w:space="0" w:color="auto"/>
            </w:tcBorders>
            <w:shd w:val="clear" w:color="auto" w:fill="DCDCDC"/>
          </w:tcPr>
          <w:p>
            <w:pP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60,000,000.00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373,975,300.21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24,560.25</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9,491,663.51</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5,510,782.14</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z w:val="18"/>
              </w:rPr>
              <w:t>-</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2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Times New Roman" w:hAnsi="Times New Roman" w:cs="Times New Roman" w:eastAsia="Times New Roman" w:hint="default"/>
                <w:sz w:val="18"/>
                <w:szCs w:val="18"/>
              </w:rPr>
            </w:pPr>
            <w:r>
              <w:rPr>
                <w:rFonts w:ascii="Times New Roman"/>
                <w:spacing w:val="-1"/>
                <w:sz w:val="18"/>
              </w:rPr>
              <w:t>85,424,971.50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3"/>
              <w:jc w:val="right"/>
              <w:rPr>
                <w:rFonts w:ascii="Times New Roman" w:hAnsi="Times New Roman" w:cs="Times New Roman" w:eastAsia="Times New Roman" w:hint="default"/>
                <w:sz w:val="18"/>
                <w:szCs w:val="18"/>
              </w:rPr>
            </w:pPr>
            <w:r>
              <w:rPr>
                <w:rFonts w:ascii="Times New Roman"/>
                <w:spacing w:val="-1"/>
                <w:sz w:val="18"/>
              </w:rPr>
              <w:t>49,597,039.13</w:t>
            </w:r>
          </w:p>
        </w:tc>
      </w:tr>
      <w:tr>
        <w:trPr>
          <w:trHeight w:val="310"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528,891,935.22</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2"/>
              <w:jc w:val="right"/>
              <w:rPr>
                <w:rFonts w:ascii="Times New Roman" w:hAnsi="Times New Roman" w:cs="Times New Roman" w:eastAsia="Times New Roman" w:hint="default"/>
                <w:sz w:val="18"/>
                <w:szCs w:val="18"/>
              </w:rPr>
            </w:pPr>
            <w:r>
              <w:rPr>
                <w:rFonts w:ascii="Times New Roman"/>
                <w:spacing w:val="-1"/>
                <w:sz w:val="18"/>
              </w:rPr>
              <w:t>100,132,381.52</w:t>
            </w:r>
          </w:p>
        </w:tc>
      </w:tr>
      <w:tr>
        <w:trPr>
          <w:trHeight w:val="311" w:hRule="exact"/>
        </w:trPr>
        <w:tc>
          <w:tcPr>
            <w:tcW w:w="270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2"/>
              <w:ind w:left="4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538,915,129.87</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2"/>
              <w:jc w:val="right"/>
              <w:rPr>
                <w:rFonts w:ascii="Times New Roman" w:hAnsi="Times New Roman" w:cs="Times New Roman" w:eastAsia="Times New Roman" w:hint="default"/>
                <w:sz w:val="18"/>
                <w:szCs w:val="18"/>
              </w:rPr>
            </w:pPr>
            <w:r>
              <w:rPr>
                <w:rFonts w:ascii="Times New Roman"/>
                <w:spacing w:val="-1"/>
                <w:sz w:val="18"/>
              </w:rPr>
              <w:t>124,240,949.21</w:t>
            </w:r>
          </w:p>
        </w:tc>
      </w:tr>
    </w:tbl>
    <w:p>
      <w:pPr>
        <w:tabs>
          <w:tab w:pos="3018" w:val="left" w:leader="none"/>
          <w:tab w:pos="6348" w:val="left" w:leader="none"/>
        </w:tabs>
        <w:spacing w:before="67"/>
        <w:ind w:left="31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48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ind w:right="2193"/>
        <w:jc w:val="center"/>
        <w:rPr>
          <w:b w:val="0"/>
          <w:bCs w:val="0"/>
        </w:rPr>
      </w:pPr>
      <w:r>
        <w:rPr/>
        <w:t>合并利润表</w:t>
      </w:r>
      <w:r>
        <w:rPr>
          <w:b w:val="0"/>
          <w:bCs w:val="0"/>
        </w:rPr>
      </w:r>
    </w:p>
    <w:p>
      <w:pPr>
        <w:tabs>
          <w:tab w:pos="5671" w:val="left" w:leader="none"/>
          <w:tab w:pos="7351" w:val="left" w:leader="none"/>
        </w:tabs>
        <w:spacing w:line="434" w:lineRule="auto" w:before="190"/>
        <w:ind w:left="317" w:right="291" w:firstLine="3238"/>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3876"/>
        <w:gridCol w:w="1177"/>
        <w:gridCol w:w="1801"/>
        <w:gridCol w:w="1801"/>
      </w:tblGrid>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4" w:lineRule="exact"/>
              <w:ind w:left="53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01"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14" w:lineRule="exact"/>
              <w:ind w:left="53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92,142,327.74</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75,147,752.56</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92,142,327.74</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75,147,752.56</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64,293,674.55</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51,250,982.86</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32,619,908.01</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26,186,244.30</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1,377,709.25</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586,899.95</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12,721,557.86</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10,283,143.58</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18,454,038.35</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11,913,373.39</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-3,208,671.11</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18"/>
                <w:szCs w:val="18"/>
              </w:rPr>
            </w:pPr>
            <w:r>
              <w:rPr>
                <w:rFonts w:ascii="Times New Roman"/>
                <w:spacing w:val="-1"/>
                <w:sz w:val="18"/>
              </w:rPr>
              <w:t>1,011,244.82</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6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2,329,132.19</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1,270,076.82</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48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27,848,653.19</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23,896,769.70</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7,245,914.15</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6,683,409.74</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576.85</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35,093,990.49</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30,580,179.44</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1,120,469.17</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1,305,686.14</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33,973,521.32</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29,274,493.30</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33,973,521.32</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29,274,493.30</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0.6321</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0.6505</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0.6321</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0.6505</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33,973,521.32</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29,274,493.30</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33,973,521.32</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29,274,493.30</w:t>
            </w:r>
          </w:p>
        </w:tc>
      </w:tr>
      <w:tr>
        <w:trPr>
          <w:trHeight w:val="270" w:hRule="exact"/>
        </w:trPr>
        <w:tc>
          <w:tcPr>
            <w:tcW w:w="387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1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z w:val="18"/>
              </w:rPr>
              <w:t>-</w:t>
            </w:r>
          </w:p>
        </w:tc>
      </w:tr>
    </w:tbl>
    <w:p>
      <w:pPr>
        <w:tabs>
          <w:tab w:pos="3018" w:val="left" w:leader="none"/>
          <w:tab w:pos="6348" w:val="left" w:leader="none"/>
        </w:tabs>
        <w:spacing w:line="324" w:lineRule="auto" w:before="67"/>
        <w:ind w:left="317" w:right="273" w:firstLine="0"/>
        <w:jc w:val="left"/>
        <w:rPr>
          <w:rFonts w:ascii="宋体" w:hAnsi="宋体" w:cs="宋体" w:eastAsia="宋体" w:hint="default"/>
          <w:sz w:val="21"/>
          <w:szCs w:val="21"/>
        </w:rPr>
      </w:pPr>
      <w:r>
        <w:rPr>
          <w:rFonts w:ascii="宋体" w:hAnsi="宋体" w:cs="宋体" w:eastAsia="宋体" w:hint="default"/>
          <w:sz w:val="21"/>
          <w:szCs w:val="21"/>
        </w:rPr>
        <w:t>本期发生同一控制下企业合并的，被合并方在合并前实现的净利润为：</w:t>
      </w:r>
      <w:r>
        <w:rPr>
          <w:rFonts w:ascii="Times New Roman" w:hAnsi="Times New Roman" w:cs="Times New Roman" w:eastAsia="Times New Roman" w:hint="default"/>
          <w:sz w:val="21"/>
          <w:szCs w:val="21"/>
        </w:rPr>
        <w:t>0 </w:t>
      </w:r>
      <w:r>
        <w:rPr>
          <w:rFonts w:ascii="宋体" w:hAnsi="宋体" w:cs="宋体" w:eastAsia="宋体" w:hint="default"/>
          <w:sz w:val="21"/>
          <w:szCs w:val="21"/>
        </w:rPr>
        <w:t>元。 </w:t>
      </w: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line="324" w:lineRule="auto"/>
        <w:jc w:val="left"/>
        <w:rPr>
          <w:rFonts w:ascii="宋体" w:hAnsi="宋体" w:cs="宋体" w:eastAsia="宋体" w:hint="default"/>
          <w:sz w:val="21"/>
          <w:szCs w:val="21"/>
        </w:rPr>
        <w:sectPr>
          <w:pgSz w:w="11910" w:h="16840"/>
          <w:pgMar w:header="877" w:footer="982" w:top="1100" w:bottom="1180" w:left="1480" w:right="15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before="13"/>
        <w:ind w:right="2193"/>
        <w:jc w:val="center"/>
        <w:rPr>
          <w:b w:val="0"/>
          <w:bCs w:val="0"/>
        </w:rPr>
      </w:pPr>
      <w:r>
        <w:rPr/>
        <w:t>母公司利润表</w:t>
      </w:r>
      <w:r>
        <w:rPr>
          <w:b w:val="0"/>
          <w:bCs w:val="0"/>
        </w:rPr>
      </w:r>
    </w:p>
    <w:p>
      <w:pPr>
        <w:tabs>
          <w:tab w:pos="5671" w:val="left" w:leader="none"/>
          <w:tab w:pos="7351" w:val="left" w:leader="none"/>
        </w:tabs>
        <w:spacing w:line="434" w:lineRule="auto" w:before="190"/>
        <w:ind w:left="317" w:right="291" w:firstLine="3238"/>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3810"/>
        <w:gridCol w:w="1244"/>
        <w:gridCol w:w="1800"/>
        <w:gridCol w:w="1800"/>
      </w:tblGrid>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0"/>
              <w:ind w:left="53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00"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40" w:lineRule="auto" w:before="60"/>
              <w:ind w:left="53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92,142,327.74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75,147,752.56</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48,562,424.25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34,567,587.55</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1,152,105.72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518,308.36</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12,721,557.86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10,283,143.58</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17,760,987.69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11,277,126.59</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-3,133,119.57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1,014,198.09</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2,327,471.12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1,269,836.32</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35,750,900.67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16,217,552.07</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5,179,166.73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6,567,425.15</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576.85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40,929,490.55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22,784,977.22</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1,120,676.81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1,305,686.14</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39,808,813.74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21,479,291.08</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0.7406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7"/>
              <w:jc w:val="right"/>
              <w:rPr>
                <w:rFonts w:ascii="Times New Roman" w:hAnsi="Times New Roman" w:cs="Times New Roman" w:eastAsia="Times New Roman" w:hint="default"/>
                <w:sz w:val="18"/>
                <w:szCs w:val="18"/>
              </w:rPr>
            </w:pPr>
            <w:r>
              <w:rPr>
                <w:rFonts w:ascii="Times New Roman"/>
                <w:sz w:val="18"/>
              </w:rPr>
              <w:t>0.4773</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0.7406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7"/>
              <w:jc w:val="right"/>
              <w:rPr>
                <w:rFonts w:ascii="Times New Roman" w:hAnsi="Times New Roman" w:cs="Times New Roman" w:eastAsia="Times New Roman" w:hint="default"/>
                <w:sz w:val="18"/>
                <w:szCs w:val="18"/>
              </w:rPr>
            </w:pPr>
            <w:r>
              <w:rPr>
                <w:rFonts w:ascii="Times New Roman"/>
                <w:sz w:val="18"/>
              </w:rPr>
              <w:t>0.4773</w:t>
            </w:r>
          </w:p>
        </w:tc>
      </w:tr>
      <w:tr>
        <w:trPr>
          <w:trHeight w:val="370"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3810"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39,808,813.74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pacing w:val="-1"/>
                <w:sz w:val="18"/>
              </w:rPr>
              <w:t>21,479,291.08</w:t>
            </w:r>
          </w:p>
        </w:tc>
      </w:tr>
    </w:tbl>
    <w:p>
      <w:pPr>
        <w:spacing w:line="240" w:lineRule="auto" w:before="0"/>
        <w:rPr>
          <w:rFonts w:ascii="宋体" w:hAnsi="宋体" w:cs="宋体" w:eastAsia="宋体" w:hint="default"/>
          <w:sz w:val="20"/>
          <w:szCs w:val="20"/>
        </w:rPr>
      </w:pPr>
    </w:p>
    <w:p>
      <w:pPr>
        <w:tabs>
          <w:tab w:pos="3018" w:val="left" w:leader="none"/>
          <w:tab w:pos="6348" w:val="left" w:leader="none"/>
        </w:tabs>
        <w:spacing w:before="168"/>
        <w:ind w:left="317" w:right="201"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48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ind w:left="3561" w:right="3410"/>
        <w:jc w:val="center"/>
        <w:rPr>
          <w:b w:val="0"/>
          <w:bCs w:val="0"/>
        </w:rPr>
      </w:pPr>
      <w:r>
        <w:rPr/>
        <w:t>合并现金流量表</w:t>
      </w:r>
      <w:r>
        <w:rPr>
          <w:b w:val="0"/>
          <w:bCs w:val="0"/>
        </w:rPr>
      </w:r>
    </w:p>
    <w:p>
      <w:pPr>
        <w:tabs>
          <w:tab w:pos="5851" w:val="left" w:leader="none"/>
          <w:tab w:pos="7531" w:val="left" w:leader="none"/>
        </w:tabs>
        <w:spacing w:line="434" w:lineRule="auto" w:before="190"/>
        <w:ind w:left="497" w:right="471" w:firstLine="3238"/>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3974"/>
        <w:gridCol w:w="1126"/>
        <w:gridCol w:w="1934"/>
        <w:gridCol w:w="1980"/>
      </w:tblGrid>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3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60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0"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40" w:lineRule="auto" w:before="12"/>
              <w:ind w:left="62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83,813,403.89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70,514,557.38</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3,440,814.15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4,895,709.74</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10,664,245.51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6,852,992.52</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97,918,463.55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82,263,259.64</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13,301,583.85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16,383,760.95</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22,379,994.91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18,550,863.04</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12,821,941.48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9,589,006.28</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.35(2)</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30,321,232.44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17,816,374.23</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78,824,752.68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62,340,004.50</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19,093,710.87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19,923,255.14</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304" w:lineRule="auto" w:before="12"/>
              <w:ind w:left="122" w:right="101" w:firstLine="18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w:t>
            </w:r>
            <w:r>
              <w:rPr>
                <w:rFonts w:ascii="宋体" w:hAnsi="宋体" w:cs="宋体" w:eastAsia="宋体" w:hint="default"/>
                <w:sz w:val="18"/>
                <w:szCs w:val="18"/>
              </w:rPr>
              <w:t> 的现金净额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9,990.00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9,990.00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6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304" w:lineRule="auto" w:before="12"/>
              <w:ind w:left="122" w:right="101" w:firstLine="180"/>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购建固定资产、无形资产和其他长期资产支付</w:t>
            </w:r>
            <w:r>
              <w:rPr>
                <w:rFonts w:ascii="宋体" w:hAnsi="宋体" w:cs="宋体" w:eastAsia="宋体" w:hint="default"/>
                <w:sz w:val="18"/>
                <w:szCs w:val="18"/>
              </w:rPr>
              <w:t> 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4,713,830.81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z w:val="18"/>
              </w:rPr>
              <w:t>538,201.37</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30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974"/>
        <w:gridCol w:w="1126"/>
        <w:gridCol w:w="1934"/>
        <w:gridCol w:w="1973"/>
      </w:tblGrid>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right="24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4,713,830.81</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538,201.37</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-4,703,840.81</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-538,201.37</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394,800,000.00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right="24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394,800,000.00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19,400,000.00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21,460,000.00</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601,401.60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1,201,424.78</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right="24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.35(6)</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5,786,811.28</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25,788,212.88</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22,661,424.78</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369,011,787.12</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-2,661,424.78</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383,401,657.18</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16,723,628.99</w:t>
            </w:r>
          </w:p>
        </w:tc>
      </w:tr>
      <w:tr>
        <w:trPr>
          <w:trHeight w:val="311"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49,605,158.29</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32,881,529.30</w:t>
            </w:r>
          </w:p>
        </w:tc>
      </w:tr>
      <w:tr>
        <w:trPr>
          <w:trHeight w:val="310" w:hRule="exact"/>
        </w:trPr>
        <w:tc>
          <w:tcPr>
            <w:tcW w:w="3974"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433,006,815.47</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49,605,158.29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tabs>
          <w:tab w:pos="3198" w:val="left" w:leader="none"/>
          <w:tab w:pos="6528" w:val="left" w:leader="none"/>
        </w:tabs>
        <w:spacing w:before="0"/>
        <w:ind w:left="49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30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13"/>
        <w:ind w:left="3561" w:right="3413"/>
        <w:jc w:val="center"/>
        <w:rPr>
          <w:b w:val="0"/>
          <w:bCs w:val="0"/>
        </w:rPr>
      </w:pPr>
      <w:r>
        <w:rPr/>
        <w:t>母公司现金流量表</w:t>
      </w:r>
      <w:r>
        <w:rPr>
          <w:b w:val="0"/>
          <w:bCs w:val="0"/>
        </w:rPr>
      </w:r>
    </w:p>
    <w:p>
      <w:pPr>
        <w:tabs>
          <w:tab w:pos="5851" w:val="left" w:leader="none"/>
          <w:tab w:pos="7531" w:val="left" w:leader="none"/>
        </w:tabs>
        <w:spacing w:line="434" w:lineRule="auto" w:before="190"/>
        <w:ind w:left="497" w:right="471" w:firstLine="3238"/>
        <w:jc w:val="left"/>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编制单位：深圳市银之杰科技股份有限公司</w:t>
        <w:tab/>
        <w:t>单位：元</w:t>
        <w:tab/>
        <w:t>币种：人民币</w:t>
      </w:r>
    </w:p>
    <w:tbl>
      <w:tblPr>
        <w:tblW w:w="0" w:type="auto"/>
        <w:jc w:val="left"/>
        <w:tblInd w:w="118" w:type="dxa"/>
        <w:tblLayout w:type="fixed"/>
        <w:tblCellMar>
          <w:top w:w="0" w:type="dxa"/>
          <w:left w:w="0" w:type="dxa"/>
          <w:bottom w:w="0" w:type="dxa"/>
          <w:right w:w="0" w:type="dxa"/>
        </w:tblCellMar>
        <w:tblLook w:val="01E0"/>
      </w:tblPr>
      <w:tblGrid>
        <w:gridCol w:w="3972"/>
        <w:gridCol w:w="1082"/>
        <w:gridCol w:w="1980"/>
        <w:gridCol w:w="1980"/>
      </w:tblGrid>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6" w:lineRule="exact"/>
              <w:ind w:left="356"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6" w:lineRule="exact"/>
              <w:ind w:left="62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0"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16" w:lineRule="exact"/>
              <w:ind w:left="62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83,813,403.89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70,514,557.38</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1,374,366.73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4,781,125.15</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10,587,529.22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8,474,611.49</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95,775,299.84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83,770,294.02</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34,509,383.85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27,384,127.17</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20,619,470.63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17,688,914.14</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8,263,249.02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9,218,389.92</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29,330,307.85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18,594,832.49</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92,722,411.35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72,886,263.72</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3,052,888.49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10,884,030.30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53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9,990.00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right="242"/>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9,990.00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529"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4,707,530.81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525,925.37</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right="242"/>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4,707,530.81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525,925.37</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-4,697,540.81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-525,925.37</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394,800,000.00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394,800,000.00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19,400,000.00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21,460,000.00</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18"/>
                <w:szCs w:val="18"/>
              </w:rPr>
            </w:pPr>
            <w:r>
              <w:rPr>
                <w:rFonts w:ascii="Times New Roman"/>
                <w:sz w:val="18"/>
              </w:rPr>
              <w:t>601,401.60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1,201,424.78</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5,786,811.28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25,788,212.88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22,661,424.78</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369,011,787.12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-2,661,424.78</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367,367,134.80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7,696,680.15</w:t>
            </w:r>
          </w:p>
        </w:tc>
      </w:tr>
      <w:tr>
        <w:trPr>
          <w:trHeight w:val="270"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39,577,469.39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31,880,789.24</w:t>
            </w:r>
          </w:p>
        </w:tc>
      </w:tr>
      <w:tr>
        <w:trPr>
          <w:trHeight w:val="271" w:hRule="exact"/>
        </w:trPr>
        <w:tc>
          <w:tcPr>
            <w:tcW w:w="3972"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8"/>
                <w:szCs w:val="18"/>
              </w:rPr>
            </w:pPr>
            <w:r>
              <w:rPr>
                <w:rFonts w:ascii="Times New Roman"/>
                <w:spacing w:val="-1"/>
                <w:sz w:val="18"/>
              </w:rPr>
              <w:t>406,944,604.19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39,577,469.39</w:t>
            </w:r>
          </w:p>
        </w:tc>
      </w:tr>
    </w:tbl>
    <w:p>
      <w:pPr>
        <w:tabs>
          <w:tab w:pos="3198" w:val="left" w:leader="none"/>
          <w:tab w:pos="6528" w:val="left" w:leader="none"/>
        </w:tabs>
        <w:spacing w:before="67"/>
        <w:ind w:left="49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tab/>
      </w:r>
      <w:r>
        <w:rPr>
          <w:rFonts w:ascii="宋体" w:hAnsi="宋体" w:cs="宋体" w:eastAsia="宋体" w:hint="default"/>
          <w:spacing w:val="-3"/>
          <w:sz w:val="21"/>
          <w:szCs w:val="21"/>
        </w:rPr>
        <w:t>主管会计工作负责人：许秋江</w:t>
        <w:tab/>
        <w:t>会计机构负责人：张春雷</w:t>
      </w:r>
    </w:p>
    <w:p>
      <w:pPr>
        <w:spacing w:after="0"/>
        <w:jc w:val="left"/>
        <w:rPr>
          <w:rFonts w:ascii="宋体" w:hAnsi="宋体" w:cs="宋体" w:eastAsia="宋体" w:hint="default"/>
          <w:sz w:val="21"/>
          <w:szCs w:val="21"/>
        </w:rPr>
        <w:sectPr>
          <w:pgSz w:w="11910" w:h="16840"/>
          <w:pgMar w:header="877" w:footer="982" w:top="1100" w:bottom="1180" w:left="1300" w:right="1340"/>
        </w:sectPr>
      </w:pPr>
    </w:p>
    <w:p>
      <w:pPr>
        <w:pStyle w:val="Heading4"/>
        <w:spacing w:line="310" w:lineRule="exact"/>
        <w:ind w:left="153" w:right="54"/>
        <w:jc w:val="center"/>
        <w:rPr>
          <w:b w:val="0"/>
          <w:bCs w:val="0"/>
        </w:rPr>
      </w:pPr>
      <w:r>
        <w:rPr/>
        <w:t>合并所有者权益变动表</w:t>
      </w:r>
      <w:r>
        <w:rPr>
          <w:b w:val="0"/>
          <w:bCs w:val="0"/>
        </w:rPr>
      </w:r>
    </w:p>
    <w:p>
      <w:pPr>
        <w:tabs>
          <w:tab w:pos="5984" w:val="left" w:leader="none"/>
          <w:tab w:pos="10445" w:val="left" w:leader="none"/>
          <w:tab w:pos="12544" w:val="left" w:leader="none"/>
        </w:tabs>
        <w:spacing w:before="121"/>
        <w:ind w:left="0" w:right="54" w:firstLine="0"/>
        <w:jc w:val="center"/>
        <w:rPr>
          <w:rFonts w:ascii="宋体" w:hAnsi="宋体" w:cs="宋体" w:eastAsia="宋体" w:hint="default"/>
          <w:sz w:val="21"/>
          <w:szCs w:val="21"/>
        </w:rPr>
      </w:pPr>
      <w:r>
        <w:rPr>
          <w:rFonts w:ascii="宋体" w:hAnsi="宋体" w:cs="宋体" w:eastAsia="宋体" w:hint="default"/>
          <w:sz w:val="21"/>
          <w:szCs w:val="21"/>
        </w:rPr>
        <w:t>编制单位：深圳市银之杰科技股份有限公司</w:t>
        <w:tab/>
      </w:r>
      <w:r>
        <w:rPr>
          <w:rFonts w:ascii="宋体" w:hAnsi="宋体" w:cs="宋体" w:eastAsia="宋体" w:hint="default"/>
          <w:spacing w:val="-1"/>
          <w:sz w:val="21"/>
          <w:szCs w:val="21"/>
        </w:rPr>
        <w:t>编制年度：</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年度</w:t>
        <w:tab/>
        <w:t>单位：元</w:t>
        <w:tab/>
        <w:t>币种：人民币</w:t>
      </w: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48"/>
        <w:gridCol w:w="1582"/>
        <w:gridCol w:w="1260"/>
        <w:gridCol w:w="1080"/>
        <w:gridCol w:w="900"/>
        <w:gridCol w:w="1260"/>
        <w:gridCol w:w="1260"/>
        <w:gridCol w:w="1260"/>
        <w:gridCol w:w="720"/>
        <w:gridCol w:w="1260"/>
        <w:gridCol w:w="1423"/>
      </w:tblGrid>
      <w:tr>
        <w:trPr>
          <w:trHeight w:val="243" w:hRule="exact"/>
        </w:trPr>
        <w:tc>
          <w:tcPr>
            <w:tcW w:w="2548" w:type="dxa"/>
            <w:tcBorders>
              <w:top w:val="single" w:sz="4" w:space="0" w:color="000000"/>
              <w:left w:val="nil" w:sz="6" w:space="0" w:color="auto"/>
              <w:bottom w:val="nil" w:sz="6" w:space="0" w:color="auto"/>
              <w:right w:val="single" w:sz="4" w:space="0" w:color="000000"/>
            </w:tcBorders>
            <w:shd w:val="clear" w:color="auto" w:fill="DCDCDC"/>
          </w:tcPr>
          <w:p>
            <w:pPr/>
          </w:p>
        </w:tc>
        <w:tc>
          <w:tcPr>
            <w:tcW w:w="12004" w:type="dxa"/>
            <w:gridSpan w:val="10"/>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3" w:hRule="exact"/>
        </w:trPr>
        <w:tc>
          <w:tcPr>
            <w:tcW w:w="2548"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2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0" w:type="dxa"/>
            <w:vMerge w:val="restart"/>
            <w:tcBorders>
              <w:top w:val="single" w:sz="51" w:space="0" w:color="DCDCDC"/>
              <w:left w:val="single" w:sz="23" w:space="0" w:color="DCDCDC"/>
              <w:right w:val="single" w:sz="10" w:space="0" w:color="DCDCDC"/>
            </w:tcBorders>
          </w:tcPr>
          <w:p>
            <w:pPr>
              <w:pStyle w:val="TableParagraph"/>
              <w:spacing w:line="240" w:lineRule="auto" w:before="2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少数股东权益</w:t>
            </w:r>
            <w:r>
              <w:rPr>
                <w:rFonts w:ascii="宋体" w:hAnsi="宋体" w:cs="宋体" w:eastAsia="宋体" w:hint="default"/>
                <w:sz w:val="18"/>
                <w:szCs w:val="18"/>
              </w:rPr>
            </w:r>
          </w:p>
        </w:tc>
        <w:tc>
          <w:tcPr>
            <w:tcW w:w="1423" w:type="dxa"/>
            <w:vMerge w:val="restart"/>
            <w:tcBorders>
              <w:top w:val="single" w:sz="51" w:space="0" w:color="DCDCDC"/>
              <w:left w:val="single" w:sz="10" w:space="0" w:color="DCDCDC"/>
              <w:right w:val="nil" w:sz="6" w:space="0" w:color="auto"/>
            </w:tcBorders>
          </w:tcPr>
          <w:p>
            <w:pPr>
              <w:pStyle w:val="TableParagraph"/>
              <w:spacing w:line="240" w:lineRule="auto" w:before="28"/>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所有者权益合计</w:t>
            </w:r>
            <w:r>
              <w:rPr>
                <w:rFonts w:ascii="宋体" w:hAnsi="宋体" w:cs="宋体" w:eastAsia="宋体" w:hint="default"/>
                <w:sz w:val="18"/>
                <w:szCs w:val="18"/>
              </w:rPr>
            </w:r>
          </w:p>
        </w:tc>
      </w:tr>
      <w:tr>
        <w:trPr>
          <w:trHeight w:val="244" w:hRule="exact"/>
        </w:trPr>
        <w:tc>
          <w:tcPr>
            <w:tcW w:w="2548" w:type="dxa"/>
            <w:tcBorders>
              <w:top w:val="nil" w:sz="6" w:space="0" w:color="auto"/>
              <w:left w:val="nil" w:sz="6" w:space="0" w:color="auto"/>
              <w:bottom w:val="single" w:sz="4" w:space="0" w:color="000000"/>
              <w:right w:val="single" w:sz="4" w:space="0" w:color="000000"/>
            </w:tcBorders>
            <w:shd w:val="clear" w:color="auto" w:fill="DCDCDC"/>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88"/>
              <w:jc w:val="righ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23" w:space="0" w:color="DCDCDC"/>
              <w:bottom w:val="single" w:sz="55" w:space="0" w:color="DCDCDC"/>
              <w:right w:val="single" w:sz="10" w:space="0" w:color="DCDCDC"/>
            </w:tcBorders>
          </w:tcPr>
          <w:p>
            <w:pPr/>
          </w:p>
        </w:tc>
        <w:tc>
          <w:tcPr>
            <w:tcW w:w="1423" w:type="dxa"/>
            <w:vMerge/>
            <w:tcBorders>
              <w:left w:val="single" w:sz="10" w:space="0" w:color="DCDCDC"/>
              <w:bottom w:val="single" w:sz="55" w:space="0" w:color="DCDCDC"/>
              <w:right w:val="nil" w:sz="6" w:space="0" w:color="auto"/>
            </w:tcBorders>
          </w:tcPr>
          <w:p>
            <w:pP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24,560.25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6,290,179.42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56,611,614.63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55" w:space="0" w:color="DCDCDC"/>
              <w:left w:val="single" w:sz="4" w:space="0" w:color="000000"/>
              <w:bottom w:val="single" w:sz="4" w:space="0" w:color="000000"/>
              <w:right w:val="single" w:sz="4" w:space="0" w:color="000000"/>
            </w:tcBorders>
          </w:tcPr>
          <w:p>
            <w:pPr>
              <w:pStyle w:val="TableParagraph"/>
              <w:spacing w:line="152" w:lineRule="exact"/>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55" w:space="0" w:color="DCDCDC"/>
              <w:left w:val="single" w:sz="4" w:space="0" w:color="000000"/>
              <w:bottom w:val="single" w:sz="4" w:space="0" w:color="000000"/>
              <w:right w:val="nil" w:sz="6" w:space="0" w:color="auto"/>
            </w:tcBorders>
          </w:tcPr>
          <w:p>
            <w:pPr>
              <w:pStyle w:val="TableParagraph"/>
              <w:spacing w:line="152" w:lineRule="exact"/>
              <w:ind w:right="8"/>
              <w:jc w:val="right"/>
              <w:rPr>
                <w:rFonts w:ascii="Times New Roman" w:hAnsi="Times New Roman" w:cs="Times New Roman" w:eastAsia="Times New Roman" w:hint="default"/>
                <w:sz w:val="18"/>
                <w:szCs w:val="18"/>
              </w:rPr>
            </w:pPr>
            <w:r>
              <w:rPr>
                <w:rFonts w:ascii="Times New Roman"/>
                <w:spacing w:val="-1"/>
                <w:sz w:val="18"/>
              </w:rPr>
              <w:t>107,926,354.30</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24,560.25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6,290,179.42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56,611,614.63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107,926,354.30</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4"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p>
          <w:p>
            <w:pPr>
              <w:pStyle w:val="TableParagraph"/>
              <w:spacing w:line="248"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29,420,030.07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8"/>
              <w:jc w:val="right"/>
              <w:rPr>
                <w:rFonts w:ascii="Times New Roman" w:hAnsi="Times New Roman" w:cs="Times New Roman" w:eastAsia="Times New Roman" w:hint="default"/>
                <w:sz w:val="18"/>
                <w:szCs w:val="18"/>
              </w:rPr>
            </w:pPr>
            <w:r>
              <w:rPr>
                <w:rFonts w:ascii="Times New Roman"/>
                <w:spacing w:val="-1"/>
                <w:sz w:val="18"/>
              </w:rPr>
              <w:t>422,924,261.28</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33,973,521.32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33,973,521.32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388,950,739.96</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388,950,739.96</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7"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30"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2" w:lineRule="exact"/>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10,843,670.67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86,031,644.70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pacing w:val="-1"/>
                <w:sz w:val="18"/>
              </w:rPr>
              <w:t>530,850,615.58</w:t>
            </w:r>
          </w:p>
        </w:tc>
      </w:tr>
    </w:tbl>
    <w:p>
      <w:pPr>
        <w:spacing w:after="0" w:line="240" w:lineRule="auto"/>
        <w:jc w:val="right"/>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0" w:footer="961" w:top="1020" w:bottom="1160" w:left="980" w:right="1080"/>
          <w:pgNumType w:start="72"/>
        </w:sectPr>
      </w:pPr>
    </w:p>
    <w:p>
      <w:pPr>
        <w:pStyle w:val="Heading4"/>
        <w:spacing w:line="310" w:lineRule="exact"/>
        <w:ind w:right="54"/>
        <w:jc w:val="center"/>
        <w:rPr>
          <w:b w:val="0"/>
          <w:bCs w:val="0"/>
        </w:rPr>
      </w:pPr>
      <w:r>
        <w:rPr/>
        <w:t>合并所有者权益变动表（续）</w:t>
      </w:r>
      <w:r>
        <w:rPr>
          <w:b w:val="0"/>
          <w:bCs w:val="0"/>
        </w:rPr>
      </w:r>
    </w:p>
    <w:p>
      <w:pPr>
        <w:tabs>
          <w:tab w:pos="5984" w:val="left" w:leader="none"/>
          <w:tab w:pos="10445" w:val="left" w:leader="none"/>
          <w:tab w:pos="12544" w:val="left" w:leader="none"/>
        </w:tabs>
        <w:spacing w:before="121"/>
        <w:ind w:left="0" w:right="54" w:firstLine="0"/>
        <w:jc w:val="center"/>
        <w:rPr>
          <w:rFonts w:ascii="宋体" w:hAnsi="宋体" w:cs="宋体" w:eastAsia="宋体" w:hint="default"/>
          <w:sz w:val="21"/>
          <w:szCs w:val="21"/>
        </w:rPr>
      </w:pPr>
      <w:r>
        <w:rPr>
          <w:rFonts w:ascii="宋体" w:hAnsi="宋体" w:cs="宋体" w:eastAsia="宋体" w:hint="default"/>
          <w:sz w:val="21"/>
          <w:szCs w:val="21"/>
        </w:rPr>
        <w:t>编制单位：深圳市银之杰科技股份有限公司</w:t>
        <w:tab/>
      </w:r>
      <w:r>
        <w:rPr>
          <w:rFonts w:ascii="宋体" w:hAnsi="宋体" w:cs="宋体" w:eastAsia="宋体" w:hint="default"/>
          <w:spacing w:val="-1"/>
          <w:sz w:val="21"/>
          <w:szCs w:val="21"/>
        </w:rPr>
        <w:t>编制年度：</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年度</w:t>
        <w:tab/>
        <w:t>单位：元</w:t>
        <w:tab/>
        <w:t>币种：人民币</w:t>
      </w: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48"/>
        <w:gridCol w:w="1762"/>
        <w:gridCol w:w="1260"/>
        <w:gridCol w:w="1080"/>
        <w:gridCol w:w="900"/>
        <w:gridCol w:w="1080"/>
        <w:gridCol w:w="1260"/>
        <w:gridCol w:w="1260"/>
        <w:gridCol w:w="720"/>
        <w:gridCol w:w="1260"/>
        <w:gridCol w:w="1423"/>
      </w:tblGrid>
      <w:tr>
        <w:trPr>
          <w:trHeight w:val="243" w:hRule="exact"/>
        </w:trPr>
        <w:tc>
          <w:tcPr>
            <w:tcW w:w="2548" w:type="dxa"/>
            <w:tcBorders>
              <w:top w:val="single" w:sz="4" w:space="0" w:color="000000"/>
              <w:left w:val="nil" w:sz="6" w:space="0" w:color="auto"/>
              <w:bottom w:val="nil" w:sz="6" w:space="0" w:color="auto"/>
              <w:right w:val="single" w:sz="4" w:space="0" w:color="000000"/>
            </w:tcBorders>
            <w:shd w:val="clear" w:color="auto" w:fill="DCDCDC"/>
          </w:tcPr>
          <w:p>
            <w:pPr/>
          </w:p>
        </w:tc>
        <w:tc>
          <w:tcPr>
            <w:tcW w:w="12004" w:type="dxa"/>
            <w:gridSpan w:val="10"/>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3" w:hRule="exact"/>
        </w:trPr>
        <w:tc>
          <w:tcPr>
            <w:tcW w:w="2548"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2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0" w:type="dxa"/>
            <w:vMerge w:val="restart"/>
            <w:tcBorders>
              <w:top w:val="single" w:sz="51" w:space="0" w:color="DCDCDC"/>
              <w:left w:val="single" w:sz="23" w:space="0" w:color="DCDCDC"/>
              <w:right w:val="single" w:sz="10" w:space="0" w:color="DCDCDC"/>
            </w:tcBorders>
          </w:tcPr>
          <w:p>
            <w:pPr>
              <w:pStyle w:val="TableParagraph"/>
              <w:spacing w:line="240" w:lineRule="auto" w:before="2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少数股东权益</w:t>
            </w:r>
            <w:r>
              <w:rPr>
                <w:rFonts w:ascii="宋体" w:hAnsi="宋体" w:cs="宋体" w:eastAsia="宋体" w:hint="default"/>
                <w:sz w:val="18"/>
                <w:szCs w:val="18"/>
              </w:rPr>
            </w:r>
          </w:p>
        </w:tc>
        <w:tc>
          <w:tcPr>
            <w:tcW w:w="1423" w:type="dxa"/>
            <w:vMerge w:val="restart"/>
            <w:tcBorders>
              <w:top w:val="single" w:sz="51" w:space="0" w:color="DCDCDC"/>
              <w:left w:val="single" w:sz="10" w:space="0" w:color="DCDCDC"/>
              <w:right w:val="nil" w:sz="6" w:space="0" w:color="auto"/>
            </w:tcBorders>
          </w:tcPr>
          <w:p>
            <w:pPr>
              <w:pStyle w:val="TableParagraph"/>
              <w:spacing w:line="240" w:lineRule="auto" w:before="28"/>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6"/>
                <w:sz w:val="18"/>
                <w:szCs w:val="18"/>
                <w:shd w:fill="DCDCDC" w:color="auto" w:val="clear"/>
              </w:rPr>
              <w:t> </w:t>
            </w:r>
            <w:r>
              <w:rPr>
                <w:rFonts w:ascii="宋体" w:hAnsi="宋体" w:cs="宋体" w:eastAsia="宋体" w:hint="default"/>
                <w:sz w:val="18"/>
                <w:szCs w:val="18"/>
                <w:shd w:fill="DCDCDC" w:color="auto" w:val="clear"/>
              </w:rPr>
              <w:t>所有者权益合计</w:t>
            </w:r>
            <w:r>
              <w:rPr>
                <w:rFonts w:ascii="宋体" w:hAnsi="宋体" w:cs="宋体" w:eastAsia="宋体" w:hint="default"/>
                <w:sz w:val="18"/>
                <w:szCs w:val="18"/>
              </w:rPr>
            </w:r>
          </w:p>
        </w:tc>
      </w:tr>
      <w:tr>
        <w:trPr>
          <w:trHeight w:val="244" w:hRule="exact"/>
        </w:trPr>
        <w:tc>
          <w:tcPr>
            <w:tcW w:w="2548" w:type="dxa"/>
            <w:tcBorders>
              <w:top w:val="nil" w:sz="6" w:space="0" w:color="auto"/>
              <w:left w:val="nil" w:sz="6" w:space="0" w:color="auto"/>
              <w:bottom w:val="single" w:sz="4" w:space="0" w:color="000000"/>
              <w:right w:val="single" w:sz="4" w:space="0" w:color="000000"/>
            </w:tcBorders>
            <w:shd w:val="clear" w:color="auto" w:fill="DCDCDC"/>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58"/>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84"/>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23" w:space="0" w:color="DCDCDC"/>
              <w:bottom w:val="single" w:sz="55" w:space="0" w:color="DCDCDC"/>
              <w:right w:val="single" w:sz="10" w:space="0" w:color="DCDCDC"/>
            </w:tcBorders>
          </w:tcPr>
          <w:p>
            <w:pPr/>
          </w:p>
        </w:tc>
        <w:tc>
          <w:tcPr>
            <w:tcW w:w="1423" w:type="dxa"/>
            <w:vMerge/>
            <w:tcBorders>
              <w:left w:val="single" w:sz="10" w:space="0" w:color="DCDCDC"/>
              <w:bottom w:val="single" w:sz="55" w:space="0" w:color="DCDCDC"/>
              <w:right w:val="nil" w:sz="6" w:space="0" w:color="auto"/>
            </w:tcBorders>
          </w:tcPr>
          <w:p>
            <w:pP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24,560.25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3,362,853.03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30,264,447.72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55" w:space="0" w:color="DCDCDC"/>
              <w:left w:val="single" w:sz="4" w:space="0" w:color="000000"/>
              <w:bottom w:val="single" w:sz="4" w:space="0" w:color="000000"/>
              <w:right w:val="single" w:sz="4" w:space="0" w:color="000000"/>
            </w:tcBorders>
          </w:tcPr>
          <w:p>
            <w:pPr>
              <w:pStyle w:val="TableParagraph"/>
              <w:spacing w:line="165" w:lineRule="exact"/>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55" w:space="0" w:color="DCDCDC"/>
              <w:left w:val="single" w:sz="4" w:space="0" w:color="000000"/>
              <w:bottom w:val="single" w:sz="4" w:space="0" w:color="000000"/>
              <w:right w:val="nil" w:sz="6" w:space="0" w:color="auto"/>
            </w:tcBorders>
          </w:tcPr>
          <w:p>
            <w:pPr>
              <w:pStyle w:val="TableParagraph"/>
              <w:spacing w:line="165" w:lineRule="exact"/>
              <w:ind w:right="9"/>
              <w:jc w:val="right"/>
              <w:rPr>
                <w:rFonts w:ascii="Times New Roman" w:hAnsi="Times New Roman" w:cs="Times New Roman" w:eastAsia="Times New Roman" w:hint="default"/>
                <w:sz w:val="18"/>
                <w:szCs w:val="18"/>
              </w:rPr>
            </w:pPr>
            <w:r>
              <w:rPr>
                <w:rFonts w:ascii="Times New Roman"/>
                <w:spacing w:val="-1"/>
                <w:sz w:val="18"/>
              </w:rPr>
              <w:t>78,651,861.00</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24,560.25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3,362,853.03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30,264,447.72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78,651,861.00</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4"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p>
          <w:p>
            <w:pPr>
              <w:pStyle w:val="TableParagraph"/>
              <w:spacing w:line="248"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2,927,326.39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26,347,166.91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29,274,493.30</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29,274,493.30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
              <w:jc w:val="right"/>
              <w:rPr>
                <w:rFonts w:ascii="Times New Roman" w:hAnsi="Times New Roman" w:cs="Times New Roman" w:eastAsia="Times New Roman" w:hint="default"/>
                <w:sz w:val="18"/>
                <w:szCs w:val="18"/>
              </w:rPr>
            </w:pPr>
            <w:r>
              <w:rPr>
                <w:rFonts w:ascii="Times New Roman"/>
                <w:spacing w:val="-1"/>
                <w:sz w:val="18"/>
              </w:rPr>
              <w:t>29,274,493.30</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29,274,493.30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
              <w:jc w:val="right"/>
              <w:rPr>
                <w:rFonts w:ascii="Times New Roman" w:hAnsi="Times New Roman" w:cs="Times New Roman" w:eastAsia="Times New Roman" w:hint="default"/>
                <w:sz w:val="18"/>
                <w:szCs w:val="18"/>
              </w:rPr>
            </w:pPr>
            <w:r>
              <w:rPr>
                <w:rFonts w:ascii="Times New Roman"/>
                <w:spacing w:val="-1"/>
                <w:sz w:val="18"/>
              </w:rPr>
              <w:t>29,274,493.30</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2,927,326.39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-2,927,326.39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2,927,326.39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-2,927,326.39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6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6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8"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w:t>
            </w:r>
          </w:p>
        </w:tc>
      </w:tr>
      <w:tr>
        <w:trPr>
          <w:trHeight w:val="476"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1"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7" w:lineRule="exact"/>
              <w:ind w:left="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6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6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7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76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30"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2" w:lineRule="exact"/>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6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254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6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24,560.25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6,290,179.42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56,611,614.63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pacing w:val="-1"/>
                <w:sz w:val="18"/>
              </w:rPr>
              <w:t>107,926,354.30</w:t>
            </w:r>
          </w:p>
        </w:tc>
      </w:tr>
    </w:tbl>
    <w:p>
      <w:pPr>
        <w:spacing w:after="0" w:line="240" w:lineRule="auto"/>
        <w:jc w:val="right"/>
        <w:rPr>
          <w:rFonts w:ascii="Times New Roman" w:hAnsi="Times New Roman" w:cs="Times New Roman" w:eastAsia="Times New Roman" w:hint="default"/>
          <w:sz w:val="18"/>
          <w:szCs w:val="18"/>
        </w:rPr>
        <w:sectPr>
          <w:headerReference w:type="default" r:id="rId29"/>
          <w:footerReference w:type="default" r:id="rId30"/>
          <w:pgSz w:w="16840" w:h="11910" w:orient="landscape"/>
          <w:pgMar w:header="0" w:footer="961" w:top="1020" w:bottom="1160" w:left="980" w:right="1080"/>
          <w:pgNumType w:start="73"/>
        </w:sectPr>
      </w:pPr>
    </w:p>
    <w:p>
      <w:pPr>
        <w:spacing w:line="240" w:lineRule="auto" w:before="9"/>
        <w:rPr>
          <w:rFonts w:ascii="宋体" w:hAnsi="宋体" w:cs="宋体" w:eastAsia="宋体" w:hint="default"/>
          <w:sz w:val="12"/>
          <w:szCs w:val="12"/>
        </w:rPr>
      </w:pPr>
    </w:p>
    <w:p>
      <w:pPr>
        <w:pStyle w:val="Heading4"/>
        <w:spacing w:line="240" w:lineRule="auto" w:before="26"/>
        <w:ind w:right="54"/>
        <w:jc w:val="center"/>
        <w:rPr>
          <w:b w:val="0"/>
          <w:bCs w:val="0"/>
        </w:rPr>
      </w:pPr>
      <w:r>
        <w:rPr/>
        <w:t>母公司所有者权益变动表</w:t>
      </w:r>
      <w:r>
        <w:rPr>
          <w:b w:val="0"/>
          <w:bCs w:val="0"/>
        </w:rPr>
      </w:r>
    </w:p>
    <w:p>
      <w:pPr>
        <w:tabs>
          <w:tab w:pos="5984" w:val="left" w:leader="none"/>
          <w:tab w:pos="10445" w:val="left" w:leader="none"/>
          <w:tab w:pos="12544" w:val="left" w:leader="none"/>
        </w:tabs>
        <w:spacing w:before="121"/>
        <w:ind w:left="0" w:right="54" w:firstLine="0"/>
        <w:jc w:val="center"/>
        <w:rPr>
          <w:rFonts w:ascii="宋体" w:hAnsi="宋体" w:cs="宋体" w:eastAsia="宋体" w:hint="default"/>
          <w:sz w:val="21"/>
          <w:szCs w:val="21"/>
        </w:rPr>
      </w:pPr>
      <w:r>
        <w:rPr>
          <w:rFonts w:ascii="宋体" w:hAnsi="宋体" w:cs="宋体" w:eastAsia="宋体" w:hint="default"/>
          <w:sz w:val="21"/>
          <w:szCs w:val="21"/>
        </w:rPr>
        <w:t>编制单位：深圳市银之杰科技股份有限公司</w:t>
        <w:tab/>
      </w:r>
      <w:r>
        <w:rPr>
          <w:rFonts w:ascii="宋体" w:hAnsi="宋体" w:cs="宋体" w:eastAsia="宋体" w:hint="default"/>
          <w:spacing w:val="-1"/>
          <w:sz w:val="21"/>
          <w:szCs w:val="21"/>
        </w:rPr>
        <w:t>编制年度：</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年度</w:t>
        <w:tab/>
        <w:t>单位：元</w:t>
        <w:tab/>
        <w:t>币种：人民币</w:t>
      </w: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8"/>
        <w:gridCol w:w="1632"/>
        <w:gridCol w:w="1440"/>
        <w:gridCol w:w="1260"/>
        <w:gridCol w:w="900"/>
        <w:gridCol w:w="1260"/>
        <w:gridCol w:w="1440"/>
        <w:gridCol w:w="1440"/>
        <w:gridCol w:w="1602"/>
      </w:tblGrid>
      <w:tr>
        <w:trPr>
          <w:trHeight w:val="121" w:hRule="exact"/>
        </w:trPr>
        <w:tc>
          <w:tcPr>
            <w:tcW w:w="3578" w:type="dxa"/>
            <w:tcBorders>
              <w:top w:val="single" w:sz="4" w:space="0" w:color="000000"/>
              <w:left w:val="nil" w:sz="6" w:space="0" w:color="auto"/>
              <w:bottom w:val="nil" w:sz="6" w:space="0" w:color="auto"/>
              <w:right w:val="single" w:sz="4" w:space="0" w:color="000000"/>
            </w:tcBorders>
            <w:shd w:val="clear" w:color="auto" w:fill="DCDCDC"/>
          </w:tcPr>
          <w:p>
            <w:pPr/>
          </w:p>
        </w:tc>
        <w:tc>
          <w:tcPr>
            <w:tcW w:w="10974" w:type="dxa"/>
            <w:gridSpan w:val="8"/>
            <w:vMerge w:val="restart"/>
            <w:tcBorders>
              <w:top w:val="single" w:sz="4" w:space="0" w:color="000000"/>
              <w:left w:val="single" w:sz="4" w:space="0" w:color="000000"/>
              <w:right w:val="nil" w:sz="6" w:space="0" w:color="auto"/>
            </w:tcBorders>
            <w:shd w:val="clear" w:color="auto" w:fill="DCDCDC"/>
          </w:tcPr>
          <w:p>
            <w:pPr>
              <w:pStyle w:val="TableParagraph"/>
              <w:spacing w:line="205" w:lineRule="exact"/>
              <w:ind w:left="2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22" w:hRule="exact"/>
        </w:trPr>
        <w:tc>
          <w:tcPr>
            <w:tcW w:w="3578" w:type="dxa"/>
            <w:vMerge w:val="restart"/>
            <w:tcBorders>
              <w:top w:val="nil" w:sz="6" w:space="0" w:color="auto"/>
              <w:left w:val="nil" w:sz="6" w:space="0" w:color="auto"/>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74" w:type="dxa"/>
            <w:gridSpan w:val="8"/>
            <w:vMerge/>
            <w:tcBorders>
              <w:left w:val="single" w:sz="4" w:space="0" w:color="000000"/>
              <w:bottom w:val="single" w:sz="4" w:space="0" w:color="000000"/>
              <w:right w:val="nil" w:sz="6" w:space="0" w:color="auto"/>
            </w:tcBorders>
            <w:shd w:val="clear" w:color="auto" w:fill="DCDCDC"/>
          </w:tcPr>
          <w:p>
            <w:pPr/>
          </w:p>
        </w:tc>
      </w:tr>
      <w:tr>
        <w:trPr>
          <w:trHeight w:val="243" w:hRule="exact"/>
        </w:trPr>
        <w:tc>
          <w:tcPr>
            <w:tcW w:w="3578" w:type="dxa"/>
            <w:vMerge/>
            <w:tcBorders>
              <w:left w:val="nil" w:sz="6" w:space="0" w:color="auto"/>
              <w:bottom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84"/>
              <w:jc w:val="right"/>
              <w:rPr>
                <w:rFonts w:ascii="宋体" w:hAnsi="宋体" w:cs="宋体" w:eastAsia="宋体" w:hint="default"/>
                <w:sz w:val="18"/>
                <w:szCs w:val="18"/>
              </w:rPr>
            </w:pPr>
            <w:r>
              <w:rPr>
                <w:rFonts w:ascii="宋体" w:hAnsi="宋体" w:cs="宋体" w:eastAsia="宋体" w:hint="default"/>
                <w:sz w:val="18"/>
                <w:szCs w:val="18"/>
              </w:rPr>
              <w:t>实收资本（股本）</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84"/>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26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7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26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02"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6" w:lineRule="exact"/>
              <w:ind w:left="1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24,560.25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5,510,782.14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49,597,039.13</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100,132,381.52</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55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5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24,560.25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5,510,782.14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49,597,039.13</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100,132,381.52</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3,980,881.37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35,827,932.37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428,759,553.70</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39,808,813.74</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39,808,813.74</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39,808,813.74</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39,808,813.74</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388,950,739.96</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373,950,739.96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388,950,739.96</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-3,980,881.37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30"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2" w:lineRule="exact"/>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373,975,300.21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9,491,663.51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85,424,971.50</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528,891,935.22</w:t>
            </w:r>
          </w:p>
        </w:tc>
      </w:tr>
    </w:tbl>
    <w:p>
      <w:pPr>
        <w:tabs>
          <w:tab w:pos="5497" w:val="left" w:leader="none"/>
          <w:tab w:pos="12108" w:val="left" w:leader="none"/>
        </w:tabs>
        <w:spacing w:before="84"/>
        <w:ind w:left="45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法定代表人：陈向军</w:t>
        <w:tab/>
        <w:t>主管会计工作负责人：许秋江</w:t>
        <w:tab/>
        <w:t>会计机构负责人：张春雷</w:t>
      </w:r>
    </w:p>
    <w:p>
      <w:pPr>
        <w:spacing w:after="0"/>
        <w:jc w:val="left"/>
        <w:rPr>
          <w:rFonts w:ascii="宋体" w:hAnsi="宋体" w:cs="宋体" w:eastAsia="宋体" w:hint="default"/>
          <w:sz w:val="21"/>
          <w:szCs w:val="21"/>
        </w:rPr>
        <w:sectPr>
          <w:headerReference w:type="default" r:id="rId31"/>
          <w:footerReference w:type="default" r:id="rId32"/>
          <w:pgSz w:w="16840" w:h="11910" w:orient="landscape"/>
          <w:pgMar w:header="0" w:footer="632" w:top="1100" w:bottom="820" w:left="980" w:right="1080"/>
          <w:pgNumType w:start="74"/>
        </w:sectPr>
      </w:pPr>
    </w:p>
    <w:p>
      <w:pPr>
        <w:spacing w:line="240" w:lineRule="auto" w:before="4"/>
        <w:rPr>
          <w:rFonts w:ascii="宋体" w:hAnsi="宋体" w:cs="宋体" w:eastAsia="宋体" w:hint="default"/>
          <w:sz w:val="19"/>
          <w:szCs w:val="19"/>
        </w:rPr>
      </w:pPr>
    </w:p>
    <w:p>
      <w:pPr>
        <w:pStyle w:val="Heading4"/>
        <w:spacing w:line="240" w:lineRule="auto" w:before="26"/>
        <w:ind w:left="152" w:right="54"/>
        <w:jc w:val="center"/>
        <w:rPr>
          <w:b w:val="0"/>
          <w:bCs w:val="0"/>
        </w:rPr>
      </w:pPr>
      <w:r>
        <w:rPr/>
        <w:t>母公司所有者权益变动表（续）</w:t>
      </w:r>
      <w:r>
        <w:rPr>
          <w:b w:val="0"/>
          <w:bCs w:val="0"/>
        </w:rPr>
      </w:r>
    </w:p>
    <w:p>
      <w:pPr>
        <w:tabs>
          <w:tab w:pos="5984" w:val="left" w:leader="none"/>
          <w:tab w:pos="10445" w:val="left" w:leader="none"/>
          <w:tab w:pos="12544" w:val="left" w:leader="none"/>
        </w:tabs>
        <w:spacing w:before="120"/>
        <w:ind w:left="0" w:right="54" w:firstLine="0"/>
        <w:jc w:val="center"/>
        <w:rPr>
          <w:rFonts w:ascii="宋体" w:hAnsi="宋体" w:cs="宋体" w:eastAsia="宋体" w:hint="default"/>
          <w:sz w:val="21"/>
          <w:szCs w:val="21"/>
        </w:rPr>
      </w:pPr>
      <w:r>
        <w:rPr>
          <w:rFonts w:ascii="宋体" w:hAnsi="宋体" w:cs="宋体" w:eastAsia="宋体" w:hint="default"/>
          <w:sz w:val="21"/>
          <w:szCs w:val="21"/>
        </w:rPr>
        <w:t>编制单位：深圳市银之杰科技股份有限公司</w:t>
        <w:tab/>
      </w:r>
      <w:r>
        <w:rPr>
          <w:rFonts w:ascii="宋体" w:hAnsi="宋体" w:cs="宋体" w:eastAsia="宋体" w:hint="default"/>
          <w:spacing w:val="-1"/>
          <w:sz w:val="21"/>
          <w:szCs w:val="21"/>
        </w:rPr>
        <w:t>编制年度：</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年度</w:t>
        <w:tab/>
        <w:t>单位：元</w:t>
        <w:tab/>
        <w:t>币种：人民币</w:t>
      </w: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8"/>
        <w:gridCol w:w="1632"/>
        <w:gridCol w:w="1440"/>
        <w:gridCol w:w="1260"/>
        <w:gridCol w:w="900"/>
        <w:gridCol w:w="1260"/>
        <w:gridCol w:w="1440"/>
        <w:gridCol w:w="1440"/>
        <w:gridCol w:w="1602"/>
      </w:tblGrid>
      <w:tr>
        <w:trPr>
          <w:trHeight w:val="121" w:hRule="exact"/>
        </w:trPr>
        <w:tc>
          <w:tcPr>
            <w:tcW w:w="3578" w:type="dxa"/>
            <w:tcBorders>
              <w:top w:val="single" w:sz="4" w:space="0" w:color="000000"/>
              <w:left w:val="nil" w:sz="6" w:space="0" w:color="auto"/>
              <w:bottom w:val="nil" w:sz="6" w:space="0" w:color="auto"/>
              <w:right w:val="single" w:sz="4" w:space="0" w:color="000000"/>
            </w:tcBorders>
            <w:shd w:val="clear" w:color="auto" w:fill="DCDCDC"/>
          </w:tcPr>
          <w:p>
            <w:pPr/>
          </w:p>
        </w:tc>
        <w:tc>
          <w:tcPr>
            <w:tcW w:w="10974" w:type="dxa"/>
            <w:gridSpan w:val="8"/>
            <w:vMerge w:val="restart"/>
            <w:tcBorders>
              <w:top w:val="single" w:sz="4" w:space="0" w:color="000000"/>
              <w:left w:val="single" w:sz="4" w:space="0" w:color="000000"/>
              <w:right w:val="nil" w:sz="6" w:space="0" w:color="auto"/>
            </w:tcBorders>
            <w:shd w:val="clear" w:color="auto" w:fill="DCDCDC"/>
          </w:tcPr>
          <w:p>
            <w:pPr>
              <w:pStyle w:val="TableParagraph"/>
              <w:spacing w:line="205" w:lineRule="exact"/>
              <w:ind w:left="2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22" w:hRule="exact"/>
        </w:trPr>
        <w:tc>
          <w:tcPr>
            <w:tcW w:w="3578" w:type="dxa"/>
            <w:vMerge w:val="restart"/>
            <w:tcBorders>
              <w:top w:val="nil" w:sz="6" w:space="0" w:color="auto"/>
              <w:left w:val="nil" w:sz="6" w:space="0" w:color="auto"/>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74" w:type="dxa"/>
            <w:gridSpan w:val="8"/>
            <w:vMerge/>
            <w:tcBorders>
              <w:left w:val="single" w:sz="4" w:space="0" w:color="000000"/>
              <w:bottom w:val="single" w:sz="4" w:space="0" w:color="000000"/>
              <w:right w:val="nil" w:sz="6" w:space="0" w:color="auto"/>
            </w:tcBorders>
            <w:shd w:val="clear" w:color="auto" w:fill="DCDCDC"/>
          </w:tcPr>
          <w:p>
            <w:pPr/>
          </w:p>
        </w:tc>
      </w:tr>
      <w:tr>
        <w:trPr>
          <w:trHeight w:val="244" w:hRule="exact"/>
        </w:trPr>
        <w:tc>
          <w:tcPr>
            <w:tcW w:w="3578" w:type="dxa"/>
            <w:vMerge/>
            <w:tcBorders>
              <w:left w:val="nil" w:sz="6" w:space="0" w:color="auto"/>
              <w:bottom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股本</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84"/>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26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7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26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02"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6" w:lineRule="exact"/>
              <w:ind w:left="1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24,560.25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3,362,853.03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30,265,677.16</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78,653,090.44</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24,560.25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3,362,853.03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30,265,677.16</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78,653,090.44</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17"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2,147,929.11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19,331,361.97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21,479,291.08</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21,479,291.08</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21,479,291.08</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21,479,291.08</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18"/>
                <w:szCs w:val="18"/>
              </w:rPr>
            </w:pPr>
            <w:r>
              <w:rPr>
                <w:rFonts w:ascii="Times New Roman"/>
                <w:spacing w:val="-1"/>
                <w:sz w:val="18"/>
              </w:rPr>
              <w:t>21,479,291.08</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2,147,929.11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-2,147,929.11</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2,147,929.11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-2,147,929.11</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Times New Roman"/>
                <w:sz w:val="18"/>
              </w:rPr>
              <w:t>-</w:t>
            </w:r>
          </w:p>
        </w:tc>
      </w:tr>
      <w:tr>
        <w:trPr>
          <w:trHeight w:val="244" w:hRule="exact"/>
        </w:trPr>
        <w:tc>
          <w:tcPr>
            <w:tcW w:w="357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24,560.25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5,510,782.14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49,597,039.13</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spacing w:val="-1"/>
                <w:sz w:val="18"/>
              </w:rPr>
              <w:t>100,132,381.52</w:t>
            </w:r>
          </w:p>
        </w:tc>
      </w:tr>
    </w:tbl>
    <w:p>
      <w:pPr>
        <w:tabs>
          <w:tab w:pos="5497" w:val="left" w:leader="none"/>
          <w:tab w:pos="12108" w:val="left" w:leader="none"/>
        </w:tabs>
        <w:spacing w:before="84"/>
        <w:ind w:left="45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法定代表人：陈向军</w:t>
        <w:tab/>
        <w:t>主管会计工作负责人：许秋江</w:t>
        <w:tab/>
        <w:t>会计机构负责人：张春雷</w:t>
      </w:r>
    </w:p>
    <w:p>
      <w:pPr>
        <w:spacing w:after="0"/>
        <w:jc w:val="left"/>
        <w:rPr>
          <w:rFonts w:ascii="宋体" w:hAnsi="宋体" w:cs="宋体" w:eastAsia="宋体" w:hint="default"/>
          <w:sz w:val="21"/>
          <w:szCs w:val="21"/>
        </w:rPr>
        <w:sectPr>
          <w:headerReference w:type="default" r:id="rId33"/>
          <w:footerReference w:type="default" r:id="rId34"/>
          <w:pgSz w:w="16840" w:h="11910" w:orient="landscape"/>
          <w:pgMar w:header="0" w:footer="632" w:top="1100" w:bottom="820" w:left="980" w:right="1080"/>
          <w:pgNumType w:start="7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spacing w:line="312" w:lineRule="auto"/>
        <w:ind w:left="2344" w:right="2340"/>
        <w:jc w:val="center"/>
        <w:rPr>
          <w:b w:val="0"/>
          <w:bCs w:val="0"/>
        </w:rPr>
      </w:pPr>
      <w:r>
        <w:rPr/>
        <w:t>深圳市银之杰科技股份有限公司</w:t>
      </w:r>
      <w:r>
        <w:rPr>
          <w:spacing w:val="1"/>
          <w:w w:val="99"/>
        </w:rPr>
        <w:t> </w:t>
      </w:r>
      <w:r>
        <w:rPr/>
        <w:t>财务报表附注</w:t>
      </w:r>
      <w:r>
        <w:rPr>
          <w:b w:val="0"/>
          <w:bCs w:val="0"/>
        </w:rPr>
      </w:r>
    </w:p>
    <w:p>
      <w:pPr>
        <w:spacing w:before="40"/>
        <w:ind w:left="2340" w:right="234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10"/>
        <w:rPr>
          <w:rFonts w:ascii="宋体" w:hAnsi="宋体" w:cs="宋体" w:eastAsia="宋体" w:hint="default"/>
          <w:sz w:val="23"/>
          <w:szCs w:val="23"/>
        </w:rPr>
      </w:pPr>
    </w:p>
    <w:p>
      <w:pPr>
        <w:pStyle w:val="Heading5"/>
        <w:spacing w:line="240" w:lineRule="auto" w:before="29"/>
        <w:ind w:right="273"/>
        <w:jc w:val="left"/>
        <w:rPr>
          <w:b w:val="0"/>
          <w:bCs w:val="0"/>
        </w:rPr>
      </w:pPr>
      <w:r>
        <w:rPr/>
        <w:t>一、</w:t>
      </w:r>
      <w:r>
        <w:rPr>
          <w:spacing w:val="-39"/>
        </w:rPr>
        <w:t> </w:t>
      </w:r>
      <w:r>
        <w:rPr/>
        <w:t>公司基本情况</w:t>
      </w:r>
      <w:r>
        <w:rPr>
          <w:b w:val="0"/>
          <w:bCs w:val="0"/>
        </w:rPr>
      </w:r>
    </w:p>
    <w:p>
      <w:pPr>
        <w:spacing w:line="240" w:lineRule="auto" w:before="9"/>
        <w:rPr>
          <w:rFonts w:ascii="宋体" w:hAnsi="宋体" w:cs="宋体" w:eastAsia="宋体" w:hint="default"/>
          <w:b/>
          <w:bCs/>
          <w:sz w:val="20"/>
          <w:szCs w:val="20"/>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（一）公司概况</w:t>
      </w:r>
    </w:p>
    <w:p>
      <w:pPr>
        <w:spacing w:line="240" w:lineRule="auto" w:before="5"/>
        <w:rPr>
          <w:rFonts w:ascii="宋体" w:hAnsi="宋体" w:cs="宋体" w:eastAsia="宋体" w:hint="default"/>
          <w:sz w:val="19"/>
          <w:szCs w:val="19"/>
        </w:rPr>
      </w:pPr>
    </w:p>
    <w:p>
      <w:pPr>
        <w:spacing w:line="338" w:lineRule="auto" w:before="0"/>
        <w:ind w:left="563" w:right="183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公司名称：深圳市银之杰科技股份有限公司（以下简称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银之杰公司</w:t>
      </w:r>
      <w:r>
        <w:rPr>
          <w:rFonts w:ascii="Times New Roman" w:hAnsi="Times New Roman" w:cs="Times New Roman" w:eastAsia="Times New Roman" w:hint="default"/>
          <w:sz w:val="21"/>
          <w:szCs w:val="21"/>
        </w:rPr>
        <w:t>”</w:t>
      </w:r>
      <w:r>
        <w:rPr>
          <w:rFonts w:ascii="宋体" w:hAnsi="宋体" w:cs="宋体" w:eastAsia="宋体" w:hint="default"/>
          <w:sz w:val="21"/>
          <w:szCs w:val="21"/>
        </w:rPr>
        <w:t>） 注册地址：深圳市福田区车公庙天安数码城天祥大厦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5B2 </w:t>
      </w:r>
      <w:r>
        <w:rPr>
          <w:rFonts w:ascii="宋体" w:hAnsi="宋体" w:cs="宋体" w:eastAsia="宋体" w:hint="default"/>
          <w:sz w:val="21"/>
          <w:szCs w:val="21"/>
        </w:rPr>
        <w:t>注册资本：人民币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 企业法人营业执照注册号：</w:t>
      </w:r>
      <w:r>
        <w:rPr>
          <w:rFonts w:ascii="Times New Roman" w:hAnsi="Times New Roman" w:cs="Times New Roman" w:eastAsia="Times New Roman" w:hint="default"/>
          <w:sz w:val="21"/>
          <w:szCs w:val="21"/>
        </w:rPr>
        <w:t>440301102955880</w:t>
      </w:r>
    </w:p>
    <w:p>
      <w:pPr>
        <w:spacing w:line="357" w:lineRule="auto" w:before="22"/>
        <w:ind w:left="563" w:right="6431" w:firstLine="0"/>
        <w:jc w:val="left"/>
        <w:rPr>
          <w:rFonts w:ascii="宋体" w:hAnsi="宋体" w:cs="宋体" w:eastAsia="宋体" w:hint="default"/>
          <w:sz w:val="21"/>
          <w:szCs w:val="21"/>
        </w:rPr>
      </w:pPr>
      <w:r>
        <w:rPr>
          <w:rFonts w:ascii="宋体" w:hAnsi="宋体" w:cs="宋体" w:eastAsia="宋体" w:hint="default"/>
          <w:sz w:val="21"/>
          <w:szCs w:val="21"/>
        </w:rPr>
        <w:t>法定代表人：陈向军 经营期限：永续经营</w:t>
      </w:r>
    </w:p>
    <w:p>
      <w:pPr>
        <w:spacing w:before="150"/>
        <w:ind w:left="563" w:right="273" w:firstLine="0"/>
        <w:jc w:val="left"/>
        <w:rPr>
          <w:rFonts w:ascii="宋体" w:hAnsi="宋体" w:cs="宋体" w:eastAsia="宋体" w:hint="default"/>
          <w:sz w:val="21"/>
          <w:szCs w:val="21"/>
        </w:rPr>
      </w:pPr>
      <w:r>
        <w:rPr>
          <w:rFonts w:ascii="宋体" w:hAnsi="宋体" w:cs="宋体" w:eastAsia="宋体" w:hint="default"/>
          <w:sz w:val="21"/>
          <w:szCs w:val="21"/>
        </w:rPr>
        <w:t>（二）经营范围及主营业务</w:t>
      </w:r>
    </w:p>
    <w:p>
      <w:pPr>
        <w:spacing w:line="240" w:lineRule="auto" w:before="5"/>
        <w:rPr>
          <w:rFonts w:ascii="宋体" w:hAnsi="宋体" w:cs="宋体" w:eastAsia="宋体" w:hint="default"/>
          <w:sz w:val="19"/>
          <w:szCs w:val="19"/>
        </w:rPr>
      </w:pPr>
    </w:p>
    <w:p>
      <w:pPr>
        <w:spacing w:line="338" w:lineRule="auto" w:before="0"/>
        <w:ind w:left="143" w:right="201" w:firstLine="420"/>
        <w:jc w:val="left"/>
        <w:rPr>
          <w:rFonts w:ascii="宋体" w:hAnsi="宋体" w:cs="宋体" w:eastAsia="宋体" w:hint="default"/>
          <w:sz w:val="21"/>
          <w:szCs w:val="21"/>
        </w:rPr>
      </w:pPr>
      <w:r>
        <w:rPr>
          <w:rFonts w:ascii="宋体" w:hAnsi="宋体" w:cs="宋体" w:eastAsia="宋体" w:hint="default"/>
          <w:sz w:val="21"/>
          <w:szCs w:val="21"/>
        </w:rPr>
        <w:t>经营范围：兴办实业</w:t>
      </w:r>
      <w:r>
        <w:rPr>
          <w:rFonts w:ascii="Times New Roman" w:hAnsi="Times New Roman" w:cs="Times New Roman" w:eastAsia="Times New Roman" w:hint="default"/>
          <w:sz w:val="21"/>
          <w:szCs w:val="21"/>
        </w:rPr>
        <w:t>(</w:t>
      </w:r>
      <w:r>
        <w:rPr>
          <w:rFonts w:ascii="宋体" w:hAnsi="宋体" w:cs="宋体" w:eastAsia="宋体" w:hint="default"/>
          <w:sz w:val="21"/>
          <w:szCs w:val="21"/>
        </w:rPr>
        <w:t>具体项目另行申报</w:t>
      </w:r>
      <w:r>
        <w:rPr>
          <w:rFonts w:ascii="Times New Roman" w:hAnsi="Times New Roman" w:cs="Times New Roman" w:eastAsia="Times New Roman" w:hint="default"/>
          <w:sz w:val="21"/>
          <w:szCs w:val="21"/>
        </w:rPr>
        <w:t>)</w:t>
      </w:r>
      <w:r>
        <w:rPr>
          <w:rFonts w:ascii="宋体" w:hAnsi="宋体" w:cs="宋体" w:eastAsia="宋体" w:hint="default"/>
          <w:sz w:val="21"/>
          <w:szCs w:val="21"/>
        </w:rPr>
        <w:t>；银行验印系统，计算机软、硬件的技术开发； </w:t>
      </w:r>
      <w:r>
        <w:rPr>
          <w:rFonts w:ascii="宋体" w:hAnsi="宋体" w:cs="宋体" w:eastAsia="宋体" w:hint="default"/>
          <w:spacing w:val="-4"/>
          <w:sz w:val="21"/>
          <w:szCs w:val="21"/>
        </w:rPr>
        <w:t>国内商业、物资供销业（不含专营、专控、专卖商品及限制项目）。</w:t>
      </w:r>
    </w:p>
    <w:p>
      <w:pPr>
        <w:spacing w:line="357" w:lineRule="auto" w:before="167"/>
        <w:ind w:left="143" w:right="131" w:firstLine="420"/>
        <w:jc w:val="left"/>
        <w:rPr>
          <w:rFonts w:ascii="宋体" w:hAnsi="宋体" w:cs="宋体" w:eastAsia="宋体" w:hint="default"/>
          <w:sz w:val="21"/>
          <w:szCs w:val="21"/>
        </w:rPr>
      </w:pPr>
      <w:r>
        <w:rPr>
          <w:rFonts w:ascii="宋体" w:hAnsi="宋体" w:cs="宋体" w:eastAsia="宋体" w:hint="default"/>
          <w:sz w:val="21"/>
          <w:szCs w:val="21"/>
        </w:rPr>
        <w:t>主营业务：为银行提供与支付结算、风险控制、基于影像的业务流程再造、自助终端等业 务相关的软件产品、软件开发、金融专用设备、技术服务并提供相应的系统集成。</w:t>
      </w:r>
    </w:p>
    <w:p>
      <w:pPr>
        <w:spacing w:before="150"/>
        <w:ind w:left="563" w:right="273" w:firstLine="0"/>
        <w:jc w:val="left"/>
        <w:rPr>
          <w:rFonts w:ascii="宋体" w:hAnsi="宋体" w:cs="宋体" w:eastAsia="宋体" w:hint="default"/>
          <w:sz w:val="21"/>
          <w:szCs w:val="21"/>
        </w:rPr>
      </w:pPr>
      <w:r>
        <w:rPr>
          <w:rFonts w:ascii="宋体" w:hAnsi="宋体" w:cs="宋体" w:eastAsia="宋体" w:hint="default"/>
          <w:sz w:val="21"/>
          <w:szCs w:val="21"/>
        </w:rPr>
        <w:t>（三）公司历史沿革及设立情况</w:t>
      </w:r>
    </w:p>
    <w:p>
      <w:pPr>
        <w:spacing w:line="240" w:lineRule="auto" w:before="6"/>
        <w:rPr>
          <w:rFonts w:ascii="宋体" w:hAnsi="宋体" w:cs="宋体" w:eastAsia="宋体" w:hint="default"/>
          <w:sz w:val="19"/>
          <w:szCs w:val="19"/>
        </w:rPr>
      </w:pPr>
    </w:p>
    <w:p>
      <w:pPr>
        <w:spacing w:before="0"/>
        <w:ind w:left="5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、本公司是于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日由张学君、何晔、李军和陈向军在深圳市共同兴办的有</w:t>
      </w:r>
    </w:p>
    <w:p>
      <w:pPr>
        <w:spacing w:before="117"/>
        <w:ind w:left="143" w:right="201"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限责任公司。企业法定代表人：张学君，营业执照注册号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4403012009512</w:t>
      </w:r>
      <w:r>
        <w:rPr>
          <w:rFonts w:ascii="宋体" w:hAnsi="宋体" w:cs="宋体" w:eastAsia="宋体" w:hint="default"/>
          <w:sz w:val="21"/>
          <w:szCs w:val="21"/>
        </w:rPr>
        <w:t>，原注册资本为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100</w:t>
      </w:r>
    </w:p>
    <w:p>
      <w:pPr>
        <w:spacing w:before="117"/>
        <w:ind w:left="143" w:right="273" w:firstLine="0"/>
        <w:jc w:val="left"/>
        <w:rPr>
          <w:rFonts w:ascii="宋体" w:hAnsi="宋体" w:cs="宋体" w:eastAsia="宋体" w:hint="default"/>
          <w:sz w:val="21"/>
          <w:szCs w:val="21"/>
        </w:rPr>
      </w:pPr>
      <w:r>
        <w:rPr>
          <w:rFonts w:ascii="宋体" w:hAnsi="宋体" w:cs="宋体" w:eastAsia="宋体" w:hint="default"/>
          <w:sz w:val="21"/>
          <w:szCs w:val="21"/>
        </w:rPr>
        <w:t>万元。股东的出资比例如下：</w:t>
      </w:r>
    </w:p>
    <w:p>
      <w:pPr>
        <w:spacing w:line="240" w:lineRule="auto" w:before="1"/>
        <w:rPr>
          <w:rFonts w:ascii="宋体" w:hAnsi="宋体" w:cs="宋体" w:eastAsia="宋体" w:hint="default"/>
          <w:sz w:val="22"/>
          <w:szCs w:val="22"/>
        </w:rPr>
      </w:pPr>
    </w:p>
    <w:tbl>
      <w:tblPr>
        <w:tblW w:w="0" w:type="auto"/>
        <w:jc w:val="left"/>
        <w:tblInd w:w="484" w:type="dxa"/>
        <w:tblLayout w:type="fixed"/>
        <w:tblCellMar>
          <w:top w:w="0" w:type="dxa"/>
          <w:left w:w="0" w:type="dxa"/>
          <w:bottom w:w="0" w:type="dxa"/>
          <w:right w:w="0" w:type="dxa"/>
        </w:tblCellMar>
        <w:tblLook w:val="01E0"/>
      </w:tblPr>
      <w:tblGrid>
        <w:gridCol w:w="2174"/>
        <w:gridCol w:w="1980"/>
        <w:gridCol w:w="1980"/>
        <w:gridCol w:w="2160"/>
      </w:tblGrid>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1251" w:val="left" w:leader="none"/>
              </w:tabs>
              <w:spacing w:line="240" w:lineRule="auto" w:before="37"/>
              <w:ind w:left="725" w:right="0"/>
              <w:jc w:val="left"/>
              <w:rPr>
                <w:rFonts w:ascii="宋体" w:hAnsi="宋体" w:cs="宋体" w:eastAsia="宋体" w:hint="default"/>
                <w:sz w:val="21"/>
                <w:szCs w:val="21"/>
              </w:rPr>
            </w:pPr>
            <w:r>
              <w:rPr>
                <w:rFonts w:ascii="宋体" w:hAnsi="宋体" w:cs="宋体" w:eastAsia="宋体" w:hint="default"/>
                <w:sz w:val="21"/>
                <w:szCs w:val="21"/>
              </w:rPr>
              <w:t>股</w:t>
              <w:tab/>
              <w:t>东</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500,000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2160" w:type="dxa"/>
            <w:tcBorders>
              <w:top w:val="single" w:sz="4" w:space="0" w:color="000000"/>
              <w:left w:val="single" w:sz="4" w:space="0" w:color="000000"/>
              <w:bottom w:val="single" w:sz="4" w:space="0" w:color="000000"/>
              <w:right w:val="nil" w:sz="6" w:space="0" w:color="auto"/>
            </w:tcBorders>
          </w:tcPr>
          <w:p>
            <w:pPr/>
          </w:p>
        </w:tc>
      </w:tr>
    </w:tbl>
    <w:p>
      <w:pPr>
        <w:spacing w:before="86"/>
        <w:ind w:left="564" w:right="273" w:firstLine="0"/>
        <w:jc w:val="left"/>
        <w:rPr>
          <w:rFonts w:ascii="宋体" w:hAnsi="宋体" w:cs="宋体" w:eastAsia="宋体" w:hint="default"/>
          <w:sz w:val="21"/>
          <w:szCs w:val="21"/>
        </w:rPr>
      </w:pPr>
      <w:r>
        <w:rPr>
          <w:rFonts w:ascii="宋体" w:hAnsi="宋体" w:cs="宋体" w:eastAsia="宋体" w:hint="default"/>
          <w:sz w:val="21"/>
          <w:szCs w:val="21"/>
        </w:rPr>
        <w:t>该出资业经深圳中法会计师事务所深中法验字</w:t>
      </w:r>
      <w:r>
        <w:rPr>
          <w:rFonts w:ascii="Times New Roman" w:hAnsi="Times New Roman" w:cs="Times New Roman" w:eastAsia="Times New Roman" w:hint="default"/>
          <w:sz w:val="21"/>
          <w:szCs w:val="21"/>
        </w:rPr>
        <w:t>[1998]073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号验资报告验证。</w:t>
      </w:r>
    </w:p>
    <w:p>
      <w:pPr>
        <w:spacing w:line="240" w:lineRule="auto" w:before="2"/>
        <w:rPr>
          <w:rFonts w:ascii="宋体" w:hAnsi="宋体" w:cs="宋体" w:eastAsia="宋体" w:hint="default"/>
          <w:sz w:val="18"/>
          <w:szCs w:val="18"/>
        </w:rPr>
      </w:pPr>
    </w:p>
    <w:p>
      <w:pPr>
        <w:spacing w:before="0"/>
        <w:ind w:left="564"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日法定代表人由张学君变更为李军。</w:t>
      </w:r>
    </w:p>
    <w:p>
      <w:pPr>
        <w:spacing w:after="0"/>
        <w:jc w:val="left"/>
        <w:rPr>
          <w:rFonts w:ascii="宋体" w:hAnsi="宋体" w:cs="宋体" w:eastAsia="宋体" w:hint="default"/>
          <w:sz w:val="21"/>
          <w:szCs w:val="21"/>
        </w:rPr>
        <w:sectPr>
          <w:headerReference w:type="default" r:id="rId35"/>
          <w:footerReference w:type="default" r:id="rId36"/>
          <w:pgSz w:w="11910" w:h="16840"/>
          <w:pgMar w:header="877" w:footer="982" w:top="1100" w:bottom="1180" w:left="1500" w:right="1500"/>
          <w:pgNumType w:start="76"/>
        </w:sectPr>
      </w:pPr>
    </w:p>
    <w:p>
      <w:pPr>
        <w:spacing w:line="240" w:lineRule="auto" w:before="2"/>
        <w:rPr>
          <w:rFonts w:ascii="宋体" w:hAnsi="宋体" w:cs="宋体" w:eastAsia="宋体" w:hint="default"/>
          <w:sz w:val="19"/>
          <w:szCs w:val="19"/>
        </w:rPr>
      </w:pPr>
    </w:p>
    <w:p>
      <w:pPr>
        <w:spacing w:before="35"/>
        <w:ind w:left="564" w:right="1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日根据股东会议决议和修改后的公司章程规定，将原注册资本由人民币</w:t>
      </w:r>
    </w:p>
    <w:p>
      <w:pPr>
        <w:spacing w:before="117"/>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万元增加至人民币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万元。变更后股东出资如下：</w:t>
      </w:r>
    </w:p>
    <w:p>
      <w:pPr>
        <w:spacing w:line="240" w:lineRule="auto" w:before="11"/>
        <w:rPr>
          <w:rFonts w:ascii="宋体" w:hAnsi="宋体" w:cs="宋体" w:eastAsia="宋体" w:hint="default"/>
          <w:sz w:val="20"/>
          <w:szCs w:val="20"/>
        </w:rPr>
      </w:pPr>
    </w:p>
    <w:tbl>
      <w:tblPr>
        <w:tblW w:w="0" w:type="auto"/>
        <w:jc w:val="left"/>
        <w:tblInd w:w="550" w:type="dxa"/>
        <w:tblLayout w:type="fixed"/>
        <w:tblCellMar>
          <w:top w:w="0" w:type="dxa"/>
          <w:left w:w="0" w:type="dxa"/>
          <w:bottom w:w="0" w:type="dxa"/>
          <w:right w:w="0" w:type="dxa"/>
        </w:tblCellMar>
        <w:tblLook w:val="01E0"/>
      </w:tblPr>
      <w:tblGrid>
        <w:gridCol w:w="2449"/>
        <w:gridCol w:w="1973"/>
        <w:gridCol w:w="1954"/>
        <w:gridCol w:w="1853"/>
      </w:tblGrid>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36"/>
              <w:ind w:left="17" w:right="0"/>
              <w:jc w:val="center"/>
              <w:rPr>
                <w:rFonts w:ascii="宋体" w:hAnsi="宋体" w:cs="宋体" w:eastAsia="宋体" w:hint="default"/>
                <w:sz w:val="21"/>
                <w:szCs w:val="21"/>
              </w:rPr>
            </w:pPr>
            <w:r>
              <w:rPr>
                <w:rFonts w:ascii="宋体" w:hAnsi="宋体" w:cs="宋体" w:eastAsia="宋体" w:hint="default"/>
                <w:sz w:val="21"/>
                <w:szCs w:val="21"/>
              </w:rPr>
              <w:t>股</w:t>
              <w:tab/>
              <w:t>东</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2,500,000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1,500,000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5,000,000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853" w:type="dxa"/>
            <w:tcBorders>
              <w:top w:val="single" w:sz="4" w:space="0" w:color="000000"/>
              <w:left w:val="single" w:sz="4" w:space="0" w:color="000000"/>
              <w:bottom w:val="single" w:sz="4" w:space="0" w:color="000000"/>
              <w:right w:val="nil" w:sz="6" w:space="0" w:color="auto"/>
            </w:tcBorders>
          </w:tcPr>
          <w:p>
            <w:pPr/>
          </w:p>
        </w:tc>
      </w:tr>
    </w:tbl>
    <w:p>
      <w:pPr>
        <w:spacing w:before="86"/>
        <w:ind w:left="564" w:right="273" w:firstLine="0"/>
        <w:jc w:val="left"/>
        <w:rPr>
          <w:rFonts w:ascii="宋体" w:hAnsi="宋体" w:cs="宋体" w:eastAsia="宋体" w:hint="default"/>
          <w:sz w:val="21"/>
          <w:szCs w:val="21"/>
        </w:rPr>
      </w:pPr>
      <w:r>
        <w:rPr>
          <w:rFonts w:ascii="宋体" w:hAnsi="宋体" w:cs="宋体" w:eastAsia="宋体" w:hint="default"/>
          <w:sz w:val="21"/>
          <w:szCs w:val="21"/>
        </w:rPr>
        <w:t>该增资业经深圳中法会计师事务所深中法验字</w:t>
      </w:r>
      <w:r>
        <w:rPr>
          <w:rFonts w:ascii="Times New Roman" w:hAnsi="Times New Roman" w:cs="Times New Roman" w:eastAsia="Times New Roman" w:hint="default"/>
          <w:sz w:val="21"/>
          <w:szCs w:val="21"/>
        </w:rPr>
        <w:t>[2004]</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号验资报告验证。</w:t>
      </w:r>
    </w:p>
    <w:p>
      <w:pPr>
        <w:spacing w:line="240" w:lineRule="auto" w:before="2"/>
        <w:rPr>
          <w:rFonts w:ascii="宋体" w:hAnsi="宋体" w:cs="宋体" w:eastAsia="宋体" w:hint="default"/>
          <w:sz w:val="18"/>
          <w:szCs w:val="18"/>
        </w:rPr>
      </w:pPr>
    </w:p>
    <w:p>
      <w:pPr>
        <w:spacing w:line="338" w:lineRule="auto" w:before="0"/>
        <w:ind w:left="143" w:right="14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日经股东会决议全体股东一致同意股东张学君将其所占公司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的股权 以人民币贰拾伍万元（</w:t>
      </w:r>
      <w:r>
        <w:rPr>
          <w:rFonts w:ascii="Times New Roman" w:hAnsi="Times New Roman" w:cs="Times New Roman" w:eastAsia="Times New Roman" w:hint="default"/>
          <w:sz w:val="21"/>
          <w:szCs w:val="21"/>
        </w:rPr>
        <w:t>250,000.00</w:t>
      </w:r>
      <w:r>
        <w:rPr>
          <w:rFonts w:ascii="宋体" w:hAnsi="宋体" w:cs="宋体" w:eastAsia="宋体" w:hint="default"/>
          <w:sz w:val="21"/>
          <w:szCs w:val="21"/>
        </w:rPr>
        <w:t>）转让给李军；同意股东张学君将其所占公司</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的股权以人 民币贰拾伍万元（</w:t>
      </w:r>
      <w:r>
        <w:rPr>
          <w:rFonts w:ascii="Times New Roman" w:hAnsi="Times New Roman" w:cs="Times New Roman" w:eastAsia="Times New Roman" w:hint="default"/>
          <w:sz w:val="21"/>
          <w:szCs w:val="21"/>
        </w:rPr>
        <w:t>250,000.00</w:t>
      </w:r>
      <w:r>
        <w:rPr>
          <w:rFonts w:ascii="宋体" w:hAnsi="宋体" w:cs="宋体" w:eastAsia="宋体" w:hint="default"/>
          <w:sz w:val="21"/>
          <w:szCs w:val="21"/>
        </w:rPr>
        <w:t>）转让给陈向军；同意股东张学君将其所占公司</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的股权以人民 币贰拾伍万元（</w:t>
      </w:r>
      <w:r>
        <w:rPr>
          <w:rFonts w:ascii="Times New Roman" w:hAnsi="Times New Roman" w:cs="Times New Roman" w:eastAsia="Times New Roman" w:hint="default"/>
          <w:sz w:val="21"/>
          <w:szCs w:val="21"/>
        </w:rPr>
        <w:t>250,000.00</w:t>
      </w:r>
      <w:r>
        <w:rPr>
          <w:rFonts w:ascii="宋体" w:hAnsi="宋体" w:cs="宋体" w:eastAsia="宋体" w:hint="default"/>
          <w:sz w:val="21"/>
          <w:szCs w:val="21"/>
        </w:rPr>
        <w:t>）转让给汪旻。股权转让后股东出资如下：</w:t>
      </w:r>
    </w:p>
    <w:p>
      <w:pPr>
        <w:spacing w:line="240" w:lineRule="auto" w:before="6"/>
        <w:rPr>
          <w:rFonts w:ascii="宋体" w:hAnsi="宋体" w:cs="宋体" w:eastAsia="宋体" w:hint="default"/>
          <w:sz w:val="13"/>
          <w:szCs w:val="13"/>
        </w:rPr>
      </w:pPr>
    </w:p>
    <w:tbl>
      <w:tblPr>
        <w:tblW w:w="0" w:type="auto"/>
        <w:jc w:val="left"/>
        <w:tblInd w:w="550" w:type="dxa"/>
        <w:tblLayout w:type="fixed"/>
        <w:tblCellMar>
          <w:top w:w="0" w:type="dxa"/>
          <w:left w:w="0" w:type="dxa"/>
          <w:bottom w:w="0" w:type="dxa"/>
          <w:right w:w="0" w:type="dxa"/>
        </w:tblCellMar>
        <w:tblLook w:val="01E0"/>
      </w:tblPr>
      <w:tblGrid>
        <w:gridCol w:w="2449"/>
        <w:gridCol w:w="1973"/>
        <w:gridCol w:w="1954"/>
        <w:gridCol w:w="1853"/>
      </w:tblGrid>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36"/>
              <w:ind w:left="17" w:right="0"/>
              <w:jc w:val="center"/>
              <w:rPr>
                <w:rFonts w:ascii="宋体" w:hAnsi="宋体" w:cs="宋体" w:eastAsia="宋体" w:hint="default"/>
                <w:sz w:val="21"/>
                <w:szCs w:val="21"/>
              </w:rPr>
            </w:pPr>
            <w:r>
              <w:rPr>
                <w:rFonts w:ascii="宋体" w:hAnsi="宋体" w:cs="宋体" w:eastAsia="宋体" w:hint="default"/>
                <w:sz w:val="21"/>
                <w:szCs w:val="21"/>
              </w:rPr>
              <w:t>股</w:t>
              <w:tab/>
              <w:t>东</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7"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1,750,000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1,500,000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750,000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750,000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汪</w:t>
              <w:tab/>
              <w:t>旻</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250,000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9"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5,000,000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853" w:type="dxa"/>
            <w:tcBorders>
              <w:top w:val="single" w:sz="4" w:space="0" w:color="000000"/>
              <w:left w:val="single" w:sz="4" w:space="0" w:color="000000"/>
              <w:bottom w:val="single" w:sz="4" w:space="0" w:color="000000"/>
              <w:right w:val="nil" w:sz="6" w:space="0" w:color="auto"/>
            </w:tcBorders>
          </w:tcPr>
          <w:p>
            <w:pPr/>
          </w:p>
        </w:tc>
      </w:tr>
    </w:tbl>
    <w:p>
      <w:pPr>
        <w:spacing w:before="86"/>
        <w:ind w:left="564" w:right="0" w:firstLine="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4</w:t>
      </w:r>
      <w:r>
        <w:rPr>
          <w:rFonts w:ascii="宋体" w:hAnsi="宋体" w:cs="宋体" w:eastAsia="宋体" w:hint="default"/>
          <w:spacing w:val="-12"/>
          <w:sz w:val="21"/>
          <w:szCs w:val="21"/>
        </w:rPr>
        <w:t>、根据</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日股东会决议和修改后章程的规定，本公司申请增加注册资本人民</w:t>
      </w:r>
    </w:p>
    <w:p>
      <w:pPr>
        <w:spacing w:line="336" w:lineRule="auto" w:before="118"/>
        <w:ind w:left="143" w:right="196"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643,340.00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元，变更后的注册资本为人民币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5,643,340.00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元。新增注册资本由新股东唐劲星 等四十名自然人认缴，公司股权结构变更为：</w:t>
      </w:r>
    </w:p>
    <w:p>
      <w:pPr>
        <w:spacing w:line="240" w:lineRule="auto" w:before="8"/>
        <w:rPr>
          <w:rFonts w:ascii="宋体" w:hAnsi="宋体" w:cs="宋体" w:eastAsia="宋体" w:hint="default"/>
          <w:sz w:val="15"/>
          <w:szCs w:val="15"/>
        </w:rPr>
      </w:pPr>
    </w:p>
    <w:tbl>
      <w:tblPr>
        <w:tblW w:w="0" w:type="auto"/>
        <w:jc w:val="left"/>
        <w:tblInd w:w="550" w:type="dxa"/>
        <w:tblLayout w:type="fixed"/>
        <w:tblCellMar>
          <w:top w:w="0" w:type="dxa"/>
          <w:left w:w="0" w:type="dxa"/>
          <w:bottom w:w="0" w:type="dxa"/>
          <w:right w:w="0" w:type="dxa"/>
        </w:tblCellMar>
        <w:tblLook w:val="01E0"/>
      </w:tblPr>
      <w:tblGrid>
        <w:gridCol w:w="2448"/>
        <w:gridCol w:w="1969"/>
        <w:gridCol w:w="1961"/>
        <w:gridCol w:w="1850"/>
      </w:tblGrid>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股</w:t>
              <w:tab/>
              <w:t>东</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1,750,000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31.01%</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1,500,000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26.58%</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750,000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13.29%</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750,000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13.29%</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汪</w:t>
              <w:tab/>
              <w:t>旻</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250,000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4.43%</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7"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唐劲星等四十名自然人</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643,340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11.40%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w:t>
            </w:r>
          </w:p>
        </w:tc>
      </w:tr>
      <w:tr>
        <w:trPr>
          <w:trHeight w:val="426"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5,643,340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85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line="336" w:lineRule="auto" w:before="35"/>
        <w:ind w:left="143" w:right="165" w:firstLine="420"/>
        <w:jc w:val="both"/>
        <w:rPr>
          <w:rFonts w:ascii="宋体" w:hAnsi="宋体" w:cs="宋体" w:eastAsia="宋体" w:hint="default"/>
          <w:sz w:val="21"/>
          <w:szCs w:val="21"/>
        </w:rPr>
      </w:pPr>
      <w:r>
        <w:rPr>
          <w:rFonts w:ascii="宋体" w:hAnsi="宋体" w:cs="宋体" w:eastAsia="宋体" w:hint="default"/>
          <w:sz w:val="21"/>
          <w:szCs w:val="21"/>
        </w:rPr>
        <w:t>该增资业经深圳市鹏城会计师事务所有限公司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日深鹏所验字</w:t>
      </w:r>
      <w:r>
        <w:rPr>
          <w:rFonts w:ascii="Times New Roman" w:hAnsi="Times New Roman" w:cs="Times New Roman" w:eastAsia="Times New Roman" w:hint="default"/>
          <w:sz w:val="21"/>
          <w:szCs w:val="21"/>
        </w:rPr>
        <w:t>[2007]131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 验资报告验证。</w:t>
      </w:r>
    </w:p>
    <w:p>
      <w:pPr>
        <w:spacing w:line="336" w:lineRule="auto" w:before="170"/>
        <w:ind w:left="143" w:right="15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日营业执照注册号由</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4403012009512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变更为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440301102955880</w:t>
      </w:r>
      <w:r>
        <w:rPr>
          <w:rFonts w:ascii="宋体" w:hAnsi="宋体" w:cs="宋体" w:eastAsia="宋体" w:hint="default"/>
          <w:sz w:val="21"/>
          <w:szCs w:val="21"/>
        </w:rPr>
        <w:t>，公司法定 代表人由李军变更为陈向军。</w:t>
      </w:r>
    </w:p>
    <w:p>
      <w:pPr>
        <w:spacing w:line="350" w:lineRule="auto" w:before="170"/>
        <w:ind w:left="143" w:right="140" w:firstLine="420"/>
        <w:jc w:val="both"/>
        <w:rPr>
          <w:rFonts w:ascii="宋体" w:hAnsi="宋体" w:cs="宋体" w:eastAsia="宋体" w:hint="default"/>
          <w:sz w:val="21"/>
          <w:szCs w:val="21"/>
        </w:rPr>
      </w:pPr>
      <w:r>
        <w:rPr>
          <w:rFonts w:ascii="Times New Roman" w:hAnsi="Times New Roman" w:cs="Times New Roman" w:eastAsia="Times New Roman" w:hint="default"/>
          <w:spacing w:val="-12"/>
          <w:sz w:val="21"/>
          <w:szCs w:val="21"/>
        </w:rPr>
        <w:t>5</w:t>
      </w:r>
      <w:r>
        <w:rPr>
          <w:rFonts w:ascii="宋体" w:hAnsi="宋体" w:cs="宋体" w:eastAsia="宋体" w:hint="default"/>
          <w:spacing w:val="-12"/>
          <w:sz w:val="21"/>
          <w:szCs w:val="21"/>
        </w:rPr>
        <w:t>、根据</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日股份公司第一次股东大会决议、《深圳市银之杰科技股份有限公</w:t>
      </w:r>
      <w:r>
        <w:rPr>
          <w:rFonts w:ascii="宋体" w:hAnsi="宋体" w:cs="宋体" w:eastAsia="宋体" w:hint="default"/>
          <w:sz w:val="21"/>
          <w:szCs w:val="21"/>
        </w:rPr>
        <w:t> 司发起人协议书》和《深圳市银之杰科技股份有限公司章程》的规定，本公司以发起设立方式 将深圳市银之杰科技有限公司整体变更为股份公司，变更后公司名称为深圳市银之杰科技股份 有限公司，变更后的的注册资本为人民币</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45,000,000.00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元，根据深圳市鹏城会计师事务所有限</w:t>
      </w:r>
    </w:p>
    <w:p>
      <w:pPr>
        <w:spacing w:before="10"/>
        <w:ind w:left="143" w:right="131"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日出具的深鹏所审字</w:t>
      </w:r>
      <w:r>
        <w:rPr>
          <w:rFonts w:ascii="Times New Roman" w:hAnsi="Times New Roman" w:cs="Times New Roman" w:eastAsia="Times New Roman" w:hint="default"/>
          <w:sz w:val="21"/>
          <w:szCs w:val="21"/>
        </w:rPr>
        <w:t>[2007]1032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号审计报告，截至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日深</w:t>
      </w:r>
    </w:p>
    <w:p>
      <w:pPr>
        <w:spacing w:before="118"/>
        <w:ind w:left="143" w:right="27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圳市银之杰科技有限公司经审计后的净资产为人民币</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45,024,560.25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元，将其中</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45,000,000.00</w:t>
      </w:r>
    </w:p>
    <w:p>
      <w:pPr>
        <w:spacing w:before="117"/>
        <w:ind w:left="143" w:right="273" w:firstLine="0"/>
        <w:jc w:val="left"/>
        <w:rPr>
          <w:rFonts w:ascii="宋体" w:hAnsi="宋体" w:cs="宋体" w:eastAsia="宋体" w:hint="default"/>
          <w:sz w:val="21"/>
          <w:szCs w:val="21"/>
        </w:rPr>
      </w:pPr>
      <w:r>
        <w:rPr>
          <w:rFonts w:ascii="宋体" w:hAnsi="宋体" w:cs="宋体" w:eastAsia="宋体" w:hint="default"/>
          <w:sz w:val="21"/>
          <w:szCs w:val="21"/>
        </w:rPr>
        <w:t>元按照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的折股比例折合成股份公司的股份总额。变更后公司股权结构为：</w:t>
      </w:r>
    </w:p>
    <w:p>
      <w:pPr>
        <w:spacing w:line="240" w:lineRule="auto" w:before="11"/>
        <w:rPr>
          <w:rFonts w:ascii="宋体" w:hAnsi="宋体" w:cs="宋体" w:eastAsia="宋体" w:hint="default"/>
          <w:sz w:val="20"/>
          <w:szCs w:val="20"/>
        </w:rPr>
      </w:pPr>
    </w:p>
    <w:tbl>
      <w:tblPr>
        <w:tblW w:w="0" w:type="auto"/>
        <w:jc w:val="left"/>
        <w:tblInd w:w="550" w:type="dxa"/>
        <w:tblLayout w:type="fixed"/>
        <w:tblCellMar>
          <w:top w:w="0" w:type="dxa"/>
          <w:left w:w="0" w:type="dxa"/>
          <w:bottom w:w="0" w:type="dxa"/>
          <w:right w:w="0" w:type="dxa"/>
        </w:tblCellMar>
        <w:tblLook w:val="01E0"/>
      </w:tblPr>
      <w:tblGrid>
        <w:gridCol w:w="2438"/>
        <w:gridCol w:w="1978"/>
        <w:gridCol w:w="1957"/>
        <w:gridCol w:w="1855"/>
      </w:tblGrid>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股</w:t>
              <w:tab/>
              <w:t>东</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出资比例</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
              <w:jc w:val="center"/>
              <w:rPr>
                <w:rFonts w:ascii="宋体" w:hAnsi="宋体" w:cs="宋体" w:eastAsia="宋体" w:hint="default"/>
                <w:sz w:val="21"/>
                <w:szCs w:val="21"/>
              </w:rPr>
            </w:pPr>
            <w:r>
              <w:rPr>
                <w:rFonts w:ascii="宋体" w:hAnsi="宋体" w:cs="宋体" w:eastAsia="宋体" w:hint="default"/>
                <w:sz w:val="21"/>
                <w:szCs w:val="21"/>
              </w:rPr>
              <w:t>出资形式</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张学君</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13,954,500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31.01%</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7"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何</w:t>
              <w:tab/>
              <w:t>晔</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2"/>
                <w:sz w:val="21"/>
              </w:rPr>
              <w:t>11,961,000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26.58%</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5,980,500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13.29%</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陈向军</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5,980,500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13.29%</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汪</w:t>
              <w:tab/>
              <w:t>旻</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1,993,500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4.43%</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7"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唐劲星等四十名自然人</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5,130,000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11.40%</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货币、净资产</w:t>
            </w:r>
          </w:p>
        </w:tc>
      </w:tr>
      <w:tr>
        <w:trPr>
          <w:trHeight w:val="4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45,000,000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855" w:type="dxa"/>
            <w:tcBorders>
              <w:top w:val="single" w:sz="4" w:space="0" w:color="000000"/>
              <w:left w:val="single" w:sz="4" w:space="0" w:color="000000"/>
              <w:bottom w:val="single" w:sz="4" w:space="0" w:color="000000"/>
              <w:right w:val="nil" w:sz="6" w:space="0" w:color="auto"/>
            </w:tcBorders>
          </w:tcPr>
          <w:p>
            <w:pPr/>
          </w:p>
        </w:tc>
      </w:tr>
    </w:tbl>
    <w:p>
      <w:pPr>
        <w:spacing w:before="86"/>
        <w:ind w:left="564" w:right="273" w:firstLine="0"/>
        <w:jc w:val="left"/>
        <w:rPr>
          <w:rFonts w:ascii="宋体" w:hAnsi="宋体" w:cs="宋体" w:eastAsia="宋体" w:hint="default"/>
          <w:sz w:val="21"/>
          <w:szCs w:val="21"/>
        </w:rPr>
      </w:pPr>
      <w:r>
        <w:rPr>
          <w:rFonts w:ascii="宋体" w:hAnsi="宋体" w:cs="宋体" w:eastAsia="宋体" w:hint="default"/>
          <w:sz w:val="21"/>
          <w:szCs w:val="21"/>
        </w:rPr>
        <w:t>该增资业经深圳市鹏城会计师事务所有限公司深鹏所验字</w:t>
      </w:r>
      <w:r>
        <w:rPr>
          <w:rFonts w:ascii="Times New Roman" w:hAnsi="Times New Roman" w:cs="Times New Roman" w:eastAsia="Times New Roman" w:hint="default"/>
          <w:sz w:val="21"/>
          <w:szCs w:val="21"/>
        </w:rPr>
        <w:t>[2007]191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号验资报告验证。</w:t>
      </w:r>
    </w:p>
    <w:p>
      <w:pPr>
        <w:spacing w:line="240" w:lineRule="auto" w:before="3"/>
        <w:rPr>
          <w:rFonts w:ascii="宋体" w:hAnsi="宋体" w:cs="宋体" w:eastAsia="宋体" w:hint="default"/>
          <w:sz w:val="18"/>
          <w:szCs w:val="18"/>
        </w:rPr>
      </w:pPr>
    </w:p>
    <w:p>
      <w:pPr>
        <w:spacing w:line="336" w:lineRule="auto" w:before="0"/>
        <w:ind w:left="144" w:right="14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、本公司于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日经深圳市工商行政管理局核准将原公司名称深圳市银之杰 科技有限公司变更为深圳市银之杰科技股份有限公司。</w:t>
      </w:r>
    </w:p>
    <w:p>
      <w:pPr>
        <w:spacing w:before="170"/>
        <w:ind w:left="564"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日，本公司第一届董事会第七次会议审议通过了《关于公司申请发行股</w:t>
      </w:r>
    </w:p>
    <w:p>
      <w:pPr>
        <w:spacing w:line="338" w:lineRule="auto" w:before="117"/>
        <w:ind w:left="143" w:right="138" w:firstLine="0"/>
        <w:jc w:val="both"/>
        <w:rPr>
          <w:rFonts w:ascii="宋体" w:hAnsi="宋体" w:cs="宋体" w:eastAsia="宋体" w:hint="default"/>
          <w:sz w:val="21"/>
          <w:szCs w:val="21"/>
        </w:rPr>
      </w:pPr>
      <w:r>
        <w:rPr>
          <w:rFonts w:ascii="宋体" w:hAnsi="宋体" w:cs="宋体" w:eastAsia="宋体" w:hint="default"/>
          <w:spacing w:val="-10"/>
          <w:sz w:val="21"/>
          <w:szCs w:val="21"/>
        </w:rPr>
        <w:t>票并上市的议案》，该议案经</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年第二次临时股东大会审议通过。</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日，经中国</w:t>
      </w:r>
      <w:r>
        <w:rPr>
          <w:rFonts w:ascii="宋体" w:hAnsi="宋体" w:cs="宋体" w:eastAsia="宋体" w:hint="default"/>
          <w:sz w:val="21"/>
          <w:szCs w:val="21"/>
        </w:rPr>
        <w:t> </w:t>
      </w:r>
      <w:r>
        <w:rPr>
          <w:rFonts w:ascii="宋体" w:hAnsi="宋体" w:cs="宋体" w:eastAsia="宋体" w:hint="default"/>
          <w:spacing w:val="-1"/>
          <w:sz w:val="21"/>
          <w:szCs w:val="21"/>
        </w:rPr>
        <w:t>证券监督管理委员会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证监许可</w:t>
      </w:r>
      <w:r>
        <w:rPr>
          <w:rFonts w:ascii="Times New Roman" w:hAnsi="Times New Roman" w:cs="Times New Roman" w:eastAsia="Times New Roman" w:hint="default"/>
          <w:spacing w:val="-1"/>
          <w:sz w:val="21"/>
          <w:szCs w:val="21"/>
        </w:rPr>
        <w:t>[2010]548</w:t>
      </w:r>
      <w:r>
        <w:rPr>
          <w:rFonts w:ascii="Times New Roman" w:hAnsi="Times New Roman" w:cs="Times New Roman" w:eastAsia="Times New Roman" w:hint="default"/>
          <w:spacing w:val="26"/>
          <w:sz w:val="21"/>
          <w:szCs w:val="21"/>
        </w:rPr>
        <w:t> </w:t>
      </w:r>
      <w:r>
        <w:rPr>
          <w:rFonts w:ascii="宋体" w:hAnsi="宋体" w:cs="宋体" w:eastAsia="宋体" w:hint="default"/>
          <w:spacing w:val="-9"/>
          <w:sz w:val="21"/>
          <w:szCs w:val="21"/>
        </w:rPr>
        <w:t>号</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文核准，核准公司向社会公开发行人民币普通股（</w:t>
      </w:r>
      <w:r>
        <w:rPr>
          <w:rFonts w:ascii="Times New Roman" w:hAnsi="Times New Roman" w:cs="Times New Roman" w:eastAsia="Times New Roman" w:hint="default"/>
          <w:spacing w:val="-9"/>
          <w:sz w:val="21"/>
          <w:szCs w:val="21"/>
        </w:rPr>
        <w:t>A</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万股，每股面值</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元，发行价格为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股，发行后公司股本为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万股，并</w:t>
      </w:r>
    </w:p>
    <w:p>
      <w:pPr>
        <w:spacing w:line="338" w:lineRule="auto" w:before="22"/>
        <w:ind w:left="143" w:right="218"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日经深圳市鹏城会计师事务有限公司出具了深鹏所验字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号《验 </w:t>
      </w:r>
      <w:r>
        <w:rPr>
          <w:rFonts w:ascii="宋体" w:hAnsi="宋体" w:cs="宋体" w:eastAsia="宋体" w:hint="default"/>
          <w:spacing w:val="-21"/>
          <w:sz w:val="21"/>
          <w:szCs w:val="21"/>
        </w:rPr>
        <w:t>资报告》。</w:t>
      </w:r>
    </w:p>
    <w:p>
      <w:pPr>
        <w:spacing w:line="338" w:lineRule="auto" w:before="167"/>
        <w:ind w:left="143" w:right="164" w:firstLine="420"/>
        <w:jc w:val="left"/>
        <w:rPr>
          <w:rFonts w:ascii="宋体" w:hAnsi="宋体" w:cs="宋体" w:eastAsia="宋体" w:hint="default"/>
          <w:sz w:val="21"/>
          <w:szCs w:val="21"/>
        </w:rPr>
      </w:pPr>
      <w:r>
        <w:rPr>
          <w:rFonts w:ascii="宋体" w:hAnsi="宋体" w:cs="宋体" w:eastAsia="宋体" w:hint="default"/>
          <w:sz w:val="21"/>
          <w:szCs w:val="21"/>
        </w:rPr>
        <w:t>公司股票于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日在深圳证券交易所创业板上市，股票简称</w:t>
      </w:r>
      <w:r>
        <w:rPr>
          <w:rFonts w:ascii="Times New Roman" w:hAnsi="Times New Roman" w:cs="Times New Roman" w:eastAsia="Times New Roman" w:hint="default"/>
          <w:sz w:val="21"/>
          <w:szCs w:val="21"/>
        </w:rPr>
        <w:t>“</w:t>
      </w:r>
      <w:r>
        <w:rPr>
          <w:rFonts w:ascii="宋体" w:hAnsi="宋体" w:cs="宋体" w:eastAsia="宋体" w:hint="default"/>
          <w:sz w:val="21"/>
          <w:szCs w:val="21"/>
        </w:rPr>
        <w:t>银之杰</w:t>
      </w:r>
      <w:r>
        <w:rPr>
          <w:rFonts w:ascii="Times New Roman" w:hAnsi="Times New Roman" w:cs="Times New Roman" w:eastAsia="Times New Roman" w:hint="default"/>
          <w:sz w:val="21"/>
          <w:szCs w:val="21"/>
        </w:rPr>
        <w:t>”</w:t>
      </w:r>
      <w:r>
        <w:rPr>
          <w:rFonts w:ascii="宋体" w:hAnsi="宋体" w:cs="宋体" w:eastAsia="宋体" w:hint="default"/>
          <w:sz w:val="21"/>
          <w:szCs w:val="21"/>
        </w:rPr>
        <w:t>，股票代 码</w:t>
      </w:r>
      <w:r>
        <w:rPr>
          <w:rFonts w:ascii="Times New Roman" w:hAnsi="Times New Roman" w:cs="Times New Roman" w:eastAsia="Times New Roman" w:hint="default"/>
          <w:sz w:val="21"/>
          <w:szCs w:val="21"/>
        </w:rPr>
        <w:t>“300085”</w:t>
      </w:r>
      <w:r>
        <w:rPr>
          <w:rFonts w:ascii="宋体" w:hAnsi="宋体" w:cs="宋体" w:eastAsia="宋体" w:hint="default"/>
          <w:sz w:val="21"/>
          <w:szCs w:val="21"/>
        </w:rPr>
        <w:t>。</w:t>
      </w:r>
    </w:p>
    <w:p>
      <w:pPr>
        <w:spacing w:before="142"/>
        <w:ind w:left="563" w:right="273" w:firstLine="0"/>
        <w:jc w:val="left"/>
        <w:rPr>
          <w:rFonts w:ascii="宋体" w:hAnsi="宋体" w:cs="宋体" w:eastAsia="宋体" w:hint="default"/>
          <w:sz w:val="21"/>
          <w:szCs w:val="21"/>
        </w:rPr>
      </w:pPr>
      <w:r>
        <w:rPr>
          <w:rFonts w:ascii="宋体" w:hAnsi="宋体" w:cs="宋体" w:eastAsia="宋体" w:hint="default"/>
          <w:sz w:val="21"/>
          <w:szCs w:val="21"/>
        </w:rPr>
        <w:t>（四）公司基本组织架构</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line="357" w:lineRule="auto" w:before="35"/>
        <w:ind w:left="143" w:right="581" w:firstLine="420"/>
        <w:jc w:val="both"/>
        <w:rPr>
          <w:rFonts w:ascii="宋体" w:hAnsi="宋体" w:cs="宋体" w:eastAsia="宋体" w:hint="default"/>
          <w:sz w:val="21"/>
          <w:szCs w:val="21"/>
        </w:rPr>
      </w:pPr>
      <w:r>
        <w:rPr>
          <w:rFonts w:ascii="宋体" w:hAnsi="宋体" w:cs="宋体" w:eastAsia="宋体" w:hint="default"/>
          <w:sz w:val="21"/>
          <w:szCs w:val="21"/>
        </w:rPr>
        <w:t>本公司按照公司法的要求及公司实际情况设立组织机构：公司最高权力机构为股东大会， 由全体股东组成，下设董事会和监事会，董事会设立战略决策委员会、提名委员会、薪酬与考 </w:t>
      </w:r>
      <w:r>
        <w:rPr>
          <w:rFonts w:ascii="宋体" w:hAnsi="宋体" w:cs="宋体" w:eastAsia="宋体" w:hint="default"/>
          <w:spacing w:val="-3"/>
          <w:sz w:val="21"/>
          <w:szCs w:val="21"/>
        </w:rPr>
        <w:t>核委员会、审计委员会，审计委员会下设内审部。</w:t>
      </w:r>
      <w:r>
        <w:rPr>
          <w:rFonts w:ascii="宋体" w:hAnsi="宋体" w:cs="宋体" w:eastAsia="宋体" w:hint="default"/>
          <w:spacing w:val="-32"/>
          <w:sz w:val="21"/>
          <w:szCs w:val="21"/>
        </w:rPr>
        <w:t> </w:t>
      </w:r>
      <w:r>
        <w:rPr>
          <w:rFonts w:ascii="宋体" w:hAnsi="宋体" w:cs="宋体" w:eastAsia="宋体" w:hint="default"/>
          <w:sz w:val="21"/>
          <w:szCs w:val="21"/>
        </w:rPr>
        <w:t>公司董事会聘任了一位总经理，并根据经营</w:t>
      </w:r>
      <w:r>
        <w:rPr>
          <w:rFonts w:ascii="宋体" w:hAnsi="宋体" w:cs="宋体" w:eastAsia="宋体" w:hint="default"/>
          <w:sz w:val="21"/>
          <w:szCs w:val="21"/>
        </w:rPr>
        <w:t> 需要分别设置了研究开发中心、工程管理部、客户服务部、销售部、商务部、市场部、综合管 理部、人力资源部、财务部等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个职能部门。</w:t>
      </w:r>
    </w:p>
    <w:p>
      <w:pPr>
        <w:spacing w:before="123"/>
        <w:ind w:left="563" w:right="570" w:firstLine="0"/>
        <w:jc w:val="left"/>
        <w:rPr>
          <w:rFonts w:ascii="宋体" w:hAnsi="宋体" w:cs="宋体" w:eastAsia="宋体" w:hint="default"/>
          <w:sz w:val="21"/>
          <w:szCs w:val="21"/>
        </w:rPr>
      </w:pPr>
      <w:r>
        <w:rPr>
          <w:rFonts w:ascii="宋体" w:hAnsi="宋体" w:cs="宋体" w:eastAsia="宋体" w:hint="default"/>
          <w:sz w:val="21"/>
          <w:szCs w:val="21"/>
        </w:rPr>
        <w:t>（五）控股子公司及合营企业、联营企业有关情况</w:t>
      </w:r>
    </w:p>
    <w:p>
      <w:pPr>
        <w:spacing w:line="240" w:lineRule="auto" w:before="1"/>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2708"/>
        <w:gridCol w:w="736"/>
        <w:gridCol w:w="734"/>
        <w:gridCol w:w="1050"/>
        <w:gridCol w:w="876"/>
        <w:gridCol w:w="700"/>
        <w:gridCol w:w="944"/>
        <w:gridCol w:w="630"/>
        <w:gridCol w:w="708"/>
      </w:tblGrid>
      <w:tr>
        <w:trPr>
          <w:trHeight w:val="69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注册地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28" w:right="234"/>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69"/>
              <w:ind w:right="10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成立日期</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64" w:right="16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5" w:right="0"/>
              <w:jc w:val="left"/>
              <w:rPr>
                <w:rFonts w:ascii="宋体" w:hAnsi="宋体" w:cs="宋体" w:eastAsia="宋体" w:hint="default"/>
                <w:sz w:val="18"/>
                <w:szCs w:val="18"/>
              </w:rPr>
            </w:pPr>
            <w:r>
              <w:rPr>
                <w:rFonts w:ascii="宋体" w:hAnsi="宋体" w:cs="宋体" w:eastAsia="宋体" w:hint="default"/>
                <w:sz w:val="18"/>
                <w:szCs w:val="18"/>
              </w:rPr>
              <w:t>投资额</w:t>
            </w:r>
          </w:p>
          <w:p>
            <w:pPr>
              <w:pStyle w:val="TableParagraph"/>
              <w:spacing w:line="240" w:lineRule="auto" w:before="69"/>
              <w:ind w:left="1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29" w:right="128"/>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41"/>
              <w:ind w:left="171" w:right="169"/>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5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深圳市银之杰软件技术有限公司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t>深圳</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RMB100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2008-11-18</w:t>
            </w:r>
            <w:r>
              <w:rPr>
                <w:rFonts w:ascii="Times New Roman"/>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RMB100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86"/>
        <w:ind w:left="564" w:right="5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金融应用软件技术开发、销售；计算机软、硬件技术开发、技术咨询。</w:t>
      </w:r>
    </w:p>
    <w:p>
      <w:pPr>
        <w:spacing w:line="240" w:lineRule="auto" w:before="3"/>
        <w:rPr>
          <w:rFonts w:ascii="宋体" w:hAnsi="宋体" w:cs="宋体" w:eastAsia="宋体" w:hint="default"/>
          <w:sz w:val="18"/>
          <w:szCs w:val="18"/>
        </w:rPr>
      </w:pPr>
    </w:p>
    <w:p>
      <w:pPr>
        <w:spacing w:before="0"/>
        <w:ind w:left="564" w:right="570" w:firstLine="0"/>
        <w:jc w:val="left"/>
        <w:rPr>
          <w:rFonts w:ascii="宋体" w:hAnsi="宋体" w:cs="宋体" w:eastAsia="宋体" w:hint="default"/>
          <w:sz w:val="21"/>
          <w:szCs w:val="21"/>
        </w:rPr>
      </w:pPr>
      <w:r>
        <w:rPr>
          <w:rFonts w:ascii="宋体" w:hAnsi="宋体" w:cs="宋体" w:eastAsia="宋体" w:hint="default"/>
          <w:sz w:val="21"/>
          <w:szCs w:val="21"/>
        </w:rPr>
        <w:t>（六）财务报告的批准报出者和财务报告批准报出日。</w:t>
      </w:r>
    </w:p>
    <w:p>
      <w:pPr>
        <w:spacing w:line="240" w:lineRule="auto" w:before="5"/>
        <w:rPr>
          <w:rFonts w:ascii="宋体" w:hAnsi="宋体" w:cs="宋体" w:eastAsia="宋体" w:hint="default"/>
          <w:sz w:val="19"/>
          <w:szCs w:val="19"/>
        </w:rPr>
      </w:pPr>
    </w:p>
    <w:p>
      <w:pPr>
        <w:spacing w:before="0"/>
        <w:ind w:left="564" w:right="570" w:firstLine="0"/>
        <w:jc w:val="left"/>
        <w:rPr>
          <w:rFonts w:ascii="宋体" w:hAnsi="宋体" w:cs="宋体" w:eastAsia="宋体" w:hint="default"/>
          <w:sz w:val="21"/>
          <w:szCs w:val="21"/>
        </w:rPr>
      </w:pPr>
      <w:r>
        <w:rPr>
          <w:rFonts w:ascii="宋体" w:hAnsi="宋体" w:cs="宋体" w:eastAsia="宋体" w:hint="default"/>
          <w:sz w:val="21"/>
          <w:szCs w:val="21"/>
        </w:rPr>
        <w:t>本财务报告于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日经公司第二届董事会第二次会议审议批准报出。</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2"/>
          <w:szCs w:val="32"/>
        </w:rPr>
      </w:pPr>
    </w:p>
    <w:p>
      <w:pPr>
        <w:pStyle w:val="Heading5"/>
        <w:spacing w:line="240" w:lineRule="auto"/>
        <w:ind w:right="570"/>
        <w:jc w:val="left"/>
        <w:rPr>
          <w:b w:val="0"/>
          <w:bCs w:val="0"/>
        </w:rPr>
      </w:pPr>
      <w:r>
        <w:rPr/>
        <w:t>二、</w:t>
      </w:r>
      <w:r>
        <w:rPr>
          <w:spacing w:val="-40"/>
        </w:rPr>
        <w:t> </w:t>
      </w:r>
      <w:r>
        <w:rPr/>
        <w:t>公司主要会计政策、会计估计和前期差错</w:t>
      </w:r>
      <w:r>
        <w:rPr>
          <w:b w:val="0"/>
          <w:bCs w:val="0"/>
        </w:rPr>
      </w:r>
    </w:p>
    <w:p>
      <w:pPr>
        <w:spacing w:line="240" w:lineRule="auto" w:before="1"/>
        <w:rPr>
          <w:rFonts w:ascii="宋体" w:hAnsi="宋体" w:cs="宋体" w:eastAsia="宋体" w:hint="default"/>
          <w:b/>
          <w:bCs/>
          <w:sz w:val="30"/>
          <w:szCs w:val="30"/>
        </w:rPr>
      </w:pPr>
    </w:p>
    <w:p>
      <w:pPr>
        <w:spacing w:line="530" w:lineRule="atLeast" w:before="0"/>
        <w:ind w:left="564" w:right="57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本公司以持续经营为基础，根据实际发生的交易和事项，按照《企业会计准则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w:t>
      </w:r>
    </w:p>
    <w:p>
      <w:pPr>
        <w:spacing w:before="117"/>
        <w:ind w:left="144" w:right="570" w:firstLine="0"/>
        <w:jc w:val="left"/>
        <w:rPr>
          <w:rFonts w:ascii="宋体" w:hAnsi="宋体" w:cs="宋体" w:eastAsia="宋体" w:hint="default"/>
          <w:sz w:val="21"/>
          <w:szCs w:val="21"/>
        </w:rPr>
      </w:pPr>
      <w:r>
        <w:rPr>
          <w:rFonts w:ascii="宋体" w:hAnsi="宋体" w:cs="宋体" w:eastAsia="宋体" w:hint="default"/>
          <w:sz w:val="21"/>
          <w:szCs w:val="21"/>
        </w:rPr>
        <w:t>则》和其他各项会计准则的规定进行确认和计量，在此基础上编制财务报表。</w:t>
      </w:r>
    </w:p>
    <w:p>
      <w:pPr>
        <w:spacing w:line="240" w:lineRule="auto" w:before="6"/>
        <w:rPr>
          <w:rFonts w:ascii="宋体" w:hAnsi="宋体" w:cs="宋体" w:eastAsia="宋体" w:hint="default"/>
          <w:sz w:val="19"/>
          <w:szCs w:val="19"/>
        </w:rPr>
      </w:pPr>
    </w:p>
    <w:p>
      <w:pPr>
        <w:spacing w:line="436" w:lineRule="auto" w:before="0"/>
        <w:ind w:left="564" w:right="57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本公司基于上述编制基础编制的财务报表符合企业会计准则的要求，真实、完整地反映了</w:t>
      </w:r>
    </w:p>
    <w:p>
      <w:pPr>
        <w:spacing w:line="253"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日公司及合并的财务状况，以及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年度的公司及合并的经营成果和</w:t>
      </w:r>
    </w:p>
    <w:p>
      <w:pPr>
        <w:spacing w:before="117"/>
        <w:ind w:left="143" w:right="570" w:firstLine="0"/>
        <w:jc w:val="left"/>
        <w:rPr>
          <w:rFonts w:ascii="宋体" w:hAnsi="宋体" w:cs="宋体" w:eastAsia="宋体" w:hint="default"/>
          <w:sz w:val="21"/>
          <w:szCs w:val="21"/>
        </w:rPr>
      </w:pPr>
      <w:r>
        <w:rPr>
          <w:rFonts w:ascii="宋体" w:hAnsi="宋体" w:cs="宋体" w:eastAsia="宋体" w:hint="default"/>
          <w:sz w:val="21"/>
          <w:szCs w:val="21"/>
        </w:rPr>
        <w:t>现金流量等有关信息。</w:t>
      </w:r>
    </w:p>
    <w:p>
      <w:pPr>
        <w:spacing w:line="240" w:lineRule="auto" w:before="6"/>
        <w:rPr>
          <w:rFonts w:ascii="宋体" w:hAnsi="宋体" w:cs="宋体" w:eastAsia="宋体" w:hint="default"/>
          <w:sz w:val="19"/>
          <w:szCs w:val="19"/>
        </w:rPr>
      </w:pPr>
    </w:p>
    <w:p>
      <w:pPr>
        <w:spacing w:before="0"/>
        <w:ind w:left="143" w:right="5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3" w:right="570" w:firstLine="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日为一个会计年度。</w:t>
      </w:r>
    </w:p>
    <w:p>
      <w:pPr>
        <w:spacing w:line="240" w:lineRule="auto" w:before="2"/>
        <w:rPr>
          <w:rFonts w:ascii="宋体" w:hAnsi="宋体" w:cs="宋体" w:eastAsia="宋体" w:hint="default"/>
          <w:sz w:val="18"/>
          <w:szCs w:val="18"/>
        </w:rPr>
      </w:pPr>
    </w:p>
    <w:p>
      <w:pPr>
        <w:spacing w:before="0"/>
        <w:ind w:left="143" w:right="5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563" w:right="570"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5"/>
        <w:rPr>
          <w:rFonts w:ascii="宋体" w:hAnsi="宋体" w:cs="宋体" w:eastAsia="宋体" w:hint="default"/>
          <w:sz w:val="19"/>
          <w:szCs w:val="19"/>
        </w:rPr>
      </w:pPr>
    </w:p>
    <w:p>
      <w:pPr>
        <w:spacing w:before="0"/>
        <w:ind w:left="143" w:right="5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336" w:lineRule="auto" w:before="0"/>
        <w:ind w:left="143" w:right="571" w:firstLine="422"/>
        <w:jc w:val="left"/>
        <w:rPr>
          <w:rFonts w:ascii="宋体" w:hAnsi="宋体" w:cs="宋体" w:eastAsia="宋体" w:hint="default"/>
          <w:sz w:val="21"/>
          <w:szCs w:val="21"/>
        </w:rPr>
      </w:pPr>
      <w:r>
        <w:rPr>
          <w:rFonts w:ascii="宋体" w:hAnsi="宋体" w:cs="宋体" w:eastAsia="宋体" w:hint="default"/>
          <w:b/>
          <w:bCs/>
          <w:spacing w:val="2"/>
          <w:sz w:val="21"/>
          <w:szCs w:val="21"/>
        </w:rPr>
        <w:t>（</w:t>
      </w:r>
      <w:r>
        <w:rPr>
          <w:rFonts w:ascii="Times New Roman" w:hAnsi="Times New Roman" w:cs="Times New Roman" w:eastAsia="Times New Roman" w:hint="default"/>
          <w:b/>
          <w:bCs/>
          <w:spacing w:val="2"/>
          <w:sz w:val="21"/>
          <w:szCs w:val="21"/>
        </w:rPr>
        <w:t>1</w:t>
      </w:r>
      <w:r>
        <w:rPr>
          <w:rFonts w:ascii="宋体" w:hAnsi="宋体" w:cs="宋体" w:eastAsia="宋体" w:hint="default"/>
          <w:b/>
          <w:bCs/>
          <w:spacing w:val="2"/>
          <w:sz w:val="21"/>
          <w:szCs w:val="21"/>
        </w:rPr>
        <w:t>）同一控制下的企业合并</w:t>
      </w:r>
      <w:r>
        <w:rPr>
          <w:rFonts w:ascii="宋体" w:hAnsi="宋体" w:cs="宋体" w:eastAsia="宋体" w:hint="default"/>
          <w:spacing w:val="2"/>
          <w:sz w:val="21"/>
          <w:szCs w:val="21"/>
        </w:rPr>
        <w:t>：在企业合并中取得的资产和负债，按照合并日在被合并方</w:t>
      </w:r>
      <w:r>
        <w:rPr>
          <w:rFonts w:ascii="宋体" w:hAnsi="宋体" w:cs="宋体" w:eastAsia="宋体" w:hint="default"/>
          <w:sz w:val="21"/>
          <w:szCs w:val="21"/>
        </w:rPr>
        <w:t> 的账面价值计量。取得的净资产账面价值与支付的合并对价账面价值（或发行股份面值总额）</w:t>
      </w:r>
    </w:p>
    <w:p>
      <w:pPr>
        <w:spacing w:after="0" w:line="336" w:lineRule="auto"/>
        <w:jc w:val="left"/>
        <w:rPr>
          <w:rFonts w:ascii="宋体" w:hAnsi="宋体" w:cs="宋体" w:eastAsia="宋体" w:hint="default"/>
          <w:sz w:val="21"/>
          <w:szCs w:val="21"/>
        </w:rPr>
        <w:sectPr>
          <w:pgSz w:w="11910" w:h="16840"/>
          <w:pgMar w:header="877" w:footer="982" w:top="1100" w:bottom="1180" w:left="1500" w:right="1060"/>
        </w:sectPr>
      </w:pPr>
    </w:p>
    <w:p>
      <w:pPr>
        <w:spacing w:line="240" w:lineRule="auto" w:before="2"/>
        <w:rPr>
          <w:rFonts w:ascii="宋体" w:hAnsi="宋体" w:cs="宋体" w:eastAsia="宋体" w:hint="default"/>
          <w:sz w:val="19"/>
          <w:szCs w:val="19"/>
        </w:rPr>
      </w:pPr>
    </w:p>
    <w:p>
      <w:pPr>
        <w:spacing w:line="357" w:lineRule="auto" w:before="35"/>
        <w:ind w:left="144" w:right="218" w:firstLine="0"/>
        <w:jc w:val="both"/>
        <w:rPr>
          <w:rFonts w:ascii="宋体" w:hAnsi="宋体" w:cs="宋体" w:eastAsia="宋体" w:hint="default"/>
          <w:sz w:val="21"/>
          <w:szCs w:val="21"/>
        </w:rPr>
      </w:pPr>
      <w:r>
        <w:rPr>
          <w:rFonts w:ascii="宋体" w:hAnsi="宋体" w:cs="宋体" w:eastAsia="宋体" w:hint="default"/>
          <w:sz w:val="21"/>
          <w:szCs w:val="21"/>
        </w:rPr>
        <w:t>的差额，调整资本公积；资本公积不足冲减的，调整留存收益。为进行企业合并发生的各项直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接相关费用，包括为进行企业合并而支付的审计费用、评估费用、法律服务费用等，于发生时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计入当期损益。企业合并形成母子公司关系的，母公司编制合并日的合并资产负债表、合并利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润表和合并现金流量表。合并资产负债表中被合并方的各项资产、负债，按其账面价值计量。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因被合并方采用的会计政策与合并方不一致，按照本准则规定进行调整的，以调整后的账面价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值计量。合并利润表包括参与合并各方自合并当期期初至合并日所发生的收入、费用和利润。</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被合并方在合并前实现的净利润，在合并利润表中单列项目反映。合并现金流量表包括参与合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并各方自合并当期期初至合并日的现金流量。</w:t>
      </w:r>
    </w:p>
    <w:p>
      <w:pPr>
        <w:spacing w:line="355" w:lineRule="auto" w:before="150"/>
        <w:ind w:left="143" w:right="218" w:firstLine="422"/>
        <w:jc w:val="both"/>
        <w:rPr>
          <w:rFonts w:ascii="宋体" w:hAnsi="宋体" w:cs="宋体" w:eastAsia="宋体" w:hint="default"/>
          <w:sz w:val="21"/>
          <w:szCs w:val="21"/>
        </w:rPr>
      </w:pPr>
      <w:r>
        <w:rPr>
          <w:rFonts w:ascii="宋体" w:hAnsi="宋体" w:cs="宋体" w:eastAsia="宋体" w:hint="default"/>
          <w:b/>
          <w:bCs/>
          <w:spacing w:val="2"/>
          <w:sz w:val="21"/>
          <w:szCs w:val="21"/>
        </w:rPr>
        <w:t>（</w:t>
      </w:r>
      <w:r>
        <w:rPr>
          <w:rFonts w:ascii="Times New Roman" w:hAnsi="Times New Roman" w:cs="Times New Roman" w:eastAsia="Times New Roman" w:hint="default"/>
          <w:b/>
          <w:bCs/>
          <w:spacing w:val="2"/>
          <w:sz w:val="21"/>
          <w:szCs w:val="21"/>
        </w:rPr>
        <w:t>2</w:t>
      </w:r>
      <w:r>
        <w:rPr>
          <w:rFonts w:ascii="宋体" w:hAnsi="宋体" w:cs="宋体" w:eastAsia="宋体" w:hint="default"/>
          <w:b/>
          <w:bCs/>
          <w:spacing w:val="2"/>
          <w:sz w:val="21"/>
          <w:szCs w:val="21"/>
        </w:rPr>
        <w:t>）非同一控制下的企业合并</w:t>
      </w:r>
      <w:r>
        <w:rPr>
          <w:rFonts w:ascii="宋体" w:hAnsi="宋体" w:cs="宋体" w:eastAsia="宋体" w:hint="default"/>
          <w:spacing w:val="2"/>
          <w:sz w:val="21"/>
          <w:szCs w:val="21"/>
        </w:rPr>
        <w:t>：在购买日为取得对被购买方的控制权而付出的资产、发 </w:t>
      </w:r>
      <w:r>
        <w:rPr>
          <w:rFonts w:ascii="宋体" w:hAnsi="宋体" w:cs="宋体" w:eastAsia="宋体" w:hint="default"/>
          <w:sz w:val="21"/>
          <w:szCs w:val="21"/>
        </w:rPr>
        <w:t>生或承担的负债以及发行的权益性证券的公允价值加上各项直接相关费用为合并成本。在购买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日对作为企业合并对价付出的资产、发生或承担的负债按照公允价值计量，公允价值与其账面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价值的差额，计入当期损益。对合并成本大于合并中取得的被购买方可辨认净资产公允价值份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额的差额，确认为商誉。对合并成本小于合并中取得的被购买方可辨认净资产公允价值份额的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差额时，对取得的被购买方各项可辨认资产、负债及或有负债的公允价值以及合并成本的计量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进行复核；经复核后合并成本仍小于合并中取得的被购买方可辨认净资产公允价值份额的，其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差额计入当期损益。企业合并形成母子公司关系的，母公司编制购买日的合并资产负债表，因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企业合并取得的被购买方各项可辨认资产、负债及或有负债以公允价值列示。</w:t>
      </w:r>
    </w:p>
    <w:p>
      <w:pPr>
        <w:spacing w:before="152"/>
        <w:ind w:left="14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143"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）合并会计报表原则</w:t>
      </w:r>
    </w:p>
    <w:p>
      <w:pPr>
        <w:spacing w:line="240" w:lineRule="auto" w:before="2"/>
        <w:rPr>
          <w:rFonts w:ascii="宋体" w:hAnsi="宋体" w:cs="宋体" w:eastAsia="宋体" w:hint="default"/>
          <w:sz w:val="18"/>
          <w:szCs w:val="18"/>
        </w:rPr>
      </w:pPr>
    </w:p>
    <w:p>
      <w:pPr>
        <w:spacing w:line="350" w:lineRule="auto" w:before="0"/>
        <w:ind w:left="144" w:right="21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、合并财务报表以本公司和纳入合并财务报表范围的各子公司的财务报表及其他有关资 料为合并依据，按照权益法调整对子公司的长期股权投资，将本公司和纳入合并财务报表范围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的各子公司之间的投资、交易及往来等全部抵销，并计算少数股东损益及少数股东权益后合并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编制而成。</w:t>
      </w:r>
    </w:p>
    <w:p>
      <w:pPr>
        <w:spacing w:line="336" w:lineRule="auto" w:before="157"/>
        <w:ind w:left="144" w:right="2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、合并时，如纳入合并范围的子公司与本公司会计政策不一致，按本公司执行的会计政 策对其进行调整后合并。</w:t>
      </w:r>
    </w:p>
    <w:p>
      <w:pPr>
        <w:spacing w:line="336" w:lineRule="auto" w:before="170"/>
        <w:ind w:left="144" w:right="11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C</w:t>
      </w:r>
      <w:r>
        <w:rPr>
          <w:rFonts w:ascii="宋体" w:hAnsi="宋体" w:cs="宋体" w:eastAsia="宋体" w:hint="default"/>
          <w:spacing w:val="-1"/>
          <w:sz w:val="21"/>
          <w:szCs w:val="21"/>
        </w:rPr>
        <w:t>、对于同一控制下企业合并取得的子公司，视同该企业合并于合并当期的期初已经发生，</w:t>
      </w:r>
      <w:r>
        <w:rPr>
          <w:rFonts w:ascii="宋体" w:hAnsi="宋体" w:cs="宋体" w:eastAsia="宋体" w:hint="default"/>
          <w:sz w:val="21"/>
          <w:szCs w:val="21"/>
        </w:rPr>
        <w:t> 从合并当期的期初起将其资产、负债、经营成果和现金流量纳入合并财务报表。</w:t>
      </w:r>
    </w:p>
    <w:p>
      <w:pPr>
        <w:spacing w:line="336" w:lineRule="auto" w:before="170"/>
        <w:ind w:left="144" w:right="22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、同一控制下的企业合并事项的，被重组方合并前的净损益应计入非经常性损益，并在 申报财务报表中单独列示。</w:t>
      </w:r>
    </w:p>
    <w:p>
      <w:pPr>
        <w:spacing w:line="338" w:lineRule="auto" w:before="169"/>
        <w:ind w:left="144" w:right="21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、重组属于同一公司控制权人下的非企业合并事项，但被重组方重组前一个会计年度末</w:t>
      </w:r>
      <w:r>
        <w:rPr>
          <w:rFonts w:ascii="宋体" w:hAnsi="宋体" w:cs="宋体" w:eastAsia="宋体" w:hint="default"/>
          <w:spacing w:val="2"/>
          <w:sz w:val="21"/>
          <w:szCs w:val="21"/>
        </w:rPr>
        <w:t> </w:t>
      </w:r>
      <w:r>
        <w:rPr>
          <w:rFonts w:ascii="宋体" w:hAnsi="宋体" w:cs="宋体" w:eastAsia="宋体" w:hint="default"/>
          <w:spacing w:val="3"/>
          <w:sz w:val="21"/>
          <w:szCs w:val="21"/>
        </w:rPr>
        <w:t>的资产总额或前一个会计年度的营业收入或利润总额达到或超过重组前发行人相应项目</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的，从合并当期的期初起编制备考利润表。</w:t>
      </w:r>
    </w:p>
    <w:p>
      <w:pPr>
        <w:spacing w:after="0" w:line="338" w:lineRule="auto"/>
        <w:jc w:val="both"/>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line="336" w:lineRule="auto" w:before="35"/>
        <w:ind w:left="143" w:right="131"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F</w:t>
      </w:r>
      <w:r>
        <w:rPr>
          <w:rFonts w:ascii="宋体" w:hAnsi="宋体" w:cs="宋体" w:eastAsia="宋体" w:hint="default"/>
          <w:spacing w:val="2"/>
          <w:sz w:val="21"/>
          <w:szCs w:val="21"/>
        </w:rPr>
        <w:t>、对于因非同一控制下企业合并取得的子公司，在编制合并报表时，以购买日可辨认净 </w:t>
      </w:r>
      <w:r>
        <w:rPr>
          <w:rFonts w:ascii="宋体" w:hAnsi="宋体" w:cs="宋体" w:eastAsia="宋体" w:hint="default"/>
          <w:sz w:val="21"/>
          <w:szCs w:val="21"/>
        </w:rPr>
        <w:t>资产公允价值为基础对个别财务报表进行调整。</w:t>
      </w:r>
    </w:p>
    <w:p>
      <w:pPr>
        <w:spacing w:line="336" w:lineRule="auto" w:before="170"/>
        <w:ind w:left="143" w:right="131"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）对同一子公司的股权在连续两个会计年度买入再卖出，或卖出再买入的应披露相关的会计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处理方法。</w:t>
      </w:r>
    </w:p>
    <w:p>
      <w:pPr>
        <w:spacing w:before="170"/>
        <w:ind w:left="563" w:right="273"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5"/>
        <w:rPr>
          <w:rFonts w:ascii="宋体" w:hAnsi="宋体" w:cs="宋体" w:eastAsia="宋体" w:hint="default"/>
          <w:sz w:val="19"/>
          <w:szCs w:val="19"/>
        </w:rPr>
      </w:pPr>
    </w:p>
    <w:p>
      <w:pPr>
        <w:spacing w:line="436" w:lineRule="auto" w:before="0"/>
        <w:ind w:left="563" w:right="328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现金是指本公司的库存现金以及随时用于支付的存款。</w:t>
      </w:r>
    </w:p>
    <w:p>
      <w:pPr>
        <w:spacing w:line="355" w:lineRule="auto" w:before="81"/>
        <w:ind w:left="143" w:right="131" w:firstLine="420"/>
        <w:jc w:val="left"/>
        <w:rPr>
          <w:rFonts w:ascii="宋体" w:hAnsi="宋体" w:cs="宋体" w:eastAsia="宋体" w:hint="default"/>
          <w:sz w:val="21"/>
          <w:szCs w:val="21"/>
        </w:rPr>
      </w:pPr>
      <w:r>
        <w:rPr>
          <w:rFonts w:ascii="宋体" w:hAnsi="宋体" w:cs="宋体" w:eastAsia="宋体" w:hint="default"/>
          <w:spacing w:val="-6"/>
          <w:sz w:val="21"/>
          <w:szCs w:val="21"/>
        </w:rPr>
        <w:t>现金等价物为本公司持有的期限短（一般是指从购买日起三个月内到期）、流动性强、易于</w:t>
      </w:r>
      <w:r>
        <w:rPr>
          <w:rFonts w:ascii="宋体" w:hAnsi="宋体" w:cs="宋体" w:eastAsia="宋体" w:hint="default"/>
          <w:sz w:val="21"/>
          <w:szCs w:val="21"/>
        </w:rPr>
        <w:t> 转换为已知金额现金且价值变动风险很小的投资。</w:t>
      </w:r>
    </w:p>
    <w:p>
      <w:pPr>
        <w:spacing w:before="153"/>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564"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 本公司外币交易均按交易发生日的即期近似汇率折算为记账本位币。该即期近似汇率指交</w:t>
      </w:r>
    </w:p>
    <w:p>
      <w:pPr>
        <w:spacing w:line="236" w:lineRule="exact"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易发生日当月月初的汇率。</w:t>
      </w:r>
    </w:p>
    <w:p>
      <w:pPr>
        <w:spacing w:line="240" w:lineRule="auto" w:before="6"/>
        <w:rPr>
          <w:rFonts w:ascii="宋体" w:hAnsi="宋体" w:cs="宋体" w:eastAsia="宋体" w:hint="default"/>
          <w:sz w:val="19"/>
          <w:szCs w:val="19"/>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在资产负债表日，应当按照下列规定对外币货币性项目和外币非货币性项目进行处理：</w:t>
      </w:r>
    </w:p>
    <w:p>
      <w:pPr>
        <w:spacing w:line="240" w:lineRule="auto" w:before="5"/>
        <w:rPr>
          <w:rFonts w:ascii="宋体" w:hAnsi="宋体" w:cs="宋体" w:eastAsia="宋体" w:hint="default"/>
          <w:sz w:val="19"/>
          <w:szCs w:val="19"/>
        </w:rPr>
      </w:pPr>
    </w:p>
    <w:p>
      <w:pPr>
        <w:spacing w:line="336" w:lineRule="auto" w:before="0"/>
        <w:ind w:left="144" w:right="13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、外币货币性项目，采用资产负债表日即期汇率折算。因资产负债表日即期汇率与初始 确认时或前一资产负债表日即期汇率不同而产生的汇兑差额，计入当期损益。</w:t>
      </w:r>
    </w:p>
    <w:p>
      <w:pPr>
        <w:spacing w:line="336" w:lineRule="auto" w:before="170"/>
        <w:ind w:left="144" w:right="13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 记账本位币金额。</w:t>
      </w:r>
    </w:p>
    <w:p>
      <w:pPr>
        <w:spacing w:line="336" w:lineRule="auto" w:before="170"/>
        <w:ind w:left="144" w:right="13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 的记账本位币金额与原记账本位币金额的差额，作为公允价值变动处理，计入当期损益。</w:t>
      </w:r>
    </w:p>
    <w:p>
      <w:pPr>
        <w:spacing w:line="436" w:lineRule="auto" w:before="170"/>
        <w:ind w:left="564" w:right="307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）外币财务报表的折算方法 公司对境外经营的财务报表进行折算时，遵循下列规定：</w:t>
      </w:r>
    </w:p>
    <w:p>
      <w:pPr>
        <w:spacing w:line="338" w:lineRule="auto" w:before="81"/>
        <w:ind w:left="144" w:right="13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、资产负债表中的资产和负债项目，采用资产负债表日的即期汇率折算，所有者权益项 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项目外，其他项目采用发生时的即期近似汇率折算。</w:t>
      </w:r>
    </w:p>
    <w:p>
      <w:pPr>
        <w:spacing w:line="436" w:lineRule="auto" w:before="142"/>
        <w:ind w:left="564" w:right="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 按照上述方法折算产生的外币财务报表折算差额，在资产负债表中所有者权益项目下单独</w:t>
      </w:r>
    </w:p>
    <w:p>
      <w:pPr>
        <w:spacing w:line="236" w:lineRule="exact"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列示。</w:t>
      </w:r>
    </w:p>
    <w:p>
      <w:pPr>
        <w:spacing w:after="0" w:line="236" w:lineRule="exact"/>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before="35"/>
        <w:ind w:left="144" w:right="1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）金融资产的分类： 金融资产分为以公允价值计量且其变动计入当期损益的金融资产（包括交易性金融资产和</w:t>
      </w:r>
    </w:p>
    <w:p>
      <w:pPr>
        <w:spacing w:line="236"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指定为以公允价值计量且其变动计入当期损益的金融资产</w:t>
      </w:r>
      <w:r>
        <w:rPr>
          <w:rFonts w:ascii="宋体" w:hAnsi="宋体" w:cs="宋体" w:eastAsia="宋体" w:hint="default"/>
          <w:spacing w:val="-106"/>
          <w:sz w:val="21"/>
          <w:szCs w:val="21"/>
        </w:rPr>
        <w:t>）</w:t>
      </w:r>
      <w:r>
        <w:rPr>
          <w:rFonts w:ascii="宋体" w:hAnsi="宋体" w:cs="宋体" w:eastAsia="宋体" w:hint="default"/>
          <w:spacing w:val="-101"/>
          <w:sz w:val="21"/>
          <w:szCs w:val="21"/>
        </w:rPr>
        <w:t>、</w:t>
      </w:r>
      <w:r>
        <w:rPr>
          <w:rFonts w:ascii="宋体" w:hAnsi="宋体" w:cs="宋体" w:eastAsia="宋体" w:hint="default"/>
          <w:sz w:val="21"/>
          <w:szCs w:val="21"/>
        </w:rPr>
        <w:t>持有至到期投资</w:t>
      </w:r>
      <w:r>
        <w:rPr>
          <w:rFonts w:ascii="宋体" w:hAnsi="宋体" w:cs="宋体" w:eastAsia="宋体" w:hint="default"/>
          <w:spacing w:val="-101"/>
          <w:sz w:val="21"/>
          <w:szCs w:val="21"/>
        </w:rPr>
        <w:t>、</w:t>
      </w:r>
      <w:r>
        <w:rPr>
          <w:rFonts w:ascii="宋体" w:hAnsi="宋体" w:cs="宋体" w:eastAsia="宋体" w:hint="default"/>
          <w:sz w:val="21"/>
          <w:szCs w:val="21"/>
        </w:rPr>
        <w:t>贷款和应收款项、</w:t>
      </w:r>
    </w:p>
    <w:p>
      <w:pPr>
        <w:spacing w:before="134"/>
        <w:ind w:left="144" w:right="110" w:firstLine="0"/>
        <w:jc w:val="left"/>
        <w:rPr>
          <w:rFonts w:ascii="宋体" w:hAnsi="宋体" w:cs="宋体" w:eastAsia="宋体" w:hint="default"/>
          <w:sz w:val="21"/>
          <w:szCs w:val="21"/>
        </w:rPr>
      </w:pPr>
      <w:r>
        <w:rPr>
          <w:rFonts w:ascii="宋体" w:hAnsi="宋体" w:cs="宋体" w:eastAsia="宋体" w:hint="default"/>
          <w:sz w:val="21"/>
          <w:szCs w:val="21"/>
        </w:rPr>
        <w:t>可供出售金融资产等四类。</w:t>
      </w:r>
    </w:p>
    <w:p>
      <w:pPr>
        <w:spacing w:line="240" w:lineRule="auto" w:before="5"/>
        <w:rPr>
          <w:rFonts w:ascii="宋体" w:hAnsi="宋体" w:cs="宋体" w:eastAsia="宋体" w:hint="default"/>
          <w:sz w:val="19"/>
          <w:szCs w:val="19"/>
        </w:rPr>
      </w:pPr>
    </w:p>
    <w:p>
      <w:pPr>
        <w:spacing w:before="0"/>
        <w:ind w:left="564" w:right="1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）金融资产的计量：</w:t>
      </w:r>
    </w:p>
    <w:p>
      <w:pPr>
        <w:spacing w:line="240" w:lineRule="auto" w:before="3"/>
        <w:rPr>
          <w:rFonts w:ascii="宋体" w:hAnsi="宋体" w:cs="宋体" w:eastAsia="宋体" w:hint="default"/>
          <w:sz w:val="18"/>
          <w:szCs w:val="18"/>
        </w:rPr>
      </w:pPr>
    </w:p>
    <w:p>
      <w:pPr>
        <w:spacing w:line="345" w:lineRule="auto" w:before="0"/>
        <w:ind w:left="144" w:right="21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、初始确认金融资产按照公允价值计量。对于以公允价值计量且其变动计入当期损益的 金融资产，相关交易费用直接计入当期损益；对于其他类别的金融资产，相关交易费用计入初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始确认金额。</w:t>
      </w:r>
    </w:p>
    <w:p>
      <w:pPr>
        <w:spacing w:line="336" w:lineRule="auto" w:before="162"/>
        <w:ind w:left="144" w:right="11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 发生的交易费用。但是，下列情况除外：</w:t>
      </w:r>
    </w:p>
    <w:p>
      <w:pPr>
        <w:spacing w:before="170"/>
        <w:ind w:left="564"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、持有至到期投资以及贷款和应收款项，采用实际利率法，按摊余成本计量。</w:t>
      </w:r>
    </w:p>
    <w:p>
      <w:pPr>
        <w:spacing w:line="240" w:lineRule="auto" w:before="2"/>
        <w:rPr>
          <w:rFonts w:ascii="宋体" w:hAnsi="宋体" w:cs="宋体" w:eastAsia="宋体" w:hint="default"/>
          <w:sz w:val="18"/>
          <w:szCs w:val="18"/>
        </w:rPr>
      </w:pPr>
    </w:p>
    <w:p>
      <w:pPr>
        <w:spacing w:line="338" w:lineRule="auto" w:before="0"/>
        <w:ind w:left="144" w:right="11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、在活跃市场中没有报价且其公允价值不能可靠计量的权益工具投资，以及与该权益工具</w:t>
      </w:r>
      <w:r>
        <w:rPr>
          <w:rFonts w:ascii="宋体" w:hAnsi="宋体" w:cs="宋体" w:eastAsia="宋体" w:hint="default"/>
          <w:sz w:val="21"/>
          <w:szCs w:val="21"/>
        </w:rPr>
        <w:t> 挂钩并须通过交付该权益工具结算的衍生金融资产，按照成本计量。</w:t>
      </w:r>
    </w:p>
    <w:p>
      <w:pPr>
        <w:spacing w:before="167"/>
        <w:ind w:left="564" w:right="1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）金融资产公允价值的确定：</w:t>
      </w:r>
    </w:p>
    <w:p>
      <w:pPr>
        <w:spacing w:line="530" w:lineRule="exact" w:before="58"/>
        <w:ind w:left="564"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、存在活跃市场的金融资产，将活跃市场中的报价确定为公允价值； </w:t>
      </w:r>
      <w:r>
        <w:rPr>
          <w:rFonts w:ascii="Times New Roman" w:hAnsi="Times New Roman" w:cs="Times New Roman" w:eastAsia="Times New Roman" w:hint="default"/>
          <w:spacing w:val="-1"/>
          <w:sz w:val="21"/>
          <w:szCs w:val="21"/>
        </w:rPr>
        <w:t>B</w:t>
      </w:r>
      <w:r>
        <w:rPr>
          <w:rFonts w:ascii="宋体" w:hAnsi="宋体" w:cs="宋体" w:eastAsia="宋体" w:hint="default"/>
          <w:spacing w:val="-1"/>
          <w:sz w:val="21"/>
          <w:szCs w:val="21"/>
        </w:rPr>
        <w:t>、金融资产不存在活跃市场的，采用估值技术确定公允价值。采用估值技术得出的结果，</w:t>
      </w:r>
    </w:p>
    <w:p>
      <w:pPr>
        <w:spacing w:before="56"/>
        <w:ind w:left="144" w:right="110" w:firstLine="0"/>
        <w:jc w:val="left"/>
        <w:rPr>
          <w:rFonts w:ascii="宋体" w:hAnsi="宋体" w:cs="宋体" w:eastAsia="宋体" w:hint="default"/>
          <w:sz w:val="21"/>
          <w:szCs w:val="21"/>
        </w:rPr>
      </w:pPr>
      <w:r>
        <w:rPr>
          <w:rFonts w:ascii="宋体" w:hAnsi="宋体" w:cs="宋体" w:eastAsia="宋体" w:hint="default"/>
          <w:sz w:val="21"/>
          <w:szCs w:val="21"/>
        </w:rPr>
        <w:t>反映估值日在公平交易中可能采用的交易价格。</w:t>
      </w:r>
    </w:p>
    <w:p>
      <w:pPr>
        <w:spacing w:line="240" w:lineRule="auto" w:before="6"/>
        <w:rPr>
          <w:rFonts w:ascii="宋体" w:hAnsi="宋体" w:cs="宋体" w:eastAsia="宋体" w:hint="default"/>
          <w:sz w:val="19"/>
          <w:szCs w:val="19"/>
        </w:rPr>
      </w:pPr>
    </w:p>
    <w:p>
      <w:pPr>
        <w:spacing w:line="436" w:lineRule="auto" w:before="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 本公司于将金融资产所有权上几乎所有的风险和报酬转移给转入方或已放弃对该金融资产</w:t>
      </w:r>
    </w:p>
    <w:p>
      <w:pPr>
        <w:spacing w:line="237" w:lineRule="exact" w:before="0"/>
        <w:ind w:left="144" w:right="110" w:firstLine="0"/>
        <w:jc w:val="left"/>
        <w:rPr>
          <w:rFonts w:ascii="宋体" w:hAnsi="宋体" w:cs="宋体" w:eastAsia="宋体" w:hint="default"/>
          <w:sz w:val="21"/>
          <w:szCs w:val="21"/>
        </w:rPr>
      </w:pPr>
      <w:r>
        <w:rPr>
          <w:rFonts w:ascii="宋体" w:hAnsi="宋体" w:cs="宋体" w:eastAsia="宋体" w:hint="default"/>
          <w:sz w:val="21"/>
          <w:szCs w:val="21"/>
        </w:rPr>
        <w:t>的控制时，终止确认该金融资产。</w:t>
      </w:r>
    </w:p>
    <w:p>
      <w:pPr>
        <w:spacing w:line="240" w:lineRule="auto" w:before="5"/>
        <w:rPr>
          <w:rFonts w:ascii="宋体" w:hAnsi="宋体" w:cs="宋体" w:eastAsia="宋体" w:hint="default"/>
          <w:sz w:val="19"/>
          <w:szCs w:val="19"/>
        </w:rPr>
      </w:pPr>
    </w:p>
    <w:p>
      <w:pPr>
        <w:spacing w:line="436" w:lineRule="auto" w:before="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）金融资产减值： 在资产负债表日对以公允价值计量且其变动计入当期损益的金融资产以外的金融资产的账</w:t>
      </w:r>
    </w:p>
    <w:p>
      <w:pPr>
        <w:spacing w:line="237" w:lineRule="exact" w:before="0"/>
        <w:ind w:left="144" w:right="110" w:firstLine="0"/>
        <w:jc w:val="left"/>
        <w:rPr>
          <w:rFonts w:ascii="宋体" w:hAnsi="宋体" w:cs="宋体" w:eastAsia="宋体" w:hint="default"/>
          <w:sz w:val="21"/>
          <w:szCs w:val="21"/>
        </w:rPr>
      </w:pPr>
      <w:r>
        <w:rPr>
          <w:rFonts w:ascii="宋体" w:hAnsi="宋体" w:cs="宋体" w:eastAsia="宋体" w:hint="default"/>
          <w:sz w:val="21"/>
          <w:szCs w:val="21"/>
        </w:rPr>
        <w:t>面价值进行检查，有客观证据表明该金融资产发生减值的，计提减值准备。金融资产发生减值</w:t>
      </w:r>
    </w:p>
    <w:p>
      <w:pPr>
        <w:spacing w:before="133"/>
        <w:ind w:left="144" w:right="110" w:firstLine="0"/>
        <w:jc w:val="left"/>
        <w:rPr>
          <w:rFonts w:ascii="宋体" w:hAnsi="宋体" w:cs="宋体" w:eastAsia="宋体" w:hint="default"/>
          <w:sz w:val="21"/>
          <w:szCs w:val="21"/>
        </w:rPr>
      </w:pPr>
      <w:r>
        <w:rPr>
          <w:rFonts w:ascii="宋体" w:hAnsi="宋体" w:cs="宋体" w:eastAsia="宋体" w:hint="default"/>
          <w:sz w:val="21"/>
          <w:szCs w:val="21"/>
        </w:rPr>
        <w:t>的客观证据，包括下列各项：</w:t>
      </w:r>
    </w:p>
    <w:p>
      <w:pPr>
        <w:spacing w:line="240" w:lineRule="auto" w:before="6"/>
        <w:rPr>
          <w:rFonts w:ascii="宋体" w:hAnsi="宋体" w:cs="宋体" w:eastAsia="宋体" w:hint="default"/>
          <w:sz w:val="19"/>
          <w:szCs w:val="19"/>
        </w:rPr>
      </w:pPr>
    </w:p>
    <w:p>
      <w:pPr>
        <w:spacing w:line="436" w:lineRule="auto" w:before="0"/>
        <w:ind w:left="564" w:right="11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w:t>
      </w:r>
    </w:p>
    <w:p>
      <w:pPr>
        <w:spacing w:after="0" w:line="436" w:lineRule="auto"/>
        <w:jc w:val="left"/>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before="35"/>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w:t>
      </w:r>
    </w:p>
    <w:p>
      <w:pPr>
        <w:spacing w:line="240" w:lineRule="auto" w:before="2"/>
        <w:rPr>
          <w:rFonts w:ascii="宋体" w:hAnsi="宋体" w:cs="宋体" w:eastAsia="宋体" w:hint="default"/>
          <w:sz w:val="18"/>
          <w:szCs w:val="18"/>
        </w:rPr>
      </w:pPr>
    </w:p>
    <w:p>
      <w:pPr>
        <w:spacing w:line="338" w:lineRule="auto" w:before="0"/>
        <w:ind w:left="244"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F</w:t>
      </w:r>
      <w:r>
        <w:rPr>
          <w:rFonts w:ascii="宋体" w:hAnsi="宋体" w:cs="宋体" w:eastAsia="宋体" w:hint="default"/>
          <w:spacing w:val="2"/>
          <w:sz w:val="21"/>
          <w:szCs w:val="21"/>
        </w:rPr>
        <w:t>、债务人经营所处的技术、市场、经济和法律环境等发生重大不利变化，使本公司可能 </w:t>
      </w:r>
      <w:r>
        <w:rPr>
          <w:rFonts w:ascii="宋体" w:hAnsi="宋体" w:cs="宋体" w:eastAsia="宋体" w:hint="default"/>
          <w:sz w:val="21"/>
          <w:szCs w:val="21"/>
        </w:rPr>
        <w:t>无法收回投资成本；</w:t>
      </w:r>
    </w:p>
    <w:p>
      <w:pPr>
        <w:spacing w:line="338" w:lineRule="auto" w:before="167"/>
        <w:ind w:left="24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宋体" w:hAnsi="宋体" w:cs="宋体" w:eastAsia="宋体" w:hint="default"/>
          <w:sz w:val="21"/>
          <w:szCs w:val="21"/>
        </w:rPr>
        <w:t>、无法辨认一组金融资产中的某项资产的现金流量是否已经减少，但根据公开的数据对 </w:t>
      </w:r>
      <w:r>
        <w:rPr>
          <w:rFonts w:ascii="宋体" w:hAnsi="宋体" w:cs="宋体" w:eastAsia="宋体" w:hint="default"/>
          <w:spacing w:val="-3"/>
          <w:sz w:val="21"/>
          <w:szCs w:val="21"/>
        </w:rPr>
        <w:t>其进行总体评价后发现，该组金融资产自初始确认以来的预计未来现金流量确已减少且可计量；</w:t>
      </w:r>
    </w:p>
    <w:p>
      <w:pPr>
        <w:spacing w:line="436" w:lineRule="auto" w:before="167"/>
        <w:ind w:left="664" w:right="3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、权益工具投资的公允价值发生严重或非暂时性下跌； </w:t>
      </w: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w:t>
      </w:r>
    </w:p>
    <w:p>
      <w:pPr>
        <w:spacing w:before="46"/>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）金融资产减值损失的计量：</w:t>
      </w:r>
    </w:p>
    <w:p>
      <w:pPr>
        <w:spacing w:line="530" w:lineRule="exact" w:before="58"/>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w:t>
      </w:r>
    </w:p>
    <w:p>
      <w:pPr>
        <w:spacing w:before="56"/>
        <w:ind w:left="244" w:right="0" w:firstLine="0"/>
        <w:jc w:val="left"/>
        <w:rPr>
          <w:rFonts w:ascii="宋体" w:hAnsi="宋体" w:cs="宋体" w:eastAsia="宋体" w:hint="default"/>
          <w:sz w:val="21"/>
          <w:szCs w:val="21"/>
        </w:rPr>
      </w:pPr>
      <w:r>
        <w:rPr>
          <w:rFonts w:ascii="宋体" w:hAnsi="宋体" w:cs="宋体" w:eastAsia="宋体" w:hint="default"/>
          <w:sz w:val="21"/>
          <w:szCs w:val="21"/>
        </w:rPr>
        <w:t>计提减值准备；</w:t>
      </w:r>
    </w:p>
    <w:p>
      <w:pPr>
        <w:spacing w:line="240" w:lineRule="auto" w:before="6"/>
        <w:rPr>
          <w:rFonts w:ascii="宋体" w:hAnsi="宋体" w:cs="宋体" w:eastAsia="宋体" w:hint="default"/>
          <w:sz w:val="19"/>
          <w:szCs w:val="19"/>
        </w:rPr>
      </w:pPr>
    </w:p>
    <w:p>
      <w:pPr>
        <w:spacing w:line="352" w:lineRule="auto" w:before="0"/>
        <w:ind w:left="24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、应收款项坏账准备的确认标准、计提方法：单项金额重大的，单独进行减值测试，根 据其未来现金流量现值低于其账面价值的差额，确认减值损失，计提坏账准备；单项金额不重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大，经测试未减值的应收款项，采用账龄分析法，按应收款项的账龄和规定的提取比例确认减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值损失，计提坏账准备；单项金额不重大但按信用风险特征组合法组合后风险较大的应收款项，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单独进行测试，并计提个别坏账准备。经单独测试未减值的应收款项，采用账龄分析法，按应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收款项的账龄和规定的提取比例确认减值损失。</w:t>
      </w:r>
    </w:p>
    <w:p>
      <w:pPr>
        <w:spacing w:line="338" w:lineRule="auto" w:before="154"/>
        <w:ind w:left="24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、可供出售的金融资产减值的判断：若该项金融资产公允价值出现持续下降，且其下降 属于非暂时性的，则可认定该项金融资产发生了减值。</w:t>
      </w:r>
    </w:p>
    <w:p>
      <w:pPr>
        <w:spacing w:line="338" w:lineRule="auto" w:before="167"/>
        <w:ind w:left="244"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）将尚未到期的持有至到期投资重分类为可供出售金融资产的，说明持有意图或能力发</w:t>
      </w:r>
      <w:r>
        <w:rPr>
          <w:rFonts w:ascii="宋体" w:hAnsi="宋体" w:cs="宋体" w:eastAsia="宋体" w:hint="default"/>
          <w:sz w:val="21"/>
          <w:szCs w:val="21"/>
        </w:rPr>
        <w:t> 生改变的依据。</w:t>
      </w:r>
    </w:p>
    <w:p>
      <w:pPr>
        <w:spacing w:before="167"/>
        <w:ind w:left="664"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5"/>
        <w:rPr>
          <w:rFonts w:ascii="宋体" w:hAnsi="宋体" w:cs="宋体" w:eastAsia="宋体" w:hint="default"/>
          <w:sz w:val="19"/>
          <w:szCs w:val="19"/>
        </w:rPr>
      </w:pPr>
    </w:p>
    <w:p>
      <w:pPr>
        <w:spacing w:before="0"/>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）单项金额重大并单项计提坏账准备的应收款项：</w:t>
      </w:r>
    </w:p>
    <w:p>
      <w:pPr>
        <w:spacing w:line="240" w:lineRule="auto" w:before="10"/>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1564"/>
        <w:gridCol w:w="7262"/>
      </w:tblGrid>
      <w:tr>
        <w:trPr>
          <w:trHeight w:val="1068" w:hRule="exact"/>
        </w:trPr>
        <w:tc>
          <w:tcPr>
            <w:tcW w:w="156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12"/>
              <w:ind w:left="122" w:right="101"/>
              <w:jc w:val="both"/>
              <w:rPr>
                <w:rFonts w:ascii="宋体" w:hAnsi="宋体" w:cs="宋体" w:eastAsia="宋体" w:hint="default"/>
                <w:sz w:val="21"/>
                <w:szCs w:val="21"/>
              </w:rPr>
            </w:pPr>
            <w:r>
              <w:rPr>
                <w:rFonts w:ascii="宋体" w:hAnsi="宋体" w:cs="宋体" w:eastAsia="宋体" w:hint="default"/>
                <w:spacing w:val="11"/>
                <w:sz w:val="21"/>
                <w:szCs w:val="21"/>
              </w:rPr>
              <w:t>单项金额重大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的判断依据或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金额标准</w:t>
            </w:r>
          </w:p>
        </w:tc>
        <w:tc>
          <w:tcPr>
            <w:tcW w:w="7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本公司将在资产负债表日单个客户欠款余额在</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万元（含）以上的应收账款</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万元（含）以上其他应收款确定为单项金额重大的应收款项。</w:t>
            </w:r>
          </w:p>
        </w:tc>
      </w:tr>
      <w:tr>
        <w:trPr>
          <w:trHeight w:val="395" w:hRule="exact"/>
        </w:trPr>
        <w:tc>
          <w:tcPr>
            <w:tcW w:w="1564" w:type="dxa"/>
            <w:tcBorders>
              <w:top w:val="single" w:sz="4" w:space="0" w:color="000000"/>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w:t>
            </w:r>
          </w:p>
        </w:tc>
        <w:tc>
          <w:tcPr>
            <w:tcW w:w="7262" w:type="dxa"/>
            <w:tcBorders>
              <w:top w:val="single" w:sz="4" w:space="0" w:color="000000"/>
              <w:left w:val="single" w:sz="4" w:space="0" w:color="000000"/>
              <w:bottom w:val="nil" w:sz="6" w:space="0" w:color="auto"/>
              <w:right w:val="nil" w:sz="6" w:space="0" w:color="auto"/>
            </w:tcBorders>
          </w:tcPr>
          <w:p>
            <w:pPr/>
          </w:p>
        </w:tc>
      </w:tr>
      <w:tr>
        <w:trPr>
          <w:trHeight w:val="272" w:hRule="exact"/>
        </w:trPr>
        <w:tc>
          <w:tcPr>
            <w:tcW w:w="156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并单项计提坏</w:t>
            </w:r>
          </w:p>
        </w:tc>
        <w:tc>
          <w:tcPr>
            <w:tcW w:w="7262" w:type="dxa"/>
            <w:tcBorders>
              <w:top w:val="nil" w:sz="6" w:space="0" w:color="auto"/>
              <w:left w:val="single" w:sz="4" w:space="0" w:color="000000"/>
              <w:bottom w:val="nil" w:sz="6" w:space="0" w:color="auto"/>
              <w:right w:val="nil" w:sz="6" w:space="0" w:color="auto"/>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单独进行减值测试，如有客观证据表明其发生了减值的，根据其未来现金流量</w:t>
            </w:r>
          </w:p>
        </w:tc>
      </w:tr>
      <w:tr>
        <w:trPr>
          <w:trHeight w:val="272" w:hRule="exact"/>
        </w:trPr>
        <w:tc>
          <w:tcPr>
            <w:tcW w:w="156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账准备的计提</w:t>
            </w:r>
          </w:p>
        </w:tc>
        <w:tc>
          <w:tcPr>
            <w:tcW w:w="7262" w:type="dxa"/>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现值低于其账面价值的差额，确认减值损失，计提坏账准备。</w:t>
            </w:r>
          </w:p>
        </w:tc>
      </w:tr>
      <w:tr>
        <w:trPr>
          <w:trHeight w:val="400" w:hRule="exact"/>
        </w:trPr>
        <w:tc>
          <w:tcPr>
            <w:tcW w:w="1564"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方法</w:t>
            </w:r>
          </w:p>
        </w:tc>
        <w:tc>
          <w:tcPr>
            <w:tcW w:w="7262"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400" w:right="1420"/>
        </w:sectPr>
      </w:pPr>
    </w:p>
    <w:p>
      <w:pPr>
        <w:spacing w:line="240" w:lineRule="auto" w:before="2"/>
        <w:rPr>
          <w:rFonts w:ascii="宋体" w:hAnsi="宋体" w:cs="宋体" w:eastAsia="宋体" w:hint="default"/>
          <w:sz w:val="19"/>
          <w:szCs w:val="19"/>
        </w:rPr>
      </w:pPr>
    </w:p>
    <w:p>
      <w:pPr>
        <w:spacing w:line="542" w:lineRule="auto" w:before="35"/>
        <w:ind w:left="244" w:right="5456" w:hanging="1"/>
        <w:jc w:val="left"/>
        <w:rPr>
          <w:rFonts w:ascii="宋体" w:hAnsi="宋体" w:cs="宋体" w:eastAsia="宋体" w:hint="default"/>
          <w:sz w:val="21"/>
          <w:szCs w:val="21"/>
        </w:rPr>
      </w:pPr>
      <w:r>
        <w:rPr/>
        <w:pict>
          <v:group style="position:absolute;margin-left:76.800003pt;margin-top:30.09396pt;width:441.4pt;height:.1pt;mso-position-horizontal-relative:page;mso-position-vertical-relative:paragraph;z-index:-619816" coordorigin="1536,602" coordsize="8828,2">
            <v:shape style="position:absolute;left:1536;top:602;width:8828;height:2" coordorigin="1536,602" coordsize="8828,0" path="m1536,602l10363,602e" filled="false" stroked="true" strokeweight=".48004pt" strokecolor="#000000">
              <v:path arrowok="t"/>
            </v:shape>
            <w10:wrap type="none"/>
          </v:group>
        </w:pict>
      </w:r>
      <w:r>
        <w:rPr/>
        <w:pict>
          <v:group style="position:absolute;margin-left:76.559982pt;margin-top:56.014pt;width:441.85pt;height:53.85pt;mso-position-horizontal-relative:page;mso-position-vertical-relative:paragraph;z-index:-619744" coordorigin="1531,1120" coordsize="8837,1077">
            <v:group style="position:absolute;left:1536;top:1125;width:8828;height:2" coordorigin="1536,1125" coordsize="8828,2">
              <v:shape style="position:absolute;left:1536;top:1125;width:8828;height:2" coordorigin="1536,1125" coordsize="8828,0" path="m1536,1125l10363,1125e" filled="false" stroked="true" strokeweight=".47998pt" strokecolor="#000000">
                <v:path arrowok="t"/>
              </v:shape>
            </v:group>
            <v:group style="position:absolute;left:3409;top:1130;width:2;height:1058" coordorigin="3409,1130" coordsize="2,1058">
              <v:shape style="position:absolute;left:3409;top:1130;width:2;height:1058" coordorigin="3409,1130" coordsize="0,1058" path="m3409,1130l3409,2187e" filled="false" stroked="true" strokeweight=".48pt" strokecolor="#000000">
                <v:path arrowok="t"/>
              </v:shape>
            </v:group>
            <v:group style="position:absolute;left:1536;top:2192;width:8828;height:2" coordorigin="1536,2192" coordsize="8828,2">
              <v:shape style="position:absolute;left:1536;top:2192;width:8828;height:2" coordorigin="1536,2192" coordsize="8828,0" path="m1536,2192l10363,2192e" filled="false" stroked="true" strokeweight=".48004pt" strokecolor="#000000">
                <v:path arrowok="t"/>
              </v:shape>
              <v:shape style="position:absolute;left:1644;top:1552;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账龄组合</w:t>
                      </w:r>
                    </w:p>
                  </w:txbxContent>
                </v:textbox>
                <w10:wrap type="none"/>
              </v:shape>
              <v:shape style="position:absolute;left:3517;top:1279;width:6744;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单项金额不重大的应收款项，与经单独测试后未减值的单项金额重大的应</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收款项，以账龄为信用风险特征进行组合并结合现实的实际损失率确定不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同账龄应计提坏账准备的比例。</w:t>
                      </w:r>
                    </w:p>
                  </w:txbxContent>
                </v:textbox>
                <w10:wrap type="none"/>
              </v:shape>
            </v:group>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）按组合计提坏账准备应收款项： 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35"/>
        <w:ind w:left="244" w:right="5456"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9"/>
        <w:rPr>
          <w:rFonts w:ascii="宋体" w:hAnsi="宋体" w:cs="宋体" w:eastAsia="宋体" w:hint="default"/>
          <w:sz w:val="11"/>
          <w:szCs w:val="11"/>
        </w:rPr>
      </w:pPr>
    </w:p>
    <w:p>
      <w:pPr>
        <w:spacing w:line="537" w:lineRule="exact"/>
        <w:ind w:left="116"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42.95pt;height:26.9pt;mso-position-horizontal-relative:char;mso-position-vertical-relative:line" coordorigin="0,0" coordsize="8859,538">
            <v:group style="position:absolute;left:19;top:5;width:8828;height:2" coordorigin="19,5" coordsize="8828,2">
              <v:shape style="position:absolute;left:19;top:5;width:8828;height:2" coordorigin="19,5" coordsize="8828,0" path="m19,5l8846,5e" filled="false" stroked="true" strokeweight=".47998pt" strokecolor="#000000">
                <v:path arrowok="t"/>
              </v:shape>
            </v:group>
            <v:group style="position:absolute;left:5;top:528;width:1883;height:2" coordorigin="5,528" coordsize="1883,2">
              <v:shape style="position:absolute;left:5;top:528;width:1883;height:2" coordorigin="5,528" coordsize="1883,0" path="m5,528l1888,528e" filled="false" stroked="true" strokeweight=".47998pt" strokecolor="#000000">
                <v:path arrowok="t"/>
              </v:shape>
            </v:group>
            <v:group style="position:absolute;left:1892;top:10;width:2;height:524" coordorigin="1892,10" coordsize="2,524">
              <v:shape style="position:absolute;left:1892;top:10;width:2;height:524" coordorigin="1892,10" coordsize="0,524" path="m1892,10l1892,533e" filled="false" stroked="true" strokeweight=".48pt" strokecolor="#000000">
                <v:path arrowok="t"/>
              </v:shape>
            </v:group>
            <v:group style="position:absolute;left:1897;top:528;width:6957;height:2" coordorigin="1897,528" coordsize="6957,2">
              <v:shape style="position:absolute;left:1897;top:528;width:6957;height:2" coordorigin="1897,528" coordsize="6957,0" path="m1897,528l8854,528e" filled="false" stroked="true" strokeweight=".47998pt" strokecolor="#000000">
                <v:path arrowok="t"/>
              </v:shape>
              <v:shape style="position:absolute;left:127;top:15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w:t>
                      </w:r>
                    </w:p>
                  </w:txbxContent>
                </v:textbox>
                <w10:wrap type="none"/>
              </v:shape>
              <v:shape style="position:absolute;left:2000;top:159;width:54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根据应收款项的不同账龄确定不同的计提比例计提坏账准备</w:t>
                      </w:r>
                    </w:p>
                  </w:txbxContent>
                </v:textbox>
                <w10:wrap type="none"/>
              </v:shape>
            </v:group>
          </v:group>
        </w:pict>
      </w:r>
      <w:r>
        <w:rPr>
          <w:rFonts w:ascii="宋体" w:hAnsi="宋体" w:cs="宋体" w:eastAsia="宋体" w:hint="default"/>
          <w:position w:val="-10"/>
          <w:sz w:val="20"/>
          <w:szCs w:val="20"/>
        </w:rPr>
      </w:r>
    </w:p>
    <w:p>
      <w:pPr>
        <w:spacing w:line="240" w:lineRule="auto" w:before="13"/>
        <w:rPr>
          <w:rFonts w:ascii="宋体" w:hAnsi="宋体" w:cs="宋体" w:eastAsia="宋体" w:hint="default"/>
          <w:sz w:val="21"/>
          <w:szCs w:val="21"/>
        </w:rPr>
      </w:pPr>
    </w:p>
    <w:p>
      <w:pPr>
        <w:spacing w:before="35"/>
        <w:ind w:left="664" w:right="2830" w:firstLine="0"/>
        <w:jc w:val="left"/>
        <w:rPr>
          <w:rFonts w:ascii="宋体" w:hAnsi="宋体" w:cs="宋体" w:eastAsia="宋体" w:hint="default"/>
          <w:sz w:val="21"/>
          <w:szCs w:val="21"/>
        </w:rPr>
      </w:pPr>
      <w:r>
        <w:rPr>
          <w:rFonts w:ascii="宋体" w:hAnsi="宋体" w:cs="宋体" w:eastAsia="宋体" w:hint="default"/>
          <w:sz w:val="21"/>
          <w:szCs w:val="21"/>
        </w:rPr>
        <w:t>账龄组合中，采用账龄分析法计提坏账准备的：</w:t>
      </w:r>
    </w:p>
    <w:p>
      <w:pPr>
        <w:spacing w:line="240" w:lineRule="auto" w:before="12"/>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542"/>
        <w:gridCol w:w="2700"/>
        <w:gridCol w:w="2606"/>
      </w:tblGrid>
      <w:tr>
        <w:trPr>
          <w:trHeight w:val="523"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left="89"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22"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5</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3"/>
              <w:jc w:val="center"/>
              <w:rPr>
                <w:rFonts w:ascii="Times New Roman" w:hAnsi="Times New Roman" w:cs="Times New Roman" w:eastAsia="Times New Roman" w:hint="default"/>
                <w:sz w:val="21"/>
                <w:szCs w:val="21"/>
              </w:rPr>
            </w:pPr>
            <w:r>
              <w:rPr>
                <w:rFonts w:ascii="Times New Roman"/>
                <w:sz w:val="21"/>
              </w:rPr>
              <w:t>5</w:t>
            </w:r>
          </w:p>
        </w:tc>
      </w:tr>
      <w:tr>
        <w:trPr>
          <w:trHeight w:val="522"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10</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2"/>
              <w:jc w:val="center"/>
              <w:rPr>
                <w:rFonts w:ascii="Times New Roman" w:hAnsi="Times New Roman" w:cs="Times New Roman" w:eastAsia="Times New Roman" w:hint="default"/>
                <w:sz w:val="21"/>
                <w:szCs w:val="21"/>
              </w:rPr>
            </w:pPr>
            <w:r>
              <w:rPr>
                <w:rFonts w:ascii="Times New Roman"/>
                <w:sz w:val="21"/>
              </w:rPr>
              <w:t>10</w:t>
            </w:r>
          </w:p>
        </w:tc>
      </w:tr>
      <w:tr>
        <w:trPr>
          <w:trHeight w:val="523"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20</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2"/>
              <w:jc w:val="center"/>
              <w:rPr>
                <w:rFonts w:ascii="Times New Roman" w:hAnsi="Times New Roman" w:cs="Times New Roman" w:eastAsia="Times New Roman" w:hint="default"/>
                <w:sz w:val="21"/>
                <w:szCs w:val="21"/>
              </w:rPr>
            </w:pPr>
            <w:r>
              <w:rPr>
                <w:rFonts w:ascii="Times New Roman"/>
                <w:sz w:val="21"/>
              </w:rPr>
              <w:t>20</w:t>
            </w:r>
          </w:p>
        </w:tc>
      </w:tr>
      <w:tr>
        <w:trPr>
          <w:trHeight w:val="522"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50</w:t>
            </w:r>
          </w:p>
        </w:tc>
        <w:tc>
          <w:tcPr>
            <w:tcW w:w="2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2"/>
              <w:jc w:val="center"/>
              <w:rPr>
                <w:rFonts w:ascii="Times New Roman" w:hAnsi="Times New Roman" w:cs="Times New Roman" w:eastAsia="Times New Roman" w:hint="default"/>
                <w:sz w:val="21"/>
                <w:szCs w:val="21"/>
              </w:rPr>
            </w:pPr>
            <w:r>
              <w:rPr>
                <w:rFonts w:ascii="Times New Roman"/>
                <w:sz w:val="21"/>
              </w:rPr>
              <w:t>50</w:t>
            </w:r>
          </w:p>
        </w:tc>
      </w:tr>
    </w:tbl>
    <w:p>
      <w:pPr>
        <w:spacing w:line="240" w:lineRule="auto" w:before="4"/>
        <w:rPr>
          <w:rFonts w:ascii="宋体" w:hAnsi="宋体" w:cs="宋体" w:eastAsia="宋体" w:hint="default"/>
          <w:sz w:val="22"/>
          <w:szCs w:val="22"/>
        </w:rPr>
      </w:pPr>
    </w:p>
    <w:p>
      <w:pPr>
        <w:spacing w:before="35"/>
        <w:ind w:left="244" w:right="28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）单项金额虽不重大但单项计提坏账准备的应收账款：</w:t>
      </w:r>
    </w:p>
    <w:p>
      <w:pPr>
        <w:spacing w:line="240" w:lineRule="auto" w:before="11"/>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2642"/>
        <w:gridCol w:w="6300"/>
      </w:tblGrid>
      <w:tr>
        <w:trPr>
          <w:trHeight w:val="527"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800"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00"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113"/>
              <w:ind w:left="100" w:right="108"/>
              <w:jc w:val="left"/>
              <w:rPr>
                <w:rFonts w:ascii="宋体" w:hAnsi="宋体" w:cs="宋体" w:eastAsia="宋体" w:hint="default"/>
                <w:sz w:val="21"/>
                <w:szCs w:val="21"/>
              </w:rPr>
            </w:pPr>
            <w:r>
              <w:rPr>
                <w:rFonts w:ascii="宋体" w:hAnsi="宋体" w:cs="宋体" w:eastAsia="宋体" w:hint="default"/>
                <w:spacing w:val="6"/>
                <w:sz w:val="21"/>
                <w:szCs w:val="21"/>
              </w:rPr>
              <w:t>根据应收款项未来现金流量现值低于其账面价值的差额计提坏账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准备。</w:t>
            </w:r>
          </w:p>
        </w:tc>
      </w:tr>
    </w:tbl>
    <w:p>
      <w:pPr>
        <w:spacing w:line="240" w:lineRule="auto" w:before="4"/>
        <w:rPr>
          <w:rFonts w:ascii="宋体" w:hAnsi="宋体" w:cs="宋体" w:eastAsia="宋体" w:hint="default"/>
          <w:sz w:val="22"/>
          <w:szCs w:val="22"/>
        </w:rPr>
      </w:pPr>
    </w:p>
    <w:p>
      <w:pPr>
        <w:spacing w:before="35"/>
        <w:ind w:left="244" w:right="5456"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3"/>
        <w:rPr>
          <w:rFonts w:ascii="宋体" w:hAnsi="宋体" w:cs="宋体" w:eastAsia="宋体" w:hint="default"/>
          <w:b/>
          <w:bCs/>
          <w:sz w:val="18"/>
          <w:szCs w:val="18"/>
        </w:rPr>
      </w:pPr>
    </w:p>
    <w:p>
      <w:pPr>
        <w:spacing w:line="436" w:lineRule="auto" w:before="0"/>
        <w:ind w:left="664" w:right="28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 存货分为库存商品、原材料、低值易耗品、包装物等四大类。</w:t>
      </w:r>
    </w:p>
    <w:p>
      <w:pPr>
        <w:spacing w:line="436" w:lineRule="auto" w:before="82"/>
        <w:ind w:left="664" w:right="220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 各类存货的购入与入库按实际成本计价，发出采用加权平均法计价。</w:t>
      </w:r>
    </w:p>
    <w:p>
      <w:pPr>
        <w:spacing w:line="436" w:lineRule="auto" w:before="82"/>
        <w:ind w:left="664" w:right="31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 存货可变现净值系根据本公司在正常经营过程中，以估计售价减去估计完工成本及销售所</w:t>
      </w:r>
    </w:p>
    <w:p>
      <w:pPr>
        <w:spacing w:line="237" w:lineRule="exact" w:before="0"/>
        <w:ind w:left="244" w:right="5456" w:firstLine="0"/>
        <w:jc w:val="left"/>
        <w:rPr>
          <w:rFonts w:ascii="宋体" w:hAnsi="宋体" w:cs="宋体" w:eastAsia="宋体" w:hint="default"/>
          <w:sz w:val="21"/>
          <w:szCs w:val="21"/>
        </w:rPr>
      </w:pPr>
      <w:r>
        <w:rPr>
          <w:rFonts w:ascii="宋体" w:hAnsi="宋体" w:cs="宋体" w:eastAsia="宋体" w:hint="default"/>
          <w:sz w:val="21"/>
          <w:szCs w:val="21"/>
        </w:rPr>
        <w:t>必须的估计费用后的价值。</w:t>
      </w:r>
    </w:p>
    <w:p>
      <w:pPr>
        <w:spacing w:line="240" w:lineRule="auto" w:before="5"/>
        <w:rPr>
          <w:rFonts w:ascii="宋体" w:hAnsi="宋体" w:cs="宋体" w:eastAsia="宋体" w:hint="default"/>
          <w:sz w:val="19"/>
          <w:szCs w:val="19"/>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存货跌价准备的计提方法：本公司于每年中期期末及年度终了在对存货进行全面盘点的基</w:t>
      </w:r>
    </w:p>
    <w:p>
      <w:pPr>
        <w:spacing w:after="0"/>
        <w:jc w:val="left"/>
        <w:rPr>
          <w:rFonts w:ascii="宋体" w:hAnsi="宋体" w:cs="宋体" w:eastAsia="宋体" w:hint="default"/>
          <w:sz w:val="21"/>
          <w:szCs w:val="21"/>
        </w:rPr>
        <w:sectPr>
          <w:pgSz w:w="11910" w:h="16840"/>
          <w:pgMar w:header="877" w:footer="982" w:top="1100" w:bottom="1180" w:left="1400" w:right="1320"/>
        </w:sectPr>
      </w:pPr>
    </w:p>
    <w:p>
      <w:pPr>
        <w:spacing w:line="240" w:lineRule="auto" w:before="2"/>
        <w:rPr>
          <w:rFonts w:ascii="宋体" w:hAnsi="宋体" w:cs="宋体" w:eastAsia="宋体" w:hint="default"/>
          <w:sz w:val="19"/>
          <w:szCs w:val="19"/>
        </w:rPr>
      </w:pPr>
    </w:p>
    <w:p>
      <w:pPr>
        <w:spacing w:line="357" w:lineRule="auto" w:before="35"/>
        <w:ind w:left="144" w:right="138" w:firstLine="0"/>
        <w:jc w:val="both"/>
        <w:rPr>
          <w:rFonts w:ascii="宋体" w:hAnsi="宋体" w:cs="宋体" w:eastAsia="宋体" w:hint="default"/>
          <w:sz w:val="21"/>
          <w:szCs w:val="21"/>
        </w:rPr>
      </w:pPr>
      <w:r>
        <w:rPr>
          <w:rFonts w:ascii="宋体" w:hAnsi="宋体" w:cs="宋体" w:eastAsia="宋体" w:hint="default"/>
          <w:sz w:val="21"/>
          <w:szCs w:val="21"/>
        </w:rPr>
        <w:t>础上，对遭受损失，全部或部分陈旧过时或销售价格低于成本的存货，根据存货成本与可变现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净值孰低计量，按单个存货项目对同类存货项目的可变现净值低于存货成本的差额计提存货跌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价准备，并计入当期损益。确定可变现净值时，除考虑持有目的和资产负债表日该存货的价格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与成本波动外，还需要考虑未来事项的影响。</w:t>
      </w:r>
    </w:p>
    <w:p>
      <w:pPr>
        <w:spacing w:line="436" w:lineRule="auto" w:before="151"/>
        <w:ind w:left="564" w:right="517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 存货的盘存制度采用永续盘存法。</w:t>
      </w:r>
    </w:p>
    <w:p>
      <w:pPr>
        <w:spacing w:line="448" w:lineRule="auto" w:before="82"/>
        <w:ind w:left="564" w:right="265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）低值易耗品和包装物的摊销方法 低值易耗品：低值易耗品于其领用时采用一次性摊销法摊销。 包装物：包装物于其领用时采用一次性摊销法摊销。</w:t>
      </w:r>
    </w:p>
    <w:p>
      <w:pPr>
        <w:spacing w:before="71"/>
        <w:ind w:left="14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）初始投资成本确定</w:t>
      </w:r>
    </w:p>
    <w:p>
      <w:pPr>
        <w:spacing w:line="530" w:lineRule="atLeast" w:before="0"/>
        <w:ind w:left="564" w:right="1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、企业合并形成的长期股权投资，按照下列规定确定其初始投资成本： </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、同一控制下的企业合并，合并方以支付现金、转让非现金资产或承担债务方式作为合并</w:t>
      </w:r>
    </w:p>
    <w:p>
      <w:pPr>
        <w:spacing w:line="355" w:lineRule="auto" w:before="118"/>
        <w:ind w:left="144" w:right="138" w:firstLine="0"/>
        <w:jc w:val="both"/>
        <w:rPr>
          <w:rFonts w:ascii="宋体" w:hAnsi="宋体" w:cs="宋体" w:eastAsia="宋体" w:hint="default"/>
          <w:sz w:val="21"/>
          <w:szCs w:val="21"/>
        </w:rPr>
      </w:pPr>
      <w:r>
        <w:rPr>
          <w:rFonts w:ascii="宋体" w:hAnsi="宋体" w:cs="宋体" w:eastAsia="宋体" w:hint="default"/>
          <w:sz w:val="21"/>
          <w:szCs w:val="21"/>
        </w:rPr>
        <w:t>对价的，在合并日按照取得被合并方所有者权益账面价值的份额作为长期股权投资的初始投资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成本。长期股权投资初始投资成本与支付的现金、转让的非现金资产以及所承担债务账面价值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之间的差额，调整资本公积；资本公积不足冲减的，调整留存收益。</w:t>
      </w:r>
    </w:p>
    <w:p>
      <w:pPr>
        <w:spacing w:line="357" w:lineRule="auto" w:before="153"/>
        <w:ind w:left="144" w:right="138" w:firstLine="420"/>
        <w:jc w:val="both"/>
        <w:rPr>
          <w:rFonts w:ascii="宋体" w:hAnsi="宋体" w:cs="宋体" w:eastAsia="宋体" w:hint="default"/>
          <w:sz w:val="21"/>
          <w:szCs w:val="21"/>
        </w:rPr>
      </w:pPr>
      <w:r>
        <w:rPr>
          <w:rFonts w:ascii="宋体" w:hAnsi="宋体" w:cs="宋体" w:eastAsia="宋体" w:hint="default"/>
          <w:sz w:val="21"/>
          <w:szCs w:val="21"/>
        </w:rPr>
        <w:t>合并方以发行权益性证券作为合并对价的，在合并日按照取得被合并方所有者权益账面价 值的份额作为长期股权投资的初始投资成本。按照发行股份的面值总额作为股本，长期股权投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资初始投资成本与所发行股份面值总额之间的差额，调整资本公积；资本公积不足冲减的，调</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整留存收益。</w:t>
      </w:r>
    </w:p>
    <w:p>
      <w:pPr>
        <w:spacing w:line="336" w:lineRule="auto" w:before="151"/>
        <w:ind w:left="144" w:right="139"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、非同一控制下的企业合并，按照下列规定确定的合并成本作为长期股权投资的初始投资</w:t>
      </w:r>
      <w:r>
        <w:rPr>
          <w:rFonts w:ascii="宋体" w:hAnsi="宋体" w:cs="宋体" w:eastAsia="宋体" w:hint="default"/>
          <w:sz w:val="21"/>
          <w:szCs w:val="21"/>
        </w:rPr>
        <w:t> 成本：</w:t>
      </w:r>
    </w:p>
    <w:p>
      <w:pPr>
        <w:spacing w:line="357" w:lineRule="auto" w:before="169"/>
        <w:ind w:left="144" w:right="141" w:firstLine="420"/>
        <w:jc w:val="both"/>
        <w:rPr>
          <w:rFonts w:ascii="宋体" w:hAnsi="宋体" w:cs="宋体" w:eastAsia="宋体" w:hint="default"/>
          <w:sz w:val="21"/>
          <w:szCs w:val="21"/>
        </w:rPr>
      </w:pPr>
      <w:r>
        <w:rPr>
          <w:rFonts w:ascii="新宋体" w:hAnsi="新宋体" w:cs="新宋体" w:eastAsia="新宋体" w:hint="default"/>
          <w:sz w:val="21"/>
          <w:szCs w:val="21"/>
        </w:rPr>
        <w:t>①</w:t>
      </w:r>
      <w:r>
        <w:rPr>
          <w:rFonts w:ascii="新宋体" w:hAnsi="新宋体" w:cs="新宋体" w:eastAsia="新宋体" w:hint="default"/>
          <w:spacing w:val="12"/>
          <w:sz w:val="21"/>
          <w:szCs w:val="21"/>
        </w:rPr>
        <w:t> </w:t>
      </w:r>
      <w:r>
        <w:rPr>
          <w:rFonts w:ascii="宋体" w:hAnsi="宋体" w:cs="宋体" w:eastAsia="宋体" w:hint="default"/>
          <w:spacing w:val="-3"/>
          <w:sz w:val="21"/>
          <w:szCs w:val="21"/>
        </w:rPr>
        <w:t>一次交换交易实现的企业合并，合并成本为购买方在购买日为取得对被购买方的控制权</w:t>
      </w:r>
      <w:r>
        <w:rPr>
          <w:rFonts w:ascii="宋体" w:hAnsi="宋体" w:cs="宋体" w:eastAsia="宋体" w:hint="default"/>
          <w:sz w:val="21"/>
          <w:szCs w:val="21"/>
        </w:rPr>
        <w:t> 而付出的资产、发生或承担的负债以及发行的权益性证券的公允价值。</w:t>
      </w:r>
    </w:p>
    <w:p>
      <w:pPr>
        <w:spacing w:before="150"/>
        <w:ind w:left="564" w:right="273" w:firstLine="0"/>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新宋体" w:hAnsi="新宋体" w:cs="新宋体" w:eastAsia="新宋体" w:hint="default"/>
          <w:spacing w:val="-2"/>
          <w:sz w:val="21"/>
          <w:szCs w:val="21"/>
        </w:rPr>
        <w:t> </w:t>
      </w:r>
      <w:r>
        <w:rPr>
          <w:rFonts w:ascii="宋体" w:hAnsi="宋体" w:cs="宋体" w:eastAsia="宋体" w:hint="default"/>
          <w:sz w:val="21"/>
          <w:szCs w:val="21"/>
        </w:rPr>
        <w:t>通过多次交换交易分步实现的企业合并，合并成本为每一单项交易成本之和。</w:t>
      </w:r>
    </w:p>
    <w:p>
      <w:pPr>
        <w:spacing w:line="240" w:lineRule="auto" w:before="6"/>
        <w:rPr>
          <w:rFonts w:ascii="宋体" w:hAnsi="宋体" w:cs="宋体" w:eastAsia="宋体" w:hint="default"/>
          <w:sz w:val="19"/>
          <w:szCs w:val="19"/>
        </w:rPr>
      </w:pPr>
    </w:p>
    <w:p>
      <w:pPr>
        <w:spacing w:before="0"/>
        <w:ind w:left="564" w:right="273" w:firstLine="0"/>
        <w:jc w:val="left"/>
        <w:rPr>
          <w:rFonts w:ascii="宋体" w:hAnsi="宋体" w:cs="宋体" w:eastAsia="宋体" w:hint="default"/>
          <w:sz w:val="21"/>
          <w:szCs w:val="21"/>
        </w:rPr>
      </w:pPr>
      <w:r>
        <w:rPr>
          <w:rFonts w:ascii="新宋体" w:hAnsi="新宋体" w:cs="新宋体" w:eastAsia="新宋体" w:hint="default"/>
          <w:sz w:val="21"/>
          <w:szCs w:val="21"/>
        </w:rPr>
        <w:t>③</w:t>
      </w:r>
      <w:r>
        <w:rPr>
          <w:rFonts w:ascii="新宋体" w:hAnsi="新宋体" w:cs="新宋体" w:eastAsia="新宋体" w:hint="default"/>
          <w:spacing w:val="-2"/>
          <w:sz w:val="21"/>
          <w:szCs w:val="21"/>
        </w:rPr>
        <w:t> </w:t>
      </w:r>
      <w:r>
        <w:rPr>
          <w:rFonts w:ascii="宋体" w:hAnsi="宋体" w:cs="宋体" w:eastAsia="宋体" w:hint="default"/>
          <w:sz w:val="21"/>
          <w:szCs w:val="21"/>
        </w:rPr>
        <w:t>购买方为进行企业合并发生的各项直接相关费用也应当计入企业合并成本。</w:t>
      </w:r>
    </w:p>
    <w:p>
      <w:pPr>
        <w:spacing w:line="240" w:lineRule="auto" w:before="5"/>
        <w:rPr>
          <w:rFonts w:ascii="宋体" w:hAnsi="宋体" w:cs="宋体" w:eastAsia="宋体" w:hint="default"/>
          <w:sz w:val="19"/>
          <w:szCs w:val="19"/>
        </w:rPr>
      </w:pPr>
    </w:p>
    <w:p>
      <w:pPr>
        <w:spacing w:line="357" w:lineRule="auto" w:before="0"/>
        <w:ind w:left="144" w:right="137" w:firstLine="420"/>
        <w:jc w:val="right"/>
        <w:rPr>
          <w:rFonts w:ascii="宋体" w:hAnsi="宋体" w:cs="宋体" w:eastAsia="宋体" w:hint="default"/>
          <w:sz w:val="21"/>
          <w:szCs w:val="21"/>
        </w:rPr>
      </w:pPr>
      <w:r>
        <w:rPr>
          <w:rFonts w:ascii="新宋体" w:hAnsi="新宋体" w:cs="新宋体" w:eastAsia="新宋体" w:hint="default"/>
          <w:sz w:val="21"/>
          <w:szCs w:val="21"/>
        </w:rPr>
        <w:t>④</w:t>
      </w:r>
      <w:r>
        <w:rPr>
          <w:rFonts w:ascii="新宋体" w:hAnsi="新宋体" w:cs="新宋体" w:eastAsia="新宋体" w:hint="default"/>
          <w:spacing w:val="14"/>
          <w:sz w:val="21"/>
          <w:szCs w:val="21"/>
        </w:rPr>
        <w:t> </w:t>
      </w:r>
      <w:r>
        <w:rPr>
          <w:rFonts w:ascii="宋体" w:hAnsi="宋体" w:cs="宋体" w:eastAsia="宋体" w:hint="default"/>
          <w:spacing w:val="-3"/>
          <w:sz w:val="21"/>
          <w:szCs w:val="21"/>
        </w:rPr>
        <w:t>在合并合同或协议中对可能影响合并成本的未来事项作出约定的，购买日如果估计未来</w:t>
      </w:r>
      <w:r>
        <w:rPr>
          <w:rFonts w:ascii="宋体" w:hAnsi="宋体" w:cs="宋体" w:eastAsia="宋体" w:hint="default"/>
          <w:sz w:val="21"/>
          <w:szCs w:val="21"/>
        </w:rPr>
        <w:t> 事项很可能发生并且对合并成本的影响金额能够可靠计量的，购买方应当将其计入合并成本。</w:t>
      </w:r>
    </w:p>
    <w:p>
      <w:pPr>
        <w:spacing w:before="150"/>
        <w:ind w:left="564" w:right="1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before="35"/>
        <w:ind w:left="144" w:right="273" w:firstLine="0"/>
        <w:jc w:val="left"/>
        <w:rPr>
          <w:rFonts w:ascii="宋体" w:hAnsi="宋体" w:cs="宋体" w:eastAsia="宋体" w:hint="default"/>
          <w:sz w:val="21"/>
          <w:szCs w:val="21"/>
        </w:rPr>
      </w:pPr>
      <w:r>
        <w:rPr>
          <w:rFonts w:ascii="宋体" w:hAnsi="宋体" w:cs="宋体" w:eastAsia="宋体" w:hint="default"/>
          <w:sz w:val="21"/>
          <w:szCs w:val="21"/>
        </w:rPr>
        <w:t>确定其初始投资成本：</w:t>
      </w:r>
    </w:p>
    <w:p>
      <w:pPr>
        <w:spacing w:line="240" w:lineRule="auto" w:before="5"/>
        <w:rPr>
          <w:rFonts w:ascii="宋体" w:hAnsi="宋体" w:cs="宋体" w:eastAsia="宋体" w:hint="default"/>
          <w:sz w:val="19"/>
          <w:szCs w:val="19"/>
        </w:rPr>
      </w:pPr>
    </w:p>
    <w:p>
      <w:pPr>
        <w:spacing w:line="338" w:lineRule="auto" w:before="0"/>
        <w:ind w:left="143" w:right="141"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、以支付现金取得的长期股权投资，按照实际支付的购买价款作为初始投资成本。初始投</w:t>
      </w:r>
      <w:r>
        <w:rPr>
          <w:rFonts w:ascii="宋体" w:hAnsi="宋体" w:cs="宋体" w:eastAsia="宋体" w:hint="default"/>
          <w:sz w:val="21"/>
          <w:szCs w:val="21"/>
        </w:rPr>
        <w:t> 资成本包括与取得长期股权投资直接相关的费用、税金及其它必要支出。</w:t>
      </w:r>
    </w:p>
    <w:p>
      <w:pPr>
        <w:spacing w:line="338" w:lineRule="auto" w:before="167"/>
        <w:ind w:left="143" w:right="141"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、以发行权益性证券取得的长期股权投资，按照发行权益性证券的公允价值作为初始投资</w:t>
      </w:r>
      <w:r>
        <w:rPr>
          <w:rFonts w:ascii="宋体" w:hAnsi="宋体" w:cs="宋体" w:eastAsia="宋体" w:hint="default"/>
          <w:sz w:val="21"/>
          <w:szCs w:val="21"/>
        </w:rPr>
        <w:t> 成本。</w:t>
      </w:r>
    </w:p>
    <w:p>
      <w:pPr>
        <w:spacing w:line="338" w:lineRule="auto" w:before="167"/>
        <w:ind w:left="143" w:right="141"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c</w:t>
      </w:r>
      <w:r>
        <w:rPr>
          <w:rFonts w:ascii="宋体" w:hAnsi="宋体" w:cs="宋体" w:eastAsia="宋体" w:hint="default"/>
          <w:spacing w:val="-3"/>
          <w:sz w:val="21"/>
          <w:szCs w:val="21"/>
        </w:rPr>
        <w:t>、投资者投入的长期股权投资，按照投资合同或协议约定的价值作为初始投资成本，但合</w:t>
      </w:r>
      <w:r>
        <w:rPr>
          <w:rFonts w:ascii="宋体" w:hAnsi="宋体" w:cs="宋体" w:eastAsia="宋体" w:hint="default"/>
          <w:sz w:val="21"/>
          <w:szCs w:val="21"/>
        </w:rPr>
        <w:t> 同或协议约定价值不公允的除外。</w:t>
      </w:r>
    </w:p>
    <w:p>
      <w:pPr>
        <w:spacing w:line="350" w:lineRule="auto" w:before="167"/>
        <w:ind w:left="143" w:right="138"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d</w:t>
      </w:r>
      <w:r>
        <w:rPr>
          <w:rFonts w:ascii="宋体" w:hAnsi="宋体" w:cs="宋体" w:eastAsia="宋体" w:hint="default"/>
          <w:spacing w:val="-3"/>
          <w:sz w:val="21"/>
          <w:szCs w:val="21"/>
        </w:rPr>
        <w:t>、通过非货币性资产交换取得的长期股权投资，如非货币性资产交换具有商业实质，换入</w:t>
      </w:r>
      <w:r>
        <w:rPr>
          <w:rFonts w:ascii="宋体" w:hAnsi="宋体" w:cs="宋体" w:eastAsia="宋体" w:hint="default"/>
          <w:sz w:val="21"/>
          <w:szCs w:val="21"/>
        </w:rPr>
        <w:t> 的长期股权投资按照公允价值和应支付的相关税费作为初始投资成本；如非货币资产交易不具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有商业实质，换入的长期股权投资以换出资产的账面价值和应支付的相关税费作为初始投资成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本。</w:t>
      </w:r>
    </w:p>
    <w:p>
      <w:pPr>
        <w:spacing w:line="336" w:lineRule="auto" w:before="157"/>
        <w:ind w:left="143" w:right="141"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e</w:t>
      </w:r>
      <w:r>
        <w:rPr>
          <w:rFonts w:ascii="宋体" w:hAnsi="宋体" w:cs="宋体" w:eastAsia="宋体" w:hint="default"/>
          <w:spacing w:val="-3"/>
          <w:sz w:val="21"/>
          <w:szCs w:val="21"/>
        </w:rPr>
        <w:t>、通过债务重组取得的长期股权投资，其初始投资成本按照公允价值和应付的相关税费确</w:t>
      </w:r>
      <w:r>
        <w:rPr>
          <w:rFonts w:ascii="宋体" w:hAnsi="宋体" w:cs="宋体" w:eastAsia="宋体" w:hint="default"/>
          <w:sz w:val="21"/>
          <w:szCs w:val="21"/>
        </w:rPr>
        <w:t> 定。</w:t>
      </w:r>
    </w:p>
    <w:p>
      <w:pPr>
        <w:spacing w:before="170"/>
        <w:ind w:left="143"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p>
    <w:p>
      <w:pPr>
        <w:spacing w:line="240" w:lineRule="auto" w:before="2"/>
        <w:rPr>
          <w:rFonts w:ascii="宋体" w:hAnsi="宋体" w:cs="宋体" w:eastAsia="宋体" w:hint="default"/>
          <w:sz w:val="18"/>
          <w:szCs w:val="18"/>
        </w:rPr>
      </w:pPr>
    </w:p>
    <w:p>
      <w:pPr>
        <w:spacing w:line="348" w:lineRule="auto" w:before="0"/>
        <w:ind w:left="144" w:right="13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、本公司能够对被投资单位实施控制的长期股权投资或本公司对被投资单位不具有共同 控制或重大影响，并且在活跃市场中没有报价、公允价值不能可靠计量的长期股权投资采用成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本法核算。</w:t>
      </w:r>
    </w:p>
    <w:p>
      <w:pPr>
        <w:spacing w:line="357" w:lineRule="auto" w:before="158"/>
        <w:ind w:left="144" w:right="138" w:firstLine="420"/>
        <w:jc w:val="both"/>
        <w:rPr>
          <w:rFonts w:ascii="宋体" w:hAnsi="宋体" w:cs="宋体" w:eastAsia="宋体" w:hint="default"/>
          <w:sz w:val="21"/>
          <w:szCs w:val="21"/>
        </w:rPr>
      </w:pPr>
      <w:r>
        <w:rPr>
          <w:rFonts w:ascii="宋体" w:hAnsi="宋体" w:cs="宋体" w:eastAsia="宋体" w:hint="default"/>
          <w:sz w:val="21"/>
          <w:szCs w:val="21"/>
        </w:rPr>
        <w:t>采用成本法核算的长期股权投资按照投资成本计价。追加或收回投资时调整长期股权投资 的成本。被投资单位宣告分派的现金股利或利润，除取得投资时实际支付的价款或对价中包含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的已宣告但尚未发放的现金股利或利润外，本公司按照享有被投资单位宣告发放的现金股利或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利润确认当期投资收益。</w:t>
      </w:r>
    </w:p>
    <w:p>
      <w:pPr>
        <w:spacing w:line="436" w:lineRule="auto" w:before="150"/>
        <w:ind w:left="564" w:right="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、本公司对被投资单位具有共同控制或重大影响的长期股权投资，采用权益法核算。 长期股权投资的投资成本大于投资时应享有被投资单位可辨认净资产公允价值份额的，不</w:t>
      </w:r>
    </w:p>
    <w:p>
      <w:pPr>
        <w:spacing w:line="237"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调整长期股权投资的投资成本；长期股权投资的投资成本本小于投资时应享有被投资单位可辨</w:t>
      </w:r>
    </w:p>
    <w:p>
      <w:pPr>
        <w:spacing w:before="133"/>
        <w:ind w:left="144" w:right="273" w:firstLine="0"/>
        <w:jc w:val="left"/>
        <w:rPr>
          <w:rFonts w:ascii="宋体" w:hAnsi="宋体" w:cs="宋体" w:eastAsia="宋体" w:hint="default"/>
          <w:sz w:val="21"/>
          <w:szCs w:val="21"/>
        </w:rPr>
      </w:pPr>
      <w:r>
        <w:rPr>
          <w:rFonts w:ascii="宋体" w:hAnsi="宋体" w:cs="宋体" w:eastAsia="宋体" w:hint="default"/>
          <w:sz w:val="21"/>
          <w:szCs w:val="21"/>
        </w:rPr>
        <w:t>认净资产公允价值份额的，其差额应当计入当期损益，同时调整长期股权投资的成本。</w:t>
      </w:r>
    </w:p>
    <w:p>
      <w:pPr>
        <w:spacing w:line="240" w:lineRule="auto" w:before="6"/>
        <w:rPr>
          <w:rFonts w:ascii="宋体" w:hAnsi="宋体" w:cs="宋体" w:eastAsia="宋体" w:hint="default"/>
          <w:sz w:val="19"/>
          <w:szCs w:val="19"/>
        </w:rPr>
      </w:pPr>
    </w:p>
    <w:p>
      <w:pPr>
        <w:spacing w:line="357" w:lineRule="auto" w:before="0"/>
        <w:ind w:left="144" w:right="138" w:firstLine="420"/>
        <w:jc w:val="both"/>
        <w:rPr>
          <w:rFonts w:ascii="宋体" w:hAnsi="宋体" w:cs="宋体" w:eastAsia="宋体" w:hint="default"/>
          <w:sz w:val="21"/>
          <w:szCs w:val="21"/>
        </w:rPr>
      </w:pPr>
      <w:r>
        <w:rPr>
          <w:rFonts w:ascii="宋体" w:hAnsi="宋体" w:cs="宋体" w:eastAsia="宋体" w:hint="default"/>
          <w:sz w:val="21"/>
          <w:szCs w:val="21"/>
        </w:rPr>
        <w:t>公司取得长期股权投资后，按照应享有或应分担的被投资单位实现的净损益的份额，确认 投资损益并调整长期股权投资的账面价值；按照被投资单位宣告分派的利润或现金股利计算应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分得的部分，相应减少长期股权投资的账面价值。公司确认被投资单位发生的净亏损，以长期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股权投资的账面价值以及其他实质上构成对被投资单位净投资的长期权益减记至零为限，公司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负有承担额外损失义务的除外。被投资单位以后实现净利润的，投资企业在其收益分享额弥补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未确认的亏损分担额后，恢复确认收益分享额。</w:t>
      </w:r>
    </w:p>
    <w:p>
      <w:pPr>
        <w:spacing w:after="0" w:line="357" w:lineRule="auto"/>
        <w:jc w:val="both"/>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line="357" w:lineRule="auto" w:before="35"/>
        <w:ind w:left="144" w:right="138" w:firstLine="420"/>
        <w:jc w:val="both"/>
        <w:rPr>
          <w:rFonts w:ascii="宋体" w:hAnsi="宋体" w:cs="宋体" w:eastAsia="宋体" w:hint="default"/>
          <w:sz w:val="21"/>
          <w:szCs w:val="21"/>
        </w:rPr>
      </w:pPr>
      <w:r>
        <w:rPr>
          <w:rFonts w:ascii="宋体" w:hAnsi="宋体" w:cs="宋体" w:eastAsia="宋体" w:hint="default"/>
          <w:sz w:val="21"/>
          <w:szCs w:val="21"/>
        </w:rPr>
        <w:t>在确认应享有被投资单位净损益的份额时，以取得投资时被投资单位各项可辨认资产等的 公允价值为基础，对被投资单位的净利润进行调整后确认。被投资单位采用的会计政策及会计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期间与投资企业不一致的，应当按照投资企业的会计政策及会计期间对被投资单位的财务报表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进行调整，并据以确认投资损益。</w:t>
      </w:r>
    </w:p>
    <w:p>
      <w:pPr>
        <w:spacing w:before="151"/>
        <w:ind w:left="563"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line="240" w:lineRule="auto" w:before="2"/>
        <w:rPr>
          <w:rFonts w:ascii="宋体" w:hAnsi="宋体" w:cs="宋体" w:eastAsia="宋体" w:hint="default"/>
          <w:sz w:val="18"/>
          <w:szCs w:val="18"/>
        </w:rPr>
      </w:pPr>
    </w:p>
    <w:p>
      <w:pPr>
        <w:spacing w:line="436" w:lineRule="auto" w:before="0"/>
        <w:ind w:left="564" w:right="1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 共同控制，是指按照合同约定对某项经济活动所共有的控制，仅在与该项经济活动相关的</w:t>
      </w:r>
    </w:p>
    <w:p>
      <w:pPr>
        <w:spacing w:line="236" w:lineRule="exact"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重要财务和经营决策需要分享控制权的投资方一致同意时存在。</w:t>
      </w:r>
    </w:p>
    <w:p>
      <w:pPr>
        <w:spacing w:line="240" w:lineRule="auto" w:before="5"/>
        <w:rPr>
          <w:rFonts w:ascii="宋体" w:hAnsi="宋体" w:cs="宋体" w:eastAsia="宋体" w:hint="default"/>
          <w:sz w:val="19"/>
          <w:szCs w:val="19"/>
        </w:rPr>
      </w:pPr>
    </w:p>
    <w:p>
      <w:pPr>
        <w:spacing w:line="357" w:lineRule="auto" w:before="0"/>
        <w:ind w:left="144" w:right="130" w:firstLine="420"/>
        <w:jc w:val="left"/>
        <w:rPr>
          <w:rFonts w:ascii="宋体" w:hAnsi="宋体" w:cs="宋体" w:eastAsia="宋体" w:hint="default"/>
          <w:sz w:val="21"/>
          <w:szCs w:val="21"/>
        </w:rPr>
      </w:pPr>
      <w:r>
        <w:rPr>
          <w:rFonts w:ascii="宋体" w:hAnsi="宋体" w:cs="宋体" w:eastAsia="宋体" w:hint="default"/>
          <w:sz w:val="21"/>
          <w:szCs w:val="21"/>
        </w:rPr>
        <w:t>重大影响，是指对一个企业的财务和经营政策有参与决策的权力，但并不能够控制或者与 其他方一起共同控制这些政策的制定。</w:t>
      </w:r>
    </w:p>
    <w:p>
      <w:pPr>
        <w:spacing w:line="436" w:lineRule="auto" w:before="150"/>
        <w:ind w:left="564" w:right="13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）减值测试方法及简直准备计提方法 资产负债表日对长期股权投资逐项进行检查，判断长期股权投资是否存在可能发生减值的</w:t>
      </w:r>
    </w:p>
    <w:p>
      <w:pPr>
        <w:spacing w:line="236"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迹象。如果存在被投资单位经营状况恶化等减值迹象的，则估计其可收回金额。可收回金额的</w:t>
      </w:r>
    </w:p>
    <w:p>
      <w:pPr>
        <w:spacing w:line="355" w:lineRule="auto" w:before="134"/>
        <w:ind w:left="144" w:right="138" w:firstLine="0"/>
        <w:jc w:val="both"/>
        <w:rPr>
          <w:rFonts w:ascii="宋体" w:hAnsi="宋体" w:cs="宋体" w:eastAsia="宋体" w:hint="default"/>
          <w:sz w:val="21"/>
          <w:szCs w:val="21"/>
        </w:rPr>
      </w:pPr>
      <w:r>
        <w:rPr>
          <w:rFonts w:ascii="宋体" w:hAnsi="宋体" w:cs="宋体" w:eastAsia="宋体" w:hint="default"/>
          <w:spacing w:val="-3"/>
          <w:sz w:val="21"/>
          <w:szCs w:val="21"/>
        </w:rPr>
        <w:t>计量结果表明，长期股权投资的可收回金额低于其</w:t>
      </w:r>
      <w:r>
        <w:rPr>
          <w:rFonts w:ascii="宋体" w:hAnsi="宋体" w:cs="宋体" w:eastAsia="宋体" w:hint="default"/>
          <w:spacing w:val="22"/>
          <w:sz w:val="21"/>
          <w:szCs w:val="21"/>
        </w:rPr>
        <w:t> </w:t>
      </w:r>
      <w:r>
        <w:rPr>
          <w:rFonts w:ascii="宋体" w:hAnsi="宋体" w:cs="宋体" w:eastAsia="宋体" w:hint="default"/>
          <w:spacing w:val="-3"/>
          <w:sz w:val="21"/>
          <w:szCs w:val="21"/>
        </w:rPr>
        <w:t>账面价值的，将长期股权投资的账面价值减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记至可收回金额，减记的金额确认为资产减值损失，计入当期损益，同时计提相应的长期投资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减值准备。长期投资减值损失一经确认，在以后会计期间不再转回。</w:t>
      </w:r>
    </w:p>
    <w:p>
      <w:pPr>
        <w:spacing w:before="153"/>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）投资性房地产，是指为赚取租金或资本增值，或两者兼有而持有的房地产。</w:t>
      </w:r>
    </w:p>
    <w:p>
      <w:pPr>
        <w:spacing w:line="240" w:lineRule="auto" w:before="3"/>
        <w:rPr>
          <w:rFonts w:ascii="宋体" w:hAnsi="宋体" w:cs="宋体" w:eastAsia="宋体" w:hint="default"/>
          <w:sz w:val="18"/>
          <w:szCs w:val="18"/>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）投资性房地产按照成本进行初始计量：</w:t>
      </w:r>
    </w:p>
    <w:p>
      <w:pPr>
        <w:spacing w:line="240" w:lineRule="auto" w:before="2"/>
        <w:rPr>
          <w:rFonts w:ascii="宋体" w:hAnsi="宋体" w:cs="宋体" w:eastAsia="宋体" w:hint="default"/>
          <w:sz w:val="18"/>
          <w:szCs w:val="18"/>
        </w:rPr>
      </w:pPr>
    </w:p>
    <w:p>
      <w:pPr>
        <w:spacing w:line="338" w:lineRule="auto" w:before="0"/>
        <w:ind w:left="144" w:right="13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、外购投资性房地产的成本，包括购买价款、相关税费和可直接归属于该资产的其他支 出。</w:t>
      </w:r>
    </w:p>
    <w:p>
      <w:pPr>
        <w:spacing w:line="336" w:lineRule="auto" w:before="167"/>
        <w:ind w:left="144" w:right="13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、自行建造投资性房地产的成本，由建造该项资产达到预定可使用状态前所发生的必要 支出构成。</w:t>
      </w:r>
    </w:p>
    <w:p>
      <w:pPr>
        <w:spacing w:before="170"/>
        <w:ind w:left="564"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、以其他方式取得的投资性房地产的成本，按照相关会计准则的规定确定。</w:t>
      </w:r>
    </w:p>
    <w:p>
      <w:pPr>
        <w:spacing w:line="240" w:lineRule="auto" w:before="2"/>
        <w:rPr>
          <w:rFonts w:ascii="宋体" w:hAnsi="宋体" w:cs="宋体" w:eastAsia="宋体" w:hint="default"/>
          <w:sz w:val="18"/>
          <w:szCs w:val="18"/>
        </w:rPr>
      </w:pPr>
    </w:p>
    <w:p>
      <w:pPr>
        <w:spacing w:line="436" w:lineRule="auto" w:before="0"/>
        <w:ind w:left="564"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）后续计量 与投资性房地产有关的后续支出，如与该投资性房地产有关的经济利益很可能流入企业且</w:t>
      </w:r>
    </w:p>
    <w:p>
      <w:pPr>
        <w:spacing w:line="236"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该投资性房地产的成本能够可靠地计量，则计入投资性房地产成本；否则在发生时计入当期损</w:t>
      </w:r>
    </w:p>
    <w:p>
      <w:pPr>
        <w:spacing w:before="134"/>
        <w:ind w:left="144" w:right="273"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240" w:lineRule="auto" w:before="5"/>
        <w:rPr>
          <w:rFonts w:ascii="宋体" w:hAnsi="宋体" w:cs="宋体" w:eastAsia="宋体" w:hint="default"/>
          <w:sz w:val="19"/>
          <w:szCs w:val="19"/>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公司在资产负债表日采用成本模式对投资性房地产进行后续计量。</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before="35"/>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）折旧及减值准备</w:t>
      </w:r>
    </w:p>
    <w:p>
      <w:pPr>
        <w:spacing w:line="240" w:lineRule="auto" w:before="2"/>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比照本附注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固定资产的折旧和减值准备执行。</w:t>
      </w:r>
    </w:p>
    <w:p>
      <w:pPr>
        <w:spacing w:line="240" w:lineRule="auto" w:before="3"/>
        <w:rPr>
          <w:rFonts w:ascii="宋体" w:hAnsi="宋体" w:cs="宋体" w:eastAsia="宋体" w:hint="default"/>
          <w:sz w:val="18"/>
          <w:szCs w:val="18"/>
        </w:rPr>
      </w:pPr>
    </w:p>
    <w:p>
      <w:pPr>
        <w:spacing w:before="0"/>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664" w:right="21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 固定资产指为生产商品、提供劳务、出租或经营管理而持有的，使用寿命超过一个会计年</w:t>
      </w:r>
    </w:p>
    <w:p>
      <w:pPr>
        <w:spacing w:line="236" w:lineRule="exact"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度的有形资产。固定资产以实际成本进行初始计量。当与该固定资产有关的经济利益很可能流</w:t>
      </w:r>
    </w:p>
    <w:p>
      <w:pPr>
        <w:spacing w:before="134"/>
        <w:ind w:left="244" w:right="0" w:firstLine="0"/>
        <w:jc w:val="left"/>
        <w:rPr>
          <w:rFonts w:ascii="宋体" w:hAnsi="宋体" w:cs="宋体" w:eastAsia="宋体" w:hint="default"/>
          <w:sz w:val="21"/>
          <w:szCs w:val="21"/>
        </w:rPr>
      </w:pPr>
      <w:r>
        <w:rPr>
          <w:rFonts w:ascii="宋体" w:hAnsi="宋体" w:cs="宋体" w:eastAsia="宋体" w:hint="default"/>
          <w:sz w:val="21"/>
          <w:szCs w:val="21"/>
        </w:rPr>
        <w:t>入企业，且该固定资产资产的成本能够可靠地计量时，确认固定资产。</w:t>
      </w:r>
    </w:p>
    <w:p>
      <w:pPr>
        <w:spacing w:line="240" w:lineRule="auto" w:before="5"/>
        <w:rPr>
          <w:rFonts w:ascii="宋体" w:hAnsi="宋体" w:cs="宋体" w:eastAsia="宋体" w:hint="default"/>
          <w:sz w:val="19"/>
          <w:szCs w:val="19"/>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p>
    <w:p>
      <w:pPr>
        <w:spacing w:line="240" w:lineRule="auto" w:before="10"/>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222"/>
        <w:gridCol w:w="2208"/>
        <w:gridCol w:w="2209"/>
        <w:gridCol w:w="2209"/>
      </w:tblGrid>
      <w:tr>
        <w:trPr>
          <w:trHeight w:val="427"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6"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40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sz w:val="21"/>
              </w:rPr>
              <w:t>2.375</w:t>
            </w:r>
          </w:p>
        </w:tc>
      </w:tr>
      <w:tr>
        <w:trPr>
          <w:trHeight w:val="426"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z w:val="21"/>
              </w:rPr>
              <w:t>19</w:t>
            </w:r>
          </w:p>
        </w:tc>
      </w:tr>
      <w:tr>
        <w:trPr>
          <w:trHeight w:val="427"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z w:val="21"/>
              </w:rPr>
              <w:t>19</w:t>
            </w:r>
          </w:p>
        </w:tc>
      </w:tr>
      <w:tr>
        <w:trPr>
          <w:trHeight w:val="426"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4"/>
        <w:rPr>
          <w:rFonts w:ascii="宋体" w:hAnsi="宋体" w:cs="宋体" w:eastAsia="宋体" w:hint="default"/>
          <w:sz w:val="22"/>
          <w:szCs w:val="22"/>
        </w:rPr>
      </w:pPr>
    </w:p>
    <w:p>
      <w:pPr>
        <w:spacing w:line="436" w:lineRule="auto" w:before="35"/>
        <w:ind w:left="664" w:right="21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 资产负债表日判断固定资产是否存在可能发生减值的迹象。如果存在资产市价持续下跌，</w:t>
      </w:r>
    </w:p>
    <w:p>
      <w:pPr>
        <w:spacing w:line="236" w:lineRule="exact" w:before="0"/>
        <w:ind w:left="244" w:right="0" w:firstLine="0"/>
        <w:jc w:val="both"/>
        <w:rPr>
          <w:rFonts w:ascii="宋体" w:hAnsi="宋体" w:cs="宋体" w:eastAsia="宋体" w:hint="default"/>
          <w:sz w:val="21"/>
          <w:szCs w:val="21"/>
        </w:rPr>
      </w:pPr>
      <w:r>
        <w:rPr>
          <w:rFonts w:ascii="宋体" w:hAnsi="宋体" w:cs="宋体" w:eastAsia="宋体" w:hint="default"/>
          <w:sz w:val="21"/>
          <w:szCs w:val="21"/>
        </w:rPr>
        <w:t>或技术陈旧、损坏、长期闲置等减值迹象的，则估计其可收回金额。可收回金额的计量结果表</w:t>
      </w:r>
    </w:p>
    <w:p>
      <w:pPr>
        <w:spacing w:line="357" w:lineRule="auto" w:before="134"/>
        <w:ind w:left="244" w:right="218" w:firstLine="0"/>
        <w:jc w:val="both"/>
        <w:rPr>
          <w:rFonts w:ascii="宋体" w:hAnsi="宋体" w:cs="宋体" w:eastAsia="宋体" w:hint="default"/>
          <w:sz w:val="21"/>
          <w:szCs w:val="21"/>
        </w:rPr>
      </w:pPr>
      <w:r>
        <w:rPr>
          <w:rFonts w:ascii="宋体" w:hAnsi="宋体" w:cs="宋体" w:eastAsia="宋体" w:hint="default"/>
          <w:sz w:val="21"/>
          <w:szCs w:val="21"/>
        </w:rPr>
        <w:t>明，固定资产的可收回金额低于其账面价值的，将固定资产的账面价值减记至可收回金额，减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记的金额确认为资产减值损失，计入当期损益，同时计提相应的固定资产减值准备。固定资产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减值损失一经确认，在以后会计期间不再转回。</w:t>
      </w:r>
    </w:p>
    <w:p>
      <w:pPr>
        <w:spacing w:line="436" w:lineRule="auto" w:before="150"/>
        <w:ind w:left="664" w:right="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）融资租入固定资产的认定依据、计价方法 </w:t>
      </w:r>
      <w:r>
        <w:rPr>
          <w:rFonts w:ascii="宋体" w:hAnsi="宋体" w:cs="宋体" w:eastAsia="宋体" w:hint="default"/>
          <w:spacing w:val="-3"/>
          <w:sz w:val="21"/>
          <w:szCs w:val="21"/>
        </w:rPr>
        <w:t>如果与某项租入固定资产有关的全部风险和报酬实质上已经转移，本公司认定为融资租赁。</w:t>
      </w:r>
    </w:p>
    <w:p>
      <w:pPr>
        <w:spacing w:line="237" w:lineRule="exact" w:before="0"/>
        <w:ind w:left="244" w:right="0" w:firstLine="0"/>
        <w:jc w:val="both"/>
        <w:rPr>
          <w:rFonts w:ascii="宋体" w:hAnsi="宋体" w:cs="宋体" w:eastAsia="宋体" w:hint="default"/>
          <w:sz w:val="21"/>
          <w:szCs w:val="21"/>
        </w:rPr>
      </w:pPr>
      <w:r>
        <w:rPr>
          <w:rFonts w:ascii="宋体" w:hAnsi="宋体" w:cs="宋体" w:eastAsia="宋体" w:hint="default"/>
          <w:spacing w:val="5"/>
          <w:sz w:val="21"/>
          <w:szCs w:val="21"/>
        </w:rPr>
        <w:t>融资租入固定资产需按租赁开始日租赁资产的公允价值与最低租赁付款额现值两者中的较低</w:t>
      </w:r>
    </w:p>
    <w:p>
      <w:pPr>
        <w:spacing w:line="357" w:lineRule="auto" w:before="133"/>
        <w:ind w:left="244" w:right="218" w:firstLine="0"/>
        <w:jc w:val="both"/>
        <w:rPr>
          <w:rFonts w:ascii="宋体" w:hAnsi="宋体" w:cs="宋体" w:eastAsia="宋体" w:hint="default"/>
          <w:sz w:val="21"/>
          <w:szCs w:val="21"/>
        </w:rPr>
      </w:pPr>
      <w:r>
        <w:rPr>
          <w:rFonts w:ascii="宋体" w:hAnsi="宋体" w:cs="宋体" w:eastAsia="宋体" w:hint="default"/>
          <w:sz w:val="21"/>
          <w:szCs w:val="21"/>
        </w:rPr>
        <w:t>者，加上可直接归属于租赁项目的初始直接费用，作为租入资产的入账价值，将最低租赁付款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额作为长期应付款的入账价值，其差额作为未确认融资费用。未确认融资费用采用实际利率法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在租赁期内分摊。租入固定资产按租赁期和估计净残值确定折旧率，计提折旧。</w:t>
      </w:r>
    </w:p>
    <w:p>
      <w:pPr>
        <w:spacing w:line="448" w:lineRule="auto" w:before="151"/>
        <w:ind w:left="244" w:right="7473"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）其他说明 无。 </w:t>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36"/>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）在建工程的核算方法</w:t>
      </w:r>
    </w:p>
    <w:p>
      <w:pPr>
        <w:spacing w:after="0"/>
        <w:jc w:val="left"/>
        <w:rPr>
          <w:rFonts w:ascii="宋体" w:hAnsi="宋体" w:cs="宋体" w:eastAsia="宋体" w:hint="default"/>
          <w:sz w:val="21"/>
          <w:szCs w:val="21"/>
        </w:rPr>
        <w:sectPr>
          <w:pgSz w:w="11910" w:h="16840"/>
          <w:pgMar w:header="877" w:footer="982" w:top="1100" w:bottom="1180" w:left="1400" w:right="1420"/>
        </w:sectPr>
      </w:pPr>
    </w:p>
    <w:p>
      <w:pPr>
        <w:spacing w:line="240" w:lineRule="auto" w:before="2"/>
        <w:rPr>
          <w:rFonts w:ascii="宋体" w:hAnsi="宋体" w:cs="宋体" w:eastAsia="宋体" w:hint="default"/>
          <w:sz w:val="19"/>
          <w:szCs w:val="19"/>
        </w:rPr>
      </w:pPr>
    </w:p>
    <w:p>
      <w:pPr>
        <w:spacing w:line="357" w:lineRule="auto" w:before="35"/>
        <w:ind w:left="143" w:right="218" w:firstLine="420"/>
        <w:jc w:val="both"/>
        <w:rPr>
          <w:rFonts w:ascii="宋体" w:hAnsi="宋体" w:cs="宋体" w:eastAsia="宋体" w:hint="default"/>
          <w:sz w:val="21"/>
          <w:szCs w:val="21"/>
        </w:rPr>
      </w:pPr>
      <w:r>
        <w:rPr>
          <w:rFonts w:ascii="宋体" w:hAnsi="宋体" w:cs="宋体" w:eastAsia="宋体" w:hint="default"/>
          <w:sz w:val="21"/>
          <w:szCs w:val="21"/>
        </w:rPr>
        <w:t>在建工程包括施工前期准备、正在施工中的建筑工程、安装工程、技术改造工程和大修理 工程等。在建工程按照实际发生的支出分项目核算，并在工程达到预定可使用状态时结转为固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5"/>
          <w:sz w:val="21"/>
          <w:szCs w:val="21"/>
        </w:rPr>
        <w:t>定资产。与在建工程有关的借款费用（包括借款利息、溢折价摊销、汇兑损益等），在相关工程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达到预定可使用状态前的计入工程成本，在相关工程达到预定可使用状态后的计入当期财务费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用。</w:t>
      </w:r>
    </w:p>
    <w:p>
      <w:pPr>
        <w:spacing w:line="436" w:lineRule="auto" w:before="15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）在建工程减值准备 资产负债表日对在建工程进行全面检查，判断固定资产是否存在可能发生减值的迹象。如</w:t>
      </w:r>
    </w:p>
    <w:p>
      <w:pPr>
        <w:spacing w:line="252" w:lineRule="exact" w:before="0"/>
        <w:ind w:left="144" w:right="0" w:hanging="1"/>
        <w:jc w:val="both"/>
        <w:rPr>
          <w:rFonts w:ascii="宋体" w:hAnsi="宋体" w:cs="宋体" w:eastAsia="宋体" w:hint="default"/>
          <w:sz w:val="21"/>
          <w:szCs w:val="21"/>
        </w:rPr>
      </w:pPr>
      <w:r>
        <w:rPr>
          <w:rFonts w:ascii="宋体" w:hAnsi="宋体" w:cs="宋体" w:eastAsia="宋体" w:hint="default"/>
          <w:sz w:val="21"/>
          <w:szCs w:val="21"/>
        </w:rPr>
        <w:t>果存在</w:t>
      </w:r>
      <w:r>
        <w:rPr>
          <w:rFonts w:ascii="宋体" w:hAnsi="宋体" w:cs="宋体" w:eastAsia="宋体" w:hint="default"/>
          <w:spacing w:val="-129"/>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26"/>
          <w:sz w:val="21"/>
          <w:szCs w:val="21"/>
        </w:rPr>
        <w:t>）</w:t>
      </w:r>
      <w:r>
        <w:rPr>
          <w:rFonts w:ascii="宋体" w:hAnsi="宋体" w:cs="宋体" w:eastAsia="宋体" w:hint="default"/>
          <w:sz w:val="21"/>
          <w:szCs w:val="21"/>
        </w:rPr>
        <w:t>在建工程长期停建并且预计在未来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年内不会</w:t>
      </w:r>
      <w:r>
        <w:rPr>
          <w:rFonts w:ascii="宋体" w:hAnsi="宋体" w:cs="宋体" w:eastAsia="宋体" w:hint="default"/>
          <w:spacing w:val="-2"/>
          <w:sz w:val="21"/>
          <w:szCs w:val="21"/>
        </w:rPr>
        <w:t>重</w:t>
      </w:r>
      <w:r>
        <w:rPr>
          <w:rFonts w:ascii="宋体" w:hAnsi="宋体" w:cs="宋体" w:eastAsia="宋体" w:hint="default"/>
          <w:sz w:val="21"/>
          <w:szCs w:val="21"/>
        </w:rPr>
        <w:t>新开工</w:t>
      </w:r>
      <w:r>
        <w:rPr>
          <w:rFonts w:ascii="宋体" w:hAnsi="宋体" w:cs="宋体" w:eastAsia="宋体" w:hint="default"/>
          <w:spacing w:val="-129"/>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26"/>
          <w:sz w:val="21"/>
          <w:szCs w:val="21"/>
        </w:rPr>
        <w:t>）</w:t>
      </w:r>
      <w:r>
        <w:rPr>
          <w:rFonts w:ascii="宋体" w:hAnsi="宋体" w:cs="宋体" w:eastAsia="宋体" w:hint="default"/>
          <w:sz w:val="21"/>
          <w:szCs w:val="21"/>
        </w:rPr>
        <w:t>所建项目在性能上、</w:t>
      </w:r>
    </w:p>
    <w:p>
      <w:pPr>
        <w:spacing w:line="357" w:lineRule="auto" w:before="117"/>
        <w:ind w:left="144" w:right="218" w:firstLine="0"/>
        <w:jc w:val="both"/>
        <w:rPr>
          <w:rFonts w:ascii="宋体" w:hAnsi="宋体" w:cs="宋体" w:eastAsia="宋体" w:hint="default"/>
          <w:sz w:val="21"/>
          <w:szCs w:val="21"/>
        </w:rPr>
      </w:pPr>
      <w:r>
        <w:rPr>
          <w:rFonts w:ascii="宋体" w:hAnsi="宋体" w:cs="宋体" w:eastAsia="宋体" w:hint="default"/>
          <w:sz w:val="21"/>
          <w:szCs w:val="21"/>
        </w:rPr>
        <w:t>技术上已经落后并且所带来的经济效益具有很大的不确定性等减值迹象的，则估计其可收回金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额。可收回金额的计量结果表明，在建工程的可收回金额低于其账面价值的，将在建工程的账</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面价值减记至可收回金额，减记的金额确认为资产减值损失，计入当期损益，同时计提相应的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在建工程减值准备。在建工程减值损失一经确认，在以后会计期间不再转回。</w:t>
      </w:r>
    </w:p>
    <w:p>
      <w:pPr>
        <w:spacing w:before="150"/>
        <w:ind w:left="14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345" w:lineRule="auto" w:before="0"/>
        <w:ind w:left="144" w:right="21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）企业发生的借款费用，可直接归属于符合资本化条件的资产的购建或者生产的，予以</w:t>
      </w:r>
      <w:r>
        <w:rPr>
          <w:rFonts w:ascii="宋体" w:hAnsi="宋体" w:cs="宋体" w:eastAsia="宋体" w:hint="default"/>
          <w:sz w:val="21"/>
          <w:szCs w:val="21"/>
        </w:rPr>
        <w:t> 资本化，计入相关资产成本；其他借款费用，在发生时根据其发生额确认为费用，计入当期损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益。借款费用同时满足下列条件的，开始资本化：</w:t>
      </w:r>
    </w:p>
    <w:p>
      <w:pPr>
        <w:spacing w:line="336" w:lineRule="auto" w:before="162"/>
        <w:ind w:left="144" w:right="22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、资产支出已经发生，资产支出包括为购建或者生产符合资本化条件的资产而以支付现 金、转移非现金资产或者承担带息债务形式发生的支出；</w:t>
      </w:r>
    </w:p>
    <w:p>
      <w:pPr>
        <w:spacing w:line="436" w:lineRule="auto" w:before="170"/>
        <w:ind w:left="564" w:right="7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 </w:t>
      </w: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w:t>
      </w:r>
    </w:p>
    <w:p>
      <w:pPr>
        <w:spacing w:line="345" w:lineRule="auto" w:before="48"/>
        <w:ind w:left="144" w:right="21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）购建或者生产符合资本化条件的资产达到预定可使用或者可销售状态时，借款费用停</w:t>
      </w:r>
      <w:r>
        <w:rPr>
          <w:rFonts w:ascii="宋体" w:hAnsi="宋体" w:cs="宋体" w:eastAsia="宋体" w:hint="default"/>
          <w:sz w:val="21"/>
          <w:szCs w:val="21"/>
        </w:rPr>
        <w:t> 止资本化。在符合资本化条件的资产达到预定可使用或者可销售状态之后所发生的借款费用，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在发生时根据其发生额确认为费用，计入当期损益。</w:t>
      </w:r>
    </w:p>
    <w:p>
      <w:pPr>
        <w:spacing w:line="448" w:lineRule="auto" w:before="162"/>
        <w:ind w:left="143" w:right="7574"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、生物资产</w:t>
      </w:r>
      <w:r>
        <w:rPr>
          <w:rFonts w:ascii="宋体" w:hAnsi="宋体" w:cs="宋体" w:eastAsia="宋体" w:hint="default"/>
          <w:b/>
          <w:bCs/>
          <w:w w:val="99"/>
          <w:sz w:val="21"/>
          <w:szCs w:val="21"/>
        </w:rPr>
        <w:t> </w:t>
      </w:r>
      <w:r>
        <w:rPr>
          <w:rFonts w:ascii="宋体" w:hAnsi="宋体" w:cs="宋体" w:eastAsia="宋体" w:hint="default"/>
          <w:sz w:val="21"/>
          <w:szCs w:val="21"/>
        </w:rPr>
        <w:t>无。 </w:t>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t>无。 </w:t>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336" w:lineRule="auto" w:before="35"/>
        <w:ind w:left="143" w:right="12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）无形资产指企业拥有或控制的没有实物形态的可辨认非货币性资产，包括专有技术、 土地使用权等。</w:t>
      </w:r>
    </w:p>
    <w:p>
      <w:pPr>
        <w:spacing w:after="0" w:line="336" w:lineRule="auto"/>
        <w:jc w:val="both"/>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before="35"/>
        <w:ind w:left="564" w:right="1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）无形资产在取得时按照实际成本计价。</w:t>
      </w:r>
    </w:p>
    <w:p>
      <w:pPr>
        <w:spacing w:line="240" w:lineRule="auto" w:before="2"/>
        <w:rPr>
          <w:rFonts w:ascii="宋体" w:hAnsi="宋体" w:cs="宋体" w:eastAsia="宋体" w:hint="default"/>
          <w:sz w:val="18"/>
          <w:szCs w:val="18"/>
        </w:rPr>
      </w:pPr>
    </w:p>
    <w:p>
      <w:pPr>
        <w:spacing w:line="350" w:lineRule="auto" w:before="0"/>
        <w:ind w:left="144" w:right="21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）对使用寿命确定的无形资产，自无形资产可供使用时起，在使用寿命内采用直线法摊</w:t>
      </w:r>
      <w:r>
        <w:rPr>
          <w:rFonts w:ascii="宋体" w:hAnsi="宋体" w:cs="宋体" w:eastAsia="宋体" w:hint="default"/>
          <w:sz w:val="21"/>
          <w:szCs w:val="21"/>
        </w:rPr>
        <w:t> 销，计入当期损益；对使用寿命不确定的无形资产不摊销；公司于年度终了对无形资产的使用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寿命及摊销方法进行复核，使用寿命及摊销方法与以前估计不同的，则改变摊销期限和摊销方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法。本公司的无形资产摊销年限如下：</w:t>
      </w:r>
    </w:p>
    <w:p>
      <w:pPr>
        <w:spacing w:line="240" w:lineRule="auto" w:before="7"/>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974"/>
        <w:gridCol w:w="4680"/>
      </w:tblGrid>
      <w:tr>
        <w:trPr>
          <w:trHeight w:val="510"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20"/>
              <w:ind w:left="19"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2"/>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510"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219"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9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 </w:t>
            </w:r>
            <w:r>
              <w:rPr>
                <w:rFonts w:ascii="宋体" w:hAnsi="宋体" w:cs="宋体" w:eastAsia="宋体" w:hint="default"/>
                <w:sz w:val="21"/>
                <w:szCs w:val="21"/>
              </w:rPr>
              <w:t>年</w:t>
            </w:r>
          </w:p>
        </w:tc>
      </w:tr>
      <w:tr>
        <w:trPr>
          <w:trHeight w:val="510"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219"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9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r>
    </w:tbl>
    <w:p>
      <w:pPr>
        <w:spacing w:line="240" w:lineRule="auto" w:before="5"/>
        <w:rPr>
          <w:rFonts w:ascii="宋体" w:hAnsi="宋体" w:cs="宋体" w:eastAsia="宋体" w:hint="default"/>
          <w:sz w:val="22"/>
          <w:szCs w:val="22"/>
        </w:rPr>
      </w:pPr>
    </w:p>
    <w:p>
      <w:pPr>
        <w:spacing w:line="350" w:lineRule="auto" w:before="35"/>
        <w:ind w:left="144" w:right="21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）本公司内部研究开发项目的支出，区分研究阶段的支出与开发阶段的支出。研究是指</w:t>
      </w:r>
      <w:r>
        <w:rPr>
          <w:rFonts w:ascii="宋体" w:hAnsi="宋体" w:cs="宋体" w:eastAsia="宋体" w:hint="default"/>
          <w:sz w:val="21"/>
          <w:szCs w:val="21"/>
        </w:rPr>
        <w:t> 为获取并理解新的科学或技术知识而进行的独创性的有计划调查。开发是指在进行商业性生产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或使用前，将研究成果或其他知识应用于某项计划或设计，以生产出新的或具有实质性改进的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材料、装置、产品等。</w:t>
      </w:r>
    </w:p>
    <w:p>
      <w:pPr>
        <w:spacing w:line="357" w:lineRule="auto" w:before="156"/>
        <w:ind w:left="143" w:right="211" w:firstLine="420"/>
        <w:jc w:val="left"/>
        <w:rPr>
          <w:rFonts w:ascii="宋体" w:hAnsi="宋体" w:cs="宋体" w:eastAsia="宋体" w:hint="default"/>
          <w:sz w:val="21"/>
          <w:szCs w:val="21"/>
        </w:rPr>
      </w:pPr>
      <w:r>
        <w:rPr>
          <w:rFonts w:ascii="宋体" w:hAnsi="宋体" w:cs="宋体" w:eastAsia="宋体" w:hint="default"/>
          <w:sz w:val="21"/>
          <w:szCs w:val="21"/>
        </w:rPr>
        <w:t>本公司内部研究开发项目研究阶段的支出在发生时计入当期损益；开发阶段的支出，仅在 同时满足下列条件时，确认为无形资产：</w:t>
      </w:r>
    </w:p>
    <w:p>
      <w:pPr>
        <w:spacing w:line="436" w:lineRule="auto" w:before="150"/>
        <w:ind w:left="563" w:right="23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、完成该无形资产以使其能够使用或出售在技术上具有可行性； </w:t>
      </w:r>
      <w:r>
        <w:rPr>
          <w:rFonts w:ascii="Times New Roman" w:hAnsi="Times New Roman" w:cs="Times New Roman" w:eastAsia="Times New Roman" w:hint="default"/>
          <w:sz w:val="21"/>
          <w:szCs w:val="21"/>
        </w:rPr>
        <w:t>B</w:t>
      </w:r>
      <w:r>
        <w:rPr>
          <w:rFonts w:ascii="宋体" w:hAnsi="宋体" w:cs="宋体" w:eastAsia="宋体" w:hint="default"/>
          <w:sz w:val="21"/>
          <w:szCs w:val="21"/>
        </w:rPr>
        <w:t>、具有完成该无形资产并使用或出售的意图； </w:t>
      </w:r>
      <w:r>
        <w:rPr>
          <w:rFonts w:ascii="Times New Roman" w:hAnsi="Times New Roman" w:cs="Times New Roman" w:eastAsia="Times New Roman" w:hint="default"/>
          <w:sz w:val="21"/>
          <w:szCs w:val="21"/>
        </w:rPr>
        <w:t>C</w:t>
      </w:r>
      <w:r>
        <w:rPr>
          <w:rFonts w:ascii="宋体" w:hAnsi="宋体" w:cs="宋体" w:eastAsia="宋体" w:hint="default"/>
          <w:sz w:val="21"/>
          <w:szCs w:val="21"/>
        </w:rPr>
        <w:t>、该无形资产能够带来经济利益；</w:t>
      </w:r>
    </w:p>
    <w:p>
      <w:pPr>
        <w:spacing w:line="336" w:lineRule="auto" w:before="48"/>
        <w:ind w:left="144" w:right="11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、有足够的技术、财务资源和其他资源支持，以完成该无形资产的开发，并有能力使用 或出售该无形资产；</w:t>
      </w:r>
    </w:p>
    <w:p>
      <w:pPr>
        <w:spacing w:line="436" w:lineRule="auto" w:before="169"/>
        <w:ind w:left="564" w:right="32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、归属于该无形资产开发阶段的支出能够可靠地计量。 不能同时满足上述条件的，于发生时计入当期损益。</w:t>
      </w:r>
    </w:p>
    <w:p>
      <w:pPr>
        <w:spacing w:before="81"/>
        <w:ind w:left="564" w:right="1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）无形资产减值准备</w:t>
      </w:r>
    </w:p>
    <w:p>
      <w:pPr>
        <w:spacing w:line="240" w:lineRule="auto" w:before="3"/>
        <w:rPr>
          <w:rFonts w:ascii="宋体" w:hAnsi="宋体" w:cs="宋体" w:eastAsia="宋体" w:hint="default"/>
          <w:sz w:val="18"/>
          <w:szCs w:val="18"/>
        </w:rPr>
      </w:pPr>
    </w:p>
    <w:p>
      <w:pPr>
        <w:spacing w:line="348" w:lineRule="auto" w:before="0"/>
        <w:ind w:left="144" w:right="100" w:firstLine="420"/>
        <w:jc w:val="left"/>
        <w:rPr>
          <w:rFonts w:ascii="宋体" w:hAnsi="宋体" w:cs="宋体" w:eastAsia="宋体" w:hint="default"/>
          <w:sz w:val="21"/>
          <w:szCs w:val="21"/>
        </w:rPr>
      </w:pPr>
      <w:r>
        <w:rPr>
          <w:rFonts w:ascii="宋体" w:hAnsi="宋体" w:cs="宋体" w:eastAsia="宋体" w:hint="default"/>
          <w:spacing w:val="-5"/>
          <w:sz w:val="21"/>
          <w:szCs w:val="21"/>
        </w:rPr>
        <w:t>期末检查各项无形资产预计给本公司带来未来经济利益的能力，当存在以下情形之一时：</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w:t>
      </w:r>
      <w:r>
        <w:rPr>
          <w:rFonts w:ascii="宋体" w:hAnsi="宋体" w:cs="宋体" w:eastAsia="宋体" w:hint="default"/>
          <w:sz w:val="21"/>
          <w:szCs w:val="21"/>
        </w:rPr>
        <w:t> </w:t>
      </w:r>
      <w:r>
        <w:rPr>
          <w:rFonts w:ascii="宋体" w:hAnsi="宋体" w:cs="宋体" w:eastAsia="宋体" w:hint="default"/>
          <w:spacing w:val="-5"/>
          <w:sz w:val="21"/>
          <w:szCs w:val="21"/>
        </w:rPr>
        <w:t>某项无形资产已被其他新技术等所替代，使其为企业创造经济利益的能力受到重大不利影响；</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w:t>
      </w:r>
      <w:r>
        <w:rPr>
          <w:rFonts w:ascii="宋体" w:hAnsi="宋体" w:cs="宋体" w:eastAsia="宋体" w:hint="default"/>
          <w:spacing w:val="-92"/>
          <w:sz w:val="21"/>
          <w:szCs w:val="21"/>
        </w:rPr>
        <w:t> </w:t>
      </w:r>
      <w:r>
        <w:rPr>
          <w:rFonts w:ascii="宋体" w:hAnsi="宋体" w:cs="宋体" w:eastAsia="宋体" w:hint="default"/>
          <w:spacing w:val="-3"/>
          <w:sz w:val="21"/>
          <w:szCs w:val="21"/>
        </w:rPr>
        <w:t>某项无形资产的市价在当期大幅下跌，在剩余摊销年限内预期不会恢复；</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）某项无形资产已超</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过法律保护期限，但仍然具有部分使用价值等减值迹象的，则估计其可收回金额。可收回金额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的计量结果表明，无形资产的可收回金额低于其账面价值的，将无形资产的账面价值减记至可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收回金额，减记的金额确认为资产减值损失，计入当期损益，同时计提相应的无形资产减值准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备；</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）其他足以证明某项无形资产实质上已发生了减值准备情形的情况，按预计可收回金额低</w:t>
      </w:r>
    </w:p>
    <w:p>
      <w:pPr>
        <w:spacing w:after="0" w:line="348" w:lineRule="auto"/>
        <w:jc w:val="left"/>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line="355" w:lineRule="auto" w:before="35"/>
        <w:ind w:left="144" w:right="130" w:firstLine="0"/>
        <w:jc w:val="left"/>
        <w:rPr>
          <w:rFonts w:ascii="宋体" w:hAnsi="宋体" w:cs="宋体" w:eastAsia="宋体" w:hint="default"/>
          <w:sz w:val="21"/>
          <w:szCs w:val="21"/>
        </w:rPr>
      </w:pPr>
      <w:r>
        <w:rPr>
          <w:rFonts w:ascii="宋体" w:hAnsi="宋体" w:cs="宋体" w:eastAsia="宋体" w:hint="default"/>
          <w:sz w:val="21"/>
          <w:szCs w:val="21"/>
        </w:rPr>
        <w:t>于账面价值的差额计提无形资产减值准备。无形资产减值损失一经确认，在以后会计期间不再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转回。</w:t>
      </w:r>
    </w:p>
    <w:p>
      <w:pPr>
        <w:spacing w:before="153"/>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3"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）长期待摊费用指应由本期和以后各期负担的分摊期限在一年以上的各项费用。</w:t>
      </w:r>
    </w:p>
    <w:p>
      <w:pPr>
        <w:spacing w:line="240" w:lineRule="auto" w:before="3"/>
        <w:rPr>
          <w:rFonts w:ascii="宋体" w:hAnsi="宋体" w:cs="宋体" w:eastAsia="宋体" w:hint="default"/>
          <w:sz w:val="18"/>
          <w:szCs w:val="18"/>
        </w:rPr>
      </w:pPr>
    </w:p>
    <w:p>
      <w:pPr>
        <w:spacing w:line="343" w:lineRule="auto" w:before="0"/>
        <w:ind w:left="144" w:right="13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）长期待摊费用在取得时按照实际成本计价，开办费在发生时计入当期损益；经营性租</w:t>
      </w:r>
      <w:r>
        <w:rPr>
          <w:rFonts w:ascii="宋体" w:hAnsi="宋体" w:cs="宋体" w:eastAsia="宋体" w:hint="default"/>
          <w:sz w:val="21"/>
          <w:szCs w:val="21"/>
        </w:rPr>
        <w:t> 赁固定资产的装修费用在自生产经营之日起</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pacing w:val="-10"/>
          <w:sz w:val="21"/>
          <w:szCs w:val="21"/>
        </w:rPr>
        <w:t>年内平均摊销，，其他长期待摊费用按项目的受益</w:t>
      </w:r>
      <w:r>
        <w:rPr>
          <w:rFonts w:ascii="宋体" w:hAnsi="宋体" w:cs="宋体" w:eastAsia="宋体" w:hint="default"/>
          <w:sz w:val="21"/>
          <w:szCs w:val="21"/>
        </w:rPr>
        <w:t> 期平均摊销。对于在以后会计期间已无法带来预期经济利益的长期待摊费用，本公司对其尚未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摊销的摊余价值全部转入当期损益。</w:t>
      </w:r>
    </w:p>
    <w:p>
      <w:pPr>
        <w:spacing w:line="436" w:lineRule="auto" w:before="163"/>
        <w:ind w:left="564" w:right="621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、附回购条件的资产转让</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before="81"/>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348" w:lineRule="auto" w:before="0"/>
        <w:ind w:left="143" w:right="13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）与或有事项相关的义务同时符合以下条件，本公司将其确认为预计负债：该义务是本</w:t>
      </w:r>
      <w:r>
        <w:rPr>
          <w:rFonts w:ascii="宋体" w:hAnsi="宋体" w:cs="宋体" w:eastAsia="宋体" w:hint="default"/>
          <w:sz w:val="21"/>
          <w:szCs w:val="21"/>
        </w:rPr>
        <w:t> 公司承担的现时义务；该义务的履行很可能导致经济利益流出企业；该义务的金额能够可靠的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计量；</w:t>
      </w:r>
    </w:p>
    <w:p>
      <w:pPr>
        <w:spacing w:line="348" w:lineRule="auto" w:before="158"/>
        <w:ind w:left="143" w:right="13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）本公司清偿预计负债所需支出全部或部分预期由第三方补偿的，补偿金额只有在基本</w:t>
      </w:r>
      <w:r>
        <w:rPr>
          <w:rFonts w:ascii="宋体" w:hAnsi="宋体" w:cs="宋体" w:eastAsia="宋体" w:hint="default"/>
          <w:sz w:val="21"/>
          <w:szCs w:val="21"/>
        </w:rPr>
        <w:t> 确定能够收到时，才能作为资产单独确认，同时对该项单独核算的资产确认的补偿金额不超过</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对应的预计负债的账面金额。</w:t>
      </w:r>
    </w:p>
    <w:p>
      <w:pPr>
        <w:spacing w:line="436" w:lineRule="auto" w:before="158"/>
        <w:ind w:left="563" w:right="642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36" w:lineRule="auto" w:before="81"/>
        <w:ind w:left="563" w:right="684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before="81"/>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564"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 企业已将商品所有权上的主要风险和报酬转移给购货方；企业既没有保留通常与所有权相</w:t>
      </w:r>
    </w:p>
    <w:p>
      <w:pPr>
        <w:spacing w:line="236"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联系的继续管理权，也没有对已售出的商品实施有效控制；收入的金额能够可靠地计量；相关</w:t>
      </w:r>
    </w:p>
    <w:p>
      <w:pPr>
        <w:spacing w:line="460" w:lineRule="auto" w:before="134"/>
        <w:ind w:left="564" w:right="273" w:hanging="420"/>
        <w:jc w:val="left"/>
        <w:rPr>
          <w:rFonts w:ascii="宋体" w:hAnsi="宋体" w:cs="宋体" w:eastAsia="宋体" w:hint="default"/>
          <w:sz w:val="21"/>
          <w:szCs w:val="21"/>
        </w:rPr>
      </w:pPr>
      <w:r>
        <w:rPr>
          <w:rFonts w:ascii="宋体" w:hAnsi="宋体" w:cs="宋体" w:eastAsia="宋体" w:hint="default"/>
          <w:sz w:val="21"/>
          <w:szCs w:val="21"/>
        </w:rPr>
        <w:t>的经济利益很可能流入企业；相关的已发生或将发生的成本能够可靠地计量。 本公司商品销售主要有软件产品和系统集成收入，其收入的具体确认原则：</w:t>
      </w:r>
    </w:p>
    <w:p>
      <w:pPr>
        <w:spacing w:line="336" w:lineRule="auto" w:before="61"/>
        <w:ind w:left="144" w:right="14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、软件产品：是指本公司自主开发的，取得了软件产品登记认证，购买方个性化差异很 小，基本具有行业通用性，因而可以批量复制销售的应用软件。</w:t>
      </w:r>
    </w:p>
    <w:p>
      <w:pPr>
        <w:spacing w:after="0" w:line="336" w:lineRule="auto"/>
        <w:jc w:val="both"/>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line="355" w:lineRule="auto" w:before="35"/>
        <w:ind w:left="144" w:right="220" w:firstLine="420"/>
        <w:jc w:val="both"/>
        <w:rPr>
          <w:rFonts w:ascii="宋体" w:hAnsi="宋体" w:cs="宋体" w:eastAsia="宋体" w:hint="default"/>
          <w:sz w:val="21"/>
          <w:szCs w:val="21"/>
        </w:rPr>
      </w:pPr>
      <w:r>
        <w:rPr>
          <w:rFonts w:ascii="宋体" w:hAnsi="宋体" w:cs="宋体" w:eastAsia="宋体" w:hint="default"/>
          <w:sz w:val="21"/>
          <w:szCs w:val="21"/>
        </w:rPr>
        <w:t>对于软件产品本公司在按照合同约定内容向购买方移交，并完成安装、调试工作，取得了 购买方安装确认单据后确认收入。</w:t>
      </w:r>
    </w:p>
    <w:p>
      <w:pPr>
        <w:spacing w:line="336" w:lineRule="auto" w:before="153"/>
        <w:ind w:left="143" w:right="2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、系统集成：是指与本公司为客户提供的软件产品和软件开发相关的，应客户要求代客 户购买硬件设备或第三方软件，并提供相应的集成服务。</w:t>
      </w:r>
    </w:p>
    <w:p>
      <w:pPr>
        <w:spacing w:line="355" w:lineRule="auto" w:before="170"/>
        <w:ind w:left="143" w:right="220" w:firstLine="420"/>
        <w:jc w:val="both"/>
        <w:rPr>
          <w:rFonts w:ascii="宋体" w:hAnsi="宋体" w:cs="宋体" w:eastAsia="宋体" w:hint="default"/>
          <w:sz w:val="21"/>
          <w:szCs w:val="21"/>
        </w:rPr>
      </w:pPr>
      <w:r>
        <w:rPr>
          <w:rFonts w:ascii="宋体" w:hAnsi="宋体" w:cs="宋体" w:eastAsia="宋体" w:hint="default"/>
          <w:sz w:val="21"/>
          <w:szCs w:val="21"/>
        </w:rPr>
        <w:t>系统集成在按照合同约定内容向购买方移交了所提供的硬件设备或第三方软件的所有权， 并取得了购买方的验收单据后确认收入。</w:t>
      </w:r>
    </w:p>
    <w:p>
      <w:pPr>
        <w:spacing w:line="436" w:lineRule="auto" w:before="153"/>
        <w:ind w:left="564" w:right="252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）提供劳务收入 在同一会计年度内开始并完成的劳务，在完成劳务时确认收入；</w:t>
      </w:r>
    </w:p>
    <w:p>
      <w:pPr>
        <w:spacing w:line="357" w:lineRule="auto" w:before="81"/>
        <w:ind w:left="144" w:right="110" w:firstLine="420"/>
        <w:jc w:val="left"/>
        <w:rPr>
          <w:rFonts w:ascii="宋体" w:hAnsi="宋体" w:cs="宋体" w:eastAsia="宋体" w:hint="default"/>
          <w:sz w:val="21"/>
          <w:szCs w:val="21"/>
        </w:rPr>
      </w:pPr>
      <w:r>
        <w:rPr>
          <w:rFonts w:ascii="宋体" w:hAnsi="宋体" w:cs="宋体" w:eastAsia="宋体" w:hint="default"/>
          <w:sz w:val="21"/>
          <w:szCs w:val="21"/>
        </w:rPr>
        <w:t>如劳务的开始和完成超过一个完整会计年度，在提供劳务交易的结果能够可靠地估计（即 </w:t>
      </w:r>
      <w:r>
        <w:rPr>
          <w:rFonts w:ascii="宋体" w:hAnsi="宋体" w:cs="宋体" w:eastAsia="宋体" w:hint="default"/>
          <w:spacing w:val="-3"/>
          <w:sz w:val="21"/>
          <w:szCs w:val="21"/>
        </w:rPr>
        <w:t>劳务总收入及总成本能够可靠地计量，劳务的完成程度能够可靠地确定，相关的价款能够流入）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时，于资产负债表日按完工百分比法确认相关的劳务收入。</w:t>
      </w:r>
    </w:p>
    <w:p>
      <w:pPr>
        <w:spacing w:line="343" w:lineRule="auto" w:before="151"/>
        <w:ind w:left="144" w:right="218" w:firstLine="420"/>
        <w:jc w:val="both"/>
        <w:rPr>
          <w:rFonts w:ascii="宋体" w:hAnsi="宋体" w:cs="宋体" w:eastAsia="宋体" w:hint="default"/>
          <w:sz w:val="21"/>
          <w:szCs w:val="21"/>
        </w:rPr>
      </w:pPr>
      <w:r>
        <w:rPr>
          <w:rFonts w:ascii="宋体" w:hAnsi="宋体" w:cs="宋体" w:eastAsia="宋体" w:hint="default"/>
          <w:spacing w:val="-1"/>
          <w:sz w:val="21"/>
          <w:szCs w:val="21"/>
        </w:rPr>
        <w:t>在资产负债表日提供劳务交易结果不能够可靠估计的，分别下列情况处理：</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已经发生的</w:t>
      </w:r>
      <w:r>
        <w:rPr>
          <w:rFonts w:ascii="宋体" w:hAnsi="宋体" w:cs="宋体" w:eastAsia="宋体" w:hint="default"/>
          <w:sz w:val="21"/>
          <w:szCs w:val="21"/>
        </w:rPr>
        <w:t> 劳务成本预计能够得到补偿的，按照已经发生的劳务成本金额确认提供劳务收入，并按相同金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额结转劳务成本；（</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）已经发生的劳务成本预计不能够得到补偿的，应当将已经发生的劳务成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本计入当期损益，不确认提供劳务收入。</w:t>
      </w:r>
    </w:p>
    <w:p>
      <w:pPr>
        <w:spacing w:before="163"/>
        <w:ind w:left="564" w:right="110" w:firstLine="0"/>
        <w:jc w:val="left"/>
        <w:rPr>
          <w:rFonts w:ascii="宋体" w:hAnsi="宋体" w:cs="宋体" w:eastAsia="宋体" w:hint="default"/>
          <w:sz w:val="21"/>
          <w:szCs w:val="21"/>
        </w:rPr>
      </w:pPr>
      <w:r>
        <w:rPr>
          <w:rFonts w:ascii="宋体" w:hAnsi="宋体" w:cs="宋体" w:eastAsia="宋体" w:hint="default"/>
          <w:sz w:val="21"/>
          <w:szCs w:val="21"/>
        </w:rPr>
        <w:t>本公司提供劳务主要有软件开发和服务类收入，其收入的具体确认原则：</w:t>
      </w:r>
    </w:p>
    <w:p>
      <w:pPr>
        <w:spacing w:line="240" w:lineRule="auto" w:before="6"/>
        <w:rPr>
          <w:rFonts w:ascii="宋体" w:hAnsi="宋体" w:cs="宋体" w:eastAsia="宋体" w:hint="default"/>
          <w:sz w:val="19"/>
          <w:szCs w:val="19"/>
        </w:rPr>
      </w:pPr>
    </w:p>
    <w:p>
      <w:pPr>
        <w:spacing w:line="336" w:lineRule="auto" w:before="0"/>
        <w:ind w:left="144" w:right="22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、软件开发：是指本公司在自主研发的各种底层开发平台或技术的基础上，按照客户的 个性化需求进行定制性开发而形成的应用软件。</w:t>
      </w:r>
    </w:p>
    <w:p>
      <w:pPr>
        <w:spacing w:line="357" w:lineRule="auto" w:before="170"/>
        <w:ind w:left="144" w:right="218" w:firstLine="420"/>
        <w:jc w:val="both"/>
        <w:rPr>
          <w:rFonts w:ascii="宋体" w:hAnsi="宋体" w:cs="宋体" w:eastAsia="宋体" w:hint="default"/>
          <w:sz w:val="21"/>
          <w:szCs w:val="21"/>
        </w:rPr>
      </w:pPr>
      <w:r>
        <w:rPr>
          <w:rFonts w:ascii="宋体" w:hAnsi="宋体" w:cs="宋体" w:eastAsia="宋体" w:hint="default"/>
          <w:sz w:val="21"/>
          <w:szCs w:val="21"/>
        </w:rPr>
        <w:t>对于软件开发本公司在按照合同约定内容实施了开发工作，并为购买方完成了安装、调试 工作，且至少具备以下条件之一时确认收入：</w:t>
      </w:r>
      <w:r>
        <w:rPr>
          <w:rFonts w:ascii="新宋体" w:hAnsi="新宋体" w:cs="新宋体" w:eastAsia="新宋体" w:hint="default"/>
          <w:sz w:val="21"/>
          <w:szCs w:val="21"/>
        </w:rPr>
        <w:t>①</w:t>
      </w:r>
      <w:r>
        <w:rPr>
          <w:rFonts w:ascii="宋体" w:hAnsi="宋体" w:cs="宋体" w:eastAsia="宋体" w:hint="default"/>
          <w:sz w:val="21"/>
          <w:szCs w:val="21"/>
        </w:rPr>
        <w:t>已取得购买方的验收文件；</w:t>
      </w:r>
      <w:r>
        <w:rPr>
          <w:rFonts w:ascii="新宋体" w:hAnsi="新宋体" w:cs="新宋体" w:eastAsia="新宋体" w:hint="default"/>
          <w:sz w:val="21"/>
          <w:szCs w:val="21"/>
        </w:rPr>
        <w:t>②</w:t>
      </w:r>
      <w:r>
        <w:rPr>
          <w:rFonts w:ascii="宋体" w:hAnsi="宋体" w:cs="宋体" w:eastAsia="宋体" w:hint="default"/>
          <w:sz w:val="21"/>
          <w:szCs w:val="21"/>
        </w:rPr>
        <w:t>取得购买方对软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件已正式投入使用的确认文件；</w:t>
      </w:r>
      <w:r>
        <w:rPr>
          <w:rFonts w:ascii="新宋体" w:hAnsi="新宋体" w:cs="新宋体" w:eastAsia="新宋体" w:hint="default"/>
          <w:sz w:val="21"/>
          <w:szCs w:val="21"/>
        </w:rPr>
        <w:t>③</w:t>
      </w:r>
      <w:r>
        <w:rPr>
          <w:rFonts w:ascii="宋体" w:hAnsi="宋体" w:cs="宋体" w:eastAsia="宋体" w:hint="default"/>
          <w:sz w:val="21"/>
          <w:szCs w:val="21"/>
        </w:rPr>
        <w:t>已符合合同约定的验收条件。</w:t>
      </w:r>
    </w:p>
    <w:p>
      <w:pPr>
        <w:spacing w:line="336" w:lineRule="auto" w:before="150"/>
        <w:ind w:left="144" w:right="2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、技术服务：是指本公司对已销售的软件产品、软件开发、系统集成等，为客户提供的 后续技术支持或维护服务。</w:t>
      </w:r>
    </w:p>
    <w:p>
      <w:pPr>
        <w:spacing w:line="357" w:lineRule="auto" w:before="170"/>
        <w:ind w:left="144" w:right="218" w:firstLine="420"/>
        <w:jc w:val="both"/>
        <w:rPr>
          <w:rFonts w:ascii="宋体" w:hAnsi="宋体" w:cs="宋体" w:eastAsia="宋体" w:hint="default"/>
          <w:sz w:val="21"/>
          <w:szCs w:val="21"/>
        </w:rPr>
      </w:pPr>
      <w:r>
        <w:rPr>
          <w:rFonts w:ascii="宋体" w:hAnsi="宋体" w:cs="宋体" w:eastAsia="宋体" w:hint="default"/>
          <w:sz w:val="21"/>
          <w:szCs w:val="21"/>
        </w:rPr>
        <w:t>对于按期提供劳务并计价收费的技术服务，本公司在按照合同约定内容提供了劳务后，分 期确认收入；对于按次提供劳务并计价收费的技术服务，本公司在劳务已经提供，并取得购买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方的服务确认单据后确认收入。</w:t>
      </w:r>
    </w:p>
    <w:p>
      <w:pPr>
        <w:spacing w:line="436" w:lineRule="auto" w:before="150"/>
        <w:ind w:left="564" w:right="21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）让渡资产使用权收入 让渡资产使用权收入包括利息收入和使用费收入等；利息收入金额，按照他人使用本公司</w:t>
      </w:r>
    </w:p>
    <w:p>
      <w:pPr>
        <w:spacing w:line="236" w:lineRule="exact" w:before="0"/>
        <w:ind w:left="144" w:right="110" w:firstLine="0"/>
        <w:jc w:val="left"/>
        <w:rPr>
          <w:rFonts w:ascii="宋体" w:hAnsi="宋体" w:cs="宋体" w:eastAsia="宋体" w:hint="default"/>
          <w:sz w:val="21"/>
          <w:szCs w:val="21"/>
        </w:rPr>
      </w:pPr>
      <w:r>
        <w:rPr>
          <w:rFonts w:ascii="宋体" w:hAnsi="宋体" w:cs="宋体" w:eastAsia="宋体" w:hint="default"/>
          <w:sz w:val="21"/>
          <w:szCs w:val="21"/>
        </w:rPr>
        <w:t>货币资金的时间和实际利率计算确定；使用费收入金额，按照有关合同或协议约定的收费时间</w:t>
      </w:r>
    </w:p>
    <w:p>
      <w:pPr>
        <w:spacing w:before="133"/>
        <w:ind w:left="144" w:right="110" w:firstLine="0"/>
        <w:jc w:val="left"/>
        <w:rPr>
          <w:rFonts w:ascii="宋体" w:hAnsi="宋体" w:cs="宋体" w:eastAsia="宋体" w:hint="default"/>
          <w:sz w:val="21"/>
          <w:szCs w:val="21"/>
        </w:rPr>
      </w:pPr>
      <w:r>
        <w:rPr>
          <w:rFonts w:ascii="宋体" w:hAnsi="宋体" w:cs="宋体" w:eastAsia="宋体" w:hint="default"/>
          <w:sz w:val="21"/>
          <w:szCs w:val="21"/>
        </w:rPr>
        <w:t>和方法计算确定。</w:t>
      </w:r>
    </w:p>
    <w:p>
      <w:pPr>
        <w:spacing w:after="0"/>
        <w:jc w:val="left"/>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before="35"/>
        <w:ind w:left="564" w:right="273" w:firstLine="0"/>
        <w:jc w:val="left"/>
        <w:rPr>
          <w:rFonts w:ascii="宋体" w:hAnsi="宋体" w:cs="宋体" w:eastAsia="宋体" w:hint="default"/>
          <w:sz w:val="21"/>
          <w:szCs w:val="21"/>
        </w:rPr>
      </w:pPr>
      <w:r>
        <w:rPr>
          <w:rFonts w:ascii="宋体" w:hAnsi="宋体" w:cs="宋体" w:eastAsia="宋体" w:hint="default"/>
          <w:sz w:val="21"/>
          <w:szCs w:val="21"/>
        </w:rPr>
        <w:t>本公司让渡资产使用权主要有为房屋租赁收入，其收入的具体确认原则：</w:t>
      </w:r>
    </w:p>
    <w:p>
      <w:pPr>
        <w:spacing w:line="240" w:lineRule="auto" w:before="5"/>
        <w:rPr>
          <w:rFonts w:ascii="宋体" w:hAnsi="宋体" w:cs="宋体" w:eastAsia="宋体" w:hint="default"/>
          <w:sz w:val="19"/>
          <w:szCs w:val="19"/>
        </w:rPr>
      </w:pPr>
    </w:p>
    <w:p>
      <w:pPr>
        <w:spacing w:line="338" w:lineRule="auto" w:before="0"/>
        <w:ind w:left="143" w:right="14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、房屋租赁按照《企业会计准则第</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租赁》第</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条的规定确认收入，即对于经 营租赁的租金，按照租赁期内合同总金额在租赁期内各个期间按照直线法确认为当期损益。</w:t>
      </w:r>
    </w:p>
    <w:p>
      <w:pPr>
        <w:spacing w:before="167"/>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357" w:lineRule="auto" w:before="0"/>
        <w:ind w:left="143" w:right="138" w:firstLine="420"/>
        <w:jc w:val="both"/>
        <w:rPr>
          <w:rFonts w:ascii="宋体" w:hAnsi="宋体" w:cs="宋体" w:eastAsia="宋体" w:hint="default"/>
          <w:sz w:val="21"/>
          <w:szCs w:val="21"/>
        </w:rPr>
      </w:pPr>
      <w:r>
        <w:rPr>
          <w:rFonts w:ascii="宋体" w:hAnsi="宋体" w:cs="宋体" w:eastAsia="宋体" w:hint="default"/>
          <w:sz w:val="21"/>
          <w:szCs w:val="21"/>
        </w:rPr>
        <w:t>包括财政拨款、财政贴息、税收返还和无偿划拨非货币性资产。本公司收到的与资产相关 的政府补助，确认为递延收益，自相关资产达到预定可使用状态时起，在该资产使用寿命内平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均计入各期损益。相关资产在使用寿命结束前被出售、转让、报废或发生毁损的，将递延收益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余额一次性转入资产处置当期的损益。收到的与收益相关的政府补助，用于补偿以后期间的相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关费用或损失的，确认为递延收益，在确认相关费用的期间计入当期损益；用于补偿已经发生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的相关费用或损失的，取得时直接计入当期损益。</w:t>
      </w:r>
    </w:p>
    <w:p>
      <w:pPr>
        <w:spacing w:before="150"/>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563"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w:t>
      </w:r>
    </w:p>
    <w:p>
      <w:pPr>
        <w:spacing w:line="240" w:lineRule="auto" w:before="2"/>
        <w:rPr>
          <w:rFonts w:ascii="宋体" w:hAnsi="宋体" w:cs="宋体" w:eastAsia="宋体" w:hint="default"/>
          <w:sz w:val="18"/>
          <w:szCs w:val="18"/>
        </w:rPr>
      </w:pPr>
    </w:p>
    <w:p>
      <w:pPr>
        <w:spacing w:line="348" w:lineRule="auto" w:before="0"/>
        <w:ind w:left="143" w:right="13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、本公司以很可能取得用来抵扣可抵扣暂时性差异的应纳税所得额为限，确认由可抵扣 暂时性差异产生的递延所得税资产。但是同时具有下列特征的交易中因资产或负债的初始确认</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所产生的递延所得税资产不予确认：</w:t>
      </w:r>
    </w:p>
    <w:p>
      <w:pPr>
        <w:spacing w:before="158"/>
        <w:ind w:left="563"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p>
    <w:p>
      <w:pPr>
        <w:spacing w:line="530" w:lineRule="atLeast" w:before="0"/>
        <w:ind w:left="563" w:right="131"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b</w:t>
      </w:r>
      <w:r>
        <w:rPr>
          <w:rFonts w:ascii="宋体" w:hAnsi="宋体" w:cs="宋体" w:eastAsia="宋体" w:hint="default"/>
          <w:spacing w:val="-4"/>
          <w:sz w:val="21"/>
          <w:szCs w:val="21"/>
        </w:rPr>
        <w:t>、交易发生时既不影响会计利润也不影响应纳税所得额（或可抵扣亏损）。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、本公司对与子公司、联营公司及合营企业投资相关的可抵扣暂时性差异，同时满足下</w:t>
      </w:r>
    </w:p>
    <w:p>
      <w:pPr>
        <w:spacing w:line="448" w:lineRule="auto" w:before="118"/>
        <w:ind w:left="563" w:right="2966" w:hanging="420"/>
        <w:jc w:val="left"/>
        <w:rPr>
          <w:rFonts w:ascii="宋体" w:hAnsi="宋体" w:cs="宋体" w:eastAsia="宋体" w:hint="default"/>
          <w:sz w:val="21"/>
          <w:szCs w:val="21"/>
        </w:rPr>
      </w:pPr>
      <w:r>
        <w:rPr>
          <w:rFonts w:ascii="宋体" w:hAnsi="宋体" w:cs="宋体" w:eastAsia="宋体" w:hint="default"/>
          <w:sz w:val="21"/>
          <w:szCs w:val="21"/>
        </w:rPr>
        <w:t>列条件的，确认相应的递延所得税资产： </w:t>
      </w:r>
      <w:r>
        <w:rPr>
          <w:rFonts w:ascii="Times New Roman" w:hAnsi="Times New Roman" w:cs="Times New Roman" w:eastAsia="Times New Roman" w:hint="default"/>
          <w:sz w:val="21"/>
          <w:szCs w:val="21"/>
        </w:rPr>
        <w:t>a</w:t>
      </w:r>
      <w:r>
        <w:rPr>
          <w:rFonts w:ascii="宋体" w:hAnsi="宋体" w:cs="宋体" w:eastAsia="宋体" w:hint="default"/>
          <w:sz w:val="21"/>
          <w:szCs w:val="21"/>
        </w:rPr>
        <w:t>、暂时性差异在可预见的未来很可能转回； </w:t>
      </w:r>
      <w:r>
        <w:rPr>
          <w:rFonts w:ascii="Times New Roman" w:hAnsi="Times New Roman" w:cs="Times New Roman" w:eastAsia="Times New Roman" w:hint="default"/>
          <w:sz w:val="21"/>
          <w:szCs w:val="21"/>
        </w:rPr>
        <w:t>b</w:t>
      </w:r>
      <w:r>
        <w:rPr>
          <w:rFonts w:ascii="宋体" w:hAnsi="宋体" w:cs="宋体" w:eastAsia="宋体" w:hint="default"/>
          <w:sz w:val="21"/>
          <w:szCs w:val="21"/>
        </w:rPr>
        <w:t>、未来很可能获得用来抵扣暂时性差异的应纳税所得额。</w:t>
      </w:r>
    </w:p>
    <w:p>
      <w:pPr>
        <w:spacing w:line="336" w:lineRule="auto" w:before="35"/>
        <w:ind w:left="144" w:right="13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、本公司对于能够结转以后年度的可抵扣亏损和税款抵减，以很可能获得用来抵扣可抵 扣亏损和税款抵减的未来应纳税所得额为限，确认相应的递延所得税资产。</w:t>
      </w:r>
    </w:p>
    <w:p>
      <w:pPr>
        <w:spacing w:line="436" w:lineRule="auto" w:before="170"/>
        <w:ind w:left="564"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 除下列情况产生的递延所得税负债以外，本公司确认所有应纳税暂时性差异产生的递延所</w:t>
      </w:r>
    </w:p>
    <w:p>
      <w:pPr>
        <w:spacing w:line="237" w:lineRule="exact"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得税负债：</w:t>
      </w:r>
    </w:p>
    <w:p>
      <w:pPr>
        <w:spacing w:line="240" w:lineRule="auto" w:before="5"/>
        <w:rPr>
          <w:rFonts w:ascii="宋体" w:hAnsi="宋体" w:cs="宋体" w:eastAsia="宋体" w:hint="default"/>
          <w:sz w:val="19"/>
          <w:szCs w:val="19"/>
        </w:rPr>
      </w:pPr>
    </w:p>
    <w:p>
      <w:pPr>
        <w:spacing w:line="436" w:lineRule="auto" w:before="0"/>
        <w:ind w:left="564" w:right="20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、商誉的初始确认； </w:t>
      </w:r>
      <w:r>
        <w:rPr>
          <w:rFonts w:ascii="Times New Roman" w:hAnsi="Times New Roman" w:cs="Times New Roman" w:eastAsia="Times New Roman" w:hint="default"/>
          <w:sz w:val="21"/>
          <w:szCs w:val="21"/>
        </w:rPr>
        <w:t>B</w:t>
      </w:r>
      <w:r>
        <w:rPr>
          <w:rFonts w:ascii="宋体" w:hAnsi="宋体" w:cs="宋体" w:eastAsia="宋体" w:hint="default"/>
          <w:sz w:val="21"/>
          <w:szCs w:val="21"/>
        </w:rPr>
        <w:t>、同时满足具有下列特征的交易中产生的资产或负债的初始确认： </w:t>
      </w: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p>
    <w:p>
      <w:pPr>
        <w:spacing w:after="0" w:line="436" w:lineRule="auto"/>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before="35"/>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、交易发</w:t>
      </w:r>
      <w:r>
        <w:rPr>
          <w:rFonts w:ascii="宋体" w:hAnsi="宋体" w:cs="宋体" w:eastAsia="宋体" w:hint="default"/>
          <w:spacing w:val="-2"/>
          <w:sz w:val="21"/>
          <w:szCs w:val="21"/>
        </w:rPr>
        <w:t>生</w:t>
      </w:r>
      <w:r>
        <w:rPr>
          <w:rFonts w:ascii="宋体" w:hAnsi="宋体" w:cs="宋体" w:eastAsia="宋体" w:hint="default"/>
          <w:sz w:val="21"/>
          <w:szCs w:val="21"/>
        </w:rPr>
        <w:t>时既不影响会计利润也不影响应纳税所得额（或可抵扣亏损</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2"/>
        <w:rPr>
          <w:rFonts w:ascii="宋体" w:hAnsi="宋体" w:cs="宋体" w:eastAsia="宋体" w:hint="default"/>
          <w:sz w:val="18"/>
          <w:szCs w:val="18"/>
        </w:rPr>
      </w:pPr>
    </w:p>
    <w:p>
      <w:pPr>
        <w:spacing w:line="338" w:lineRule="auto" w:before="0"/>
        <w:ind w:left="243"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、本公司对与子公司、联营公司及合营企业投资产生相关的应纳税暂时性差异，同时满 足下列条件的：</w:t>
      </w:r>
    </w:p>
    <w:p>
      <w:pPr>
        <w:spacing w:line="436" w:lineRule="auto" w:before="167"/>
        <w:ind w:left="663" w:right="388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、投资企业能够控制暂时性差异的转回的时间； </w:t>
      </w:r>
      <w:r>
        <w:rPr>
          <w:rFonts w:ascii="Times New Roman" w:hAnsi="Times New Roman" w:cs="Times New Roman" w:eastAsia="Times New Roman" w:hint="default"/>
          <w:sz w:val="21"/>
          <w:szCs w:val="21"/>
        </w:rPr>
        <w:t>b</w:t>
      </w:r>
      <w:r>
        <w:rPr>
          <w:rFonts w:ascii="宋体" w:hAnsi="宋体" w:cs="宋体" w:eastAsia="宋体" w:hint="default"/>
          <w:sz w:val="21"/>
          <w:szCs w:val="21"/>
        </w:rPr>
        <w:t>、暂时性差异在可预见的未来很可能不会转回。</w:t>
      </w:r>
    </w:p>
    <w:p>
      <w:pPr>
        <w:spacing w:line="436" w:lineRule="auto" w:before="46"/>
        <w:ind w:left="664" w:right="650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36" w:lineRule="auto" w:before="81"/>
        <w:ind w:left="664" w:right="71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436" w:lineRule="auto" w:before="82"/>
        <w:ind w:left="664" w:right="692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436" w:lineRule="auto" w:before="82"/>
        <w:ind w:left="663" w:right="755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before="82"/>
        <w:ind w:left="24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）会计政策变更：无。</w:t>
      </w:r>
    </w:p>
    <w:p>
      <w:pPr>
        <w:spacing w:line="240" w:lineRule="auto" w:before="2"/>
        <w:rPr>
          <w:rFonts w:ascii="宋体" w:hAnsi="宋体" w:cs="宋体" w:eastAsia="宋体" w:hint="default"/>
          <w:sz w:val="18"/>
          <w:szCs w:val="18"/>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）会计估计变更：无。</w:t>
      </w:r>
    </w:p>
    <w:p>
      <w:pPr>
        <w:spacing w:line="240" w:lineRule="auto" w:before="3"/>
        <w:rPr>
          <w:rFonts w:ascii="宋体" w:hAnsi="宋体" w:cs="宋体" w:eastAsia="宋体" w:hint="default"/>
          <w:sz w:val="18"/>
          <w:szCs w:val="18"/>
        </w:rPr>
      </w:pPr>
    </w:p>
    <w:p>
      <w:pPr>
        <w:spacing w:before="0"/>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）追溯重述法：无。</w:t>
      </w:r>
    </w:p>
    <w:p>
      <w:pPr>
        <w:spacing w:line="240" w:lineRule="auto" w:before="3"/>
        <w:rPr>
          <w:rFonts w:ascii="宋体" w:hAnsi="宋体" w:cs="宋体" w:eastAsia="宋体" w:hint="default"/>
          <w:sz w:val="18"/>
          <w:szCs w:val="18"/>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）未来适用法：无。</w:t>
      </w:r>
    </w:p>
    <w:p>
      <w:pPr>
        <w:spacing w:line="240" w:lineRule="auto" w:before="2"/>
        <w:rPr>
          <w:rFonts w:ascii="宋体" w:hAnsi="宋体" w:cs="宋体" w:eastAsia="宋体" w:hint="default"/>
          <w:sz w:val="18"/>
          <w:szCs w:val="18"/>
        </w:rPr>
      </w:pPr>
    </w:p>
    <w:p>
      <w:pPr>
        <w:spacing w:line="436" w:lineRule="auto" w:before="0"/>
        <w:ind w:left="664" w:right="376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5"/>
        <w:spacing w:line="240" w:lineRule="auto"/>
        <w:ind w:left="244" w:right="0"/>
        <w:jc w:val="left"/>
        <w:rPr>
          <w:b w:val="0"/>
          <w:bCs w:val="0"/>
        </w:rPr>
      </w:pPr>
      <w:r>
        <w:rPr/>
        <w:t>三、</w:t>
      </w:r>
      <w:r>
        <w:rPr>
          <w:spacing w:val="-38"/>
        </w:rPr>
        <w:t> </w:t>
      </w:r>
      <w:r>
        <w:rPr/>
        <w:t>税项</w:t>
      </w:r>
      <w:r>
        <w:rPr>
          <w:b w:val="0"/>
          <w:bCs w:val="0"/>
        </w:rPr>
      </w:r>
    </w:p>
    <w:p>
      <w:pPr>
        <w:spacing w:line="240" w:lineRule="auto" w:before="9"/>
        <w:rPr>
          <w:rFonts w:ascii="宋体" w:hAnsi="宋体" w:cs="宋体" w:eastAsia="宋体" w:hint="default"/>
          <w:b/>
          <w:bCs/>
          <w:sz w:val="20"/>
          <w:szCs w:val="20"/>
        </w:rPr>
      </w:pPr>
    </w:p>
    <w:p>
      <w:pPr>
        <w:spacing w:before="0"/>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0"/>
        <w:rPr>
          <w:rFonts w:ascii="宋体" w:hAnsi="宋体" w:cs="宋体" w:eastAsia="宋体" w:hint="default"/>
          <w:b/>
          <w:bCs/>
          <w:sz w:val="20"/>
          <w:szCs w:val="20"/>
        </w:rPr>
      </w:pPr>
    </w:p>
    <w:tbl>
      <w:tblPr>
        <w:tblW w:w="0" w:type="auto"/>
        <w:jc w:val="left"/>
        <w:tblInd w:w="116" w:type="dxa"/>
        <w:tblLayout w:type="fixed"/>
        <w:tblCellMar>
          <w:top w:w="0" w:type="dxa"/>
          <w:left w:w="0" w:type="dxa"/>
          <w:bottom w:w="0" w:type="dxa"/>
          <w:right w:w="0" w:type="dxa"/>
        </w:tblCellMar>
        <w:tblLook w:val="01E0"/>
      </w:tblPr>
      <w:tblGrid>
        <w:gridCol w:w="2958"/>
        <w:gridCol w:w="2946"/>
        <w:gridCol w:w="2945"/>
      </w:tblGrid>
      <w:tr>
        <w:trPr>
          <w:trHeight w:val="42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27"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产品销售收入</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17%</w:t>
            </w:r>
          </w:p>
        </w:tc>
      </w:tr>
      <w:tr>
        <w:trPr>
          <w:trHeight w:val="42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服务收入、租赁收入</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5%</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400" w:right="1420"/>
        </w:sectPr>
      </w:pPr>
    </w:p>
    <w:p>
      <w:pPr>
        <w:spacing w:line="240" w:lineRule="auto" w:before="6"/>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2958"/>
        <w:gridCol w:w="2946"/>
        <w:gridCol w:w="2945"/>
      </w:tblGrid>
      <w:tr>
        <w:trPr>
          <w:trHeight w:val="42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应纳增值税额、应纳营业税额</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1%</w:t>
            </w:r>
          </w:p>
        </w:tc>
      </w:tr>
      <w:tr>
        <w:trPr>
          <w:trHeight w:val="427"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应纳增值税额、应纳营业税额</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3%</w:t>
            </w:r>
          </w:p>
        </w:tc>
      </w:tr>
      <w:tr>
        <w:trPr>
          <w:trHeight w:val="42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Times New Roman" w:hAnsi="Times New Roman" w:cs="Times New Roman" w:eastAsia="Times New Roman" w:hint="default"/>
                <w:sz w:val="21"/>
                <w:szCs w:val="21"/>
              </w:rPr>
            </w:pPr>
            <w:r>
              <w:rPr>
                <w:rFonts w:ascii="Times New Roman"/>
                <w:sz w:val="21"/>
              </w:rPr>
              <w:t>25%</w:t>
            </w:r>
          </w:p>
        </w:tc>
      </w:tr>
    </w:tbl>
    <w:p>
      <w:pPr>
        <w:spacing w:line="240" w:lineRule="auto" w:before="1"/>
        <w:rPr>
          <w:rFonts w:ascii="宋体" w:hAnsi="宋体" w:cs="宋体" w:eastAsia="宋体" w:hint="default"/>
          <w:b/>
          <w:bCs/>
          <w:sz w:val="13"/>
          <w:szCs w:val="13"/>
        </w:rPr>
      </w:pPr>
    </w:p>
    <w:p>
      <w:pPr>
        <w:spacing w:line="357" w:lineRule="auto" w:before="35"/>
        <w:ind w:left="244" w:right="220" w:firstLine="420"/>
        <w:jc w:val="both"/>
        <w:rPr>
          <w:rFonts w:ascii="宋体" w:hAnsi="宋体" w:cs="宋体" w:eastAsia="宋体" w:hint="default"/>
          <w:sz w:val="21"/>
          <w:szCs w:val="21"/>
        </w:rPr>
      </w:pPr>
      <w:r>
        <w:rPr>
          <w:rFonts w:ascii="宋体" w:hAnsi="宋体" w:cs="宋体" w:eastAsia="宋体" w:hint="default"/>
          <w:sz w:val="21"/>
          <w:szCs w:val="21"/>
        </w:rPr>
        <w:t>各分公司、分厂异地独立缴纳企业所得税的，应说明各分公司、分厂执行的企业所得税税 率：</w:t>
      </w:r>
    </w:p>
    <w:p>
      <w:pPr>
        <w:spacing w:before="150"/>
        <w:ind w:left="664"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5"/>
        <w:rPr>
          <w:rFonts w:ascii="宋体" w:hAnsi="宋体" w:cs="宋体" w:eastAsia="宋体" w:hint="default"/>
          <w:sz w:val="19"/>
          <w:szCs w:val="19"/>
        </w:rPr>
      </w:pPr>
    </w:p>
    <w:p>
      <w:pPr>
        <w:spacing w:before="0"/>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460" w:lineRule="auto" w:before="0"/>
        <w:ind w:left="664" w:right="2296" w:firstLine="0"/>
        <w:jc w:val="left"/>
        <w:rPr>
          <w:rFonts w:ascii="宋体" w:hAnsi="宋体" w:cs="宋体" w:eastAsia="宋体" w:hint="default"/>
          <w:sz w:val="21"/>
          <w:szCs w:val="21"/>
        </w:rPr>
      </w:pPr>
      <w:r>
        <w:rPr>
          <w:rFonts w:ascii="宋体" w:hAnsi="宋体" w:cs="宋体" w:eastAsia="宋体" w:hint="default"/>
          <w:sz w:val="21"/>
          <w:szCs w:val="21"/>
        </w:rPr>
        <w:t>（一）增值税及享受的税收优惠政策 本公司及控股子公司为增值税一般纳税人，适用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的基本税率。</w:t>
      </w:r>
    </w:p>
    <w:p>
      <w:pPr>
        <w:spacing w:line="340" w:lineRule="auto" w:before="24"/>
        <w:ind w:left="243" w:right="218" w:firstLine="420"/>
        <w:jc w:val="both"/>
        <w:rPr>
          <w:rFonts w:ascii="宋体" w:hAnsi="宋体" w:cs="宋体" w:eastAsia="宋体" w:hint="default"/>
          <w:sz w:val="21"/>
          <w:szCs w:val="21"/>
        </w:rPr>
      </w:pPr>
      <w:r>
        <w:rPr>
          <w:rFonts w:ascii="宋体" w:hAnsi="宋体" w:cs="宋体" w:eastAsia="宋体" w:hint="default"/>
          <w:sz w:val="21"/>
          <w:szCs w:val="21"/>
        </w:rPr>
        <w:t>根据《财政部、国家税务总局、海关总署关于鼓励软件产业和集成电路产业发展有关税收 政策问题的通知》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财税</w:t>
      </w:r>
      <w:r>
        <w:rPr>
          <w:rFonts w:ascii="Times New Roman" w:hAnsi="Times New Roman" w:cs="Times New Roman" w:eastAsia="Times New Roman" w:hint="default"/>
          <w:sz w:val="21"/>
          <w:szCs w:val="21"/>
        </w:rPr>
        <w:t>[2000]25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，自</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年底以前对增值税一般纳 </w:t>
      </w:r>
      <w:r>
        <w:rPr>
          <w:rFonts w:ascii="宋体" w:hAnsi="宋体" w:cs="宋体" w:eastAsia="宋体" w:hint="default"/>
          <w:spacing w:val="-2"/>
          <w:sz w:val="21"/>
          <w:szCs w:val="21"/>
        </w:rPr>
        <w:t>税人销售其自行开发生产的软件产品，按</w:t>
      </w:r>
      <w:r>
        <w:rPr>
          <w:rFonts w:ascii="宋体" w:hAnsi="宋体" w:cs="宋体" w:eastAsia="宋体" w:hint="default"/>
          <w:spacing w:val="-25"/>
          <w:sz w:val="21"/>
          <w:szCs w:val="21"/>
        </w:rPr>
        <w:t> </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％的法定税率征收增值税后，对其增值税实际税负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超过</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％的部分实行即征即退政策。所退税款由企业用于研究开发软件产品和扩大再生产，不 作为企业所得税应税收入，不予征收企业所得税。</w:t>
      </w:r>
    </w:p>
    <w:p>
      <w:pPr>
        <w:spacing w:line="460" w:lineRule="auto" w:before="166"/>
        <w:ind w:left="664" w:right="4078" w:firstLine="0"/>
        <w:jc w:val="left"/>
        <w:rPr>
          <w:rFonts w:ascii="宋体" w:hAnsi="宋体" w:cs="宋体" w:eastAsia="宋体" w:hint="default"/>
          <w:sz w:val="21"/>
          <w:szCs w:val="21"/>
        </w:rPr>
      </w:pPr>
      <w:r>
        <w:rPr>
          <w:rFonts w:ascii="宋体" w:hAnsi="宋体" w:cs="宋体" w:eastAsia="宋体" w:hint="default"/>
          <w:sz w:val="21"/>
          <w:szCs w:val="21"/>
        </w:rPr>
        <w:t>（二）营业税及享受的税收优惠政策 本公司及控股子公司按应税劳务收入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计征。</w:t>
      </w:r>
    </w:p>
    <w:p>
      <w:pPr>
        <w:spacing w:line="343" w:lineRule="auto" w:before="24"/>
        <w:ind w:left="243" w:right="217" w:firstLine="420"/>
        <w:jc w:val="both"/>
        <w:rPr>
          <w:rFonts w:ascii="宋体" w:hAnsi="宋体" w:cs="宋体" w:eastAsia="宋体" w:hint="default"/>
          <w:sz w:val="21"/>
          <w:szCs w:val="21"/>
        </w:rPr>
      </w:pPr>
      <w:r>
        <w:rPr>
          <w:rFonts w:ascii="宋体" w:hAnsi="宋体" w:cs="宋体" w:eastAsia="宋体" w:hint="default"/>
          <w:spacing w:val="2"/>
          <w:sz w:val="21"/>
          <w:szCs w:val="21"/>
        </w:rPr>
        <w:t>根据《财政部、国家税务总局关于贯彻落实</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中共中央国务院关于加强技术创新，发展高 </w:t>
      </w:r>
      <w:r>
        <w:rPr>
          <w:rFonts w:ascii="宋体" w:hAnsi="宋体" w:cs="宋体" w:eastAsia="宋体" w:hint="default"/>
          <w:sz w:val="21"/>
          <w:szCs w:val="21"/>
        </w:rPr>
        <w:t>科技，实现产业化的决定</w:t>
      </w:r>
      <w:r>
        <w:rPr>
          <w:rFonts w:ascii="Times New Roman" w:hAnsi="Times New Roman" w:cs="Times New Roman" w:eastAsia="Times New Roman" w:hint="default"/>
          <w:sz w:val="21"/>
          <w:szCs w:val="21"/>
        </w:rPr>
        <w:t>&gt;</w:t>
      </w:r>
      <w:r>
        <w:rPr>
          <w:rFonts w:ascii="宋体" w:hAnsi="宋体" w:cs="宋体" w:eastAsia="宋体" w:hint="default"/>
          <w:sz w:val="21"/>
          <w:szCs w:val="21"/>
        </w:rPr>
        <w:t>有关税收问题的通知》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财税字</w:t>
      </w:r>
      <w:r>
        <w:rPr>
          <w:rFonts w:ascii="Times New Roman" w:hAnsi="Times New Roman" w:cs="Times New Roman" w:eastAsia="Times New Roman" w:hint="default"/>
          <w:sz w:val="21"/>
          <w:szCs w:val="21"/>
        </w:rPr>
        <w:t>[1999]</w:t>
      </w:r>
      <w:r>
        <w:rPr>
          <w:rFonts w:ascii="宋体" w:hAnsi="宋体" w:cs="宋体" w:eastAsia="宋体" w:hint="default"/>
          <w:sz w:val="21"/>
          <w:szCs w:val="21"/>
        </w:rPr>
        <w:t>第</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273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及《深圳市技术转让</w:t>
      </w:r>
      <w:r>
        <w:rPr>
          <w:rFonts w:ascii="宋体" w:hAnsi="宋体" w:cs="宋体" w:eastAsia="宋体" w:hint="default"/>
          <w:sz w:val="21"/>
          <w:szCs w:val="21"/>
        </w:rPr>
        <w:t> </w:t>
      </w:r>
      <w:r>
        <w:rPr>
          <w:rFonts w:ascii="宋体" w:hAnsi="宋体" w:cs="宋体" w:eastAsia="宋体" w:hint="default"/>
          <w:spacing w:val="-3"/>
          <w:sz w:val="21"/>
          <w:szCs w:val="21"/>
        </w:rPr>
        <w:t>技术开发及相关服务性收入免征营业税审批管理办法》（深地税发〔</w:t>
      </w:r>
      <w:r>
        <w:rPr>
          <w:rFonts w:ascii="Times New Roman" w:hAnsi="Times New Roman" w:cs="Times New Roman" w:eastAsia="Times New Roman" w:hint="default"/>
          <w:spacing w:val="-3"/>
          <w:sz w:val="21"/>
          <w:szCs w:val="21"/>
        </w:rPr>
        <w:t>2003</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348</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规定：对单</w:t>
      </w:r>
      <w:r>
        <w:rPr>
          <w:rFonts w:ascii="宋体" w:hAnsi="宋体" w:cs="宋体" w:eastAsia="宋体" w:hint="default"/>
          <w:spacing w:val="-99"/>
          <w:sz w:val="21"/>
          <w:szCs w:val="21"/>
        </w:rPr>
        <w:t> </w:t>
      </w:r>
      <w:r>
        <w:rPr>
          <w:rFonts w:ascii="宋体" w:hAnsi="宋体" w:cs="宋体" w:eastAsia="宋体" w:hint="default"/>
          <w:sz w:val="21"/>
          <w:szCs w:val="21"/>
        </w:rPr>
        <w:t>位和个人从事技术转让、技术开发业务和与之相关的技术咨询、技术服务业务取得的收入，免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征营业税。</w:t>
      </w:r>
    </w:p>
    <w:p>
      <w:pPr>
        <w:spacing w:before="163"/>
        <w:ind w:left="663" w:right="0" w:firstLine="0"/>
        <w:jc w:val="left"/>
        <w:rPr>
          <w:rFonts w:ascii="宋体" w:hAnsi="宋体" w:cs="宋体" w:eastAsia="宋体" w:hint="default"/>
          <w:sz w:val="21"/>
          <w:szCs w:val="21"/>
        </w:rPr>
      </w:pPr>
      <w:r>
        <w:rPr>
          <w:rFonts w:ascii="宋体" w:hAnsi="宋体" w:cs="宋体" w:eastAsia="宋体" w:hint="default"/>
          <w:sz w:val="21"/>
          <w:szCs w:val="21"/>
        </w:rPr>
        <w:t>（三）企业所得税及享受的税收优惠政策</w:t>
      </w:r>
    </w:p>
    <w:p>
      <w:pPr>
        <w:spacing w:line="240" w:lineRule="auto" w:before="5"/>
        <w:rPr>
          <w:rFonts w:ascii="宋体" w:hAnsi="宋体" w:cs="宋体" w:eastAsia="宋体" w:hint="default"/>
          <w:sz w:val="19"/>
          <w:szCs w:val="19"/>
        </w:rPr>
      </w:pPr>
    </w:p>
    <w:p>
      <w:pPr>
        <w:spacing w:line="338" w:lineRule="auto" w:before="0"/>
        <w:ind w:left="243" w:right="116"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）根据《国务院关于实施企业所得税过渡优惠政策的通知》（国发〔</w:t>
      </w:r>
      <w:r>
        <w:rPr>
          <w:rFonts w:ascii="Times New Roman" w:hAnsi="Times New Roman" w:cs="Times New Roman" w:eastAsia="Times New Roman" w:hint="default"/>
          <w:spacing w:val="-4"/>
          <w:sz w:val="21"/>
          <w:szCs w:val="21"/>
        </w:rPr>
        <w:t>2007</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39</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号）第一</w:t>
      </w:r>
      <w:r>
        <w:rPr>
          <w:rFonts w:ascii="宋体" w:hAnsi="宋体" w:cs="宋体" w:eastAsia="宋体" w:hint="default"/>
          <w:sz w:val="21"/>
          <w:szCs w:val="21"/>
        </w:rPr>
        <w:t> </w:t>
      </w:r>
      <w:r>
        <w:rPr>
          <w:rFonts w:ascii="宋体" w:hAnsi="宋体" w:cs="宋体" w:eastAsia="宋体" w:hint="default"/>
          <w:spacing w:val="-6"/>
          <w:sz w:val="21"/>
          <w:szCs w:val="21"/>
        </w:rPr>
        <w:t>条的规定，自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3"/>
          <w:sz w:val="21"/>
          <w:szCs w:val="21"/>
        </w:rPr>
        <w:t>日起，原享受低税率优惠政策的企业，在新税法施行后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年内逐步 过渡到法定税率。其中：享受企业所得税</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税率的企业，</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年按</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税率执行，</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 按</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20%</w:t>
      </w:r>
      <w:r>
        <w:rPr>
          <w:rFonts w:ascii="宋体" w:hAnsi="宋体" w:cs="宋体" w:eastAsia="宋体" w:hint="default"/>
          <w:spacing w:val="-4"/>
          <w:sz w:val="21"/>
          <w:szCs w:val="21"/>
        </w:rPr>
        <w:t>税率执行，</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年按</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22%</w:t>
      </w:r>
      <w:r>
        <w:rPr>
          <w:rFonts w:ascii="宋体" w:hAnsi="宋体" w:cs="宋体" w:eastAsia="宋体" w:hint="default"/>
          <w:spacing w:val="-4"/>
          <w:sz w:val="21"/>
          <w:szCs w:val="21"/>
        </w:rPr>
        <w:t>税率执行，</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年按</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24%</w:t>
      </w:r>
      <w:r>
        <w:rPr>
          <w:rFonts w:ascii="宋体" w:hAnsi="宋体" w:cs="宋体" w:eastAsia="宋体" w:hint="default"/>
          <w:spacing w:val="-4"/>
          <w:sz w:val="21"/>
          <w:szCs w:val="21"/>
        </w:rPr>
        <w:t>税率执行，</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税率执行。</w:t>
      </w:r>
    </w:p>
    <w:p>
      <w:pPr>
        <w:spacing w:line="336" w:lineRule="auto" w:before="142"/>
        <w:ind w:left="243" w:right="221" w:firstLine="42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月被国家发展和改革委员会、工业和信息化部、商务部、国家税务总局联</w:t>
      </w:r>
      <w:r>
        <w:rPr>
          <w:rFonts w:ascii="宋体" w:hAnsi="宋体" w:cs="宋体" w:eastAsia="宋体" w:hint="default"/>
          <w:sz w:val="21"/>
          <w:szCs w:val="21"/>
        </w:rPr>
        <w:t> 合认定为</w:t>
      </w:r>
      <w:r>
        <w:rPr>
          <w:rFonts w:ascii="宋体" w:hAnsi="宋体" w:cs="宋体" w:eastAsia="宋体" w:hint="default"/>
          <w:spacing w:val="-44"/>
          <w:sz w:val="21"/>
          <w:szCs w:val="21"/>
        </w:rPr>
        <w:t> </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pacing w:val="-2"/>
          <w:sz w:val="21"/>
          <w:szCs w:val="21"/>
        </w:rPr>
        <w:t>年度国家规划布局内重点软件企业（发改高技</w:t>
      </w:r>
      <w:r>
        <w:rPr>
          <w:rFonts w:ascii="Times New Roman" w:hAnsi="Times New Roman" w:cs="Times New Roman" w:eastAsia="Times New Roman" w:hint="default"/>
          <w:spacing w:val="-2"/>
          <w:sz w:val="21"/>
          <w:szCs w:val="21"/>
        </w:rPr>
        <w:t>[2011]342</w:t>
      </w:r>
      <w:r>
        <w:rPr>
          <w:rFonts w:ascii="Times New Roman" w:hAnsi="Times New Roman" w:cs="Times New Roman" w:eastAsia="Times New Roman" w:hint="default"/>
          <w:spacing w:val="9"/>
          <w:sz w:val="21"/>
          <w:szCs w:val="21"/>
        </w:rPr>
        <w:t> </w:t>
      </w:r>
      <w:r>
        <w:rPr>
          <w:rFonts w:ascii="宋体" w:hAnsi="宋体" w:cs="宋体" w:eastAsia="宋体" w:hint="default"/>
          <w:spacing w:val="-15"/>
          <w:sz w:val="21"/>
          <w:szCs w:val="21"/>
        </w:rPr>
        <w:t>号），根据《财政部、国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家税务总局关于企业所得税若干优惠政策的通知》（财税</w:t>
      </w:r>
      <w:r>
        <w:rPr>
          <w:rFonts w:ascii="Times New Roman" w:hAnsi="Times New Roman" w:cs="Times New Roman" w:eastAsia="Times New Roman" w:hint="default"/>
          <w:spacing w:val="-4"/>
          <w:sz w:val="21"/>
          <w:szCs w:val="21"/>
        </w:rPr>
        <w:t>[2008]1</w:t>
      </w:r>
      <w:r>
        <w:rPr>
          <w:rFonts w:ascii="Times New Roman" w:hAnsi="Times New Roman" w:cs="Times New Roman" w:eastAsia="Times New Roman" w:hint="default"/>
          <w:sz w:val="21"/>
          <w:szCs w:val="21"/>
        </w:rPr>
        <w:t> </w:t>
      </w:r>
      <w:r>
        <w:rPr>
          <w:rFonts w:ascii="宋体" w:hAnsi="宋体" w:cs="宋体" w:eastAsia="宋体" w:hint="default"/>
          <w:spacing w:val="-1"/>
          <w:sz w:val="21"/>
          <w:szCs w:val="21"/>
        </w:rPr>
        <w:t>号）的有关规定，国家规划布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局内重点软件生产企业，如当年未享受免税优惠的，减按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的税率征收企业所得税。</w:t>
      </w:r>
    </w:p>
    <w:p>
      <w:pPr>
        <w:spacing w:after="0" w:line="336" w:lineRule="auto"/>
        <w:jc w:val="both"/>
        <w:rPr>
          <w:rFonts w:ascii="宋体" w:hAnsi="宋体" w:cs="宋体" w:eastAsia="宋体" w:hint="default"/>
          <w:sz w:val="21"/>
          <w:szCs w:val="21"/>
        </w:rPr>
        <w:sectPr>
          <w:pgSz w:w="11910" w:h="16840"/>
          <w:pgMar w:header="877" w:footer="982" w:top="1100" w:bottom="1180" w:left="1400" w:right="1420"/>
        </w:sectPr>
      </w:pPr>
    </w:p>
    <w:p>
      <w:pPr>
        <w:spacing w:line="240" w:lineRule="auto" w:before="2"/>
        <w:rPr>
          <w:rFonts w:ascii="宋体" w:hAnsi="宋体" w:cs="宋体" w:eastAsia="宋体" w:hint="default"/>
          <w:sz w:val="19"/>
          <w:szCs w:val="19"/>
        </w:rPr>
      </w:pPr>
    </w:p>
    <w:p>
      <w:pPr>
        <w:spacing w:line="336" w:lineRule="auto" w:before="35"/>
        <w:ind w:left="143" w:right="221" w:firstLine="42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日公司获得《高新技术企业证书》，有效期三年，公司在有效期内</w:t>
      </w:r>
      <w:r>
        <w:rPr>
          <w:rFonts w:ascii="宋体" w:hAnsi="宋体" w:cs="宋体" w:eastAsia="宋体" w:hint="default"/>
          <w:sz w:val="21"/>
          <w:szCs w:val="21"/>
        </w:rPr>
        <w:t> 可享受减按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税率征收企业所得税。</w:t>
      </w:r>
    </w:p>
    <w:p>
      <w:pPr>
        <w:spacing w:before="145"/>
        <w:ind w:left="563" w:right="110" w:firstLine="0"/>
        <w:jc w:val="left"/>
        <w:rPr>
          <w:rFonts w:ascii="宋体" w:hAnsi="宋体" w:cs="宋体" w:eastAsia="宋体" w:hint="default"/>
          <w:sz w:val="21"/>
          <w:szCs w:val="21"/>
        </w:rPr>
      </w:pPr>
      <w:r>
        <w:rPr>
          <w:rFonts w:ascii="宋体" w:hAnsi="宋体" w:cs="宋体" w:eastAsia="宋体" w:hint="default"/>
          <w:sz w:val="21"/>
          <w:szCs w:val="21"/>
        </w:rPr>
        <w:t>故本公司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年度企业所得税税率实际为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p>
      <w:pPr>
        <w:spacing w:line="240" w:lineRule="auto" w:before="2"/>
        <w:rPr>
          <w:rFonts w:ascii="宋体" w:hAnsi="宋体" w:cs="宋体" w:eastAsia="宋体" w:hint="default"/>
          <w:sz w:val="18"/>
          <w:szCs w:val="18"/>
        </w:rPr>
      </w:pPr>
    </w:p>
    <w:p>
      <w:pPr>
        <w:spacing w:line="338" w:lineRule="auto" w:before="0"/>
        <w:ind w:left="143" w:right="217"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）根据《企业所得税法》及其相关规定，对未形成无形资产计入当期损益的研究开发费</w:t>
      </w:r>
      <w:r>
        <w:rPr>
          <w:rFonts w:ascii="宋体" w:hAnsi="宋体" w:cs="宋体" w:eastAsia="宋体" w:hint="default"/>
          <w:sz w:val="21"/>
          <w:szCs w:val="21"/>
        </w:rPr>
        <w:t> 用，在按照规定据实扣除的基础上，加计扣除 </w:t>
      </w:r>
      <w:r>
        <w:rPr>
          <w:rFonts w:ascii="Times New Roman" w:hAnsi="Times New Roman" w:cs="Times New Roman" w:eastAsia="Times New Roman" w:hint="default"/>
          <w:sz w:val="21"/>
          <w:szCs w:val="21"/>
        </w:rPr>
        <w:t>50%</w:t>
      </w:r>
      <w:r>
        <w:rPr>
          <w:rFonts w:ascii="宋体" w:hAnsi="宋体" w:cs="宋体" w:eastAsia="宋体" w:hint="default"/>
          <w:sz w:val="21"/>
          <w:szCs w:val="21"/>
        </w:rPr>
        <w:t>的规定。本公司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年度发生直接从事研 </w:t>
      </w:r>
      <w:r>
        <w:rPr>
          <w:rFonts w:ascii="宋体" w:hAnsi="宋体" w:cs="宋体" w:eastAsia="宋体" w:hint="default"/>
          <w:spacing w:val="14"/>
          <w:sz w:val="21"/>
          <w:szCs w:val="21"/>
        </w:rPr>
        <w:t>发活动的人员费用、折旧费、无形资产摊销等研究开发费 </w:t>
      </w:r>
      <w:r>
        <w:rPr>
          <w:rFonts w:ascii="Times New Roman" w:hAnsi="Times New Roman" w:cs="Times New Roman" w:eastAsia="Times New Roman" w:hint="default"/>
          <w:sz w:val="21"/>
          <w:szCs w:val="21"/>
        </w:rPr>
        <w:t>11,337,321.95 </w:t>
      </w:r>
      <w:r>
        <w:rPr>
          <w:rFonts w:ascii="Times New Roman" w:hAnsi="Times New Roman" w:cs="Times New Roman" w:eastAsia="Times New Roman" w:hint="default"/>
          <w:spacing w:val="11"/>
          <w:sz w:val="21"/>
          <w:szCs w:val="21"/>
        </w:rPr>
        <w:t> </w:t>
      </w:r>
      <w:r>
        <w:rPr>
          <w:rFonts w:ascii="宋体" w:hAnsi="宋体" w:cs="宋体" w:eastAsia="宋体" w:hint="default"/>
          <w:spacing w:val="12"/>
          <w:sz w:val="21"/>
          <w:szCs w:val="21"/>
        </w:rPr>
        <w:t>元，已加计扣除</w:t>
      </w:r>
    </w:p>
    <w:p>
      <w:pPr>
        <w:spacing w:before="23"/>
        <w:ind w:left="143"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5,668,660.97   </w:t>
      </w:r>
      <w:r>
        <w:rPr>
          <w:rFonts w:ascii="宋体" w:hAnsi="宋体" w:cs="宋体" w:eastAsia="宋体" w:hint="default"/>
          <w:spacing w:val="43"/>
          <w:sz w:val="21"/>
          <w:szCs w:val="21"/>
        </w:rPr>
        <w:t>元，业经深圳市中诚华南税务师事务所有限公司深中诚华南税审字</w:t>
      </w:r>
      <w:r>
        <w:rPr>
          <w:rFonts w:ascii="宋体" w:hAnsi="宋体" w:cs="宋体" w:eastAsia="宋体" w:hint="default"/>
          <w:spacing w:val="-60"/>
          <w:sz w:val="21"/>
          <w:szCs w:val="21"/>
        </w:rPr>
        <w:t> </w:t>
      </w:r>
      <w:r>
        <w:rPr>
          <w:rFonts w:ascii="宋体" w:hAnsi="宋体" w:cs="宋体" w:eastAsia="宋体" w:hint="default"/>
          <w:sz w:val="21"/>
          <w:szCs w:val="21"/>
        </w:rPr>
      </w:r>
    </w:p>
    <w:p>
      <w:pPr>
        <w:spacing w:line="336" w:lineRule="auto" w:before="117"/>
        <w:ind w:left="143"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2011)240892011000001</w:t>
      </w:r>
      <w:r>
        <w:rPr>
          <w:rFonts w:ascii="Times New Roman" w:hAnsi="Times New Roman" w:cs="Times New Roman" w:eastAsia="Times New Roman" w:hint="default"/>
          <w:spacing w:val="-25"/>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年度研究开发费用鉴证报告》鉴证，尚未取得深圳市福田区 地方税务局备案文件。</w:t>
      </w:r>
    </w:p>
    <w:p>
      <w:pPr>
        <w:spacing w:line="343" w:lineRule="auto" w:before="170"/>
        <w:ind w:left="143" w:right="218" w:firstLine="420"/>
        <w:jc w:val="both"/>
        <w:rPr>
          <w:rFonts w:ascii="宋体" w:hAnsi="宋体" w:cs="宋体" w:eastAsia="宋体" w:hint="default"/>
          <w:sz w:val="21"/>
          <w:szCs w:val="21"/>
        </w:rPr>
      </w:pPr>
      <w:r>
        <w:rPr>
          <w:rFonts w:ascii="宋体" w:hAnsi="宋体" w:cs="宋体" w:eastAsia="宋体" w:hint="default"/>
          <w:spacing w:val="2"/>
          <w:sz w:val="21"/>
          <w:szCs w:val="21"/>
        </w:rPr>
        <w:t>另外，根据《财政部、国家税务总局关于企业所得税若干优惠政策的通知》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财税</w:t>
      </w:r>
      <w:r>
        <w:rPr>
          <w:rFonts w:ascii="Times New Roman" w:hAnsi="Times New Roman" w:cs="Times New Roman" w:eastAsia="Times New Roman" w:hint="default"/>
          <w:spacing w:val="2"/>
          <w:sz w:val="21"/>
          <w:szCs w:val="21"/>
        </w:rPr>
        <w:t>[2008]1</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，软件生产企业实行增值税即征即退政策所退还的税款，由企业用于研究开发软件产品和扩</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大再生产，不作为企业所得税应税收入，不予征收企业所得税。本公司对于销售自行开发生产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的软件产品的部分而产生的营业收入享受该政策优惠。</w:t>
      </w:r>
    </w:p>
    <w:p>
      <w:pPr>
        <w:spacing w:before="164"/>
        <w:ind w:left="563" w:right="1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）本公司的控股子公司成立于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月，法定企业所得税税率为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line="240" w:lineRule="auto" w:before="2"/>
        <w:rPr>
          <w:rFonts w:ascii="宋体" w:hAnsi="宋体" w:cs="宋体" w:eastAsia="宋体" w:hint="default"/>
          <w:sz w:val="18"/>
          <w:szCs w:val="18"/>
        </w:rPr>
      </w:pPr>
    </w:p>
    <w:p>
      <w:pPr>
        <w:spacing w:line="343" w:lineRule="auto" w:before="0"/>
        <w:ind w:left="143" w:right="105" w:firstLine="420"/>
        <w:jc w:val="left"/>
        <w:rPr>
          <w:rFonts w:ascii="宋体" w:hAnsi="宋体" w:cs="宋体" w:eastAsia="宋体" w:hint="default"/>
          <w:sz w:val="21"/>
          <w:szCs w:val="21"/>
        </w:rPr>
      </w:pPr>
      <w:r>
        <w:rPr>
          <w:rFonts w:ascii="宋体" w:hAnsi="宋体" w:cs="宋体" w:eastAsia="宋体" w:hint="default"/>
          <w:spacing w:val="-3"/>
          <w:sz w:val="21"/>
          <w:szCs w:val="21"/>
        </w:rPr>
        <w:t>根据《财政部、国家税务总局关于企业所得税若干优惠政策的通知》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财税</w:t>
      </w:r>
      <w:r>
        <w:rPr>
          <w:rFonts w:ascii="Times New Roman" w:hAnsi="Times New Roman" w:cs="Times New Roman" w:eastAsia="Times New Roman" w:hint="default"/>
          <w:spacing w:val="-3"/>
          <w:sz w:val="21"/>
          <w:szCs w:val="21"/>
        </w:rPr>
        <w:t>[2008]1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规定， 本公司的控股子公司于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月经深圳市福田区国家税务局深国税福减免备案</w:t>
      </w:r>
      <w:r>
        <w:rPr>
          <w:rFonts w:ascii="Times New Roman" w:hAnsi="Times New Roman" w:cs="Times New Roman" w:eastAsia="Times New Roman" w:hint="default"/>
          <w:sz w:val="21"/>
          <w:szCs w:val="21"/>
        </w:rPr>
        <w:t>[2009]227 </w:t>
      </w:r>
      <w:r>
        <w:rPr>
          <w:rFonts w:ascii="宋体" w:hAnsi="宋体" w:cs="宋体" w:eastAsia="宋体" w:hint="default"/>
          <w:sz w:val="21"/>
          <w:szCs w:val="21"/>
        </w:rPr>
        <w:t>号文件备案登记，同意该公司从开始获利年度起，两年免征企业所得税，三年减半征收企业所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得税。</w:t>
      </w:r>
    </w:p>
    <w:p>
      <w:pPr>
        <w:spacing w:line="336" w:lineRule="auto" w:before="164"/>
        <w:ind w:left="143" w:right="2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pacing w:val="-3"/>
          <w:sz w:val="21"/>
          <w:szCs w:val="21"/>
        </w:rPr>
        <w:t>年度为本公司的控股子公司的第一获利年度，</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pacing w:val="-4"/>
          <w:sz w:val="21"/>
          <w:szCs w:val="21"/>
        </w:rPr>
        <w:t>年度为第二获利年度，免征企业所</w:t>
      </w:r>
      <w:r>
        <w:rPr>
          <w:rFonts w:ascii="宋体" w:hAnsi="宋体" w:cs="宋体" w:eastAsia="宋体" w:hint="default"/>
          <w:sz w:val="21"/>
          <w:szCs w:val="21"/>
        </w:rPr>
        <w:t> 得税。</w:t>
      </w:r>
    </w:p>
    <w:p>
      <w:pPr>
        <w:spacing w:before="170"/>
        <w:ind w:left="563" w:right="110" w:firstLine="0"/>
        <w:jc w:val="left"/>
        <w:rPr>
          <w:rFonts w:ascii="宋体" w:hAnsi="宋体" w:cs="宋体" w:eastAsia="宋体" w:hint="default"/>
          <w:sz w:val="21"/>
          <w:szCs w:val="21"/>
        </w:rPr>
      </w:pPr>
      <w:r>
        <w:rPr>
          <w:rFonts w:ascii="宋体" w:hAnsi="宋体" w:cs="宋体" w:eastAsia="宋体" w:hint="default"/>
          <w:sz w:val="21"/>
          <w:szCs w:val="21"/>
        </w:rPr>
        <w:t>（四）房产税及享受的税收优惠政策</w:t>
      </w:r>
    </w:p>
    <w:p>
      <w:pPr>
        <w:spacing w:line="240" w:lineRule="auto" w:before="5"/>
        <w:rPr>
          <w:rFonts w:ascii="宋体" w:hAnsi="宋体" w:cs="宋体" w:eastAsia="宋体" w:hint="default"/>
          <w:sz w:val="19"/>
          <w:szCs w:val="19"/>
        </w:rPr>
      </w:pPr>
    </w:p>
    <w:p>
      <w:pPr>
        <w:spacing w:line="355" w:lineRule="auto" w:before="0"/>
        <w:ind w:left="143" w:right="220" w:firstLine="420"/>
        <w:jc w:val="both"/>
        <w:rPr>
          <w:rFonts w:ascii="宋体" w:hAnsi="宋体" w:cs="宋体" w:eastAsia="宋体" w:hint="default"/>
          <w:sz w:val="21"/>
          <w:szCs w:val="21"/>
        </w:rPr>
      </w:pPr>
      <w:r>
        <w:rPr>
          <w:rFonts w:ascii="宋体" w:hAnsi="宋体" w:cs="宋体" w:eastAsia="宋体" w:hint="default"/>
          <w:sz w:val="21"/>
          <w:szCs w:val="21"/>
        </w:rPr>
        <w:t>根据《深圳经济特区房产税实施办法》的规定，纳税单位新建或购置的新建房屋，自建成 或购置之月起免纳房产税三年。本公司于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月经深圳市福田区地方税务局深地税福备</w:t>
      </w:r>
    </w:p>
    <w:p>
      <w:pPr>
        <w:spacing w:line="336" w:lineRule="auto" w:before="7"/>
        <w:ind w:left="143" w:right="110" w:hanging="1"/>
        <w:jc w:val="left"/>
        <w:rPr>
          <w:rFonts w:ascii="宋体" w:hAnsi="宋体" w:cs="宋体" w:eastAsia="宋体" w:hint="default"/>
          <w:sz w:val="21"/>
          <w:szCs w:val="21"/>
        </w:rPr>
      </w:pPr>
      <w:r>
        <w:rPr>
          <w:rFonts w:ascii="宋体" w:hAnsi="宋体" w:cs="宋体" w:eastAsia="宋体" w:hint="default"/>
          <w:sz w:val="21"/>
          <w:szCs w:val="21"/>
        </w:rPr>
        <w:t>告案</w:t>
      </w:r>
      <w:r>
        <w:rPr>
          <w:rFonts w:ascii="Times New Roman" w:hAnsi="Times New Roman" w:cs="Times New Roman" w:eastAsia="Times New Roman" w:hint="default"/>
          <w:sz w:val="21"/>
          <w:szCs w:val="21"/>
        </w:rPr>
        <w:t>[2010]10030010 </w:t>
      </w:r>
      <w:r>
        <w:rPr>
          <w:rFonts w:ascii="宋体" w:hAnsi="宋体" w:cs="宋体" w:eastAsia="宋体" w:hint="default"/>
          <w:spacing w:val="-6"/>
          <w:sz w:val="21"/>
          <w:szCs w:val="21"/>
        </w:rPr>
        <w:t>号文件备案登记，同意本公司从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日三年 免征房产税。</w:t>
      </w:r>
    </w:p>
    <w:p>
      <w:pPr>
        <w:spacing w:before="170"/>
        <w:ind w:left="143" w:right="1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43" w:lineRule="auto" w:before="0"/>
        <w:ind w:left="143" w:right="217"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）根据《深圳市人民政府关于深圳特区企业税收政策若干问题的规定》（深府〔</w:t>
      </w:r>
      <w:r>
        <w:rPr>
          <w:rFonts w:ascii="Times New Roman" w:hAnsi="Times New Roman" w:cs="Times New Roman" w:eastAsia="Times New Roman" w:hint="default"/>
          <w:spacing w:val="-3"/>
          <w:sz w:val="21"/>
          <w:szCs w:val="21"/>
        </w:rPr>
        <w:t>1988</w:t>
      </w:r>
      <w:r>
        <w:rPr>
          <w:rFonts w:ascii="宋体" w:hAnsi="宋体" w:cs="宋体" w:eastAsia="宋体" w:hint="default"/>
          <w:spacing w:val="-3"/>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232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号）的有关规定，对特区企业生产、经营的收入，统一征收产品税、增值税、营业税和城 市维护建设税。城市维护建设税以纳税人实际缴纳的产品税、增值税、营业税的税额为计税依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据，税率为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before="138"/>
        <w:ind w:left="563" w:right="110" w:firstLine="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48"/>
          <w:sz w:val="21"/>
          <w:szCs w:val="21"/>
        </w:rPr>
        <w:t>据</w:t>
      </w:r>
      <w:r>
        <w:rPr>
          <w:rFonts w:ascii="宋体" w:hAnsi="宋体" w:cs="宋体" w:eastAsia="宋体" w:hint="default"/>
          <w:sz w:val="21"/>
          <w:szCs w:val="21"/>
        </w:rPr>
        <w:t>《国务院关于统一内外资企业和个人城市维护建设税和教育费附加制度的通知</w:t>
      </w:r>
      <w:r>
        <w:rPr>
          <w:rFonts w:ascii="宋体" w:hAnsi="宋体" w:cs="宋体" w:eastAsia="宋体" w:hint="default"/>
          <w:spacing w:val="-154"/>
          <w:sz w:val="21"/>
          <w:szCs w:val="21"/>
        </w:rPr>
        <w:t>》</w:t>
      </w:r>
      <w:r>
        <w:rPr>
          <w:rFonts w:ascii="宋体" w:hAnsi="宋体" w:cs="宋体" w:eastAsia="宋体" w:hint="default"/>
          <w:sz w:val="21"/>
          <w:szCs w:val="21"/>
        </w:rPr>
        <w:t>（国发</w:t>
      </w:r>
    </w:p>
    <w:p>
      <w:pPr>
        <w:spacing w:after="0"/>
        <w:jc w:val="left"/>
        <w:rPr>
          <w:rFonts w:ascii="宋体" w:hAnsi="宋体" w:cs="宋体" w:eastAsia="宋体" w:hint="default"/>
          <w:sz w:val="21"/>
          <w:szCs w:val="21"/>
        </w:rPr>
        <w:sectPr>
          <w:pgSz w:w="11910" w:h="16840"/>
          <w:pgMar w:header="877" w:footer="982" w:top="1100" w:bottom="1180" w:left="1500" w:right="1420"/>
        </w:sectPr>
      </w:pPr>
    </w:p>
    <w:p>
      <w:pPr>
        <w:spacing w:line="240" w:lineRule="auto" w:before="2"/>
        <w:rPr>
          <w:rFonts w:ascii="宋体" w:hAnsi="宋体" w:cs="宋体" w:eastAsia="宋体" w:hint="default"/>
          <w:sz w:val="19"/>
          <w:szCs w:val="19"/>
        </w:rPr>
      </w:pPr>
    </w:p>
    <w:p>
      <w:pPr>
        <w:spacing w:line="336" w:lineRule="auto" w:before="35"/>
        <w:ind w:left="143"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号）的有关规定，自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日起，深圳市按照纳税人实际缴纳的增值税、 消费税和营业税税额征收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％的城市维护建设税。</w:t>
      </w:r>
    </w:p>
    <w:p>
      <w:pPr>
        <w:spacing w:line="336" w:lineRule="auto" w:before="145"/>
        <w:ind w:left="143" w:right="111" w:firstLine="42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）根据《国务院关于印发进一步鼓励软件产业和集成电路产业发展若干政策的通知》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国</w:t>
      </w:r>
      <w:r>
        <w:rPr>
          <w:rFonts w:ascii="宋体" w:hAnsi="宋体" w:cs="宋体" w:eastAsia="宋体" w:hint="default"/>
          <w:sz w:val="21"/>
          <w:szCs w:val="21"/>
        </w:rPr>
        <w:t> 发〔</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，本公司上述税收优惠政策可继续实施。</w:t>
      </w:r>
    </w:p>
    <w:p>
      <w:pPr>
        <w:spacing w:after="0" w:line="336" w:lineRule="auto"/>
        <w:jc w:val="left"/>
        <w:rPr>
          <w:rFonts w:ascii="宋体" w:hAnsi="宋体" w:cs="宋体" w:eastAsia="宋体" w:hint="default"/>
          <w:sz w:val="21"/>
          <w:szCs w:val="21"/>
        </w:rPr>
        <w:sectPr>
          <w:pgSz w:w="11910" w:h="16840"/>
          <w:pgMar w:header="877" w:footer="982" w:top="1100" w:bottom="1180" w:left="150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240" w:lineRule="auto" w:before="29"/>
        <w:ind w:left="364" w:right="2511"/>
        <w:jc w:val="left"/>
        <w:rPr>
          <w:b w:val="0"/>
          <w:bCs w:val="0"/>
        </w:rPr>
      </w:pPr>
      <w:r>
        <w:rPr/>
        <w:t>四、</w:t>
      </w:r>
      <w:r>
        <w:rPr>
          <w:spacing w:val="-40"/>
        </w:rPr>
        <w:t> </w:t>
      </w:r>
      <w:r>
        <w:rPr/>
        <w:t>企业合并及合并财务报表</w:t>
      </w:r>
      <w:r>
        <w:rPr>
          <w:b w:val="0"/>
          <w:bCs w:val="0"/>
        </w:rPr>
      </w:r>
    </w:p>
    <w:p>
      <w:pPr>
        <w:spacing w:line="240" w:lineRule="auto" w:before="9"/>
        <w:rPr>
          <w:rFonts w:ascii="宋体" w:hAnsi="宋体" w:cs="宋体" w:eastAsia="宋体" w:hint="default"/>
          <w:b/>
          <w:bCs/>
          <w:sz w:val="20"/>
          <w:szCs w:val="20"/>
        </w:rPr>
      </w:pPr>
    </w:p>
    <w:p>
      <w:pPr>
        <w:spacing w:before="0"/>
        <w:ind w:left="364" w:right="25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364" w:right="2511" w:firstLine="0"/>
        <w:jc w:val="left"/>
        <w:rPr>
          <w:rFonts w:ascii="宋体" w:hAnsi="宋体" w:cs="宋体" w:eastAsia="宋体" w:hint="default"/>
          <w:sz w:val="21"/>
          <w:szCs w:val="21"/>
        </w:rPr>
      </w:pPr>
      <w:r>
        <w:rPr>
          <w:rFonts w:ascii="宋体" w:hAnsi="宋体" w:cs="宋体" w:eastAsia="宋体" w:hint="default"/>
          <w:sz w:val="21"/>
          <w:szCs w:val="21"/>
        </w:rPr>
        <w:t>（一）通过设立或投资等方式取得的子公司</w:t>
      </w:r>
    </w:p>
    <w:p>
      <w:pPr>
        <w:spacing w:line="240" w:lineRule="auto" w:before="9"/>
        <w:rPr>
          <w:rFonts w:ascii="宋体" w:hAnsi="宋体" w:cs="宋体" w:eastAsia="宋体" w:hint="default"/>
          <w:sz w:val="16"/>
          <w:szCs w:val="16"/>
        </w:rPr>
      </w:pPr>
    </w:p>
    <w:p>
      <w:pPr>
        <w:tabs>
          <w:tab w:pos="1259" w:val="left" w:leader="none"/>
        </w:tabs>
        <w:spacing w:before="35"/>
        <w:ind w:left="0" w:right="339" w:firstLine="0"/>
        <w:jc w:val="right"/>
        <w:rPr>
          <w:rFonts w:ascii="宋体" w:hAnsi="宋体" w:cs="宋体" w:eastAsia="宋体" w:hint="default"/>
          <w:sz w:val="21"/>
          <w:szCs w:val="21"/>
        </w:rPr>
      </w:pPr>
      <w:r>
        <w:rPr>
          <w:rFonts w:ascii="宋体" w:hAnsi="宋体" w:cs="宋体" w:eastAsia="宋体" w:hint="default"/>
          <w:sz w:val="21"/>
          <w:szCs w:val="21"/>
        </w:rPr>
        <w:t>单位：万元</w:t>
        <w:tab/>
      </w:r>
      <w:r>
        <w:rPr>
          <w:rFonts w:ascii="宋体" w:hAnsi="宋体" w:cs="宋体" w:eastAsia="宋体" w:hint="default"/>
          <w:spacing w:val="-1"/>
          <w:sz w:val="21"/>
          <w:szCs w:val="21"/>
        </w:rPr>
        <w:t>币种：人民币</w:t>
      </w: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769"/>
        <w:gridCol w:w="402"/>
        <w:gridCol w:w="402"/>
        <w:gridCol w:w="366"/>
        <w:gridCol w:w="442"/>
        <w:gridCol w:w="1507"/>
        <w:gridCol w:w="490"/>
        <w:gridCol w:w="740"/>
        <w:gridCol w:w="566"/>
        <w:gridCol w:w="566"/>
        <w:gridCol w:w="366"/>
        <w:gridCol w:w="366"/>
        <w:gridCol w:w="692"/>
        <w:gridCol w:w="1410"/>
      </w:tblGrid>
      <w:tr>
        <w:trPr>
          <w:trHeight w:val="1566" w:hRule="exact"/>
        </w:trPr>
        <w:tc>
          <w:tcPr>
            <w:tcW w:w="76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1" w:right="145" w:hanging="75"/>
              <w:jc w:val="left"/>
              <w:rPr>
                <w:rFonts w:ascii="宋体" w:hAnsi="宋体" w:cs="宋体" w:eastAsia="宋体" w:hint="default"/>
                <w:sz w:val="15"/>
                <w:szCs w:val="15"/>
              </w:rPr>
            </w:pPr>
            <w:r>
              <w:rPr>
                <w:rFonts w:ascii="宋体" w:hAnsi="宋体" w:cs="宋体" w:eastAsia="宋体" w:hint="default"/>
                <w:sz w:val="15"/>
                <w:szCs w:val="15"/>
              </w:rPr>
              <w:t>子公司 全称</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1" w:right="119"/>
              <w:jc w:val="both"/>
              <w:rPr>
                <w:rFonts w:ascii="宋体" w:hAnsi="宋体" w:cs="宋体" w:eastAsia="宋体" w:hint="default"/>
                <w:sz w:val="15"/>
                <w:szCs w:val="15"/>
              </w:rPr>
            </w:pPr>
            <w:r>
              <w:rPr>
                <w:rFonts w:ascii="宋体" w:hAnsi="宋体" w:cs="宋体" w:eastAsia="宋体" w:hint="default"/>
                <w:sz w:val="15"/>
                <w:szCs w:val="15"/>
              </w:rPr>
              <w:t>子 公 司 类 型</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1" w:right="119"/>
              <w:jc w:val="both"/>
              <w:rPr>
                <w:rFonts w:ascii="宋体" w:hAnsi="宋体" w:cs="宋体" w:eastAsia="宋体" w:hint="default"/>
                <w:sz w:val="15"/>
                <w:szCs w:val="15"/>
              </w:rPr>
            </w:pPr>
            <w:r>
              <w:rPr>
                <w:rFonts w:ascii="宋体" w:hAnsi="宋体" w:cs="宋体" w:eastAsia="宋体" w:hint="default"/>
                <w:sz w:val="15"/>
                <w:szCs w:val="15"/>
              </w:rPr>
              <w:t>注 册 地</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业 务 性 质</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0" w:right="139"/>
              <w:jc w:val="both"/>
              <w:rPr>
                <w:rFonts w:ascii="宋体" w:hAnsi="宋体" w:cs="宋体" w:eastAsia="宋体" w:hint="default"/>
                <w:sz w:val="15"/>
                <w:szCs w:val="15"/>
              </w:rPr>
            </w:pPr>
            <w:r>
              <w:rPr>
                <w:rFonts w:ascii="宋体" w:hAnsi="宋体" w:cs="宋体" w:eastAsia="宋体" w:hint="default"/>
                <w:sz w:val="15"/>
                <w:szCs w:val="15"/>
              </w:rPr>
              <w:t>注 册 资 本</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48"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4" w:right="163"/>
              <w:jc w:val="both"/>
              <w:rPr>
                <w:rFonts w:ascii="宋体" w:hAnsi="宋体" w:cs="宋体" w:eastAsia="宋体" w:hint="default"/>
                <w:sz w:val="15"/>
                <w:szCs w:val="15"/>
              </w:rPr>
            </w:pPr>
            <w:r>
              <w:rPr>
                <w:rFonts w:ascii="宋体" w:hAnsi="宋体" w:cs="宋体" w:eastAsia="宋体" w:hint="default"/>
                <w:sz w:val="15"/>
                <w:szCs w:val="15"/>
              </w:rPr>
              <w:t>期 末 实 际 出 资 额</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0" w:right="138"/>
              <w:jc w:val="center"/>
              <w:rPr>
                <w:rFonts w:ascii="宋体" w:hAnsi="宋体" w:cs="宋体" w:eastAsia="宋体" w:hint="default"/>
                <w:sz w:val="15"/>
                <w:szCs w:val="15"/>
              </w:rPr>
            </w:pPr>
            <w:r>
              <w:rPr>
                <w:rFonts w:ascii="宋体" w:hAnsi="宋体" w:cs="宋体" w:eastAsia="宋体" w:hint="default"/>
                <w:sz w:val="15"/>
                <w:szCs w:val="15"/>
              </w:rPr>
              <w:t>实质上 构成对 子公司 净投资 的其他 项目余 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9" w:lineRule="auto" w:before="100"/>
              <w:ind w:left="128" w:right="126"/>
              <w:jc w:val="both"/>
              <w:rPr>
                <w:rFonts w:ascii="Times New Roman" w:hAnsi="Times New Roman" w:cs="Times New Roman" w:eastAsia="Times New Roman" w:hint="default"/>
                <w:sz w:val="15"/>
                <w:szCs w:val="15"/>
              </w:rPr>
            </w:pPr>
            <w:r>
              <w:rPr>
                <w:rFonts w:ascii="宋体" w:hAnsi="宋体" w:cs="宋体" w:eastAsia="宋体" w:hint="default"/>
                <w:sz w:val="15"/>
                <w:szCs w:val="15"/>
              </w:rPr>
              <w:t>持股 比例 </w:t>
            </w:r>
            <w:r>
              <w:rPr>
                <w:rFonts w:ascii="Times New Roman" w:hAnsi="Times New Roman" w:cs="Times New Roman" w:eastAsia="Times New Roman" w:hint="default"/>
                <w:sz w:val="15"/>
                <w:szCs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7" w:lineRule="auto"/>
              <w:ind w:left="128" w:right="126"/>
              <w:jc w:val="center"/>
              <w:rPr>
                <w:rFonts w:ascii="Times New Roman" w:hAnsi="Times New Roman" w:cs="Times New Roman" w:eastAsia="Times New Roman" w:hint="default"/>
                <w:sz w:val="15"/>
                <w:szCs w:val="15"/>
              </w:rPr>
            </w:pPr>
            <w:r>
              <w:rPr>
                <w:rFonts w:ascii="宋体" w:hAnsi="宋体" w:cs="宋体" w:eastAsia="宋体" w:hint="default"/>
                <w:sz w:val="15"/>
                <w:szCs w:val="15"/>
              </w:rPr>
              <w:t>表决 权比 例 </w:t>
            </w:r>
            <w:r>
              <w:rPr>
                <w:rFonts w:ascii="Times New Roman" w:hAnsi="Times New Roman" w:cs="Times New Roman" w:eastAsia="Times New Roman" w:hint="default"/>
                <w:sz w:val="15"/>
                <w:szCs w:val="15"/>
              </w:rPr>
              <w:t>(%)</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是 否 合 并 报 表</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少 数 股 东 权 益</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16" w:right="114"/>
              <w:jc w:val="both"/>
              <w:rPr>
                <w:rFonts w:ascii="宋体" w:hAnsi="宋体" w:cs="宋体" w:eastAsia="宋体" w:hint="default"/>
                <w:sz w:val="15"/>
                <w:szCs w:val="15"/>
              </w:rPr>
            </w:pPr>
            <w:r>
              <w:rPr>
                <w:rFonts w:ascii="宋体" w:hAnsi="宋体" w:cs="宋体" w:eastAsia="宋体" w:hint="default"/>
                <w:sz w:val="15"/>
                <w:szCs w:val="15"/>
              </w:rPr>
              <w:t>少数股 东权益 中用于 冲减少 数股东 损益的 金额</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170" w:lineRule="exact"/>
              <w:ind w:right="2"/>
              <w:jc w:val="center"/>
              <w:rPr>
                <w:rFonts w:ascii="宋体" w:hAnsi="宋体" w:cs="宋体" w:eastAsia="宋体" w:hint="default"/>
                <w:sz w:val="15"/>
                <w:szCs w:val="15"/>
              </w:rPr>
            </w:pPr>
            <w:r>
              <w:rPr>
                <w:rFonts w:ascii="宋体" w:hAnsi="宋体" w:cs="宋体" w:eastAsia="宋体" w:hint="default"/>
                <w:sz w:val="15"/>
                <w:szCs w:val="15"/>
              </w:rPr>
              <w:t>从母公司所有者</w:t>
            </w:r>
          </w:p>
          <w:p>
            <w:pPr>
              <w:pStyle w:val="TableParagraph"/>
              <w:spacing w:line="240" w:lineRule="auto"/>
              <w:ind w:left="175" w:right="179"/>
              <w:jc w:val="center"/>
              <w:rPr>
                <w:rFonts w:ascii="宋体" w:hAnsi="宋体" w:cs="宋体" w:eastAsia="宋体" w:hint="default"/>
                <w:sz w:val="15"/>
                <w:szCs w:val="15"/>
              </w:rPr>
            </w:pPr>
            <w:r>
              <w:rPr>
                <w:rFonts w:ascii="宋体" w:hAnsi="宋体" w:cs="宋体" w:eastAsia="宋体" w:hint="default"/>
                <w:sz w:val="15"/>
                <w:szCs w:val="15"/>
              </w:rPr>
              <w:t>权益冲减子公司 少数股东分担的 本期亏损超过少 数股东在该子公 司期初所有者权 益中所享有份额 后的余额</w:t>
            </w:r>
          </w:p>
        </w:tc>
      </w:tr>
      <w:tr>
        <w:trPr>
          <w:trHeight w:val="983" w:hRule="exact"/>
        </w:trPr>
        <w:tc>
          <w:tcPr>
            <w:tcW w:w="769"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both"/>
              <w:rPr>
                <w:rFonts w:ascii="宋体" w:hAnsi="宋体" w:cs="宋体" w:eastAsia="宋体" w:hint="default"/>
                <w:sz w:val="15"/>
                <w:szCs w:val="15"/>
              </w:rPr>
            </w:pPr>
            <w:r>
              <w:rPr>
                <w:rFonts w:ascii="宋体" w:hAnsi="宋体" w:cs="宋体" w:eastAsia="宋体" w:hint="default"/>
                <w:spacing w:val="29"/>
                <w:sz w:val="15"/>
                <w:szCs w:val="15"/>
              </w:rPr>
              <w:t>深圳市</w:t>
            </w:r>
            <w:r>
              <w:rPr>
                <w:rFonts w:ascii="宋体" w:hAnsi="宋体" w:cs="宋体" w:eastAsia="宋体" w:hint="default"/>
                <w:spacing w:val="-31"/>
                <w:sz w:val="15"/>
                <w:szCs w:val="15"/>
              </w:rPr>
              <w:t> </w:t>
            </w:r>
            <w:r>
              <w:rPr>
                <w:rFonts w:ascii="宋体" w:hAnsi="宋体" w:cs="宋体" w:eastAsia="宋体" w:hint="default"/>
                <w:sz w:val="15"/>
                <w:szCs w:val="15"/>
              </w:rPr>
            </w:r>
          </w:p>
          <w:p>
            <w:pPr>
              <w:pStyle w:val="TableParagraph"/>
              <w:spacing w:line="240" w:lineRule="auto"/>
              <w:ind w:left="122" w:right="56"/>
              <w:jc w:val="both"/>
              <w:rPr>
                <w:rFonts w:ascii="宋体" w:hAnsi="宋体" w:cs="宋体" w:eastAsia="宋体" w:hint="default"/>
                <w:sz w:val="15"/>
                <w:szCs w:val="15"/>
              </w:rPr>
            </w:pPr>
            <w:r>
              <w:rPr>
                <w:rFonts w:ascii="宋体" w:hAnsi="宋体" w:cs="宋体" w:eastAsia="宋体" w:hint="default"/>
                <w:spacing w:val="29"/>
                <w:sz w:val="15"/>
                <w:szCs w:val="15"/>
              </w:rPr>
              <w:t>银之杰</w:t>
            </w:r>
            <w:r>
              <w:rPr>
                <w:rFonts w:ascii="宋体" w:hAnsi="宋体" w:cs="宋体" w:eastAsia="宋体" w:hint="default"/>
                <w:spacing w:val="-31"/>
                <w:sz w:val="15"/>
                <w:szCs w:val="15"/>
              </w:rPr>
              <w:t> </w:t>
            </w:r>
            <w:r>
              <w:rPr>
                <w:rFonts w:ascii="宋体" w:hAnsi="宋体" w:cs="宋体" w:eastAsia="宋体" w:hint="default"/>
                <w:spacing w:val="29"/>
                <w:sz w:val="15"/>
                <w:szCs w:val="15"/>
              </w:rPr>
              <w:t>软件技</w:t>
            </w:r>
            <w:r>
              <w:rPr>
                <w:rFonts w:ascii="宋体" w:hAnsi="宋体" w:cs="宋体" w:eastAsia="宋体" w:hint="default"/>
                <w:spacing w:val="-31"/>
                <w:sz w:val="15"/>
                <w:szCs w:val="15"/>
              </w:rPr>
              <w:t> </w:t>
            </w:r>
            <w:r>
              <w:rPr>
                <w:rFonts w:ascii="宋体" w:hAnsi="宋体" w:cs="宋体" w:eastAsia="宋体" w:hint="default"/>
                <w:spacing w:val="29"/>
                <w:sz w:val="15"/>
                <w:szCs w:val="15"/>
              </w:rPr>
              <w:t>术有限</w:t>
            </w:r>
            <w:r>
              <w:rPr>
                <w:rFonts w:ascii="宋体" w:hAnsi="宋体" w:cs="宋体" w:eastAsia="宋体" w:hint="default"/>
                <w:spacing w:val="-31"/>
                <w:sz w:val="15"/>
                <w:szCs w:val="15"/>
              </w:rPr>
              <w:t> </w:t>
            </w:r>
            <w:r>
              <w:rPr>
                <w:rFonts w:ascii="宋体" w:hAnsi="宋体" w:cs="宋体" w:eastAsia="宋体" w:hint="default"/>
                <w:sz w:val="15"/>
                <w:szCs w:val="15"/>
              </w:rPr>
              <w:t>公司</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03" w:right="137"/>
              <w:jc w:val="left"/>
              <w:rPr>
                <w:rFonts w:ascii="宋体" w:hAnsi="宋体" w:cs="宋体" w:eastAsia="宋体" w:hint="default"/>
                <w:sz w:val="15"/>
                <w:szCs w:val="15"/>
              </w:rPr>
            </w:pPr>
            <w:r>
              <w:rPr>
                <w:rFonts w:ascii="宋体" w:hAnsi="宋体" w:cs="宋体" w:eastAsia="宋体" w:hint="default"/>
                <w:sz w:val="15"/>
                <w:szCs w:val="15"/>
              </w:rPr>
              <w:t>控 股</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92" w:lineRule="auto"/>
              <w:ind w:left="103" w:right="137"/>
              <w:jc w:val="left"/>
              <w:rPr>
                <w:rFonts w:ascii="宋体" w:hAnsi="宋体" w:cs="宋体" w:eastAsia="宋体" w:hint="default"/>
                <w:sz w:val="15"/>
                <w:szCs w:val="15"/>
              </w:rPr>
            </w:pPr>
            <w:r>
              <w:rPr>
                <w:rFonts w:ascii="宋体" w:hAnsi="宋体" w:cs="宋体" w:eastAsia="宋体" w:hint="default"/>
                <w:sz w:val="15"/>
                <w:szCs w:val="15"/>
              </w:rPr>
              <w:t>深 圳</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软 件 开 发</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42"/>
              <w:jc w:val="both"/>
              <w:rPr>
                <w:rFonts w:ascii="宋体" w:hAnsi="宋体" w:cs="宋体" w:eastAsia="宋体" w:hint="default"/>
                <w:sz w:val="15"/>
                <w:szCs w:val="15"/>
              </w:rPr>
            </w:pPr>
            <w:r>
              <w:rPr>
                <w:rFonts w:ascii="宋体" w:hAnsi="宋体" w:cs="宋体" w:eastAsia="宋体" w:hint="default"/>
                <w:spacing w:val="13"/>
                <w:sz w:val="15"/>
                <w:szCs w:val="15"/>
              </w:rPr>
              <w:t>金融应用软件技术 </w:t>
            </w:r>
            <w:r>
              <w:rPr>
                <w:rFonts w:ascii="宋体" w:hAnsi="宋体" w:cs="宋体" w:eastAsia="宋体" w:hint="default"/>
                <w:spacing w:val="-7"/>
                <w:sz w:val="15"/>
                <w:szCs w:val="15"/>
              </w:rPr>
              <w:t>开发，销售、计算机</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软、硬件技术开发、 技术咨询</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6" w:right="0"/>
              <w:jc w:val="left"/>
              <w:rPr>
                <w:rFonts w:ascii="Times New Roman" w:hAnsi="Times New Roman" w:cs="Times New Roman" w:eastAsia="Times New Roman" w:hint="default"/>
                <w:sz w:val="15"/>
                <w:szCs w:val="15"/>
              </w:rPr>
            </w:pPr>
            <w:r>
              <w:rPr>
                <w:rFonts w:ascii="Times New Roman"/>
                <w:sz w:val="15"/>
              </w:rPr>
              <w:t>100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是</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0</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0</w:t>
            </w:r>
          </w:p>
        </w:tc>
      </w:tr>
    </w:tbl>
    <w:p>
      <w:pPr>
        <w:spacing w:line="240" w:lineRule="auto" w:before="4"/>
        <w:rPr>
          <w:rFonts w:ascii="宋体" w:hAnsi="宋体" w:cs="宋体" w:eastAsia="宋体" w:hint="default"/>
          <w:sz w:val="22"/>
          <w:szCs w:val="22"/>
        </w:rPr>
      </w:pPr>
    </w:p>
    <w:p>
      <w:pPr>
        <w:spacing w:line="463" w:lineRule="auto" w:before="35"/>
        <w:ind w:left="783" w:right="5161" w:hanging="420"/>
        <w:jc w:val="left"/>
        <w:rPr>
          <w:rFonts w:ascii="宋体" w:hAnsi="宋体" w:cs="宋体" w:eastAsia="宋体" w:hint="default"/>
          <w:sz w:val="21"/>
          <w:szCs w:val="21"/>
        </w:rPr>
      </w:pPr>
      <w:r>
        <w:rPr>
          <w:rFonts w:ascii="宋体" w:hAnsi="宋体" w:cs="宋体" w:eastAsia="宋体" w:hint="default"/>
          <w:sz w:val="21"/>
          <w:szCs w:val="21"/>
        </w:rPr>
        <w:t>（二）同一控制下企业合并取得的子公司 无。</w:t>
      </w:r>
    </w:p>
    <w:p>
      <w:pPr>
        <w:spacing w:line="460" w:lineRule="auto" w:before="58"/>
        <w:ind w:left="783" w:right="4951" w:hanging="420"/>
        <w:jc w:val="left"/>
        <w:rPr>
          <w:rFonts w:ascii="宋体" w:hAnsi="宋体" w:cs="宋体" w:eastAsia="宋体" w:hint="default"/>
          <w:sz w:val="21"/>
          <w:szCs w:val="21"/>
        </w:rPr>
      </w:pPr>
      <w:r>
        <w:rPr>
          <w:rFonts w:ascii="宋体" w:hAnsi="宋体" w:cs="宋体" w:eastAsia="宋体" w:hint="default"/>
          <w:sz w:val="21"/>
          <w:szCs w:val="21"/>
        </w:rPr>
        <w:t>（三）非同一控制下企业合并取得的子公司 无。</w:t>
      </w:r>
    </w:p>
    <w:p>
      <w:pPr>
        <w:spacing w:line="436" w:lineRule="auto" w:before="61"/>
        <w:ind w:left="784" w:right="251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36" w:lineRule="auto" w:before="82"/>
        <w:ind w:left="784" w:right="579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b/>
          <w:bCs/>
          <w:w w:val="99"/>
          <w:sz w:val="21"/>
          <w:szCs w:val="21"/>
        </w:rPr>
        <w:t> </w:t>
      </w:r>
      <w:r>
        <w:rPr>
          <w:rFonts w:ascii="宋体" w:hAnsi="宋体" w:cs="宋体" w:eastAsia="宋体" w:hint="default"/>
          <w:sz w:val="21"/>
          <w:szCs w:val="21"/>
        </w:rPr>
        <w:t>本期未发生合并范围的变化。</w:t>
      </w:r>
    </w:p>
    <w:p>
      <w:pPr>
        <w:spacing w:before="82"/>
        <w:ind w:left="364" w:right="25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36" w:lineRule="auto" w:before="0"/>
        <w:ind w:left="364"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）本期新纳入合并范围的子公司、特殊目的主体、通过受托经营或承租等方式形成控制权的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经营实体：</w:t>
      </w:r>
    </w:p>
    <w:p>
      <w:pPr>
        <w:spacing w:before="170"/>
        <w:ind w:left="784" w:right="2511"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5"/>
        <w:rPr>
          <w:rFonts w:ascii="宋体" w:hAnsi="宋体" w:cs="宋体" w:eastAsia="宋体" w:hint="default"/>
          <w:sz w:val="19"/>
          <w:szCs w:val="19"/>
        </w:rPr>
      </w:pPr>
    </w:p>
    <w:p>
      <w:pPr>
        <w:spacing w:line="338" w:lineRule="auto" w:before="0"/>
        <w:ind w:left="364"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）本期不再纳入合并范围的子公司、特殊目的主体、通过受托经营或承租等方式形成控制权</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的经营实体：</w:t>
      </w:r>
    </w:p>
    <w:p>
      <w:pPr>
        <w:spacing w:before="167"/>
        <w:ind w:left="784" w:right="2511"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6"/>
        <w:rPr>
          <w:rFonts w:ascii="宋体" w:hAnsi="宋体" w:cs="宋体" w:eastAsia="宋体" w:hint="default"/>
          <w:sz w:val="19"/>
          <w:szCs w:val="19"/>
        </w:rPr>
      </w:pPr>
    </w:p>
    <w:p>
      <w:pPr>
        <w:spacing w:line="436" w:lineRule="auto" w:before="0"/>
        <w:ind w:left="784" w:right="567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436" w:lineRule="auto"/>
        <w:jc w:val="left"/>
        <w:rPr>
          <w:rFonts w:ascii="宋体" w:hAnsi="宋体" w:cs="宋体" w:eastAsia="宋体" w:hint="default"/>
          <w:sz w:val="21"/>
          <w:szCs w:val="21"/>
        </w:rPr>
        <w:sectPr>
          <w:pgSz w:w="11910" w:h="16840"/>
          <w:pgMar w:header="877" w:footer="982" w:top="1100" w:bottom="1180" w:left="1280" w:right="1300"/>
        </w:sectPr>
      </w:pPr>
    </w:p>
    <w:p>
      <w:pPr>
        <w:spacing w:line="240" w:lineRule="auto" w:before="2"/>
        <w:rPr>
          <w:rFonts w:ascii="宋体" w:hAnsi="宋体" w:cs="宋体" w:eastAsia="宋体" w:hint="default"/>
          <w:sz w:val="19"/>
          <w:szCs w:val="19"/>
        </w:rPr>
      </w:pPr>
    </w:p>
    <w:p>
      <w:pPr>
        <w:spacing w:line="436" w:lineRule="auto" w:before="35"/>
        <w:ind w:left="563" w:right="526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36" w:lineRule="auto" w:before="82"/>
        <w:ind w:left="564" w:right="463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、本期出售丧失控制权的股权而减少子公司</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436" w:lineRule="auto" w:before="82"/>
        <w:ind w:left="564" w:right="652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、本期发生的反向购买</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36" w:lineRule="auto" w:before="82"/>
        <w:ind w:left="564" w:right="652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、本期发生的吸收合并</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36" w:lineRule="auto" w:before="81"/>
        <w:ind w:left="564" w:right="473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after="0" w:line="436" w:lineRule="auto"/>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29"/>
        <w:ind w:left="664" w:right="0"/>
        <w:jc w:val="left"/>
        <w:rPr>
          <w:b w:val="0"/>
          <w:bCs w:val="0"/>
        </w:rPr>
      </w:pPr>
      <w:r>
        <w:rPr/>
        <w:t>五、</w:t>
      </w:r>
      <w:r>
        <w:rPr>
          <w:spacing w:val="-39"/>
        </w:rPr>
        <w:t> </w:t>
      </w:r>
      <w:r>
        <w:rPr/>
        <w:t>合并财务报表项目注释</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6"/>
          <w:szCs w:val="26"/>
        </w:rPr>
      </w:pPr>
    </w:p>
    <w:p>
      <w:pPr>
        <w:spacing w:before="0"/>
        <w:ind w:left="66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tabs>
          <w:tab w:pos="1049" w:val="left" w:leader="none"/>
        </w:tabs>
        <w:spacing w:before="35"/>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9"/>
        <w:rPr>
          <w:rFonts w:ascii="宋体" w:hAnsi="宋体" w:cs="宋体" w:eastAsia="宋体" w:hint="default"/>
          <w:sz w:val="11"/>
          <w:szCs w:val="11"/>
        </w:rPr>
      </w:pPr>
    </w:p>
    <w:tbl>
      <w:tblPr>
        <w:tblW w:w="0" w:type="auto"/>
        <w:jc w:val="left"/>
        <w:tblInd w:w="464" w:type="dxa"/>
        <w:tblLayout w:type="fixed"/>
        <w:tblCellMar>
          <w:top w:w="0" w:type="dxa"/>
          <w:left w:w="0" w:type="dxa"/>
          <w:bottom w:w="0" w:type="dxa"/>
          <w:right w:w="0" w:type="dxa"/>
        </w:tblCellMar>
        <w:tblLook w:val="01E0"/>
      </w:tblPr>
      <w:tblGrid>
        <w:gridCol w:w="1603"/>
        <w:gridCol w:w="1237"/>
        <w:gridCol w:w="887"/>
        <w:gridCol w:w="1588"/>
        <w:gridCol w:w="1238"/>
        <w:gridCol w:w="882"/>
        <w:gridCol w:w="1414"/>
      </w:tblGrid>
      <w:tr>
        <w:trPr>
          <w:trHeight w:val="388" w:hRule="exact"/>
        </w:trPr>
        <w:tc>
          <w:tcPr>
            <w:tcW w:w="1603"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3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6" w:hRule="exact"/>
        </w:trPr>
        <w:tc>
          <w:tcPr>
            <w:tcW w:w="1603" w:type="dxa"/>
            <w:vMerge/>
            <w:tcBorders>
              <w:left w:val="nil" w:sz="6" w:space="0" w:color="auto"/>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8"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25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8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41,079.64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153,558.31</w:t>
            </w:r>
          </w:p>
        </w:tc>
      </w:tr>
      <w:tr>
        <w:trPr>
          <w:trHeight w:val="38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41,079.64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153,558.31</w:t>
            </w:r>
          </w:p>
        </w:tc>
      </w:tr>
      <w:tr>
        <w:trPr>
          <w:trHeight w:val="38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432,965,735.83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49,451,599.98</w:t>
            </w:r>
          </w:p>
        </w:tc>
      </w:tr>
      <w:tr>
        <w:trPr>
          <w:trHeight w:val="38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432,965,735.83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49,451,599.98</w:t>
            </w:r>
          </w:p>
        </w:tc>
      </w:tr>
      <w:tr>
        <w:trPr>
          <w:trHeight w:val="38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433,006,815.47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49,605,158.29</w:t>
            </w:r>
          </w:p>
        </w:tc>
      </w:tr>
    </w:tbl>
    <w:p>
      <w:pPr>
        <w:spacing w:before="86"/>
        <w:ind w:left="1084" w:right="0" w:firstLine="0"/>
        <w:jc w:val="left"/>
        <w:rPr>
          <w:rFonts w:ascii="宋体" w:hAnsi="宋体" w:cs="宋体" w:eastAsia="宋体" w:hint="default"/>
          <w:sz w:val="21"/>
          <w:szCs w:val="21"/>
        </w:rPr>
      </w:pPr>
      <w:r>
        <w:rPr>
          <w:rFonts w:ascii="宋体" w:hAnsi="宋体" w:cs="宋体" w:eastAsia="宋体" w:hint="default"/>
          <w:sz w:val="21"/>
          <w:szCs w:val="21"/>
        </w:rPr>
        <w:t>期末货币资金不存在抵押，质押和冻结情况。</w:t>
      </w:r>
    </w:p>
    <w:p>
      <w:pPr>
        <w:spacing w:line="240" w:lineRule="auto" w:before="5"/>
        <w:rPr>
          <w:rFonts w:ascii="宋体" w:hAnsi="宋体" w:cs="宋体" w:eastAsia="宋体" w:hint="default"/>
          <w:sz w:val="19"/>
          <w:szCs w:val="19"/>
        </w:rPr>
      </w:pPr>
    </w:p>
    <w:p>
      <w:pPr>
        <w:spacing w:before="0"/>
        <w:ind w:left="66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5"/>
        <w:rPr>
          <w:rFonts w:ascii="宋体" w:hAnsi="宋体" w:cs="宋体" w:eastAsia="宋体" w:hint="default"/>
          <w:sz w:val="15"/>
          <w:szCs w:val="15"/>
        </w:rPr>
      </w:pPr>
    </w:p>
    <w:p>
      <w:pPr>
        <w:spacing w:before="35"/>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152"/>
        <w:gridCol w:w="1150"/>
        <w:gridCol w:w="756"/>
        <w:gridCol w:w="1061"/>
        <w:gridCol w:w="818"/>
        <w:gridCol w:w="1148"/>
        <w:gridCol w:w="756"/>
        <w:gridCol w:w="1061"/>
        <w:gridCol w:w="811"/>
      </w:tblGrid>
      <w:tr>
        <w:trPr>
          <w:trHeight w:val="388" w:hRule="exact"/>
        </w:trPr>
        <w:tc>
          <w:tcPr>
            <w:tcW w:w="21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152" w:type="dxa"/>
            <w:vMerge/>
            <w:tcBorders>
              <w:left w:val="nil" w:sz="6" w:space="0" w:color="auto"/>
              <w:right w:val="single" w:sz="4" w:space="0" w:color="000000"/>
            </w:tcBorders>
          </w:tcPr>
          <w:p>
            <w:pPr/>
          </w:p>
        </w:tc>
        <w:tc>
          <w:tcPr>
            <w:tcW w:w="1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8" w:hRule="exact"/>
        </w:trPr>
        <w:tc>
          <w:tcPr>
            <w:tcW w:w="2152" w:type="dxa"/>
            <w:vMerge/>
            <w:tcBorders>
              <w:left w:val="nil" w:sz="6" w:space="0" w:color="auto"/>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2"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72"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r>
      <w:tr>
        <w:trPr>
          <w:trHeight w:val="620"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07" w:right="83"/>
              <w:jc w:val="left"/>
              <w:rPr>
                <w:rFonts w:ascii="宋体" w:hAnsi="宋体" w:cs="宋体" w:eastAsia="宋体" w:hint="default"/>
                <w:sz w:val="18"/>
                <w:szCs w:val="18"/>
              </w:rPr>
            </w:pPr>
            <w:r>
              <w:rPr>
                <w:rFonts w:ascii="宋体" w:hAnsi="宋体" w:cs="宋体" w:eastAsia="宋体" w:hint="default"/>
                <w:spacing w:val="14"/>
                <w:sz w:val="18"/>
                <w:szCs w:val="18"/>
              </w:rPr>
              <w:t>单项金额重大并单项计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提坏账准备的应收账款</w:t>
            </w:r>
          </w:p>
        </w:tc>
        <w:tc>
          <w:tcPr>
            <w:tcW w:w="115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nil" w:sz="6" w:space="0" w:color="auto"/>
            </w:tcBorders>
          </w:tcPr>
          <w:p>
            <w:pPr/>
          </w:p>
        </w:tc>
      </w:tr>
    </w:tbl>
    <w:p>
      <w:pPr>
        <w:spacing w:before="41"/>
        <w:ind w:left="232" w:right="0" w:firstLine="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按组合计提坏账准备的应收账款</w:t>
      </w:r>
      <w:r>
        <w:rPr>
          <w:rFonts w:ascii="宋体" w:hAnsi="宋体" w:cs="宋体" w:eastAsia="宋体" w:hint="default"/>
          <w:sz w:val="18"/>
          <w:szCs w:val="18"/>
        </w:rPr>
      </w:r>
    </w:p>
    <w:p>
      <w:pPr>
        <w:spacing w:line="240" w:lineRule="auto" w:before="9"/>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166"/>
        <w:gridCol w:w="1150"/>
        <w:gridCol w:w="756"/>
        <w:gridCol w:w="1061"/>
        <w:gridCol w:w="818"/>
        <w:gridCol w:w="1148"/>
        <w:gridCol w:w="756"/>
        <w:gridCol w:w="1061"/>
        <w:gridCol w:w="818"/>
      </w:tblGrid>
      <w:tr>
        <w:trPr>
          <w:trHeight w:val="39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1" w:right="0"/>
              <w:jc w:val="center"/>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 w:right="0"/>
              <w:jc w:val="center"/>
              <w:rPr>
                <w:rFonts w:ascii="Times New Roman" w:hAnsi="Times New Roman" w:cs="Times New Roman" w:eastAsia="Times New Roman" w:hint="default"/>
                <w:sz w:val="18"/>
                <w:szCs w:val="18"/>
              </w:rPr>
            </w:pPr>
            <w:r>
              <w:rPr>
                <w:rFonts w:ascii="Times New Roman"/>
                <w:spacing w:val="-6"/>
                <w:sz w:val="18"/>
              </w:rPr>
              <w:t>8.69</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62"/>
              <w:jc w:val="right"/>
              <w:rPr>
                <w:rFonts w:ascii="Times New Roman" w:hAnsi="Times New Roman" w:cs="Times New Roman" w:eastAsia="Times New Roman" w:hint="default"/>
                <w:sz w:val="18"/>
                <w:szCs w:val="18"/>
              </w:rPr>
            </w:pPr>
            <w:r>
              <w:rPr>
                <w:rFonts w:ascii="Times New Roman"/>
                <w:spacing w:val="-7"/>
                <w:sz w:val="18"/>
              </w:rPr>
              <w:t>34,265,203.26</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15"/>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2,422,155.45</w:t>
            </w:r>
            <w:r>
              <w:rPr>
                <w:rFonts w:ascii="Times New Roman"/>
                <w:sz w:val="18"/>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237"/>
              <w:jc w:val="right"/>
              <w:rPr>
                <w:rFonts w:ascii="Times New Roman" w:hAnsi="Times New Roman" w:cs="Times New Roman" w:eastAsia="Times New Roman" w:hint="default"/>
                <w:sz w:val="18"/>
                <w:szCs w:val="18"/>
              </w:rPr>
            </w:pPr>
            <w:r>
              <w:rPr>
                <w:rFonts w:ascii="Times New Roman"/>
                <w:spacing w:val="-6"/>
                <w:w w:val="95"/>
                <w:sz w:val="18"/>
              </w:rPr>
              <w:t>7.07</w:t>
            </w:r>
            <w:r>
              <w:rPr>
                <w:rFonts w:ascii="Times New Roman"/>
                <w:w w:val="95"/>
                <w:sz w:val="18"/>
              </w:rPr>
            </w:r>
          </w:p>
        </w:tc>
      </w:tr>
      <w:tr>
        <w:trPr>
          <w:trHeight w:val="39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1" w:right="0"/>
              <w:jc w:val="center"/>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 w:right="0"/>
              <w:jc w:val="center"/>
              <w:rPr>
                <w:rFonts w:ascii="Times New Roman" w:hAnsi="Times New Roman" w:cs="Times New Roman" w:eastAsia="Times New Roman" w:hint="default"/>
                <w:sz w:val="18"/>
                <w:szCs w:val="18"/>
              </w:rPr>
            </w:pPr>
            <w:r>
              <w:rPr>
                <w:rFonts w:ascii="Times New Roman"/>
                <w:spacing w:val="-6"/>
                <w:sz w:val="18"/>
              </w:rPr>
              <w:t>8.69</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62"/>
              <w:jc w:val="right"/>
              <w:rPr>
                <w:rFonts w:ascii="Times New Roman" w:hAnsi="Times New Roman" w:cs="Times New Roman" w:eastAsia="Times New Roman" w:hint="default"/>
                <w:sz w:val="18"/>
                <w:szCs w:val="18"/>
              </w:rPr>
            </w:pPr>
            <w:r>
              <w:rPr>
                <w:rFonts w:ascii="Times New Roman"/>
                <w:spacing w:val="-7"/>
                <w:sz w:val="18"/>
              </w:rPr>
              <w:t>34,265,203.26</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15"/>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2,422,155.45</w:t>
            </w:r>
            <w:r>
              <w:rPr>
                <w:rFonts w:ascii="Times New Roman"/>
                <w:sz w:val="18"/>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237"/>
              <w:jc w:val="right"/>
              <w:rPr>
                <w:rFonts w:ascii="Times New Roman" w:hAnsi="Times New Roman" w:cs="Times New Roman" w:eastAsia="Times New Roman" w:hint="default"/>
                <w:sz w:val="18"/>
                <w:szCs w:val="18"/>
              </w:rPr>
            </w:pPr>
            <w:r>
              <w:rPr>
                <w:rFonts w:ascii="Times New Roman"/>
                <w:spacing w:val="-6"/>
                <w:w w:val="95"/>
                <w:sz w:val="18"/>
              </w:rPr>
              <w:t>7.07</w:t>
            </w:r>
            <w:r>
              <w:rPr>
                <w:rFonts w:ascii="Times New Roman"/>
                <w:w w:val="95"/>
                <w:sz w:val="18"/>
              </w:rPr>
            </w:r>
          </w:p>
        </w:tc>
      </w:tr>
      <w:tr>
        <w:trPr>
          <w:trHeight w:val="86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83"/>
              <w:jc w:val="both"/>
              <w:rPr>
                <w:rFonts w:ascii="宋体" w:hAnsi="宋体" w:cs="宋体" w:eastAsia="宋体" w:hint="default"/>
                <w:sz w:val="18"/>
                <w:szCs w:val="18"/>
              </w:rPr>
            </w:pPr>
            <w:r>
              <w:rPr>
                <w:rFonts w:ascii="宋体" w:hAnsi="宋体" w:cs="宋体" w:eastAsia="宋体" w:hint="default"/>
                <w:spacing w:val="14"/>
                <w:sz w:val="18"/>
                <w:szCs w:val="18"/>
              </w:rPr>
              <w:t>单项金额虽不重大但单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项计提坏账准备的应收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账款</w:t>
            </w:r>
          </w:p>
        </w:tc>
        <w:tc>
          <w:tcPr>
            <w:tcW w:w="115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nil" w:sz="6" w:space="0" w:color="auto"/>
            </w:tcBorders>
          </w:tcPr>
          <w:p>
            <w:pPr/>
          </w:p>
        </w:tc>
      </w:tr>
      <w:tr>
        <w:trPr>
          <w:trHeight w:val="30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 w:right="0"/>
              <w:jc w:val="center"/>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1" w:right="0"/>
              <w:jc w:val="center"/>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 w:right="0"/>
              <w:jc w:val="center"/>
              <w:rPr>
                <w:rFonts w:ascii="Times New Roman" w:hAnsi="Times New Roman" w:cs="Times New Roman" w:eastAsia="Times New Roman" w:hint="default"/>
                <w:sz w:val="18"/>
                <w:szCs w:val="18"/>
              </w:rPr>
            </w:pPr>
            <w:r>
              <w:rPr>
                <w:rFonts w:ascii="Times New Roman"/>
                <w:spacing w:val="-6"/>
                <w:sz w:val="18"/>
              </w:rPr>
              <w:t>8.69</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2"/>
              <w:jc w:val="right"/>
              <w:rPr>
                <w:rFonts w:ascii="Times New Roman" w:hAnsi="Times New Roman" w:cs="Times New Roman" w:eastAsia="Times New Roman" w:hint="default"/>
                <w:sz w:val="18"/>
                <w:szCs w:val="18"/>
              </w:rPr>
            </w:pPr>
            <w:r>
              <w:rPr>
                <w:rFonts w:ascii="Times New Roman"/>
                <w:spacing w:val="-7"/>
                <w:sz w:val="18"/>
              </w:rPr>
              <w:t>34,265,203.26</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5"/>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 w:right="0"/>
              <w:jc w:val="center"/>
              <w:rPr>
                <w:rFonts w:ascii="Times New Roman" w:hAnsi="Times New Roman" w:cs="Times New Roman" w:eastAsia="Times New Roman" w:hint="default"/>
                <w:sz w:val="18"/>
                <w:szCs w:val="18"/>
              </w:rPr>
            </w:pPr>
            <w:r>
              <w:rPr>
                <w:rFonts w:ascii="Times New Roman"/>
                <w:spacing w:val="-7"/>
                <w:sz w:val="18"/>
              </w:rPr>
              <w:t>2,422,155.45</w:t>
            </w:r>
            <w:r>
              <w:rPr>
                <w:rFonts w:ascii="Times New Roman"/>
                <w:sz w:val="18"/>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237"/>
              <w:jc w:val="right"/>
              <w:rPr>
                <w:rFonts w:ascii="Times New Roman" w:hAnsi="Times New Roman" w:cs="Times New Roman" w:eastAsia="Times New Roman" w:hint="default"/>
                <w:sz w:val="18"/>
                <w:szCs w:val="18"/>
              </w:rPr>
            </w:pPr>
            <w:r>
              <w:rPr>
                <w:rFonts w:ascii="Times New Roman"/>
                <w:spacing w:val="-6"/>
                <w:w w:val="95"/>
                <w:sz w:val="18"/>
              </w:rPr>
              <w:t>7.07</w:t>
            </w:r>
            <w:r>
              <w:rPr>
                <w:rFonts w:ascii="Times New Roman"/>
                <w:w w:val="95"/>
                <w:sz w:val="18"/>
              </w:rPr>
            </w:r>
          </w:p>
        </w:tc>
      </w:tr>
    </w:tbl>
    <w:p>
      <w:pPr>
        <w:spacing w:line="240" w:lineRule="auto" w:before="1"/>
        <w:rPr>
          <w:rFonts w:ascii="宋体" w:hAnsi="宋体" w:cs="宋体" w:eastAsia="宋体" w:hint="default"/>
          <w:sz w:val="13"/>
          <w:szCs w:val="13"/>
        </w:rPr>
      </w:pPr>
    </w:p>
    <w:p>
      <w:pPr>
        <w:spacing w:line="357" w:lineRule="auto" w:before="35"/>
        <w:ind w:left="664" w:right="678" w:firstLine="420"/>
        <w:jc w:val="both"/>
        <w:rPr>
          <w:rFonts w:ascii="宋体" w:hAnsi="宋体" w:cs="宋体" w:eastAsia="宋体" w:hint="default"/>
          <w:sz w:val="21"/>
          <w:szCs w:val="21"/>
        </w:rPr>
      </w:pPr>
      <w:r>
        <w:rPr>
          <w:rFonts w:ascii="宋体" w:hAnsi="宋体" w:cs="宋体" w:eastAsia="宋体" w:hint="default"/>
          <w:sz w:val="21"/>
          <w:szCs w:val="21"/>
        </w:rPr>
        <w:t>按款项账龄的组合计提坏账准备的应收账款，是指将未单项计提坏账准备的应收账款按账 龄划分为若干组合，根据以前年度与之相同或相类似的、具有类似信用风险特征的应收账款组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合的实际损失率为基础，结合现时情况确定各项组合计提坏账准备的比例，据此计算应计提的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坏账准备。</w:t>
      </w:r>
    </w:p>
    <w:p>
      <w:pPr>
        <w:spacing w:after="0" w:line="357" w:lineRule="auto"/>
        <w:jc w:val="both"/>
        <w:rPr>
          <w:rFonts w:ascii="宋体" w:hAnsi="宋体" w:cs="宋体" w:eastAsia="宋体" w:hint="default"/>
          <w:sz w:val="21"/>
          <w:szCs w:val="21"/>
        </w:rPr>
        <w:sectPr>
          <w:footerReference w:type="default" r:id="rId37"/>
          <w:pgSz w:w="11910" w:h="16840"/>
          <w:pgMar w:footer="982" w:header="877" w:top="1100" w:bottom="1180" w:left="980" w:right="960"/>
        </w:sectPr>
      </w:pPr>
    </w:p>
    <w:p>
      <w:pPr>
        <w:spacing w:line="240" w:lineRule="auto" w:before="2"/>
        <w:rPr>
          <w:rFonts w:ascii="宋体" w:hAnsi="宋体" w:cs="宋体" w:eastAsia="宋体" w:hint="default"/>
          <w:sz w:val="19"/>
          <w:szCs w:val="19"/>
        </w:rPr>
      </w:pPr>
    </w:p>
    <w:p>
      <w:pPr>
        <w:spacing w:before="35"/>
        <w:ind w:left="1064"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7"/>
        <w:rPr>
          <w:rFonts w:ascii="宋体" w:hAnsi="宋体" w:cs="宋体" w:eastAsia="宋体" w:hint="default"/>
          <w:sz w:val="16"/>
          <w:szCs w:val="16"/>
        </w:rPr>
      </w:pPr>
    </w:p>
    <w:p>
      <w:pPr>
        <w:spacing w:before="35"/>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514" w:type="dxa"/>
        <w:tblLayout w:type="fixed"/>
        <w:tblCellMar>
          <w:top w:w="0" w:type="dxa"/>
          <w:left w:w="0" w:type="dxa"/>
          <w:bottom w:w="0" w:type="dxa"/>
          <w:right w:w="0" w:type="dxa"/>
        </w:tblCellMar>
        <w:tblLook w:val="01E0"/>
      </w:tblPr>
      <w:tblGrid>
        <w:gridCol w:w="1742"/>
        <w:gridCol w:w="1417"/>
        <w:gridCol w:w="908"/>
        <w:gridCol w:w="1218"/>
        <w:gridCol w:w="1417"/>
        <w:gridCol w:w="966"/>
        <w:gridCol w:w="1217"/>
      </w:tblGrid>
      <w:tr>
        <w:trPr>
          <w:trHeight w:val="392"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2" w:hRule="exact"/>
        </w:trPr>
        <w:tc>
          <w:tcPr>
            <w:tcW w:w="1742" w:type="dxa"/>
            <w:vMerge/>
            <w:tcBorders>
              <w:left w:val="nil" w:sz="6" w:space="0" w:color="auto"/>
              <w:right w:val="single" w:sz="6" w:space="0" w:color="000000"/>
            </w:tcBorders>
          </w:tcPr>
          <w:p>
            <w:pPr/>
          </w:p>
        </w:tc>
        <w:tc>
          <w:tcPr>
            <w:tcW w:w="23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2" w:hRule="exact"/>
        </w:trPr>
        <w:tc>
          <w:tcPr>
            <w:tcW w:w="1742" w:type="dxa"/>
            <w:vMerge/>
            <w:tcBorders>
              <w:left w:val="nil" w:sz="6" w:space="0" w:color="auto"/>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8"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394"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35,903,384.74</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68.84</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1,795,169.24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24,459,326.72</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71.38</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pacing w:val="-1"/>
                <w:sz w:val="18"/>
              </w:rPr>
              <w:t>1,222,966.34</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8,657,991.60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16.60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865,799.16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7,708,062.00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22.50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770,806.20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6,419,264.00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12.31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1,283,852.80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2,068,414.54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6.04</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413,682.91</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1,171,661.00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2.25</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585,830.50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z w:val="18"/>
              </w:rPr>
              <w:t>29,400.00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0.09</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14,700.00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pacing w:val="-1"/>
                <w:sz w:val="18"/>
              </w:rPr>
              <w:t>52,152,301.34</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4,530,651.70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18"/>
                <w:szCs w:val="18"/>
              </w:rPr>
            </w:pPr>
            <w:r>
              <w:rPr>
                <w:rFonts w:ascii="Times New Roman"/>
                <w:spacing w:val="-1"/>
                <w:sz w:val="18"/>
              </w:rPr>
              <w:t>34,265,203.26</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pacing w:val="-1"/>
                <w:sz w:val="18"/>
              </w:rPr>
              <w:t>2,422,155.45</w:t>
            </w:r>
          </w:p>
        </w:tc>
      </w:tr>
    </w:tbl>
    <w:p>
      <w:pPr>
        <w:spacing w:before="86"/>
        <w:ind w:left="6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）本期转回或收回情况：无。</w:t>
      </w:r>
    </w:p>
    <w:p>
      <w:pPr>
        <w:spacing w:line="240" w:lineRule="auto" w:before="3"/>
        <w:rPr>
          <w:rFonts w:ascii="宋体" w:hAnsi="宋体" w:cs="宋体" w:eastAsia="宋体" w:hint="default"/>
          <w:sz w:val="18"/>
          <w:szCs w:val="18"/>
        </w:rPr>
      </w:pPr>
    </w:p>
    <w:p>
      <w:pPr>
        <w:spacing w:before="0"/>
        <w:ind w:left="6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）本报告期实际核销的应收账款情况：无。</w:t>
      </w:r>
    </w:p>
    <w:p>
      <w:pPr>
        <w:spacing w:line="240" w:lineRule="auto" w:before="2"/>
        <w:rPr>
          <w:rFonts w:ascii="宋体" w:hAnsi="宋体" w:cs="宋体" w:eastAsia="宋体" w:hint="default"/>
          <w:sz w:val="18"/>
          <w:szCs w:val="18"/>
        </w:rPr>
      </w:pPr>
    </w:p>
    <w:p>
      <w:pPr>
        <w:spacing w:before="0"/>
        <w:ind w:left="6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）本报告期应收账款中持有公司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以上表决权股份的股东单位情况：无。</w:t>
      </w:r>
    </w:p>
    <w:p>
      <w:pPr>
        <w:spacing w:line="240" w:lineRule="auto" w:before="2"/>
        <w:rPr>
          <w:rFonts w:ascii="宋体" w:hAnsi="宋体" w:cs="宋体" w:eastAsia="宋体" w:hint="default"/>
          <w:sz w:val="18"/>
          <w:szCs w:val="18"/>
        </w:rPr>
      </w:pPr>
    </w:p>
    <w:p>
      <w:pPr>
        <w:spacing w:before="0"/>
        <w:ind w:left="6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2"/>
        <w:rPr>
          <w:rFonts w:ascii="宋体" w:hAnsi="宋体" w:cs="宋体" w:eastAsia="宋体" w:hint="default"/>
          <w:sz w:val="18"/>
          <w:szCs w:val="18"/>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44" w:type="dxa"/>
        <w:tblLayout w:type="fixed"/>
        <w:tblCellMar>
          <w:top w:w="0" w:type="dxa"/>
          <w:left w:w="0" w:type="dxa"/>
          <w:bottom w:w="0" w:type="dxa"/>
          <w:right w:w="0" w:type="dxa"/>
        </w:tblCellMar>
        <w:tblLook w:val="01E0"/>
      </w:tblPr>
      <w:tblGrid>
        <w:gridCol w:w="2864"/>
        <w:gridCol w:w="1427"/>
        <w:gridCol w:w="1291"/>
        <w:gridCol w:w="1004"/>
        <w:gridCol w:w="2428"/>
      </w:tblGrid>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中国农业银行浙江省分行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5,550,675.00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10.64</w:t>
            </w:r>
          </w:p>
        </w:tc>
      </w:tr>
      <w:tr>
        <w:trPr>
          <w:trHeight w:val="386"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零至二年</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8.05</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上海浦东发展银行总行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2,862,500.00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零至三年</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5.49</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广东发展银行总行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2,099,600.00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4.03</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中国工商银行四川分行营业部</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1,883,510.00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3.61</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16,596,285.00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31.82</w:t>
            </w:r>
          </w:p>
        </w:tc>
      </w:tr>
    </w:tbl>
    <w:p>
      <w:pPr>
        <w:spacing w:before="86"/>
        <w:ind w:left="6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）应收关联方账款情况：无。</w:t>
      </w:r>
    </w:p>
    <w:p>
      <w:pPr>
        <w:spacing w:line="240" w:lineRule="auto" w:before="3"/>
        <w:rPr>
          <w:rFonts w:ascii="宋体" w:hAnsi="宋体" w:cs="宋体" w:eastAsia="宋体" w:hint="default"/>
          <w:sz w:val="18"/>
          <w:szCs w:val="18"/>
        </w:rPr>
      </w:pPr>
    </w:p>
    <w:p>
      <w:pPr>
        <w:spacing w:before="0"/>
        <w:ind w:left="6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）终止确认的应收款项情况：无。</w:t>
      </w:r>
    </w:p>
    <w:p>
      <w:pPr>
        <w:spacing w:line="240" w:lineRule="auto" w:before="2"/>
        <w:rPr>
          <w:rFonts w:ascii="宋体" w:hAnsi="宋体" w:cs="宋体" w:eastAsia="宋体" w:hint="default"/>
          <w:sz w:val="18"/>
          <w:szCs w:val="18"/>
        </w:rPr>
      </w:pPr>
    </w:p>
    <w:p>
      <w:pPr>
        <w:spacing w:before="0"/>
        <w:ind w:left="6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）以应收款项为标的进行证券化的，列示继续涉入形成的资产、负债的金额：无。</w:t>
      </w:r>
    </w:p>
    <w:p>
      <w:pPr>
        <w:spacing w:line="240" w:lineRule="auto" w:before="3"/>
        <w:rPr>
          <w:rFonts w:ascii="宋体" w:hAnsi="宋体" w:cs="宋体" w:eastAsia="宋体" w:hint="default"/>
          <w:sz w:val="18"/>
          <w:szCs w:val="18"/>
        </w:rPr>
      </w:pPr>
    </w:p>
    <w:p>
      <w:pPr>
        <w:spacing w:before="0"/>
        <w:ind w:left="6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6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1"/>
        <w:rPr>
          <w:rFonts w:ascii="宋体" w:hAnsi="宋体" w:cs="宋体" w:eastAsia="宋体" w:hint="default"/>
          <w:sz w:val="18"/>
          <w:szCs w:val="18"/>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144"/>
        <w:gridCol w:w="1163"/>
        <w:gridCol w:w="761"/>
        <w:gridCol w:w="1027"/>
        <w:gridCol w:w="834"/>
        <w:gridCol w:w="1162"/>
        <w:gridCol w:w="761"/>
        <w:gridCol w:w="1027"/>
        <w:gridCol w:w="827"/>
      </w:tblGrid>
      <w:tr>
        <w:trPr>
          <w:trHeight w:val="388" w:hRule="exact"/>
        </w:trPr>
        <w:tc>
          <w:tcPr>
            <w:tcW w:w="21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144" w:type="dxa"/>
            <w:vMerge/>
            <w:tcBorders>
              <w:left w:val="nil" w:sz="6" w:space="0" w:color="auto"/>
              <w:right w:val="single" w:sz="4" w:space="0" w:color="000000"/>
            </w:tcBorders>
          </w:tcPr>
          <w:p>
            <w:pP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8" w:hRule="exact"/>
        </w:trPr>
        <w:tc>
          <w:tcPr>
            <w:tcW w:w="2144" w:type="dxa"/>
            <w:vMerge/>
            <w:tcBorders>
              <w:left w:val="nil" w:sz="6" w:space="0" w:color="auto"/>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4"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3"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8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r>
    </w:tbl>
    <w:p>
      <w:pPr>
        <w:spacing w:after="0" w:line="240" w:lineRule="auto"/>
        <w:jc w:val="left"/>
        <w:rPr>
          <w:rFonts w:ascii="Times New Roman" w:hAnsi="Times New Roman" w:cs="Times New Roman" w:eastAsia="Times New Roman" w:hint="default"/>
          <w:sz w:val="18"/>
          <w:szCs w:val="18"/>
        </w:rPr>
        <w:sectPr>
          <w:footerReference w:type="default" r:id="rId38"/>
          <w:pgSz w:w="11910" w:h="16840"/>
          <w:pgMar w:footer="982" w:header="877" w:top="1100" w:bottom="1180" w:left="1000" w:right="960"/>
          <w:pgNumType w:start="101"/>
        </w:sectPr>
      </w:pPr>
    </w:p>
    <w:p>
      <w:pPr>
        <w:spacing w:line="240" w:lineRule="auto" w:before="6"/>
        <w:rPr>
          <w:rFonts w:ascii="宋体" w:hAnsi="宋体" w:cs="宋体" w:eastAsia="宋体" w:hint="default"/>
          <w:sz w:val="24"/>
          <w:szCs w:val="24"/>
        </w:rPr>
      </w:pPr>
    </w:p>
    <w:p>
      <w:pPr>
        <w:spacing w:line="864" w:lineRule="exact"/>
        <w:ind w:left="119"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86.15pt;height:43.2pt;mso-position-horizontal-relative:char;mso-position-vertical-relative:line" coordorigin="0,0" coordsize="9723,864">
            <v:group style="position:absolute;left:5;top:5;width:9713;height:2" coordorigin="5,5" coordsize="9713,2">
              <v:shape style="position:absolute;left:5;top:5;width:9713;height:2" coordorigin="5,5" coordsize="9713,0" path="m5,5l9718,5e" filled="false" stroked="true" strokeweight=".48004pt" strokecolor="#000000">
                <v:path arrowok="t"/>
              </v:shape>
            </v:group>
            <v:group style="position:absolute;left:2156;top:10;width:2;height:845" coordorigin="2156,10" coordsize="2,845">
              <v:shape style="position:absolute;left:2156;top:10;width:2;height:845" coordorigin="2156,10" coordsize="0,845" path="m2156,10l2156,854e" filled="false" stroked="true" strokeweight=".48pt" strokecolor="#000000">
                <v:path arrowok="t"/>
              </v:shape>
            </v:group>
            <v:group style="position:absolute;left:3319;top:10;width:2;height:845" coordorigin="3319,10" coordsize="2,845">
              <v:shape style="position:absolute;left:3319;top:10;width:2;height:845" coordorigin="3319,10" coordsize="0,845" path="m3319,10l3319,854e" filled="false" stroked="true" strokeweight=".48pt" strokecolor="#000000">
                <v:path arrowok="t"/>
              </v:shape>
            </v:group>
            <v:group style="position:absolute;left:4080;top:10;width:2;height:845" coordorigin="4080,10" coordsize="2,845">
              <v:shape style="position:absolute;left:4080;top:10;width:2;height:845" coordorigin="4080,10" coordsize="0,845" path="m4080,10l4080,854e" filled="false" stroked="true" strokeweight=".48001pt" strokecolor="#000000">
                <v:path arrowok="t"/>
              </v:shape>
            </v:group>
            <v:group style="position:absolute;left:5107;top:10;width:2;height:845" coordorigin="5107,10" coordsize="2,845">
              <v:shape style="position:absolute;left:5107;top:10;width:2;height:845" coordorigin="5107,10" coordsize="0,845" path="m5107,10l5107,854e" filled="false" stroked="true" strokeweight=".47998pt" strokecolor="#000000">
                <v:path arrowok="t"/>
              </v:shape>
            </v:group>
            <v:group style="position:absolute;left:5941;top:10;width:2;height:845" coordorigin="5941,10" coordsize="2,845">
              <v:shape style="position:absolute;left:5941;top:10;width:2;height:845" coordorigin="5941,10" coordsize="0,845" path="m5941,10l5941,854e" filled="false" stroked="true" strokeweight=".48001pt" strokecolor="#000000">
                <v:path arrowok="t"/>
              </v:shape>
            </v:group>
            <v:group style="position:absolute;left:7103;top:10;width:2;height:845" coordorigin="7103,10" coordsize="2,845">
              <v:shape style="position:absolute;left:7103;top:10;width:2;height:845" coordorigin="7103,10" coordsize="0,845" path="m7103,10l7103,854e" filled="false" stroked="true" strokeweight=".47998pt" strokecolor="#000000">
                <v:path arrowok="t"/>
              </v:shape>
            </v:group>
            <v:group style="position:absolute;left:7864;top:10;width:2;height:845" coordorigin="7864,10" coordsize="2,845">
              <v:shape style="position:absolute;left:7864;top:10;width:2;height:845" coordorigin="7864,10" coordsize="0,845" path="m7864,10l7864,854e" filled="false" stroked="true" strokeweight=".48004pt" strokecolor="#000000">
                <v:path arrowok="t"/>
              </v:shape>
            </v:group>
            <v:group style="position:absolute;left:8891;top:10;width:2;height:845" coordorigin="8891,10" coordsize="2,845">
              <v:shape style="position:absolute;left:8891;top:10;width:2;height:845" coordorigin="8891,10" coordsize="0,845" path="m8891,10l8891,854e" filled="false" stroked="true" strokeweight=".48001pt" strokecolor="#000000">
                <v:path arrowok="t"/>
              </v:shape>
            </v:group>
            <v:group style="position:absolute;left:5;top:859;width:9713;height:2" coordorigin="5,859" coordsize="9713,2">
              <v:shape style="position:absolute;left:5;top:859;width:9713;height:2" coordorigin="5,859" coordsize="9713,0" path="m5,859l9718,859e" filled="false" stroked="true" strokeweight=".47998pt" strokecolor="#000000">
                <v:path arrowok="t"/>
              </v:shape>
              <v:shape style="position:absolute;left:0;top:0;width:9723;height:864" type="#_x0000_t202" filled="false" stroked="false">
                <v:textbox inset="0,0,0,0">
                  <w:txbxContent>
                    <w:p>
                      <w:pPr>
                        <w:spacing w:line="237" w:lineRule="auto" w:before="53"/>
                        <w:ind w:left="112" w:right="7653" w:firstLine="0"/>
                        <w:jc w:val="both"/>
                        <w:rPr>
                          <w:rFonts w:ascii="宋体" w:hAnsi="宋体" w:cs="宋体" w:eastAsia="宋体" w:hint="default"/>
                          <w:sz w:val="18"/>
                          <w:szCs w:val="18"/>
                        </w:rPr>
                      </w:pPr>
                      <w:r>
                        <w:rPr>
                          <w:rFonts w:ascii="宋体" w:hAnsi="宋体" w:cs="宋体" w:eastAsia="宋体" w:hint="default"/>
                          <w:spacing w:val="14"/>
                          <w:sz w:val="18"/>
                          <w:szCs w:val="18"/>
                        </w:rPr>
                        <w:t>单项金额重大并单项计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提坏账准备的其他应收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款</w:t>
                      </w:r>
                    </w:p>
                  </w:txbxContent>
                </v:textbox>
                <w10:wrap type="none"/>
              </v:shape>
            </v:group>
          </v:group>
        </w:pict>
      </w:r>
      <w:r>
        <w:rPr>
          <w:rFonts w:ascii="宋体" w:hAnsi="宋体" w:cs="宋体" w:eastAsia="宋体" w:hint="default"/>
          <w:position w:val="-16"/>
          <w:sz w:val="20"/>
          <w:szCs w:val="20"/>
        </w:rPr>
      </w:r>
    </w:p>
    <w:p>
      <w:pPr>
        <w:spacing w:before="41"/>
        <w:ind w:left="232" w:right="0" w:firstLine="0"/>
        <w:jc w:val="left"/>
        <w:rPr>
          <w:rFonts w:ascii="宋体" w:hAnsi="宋体" w:cs="宋体" w:eastAsia="宋体" w:hint="default"/>
          <w:sz w:val="18"/>
          <w:szCs w:val="18"/>
        </w:rPr>
      </w:pPr>
      <w:r>
        <w:rPr>
          <w:rFonts w:ascii="宋体" w:hAnsi="宋体" w:cs="宋体" w:eastAsia="宋体" w:hint="default"/>
          <w:spacing w:val="-8"/>
          <w:sz w:val="18"/>
          <w:szCs w:val="18"/>
        </w:rPr>
        <w:t>按组合计提坏账准备的其他应收款</w:t>
      </w:r>
    </w:p>
    <w:p>
      <w:pPr>
        <w:spacing w:line="240" w:lineRule="auto" w:before="9"/>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166"/>
        <w:gridCol w:w="1163"/>
        <w:gridCol w:w="761"/>
        <w:gridCol w:w="1027"/>
        <w:gridCol w:w="834"/>
        <w:gridCol w:w="1162"/>
        <w:gridCol w:w="761"/>
        <w:gridCol w:w="1027"/>
        <w:gridCol w:w="834"/>
      </w:tblGrid>
      <w:tr>
        <w:trPr>
          <w:trHeight w:val="45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5,124,820.80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524,610.52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1,880,827.64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303,974.58</w:t>
            </w:r>
          </w:p>
        </w:tc>
        <w:tc>
          <w:tcPr>
            <w:tcW w:w="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16.16</w:t>
            </w:r>
          </w:p>
        </w:tc>
      </w:tr>
      <w:tr>
        <w:trPr>
          <w:trHeight w:val="45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5,124,820.80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524,610.52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1,880,827.64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303,974.58</w:t>
            </w:r>
          </w:p>
        </w:tc>
        <w:tc>
          <w:tcPr>
            <w:tcW w:w="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16.16</w:t>
            </w:r>
          </w:p>
        </w:tc>
      </w:tr>
      <w:tr>
        <w:trPr>
          <w:trHeight w:val="86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83"/>
              <w:jc w:val="both"/>
              <w:rPr>
                <w:rFonts w:ascii="宋体" w:hAnsi="宋体" w:cs="宋体" w:eastAsia="宋体" w:hint="default"/>
                <w:sz w:val="18"/>
                <w:szCs w:val="18"/>
              </w:rPr>
            </w:pPr>
            <w:r>
              <w:rPr>
                <w:rFonts w:ascii="宋体" w:hAnsi="宋体" w:cs="宋体" w:eastAsia="宋体" w:hint="default"/>
                <w:spacing w:val="14"/>
                <w:sz w:val="18"/>
                <w:szCs w:val="18"/>
              </w:rPr>
              <w:t>单项金额虽不重大但单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项计提坏账准备的其他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应收款</w:t>
            </w:r>
          </w:p>
        </w:tc>
        <w:tc>
          <w:tcPr>
            <w:tcW w:w="11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5,124,820.80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524,610.52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1,880,827.64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303,974.58</w:t>
            </w:r>
          </w:p>
        </w:tc>
        <w:tc>
          <w:tcPr>
            <w:tcW w:w="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16.16</w:t>
            </w:r>
          </w:p>
        </w:tc>
      </w:tr>
    </w:tbl>
    <w:p>
      <w:pPr>
        <w:spacing w:line="240" w:lineRule="auto" w:before="1"/>
        <w:rPr>
          <w:rFonts w:ascii="宋体" w:hAnsi="宋体" w:cs="宋体" w:eastAsia="宋体" w:hint="default"/>
          <w:sz w:val="13"/>
          <w:szCs w:val="13"/>
        </w:rPr>
      </w:pPr>
    </w:p>
    <w:p>
      <w:pPr>
        <w:spacing w:line="357" w:lineRule="auto" w:before="35"/>
        <w:ind w:left="664" w:right="678" w:firstLine="420"/>
        <w:jc w:val="both"/>
        <w:rPr>
          <w:rFonts w:ascii="宋体" w:hAnsi="宋体" w:cs="宋体" w:eastAsia="宋体" w:hint="default"/>
          <w:sz w:val="21"/>
          <w:szCs w:val="21"/>
        </w:rPr>
      </w:pPr>
      <w:r>
        <w:rPr>
          <w:rFonts w:ascii="宋体" w:hAnsi="宋体" w:cs="宋体" w:eastAsia="宋体" w:hint="default"/>
          <w:sz w:val="21"/>
          <w:szCs w:val="21"/>
        </w:rPr>
        <w:t>按款项账龄的组合计提坏账准备的其他应收款，是指将未单项计提坏账准备的其他应收款 按账龄划分为若干组合，根据以前年度与之相同或相类似的、具有类似信用风险特征的其他应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收款组合的实际损失率为基础，结合现时情况确定各项组合计提坏账准备的比例，据此计算应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计提的坏账准备。</w:t>
      </w:r>
    </w:p>
    <w:p>
      <w:pPr>
        <w:spacing w:before="151"/>
        <w:ind w:left="1083"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3"/>
        <w:rPr>
          <w:rFonts w:ascii="宋体" w:hAnsi="宋体" w:cs="宋体" w:eastAsia="宋体" w:hint="default"/>
          <w:sz w:val="19"/>
          <w:szCs w:val="19"/>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534" w:type="dxa"/>
        <w:tblLayout w:type="fixed"/>
        <w:tblCellMar>
          <w:top w:w="0" w:type="dxa"/>
          <w:left w:w="0" w:type="dxa"/>
          <w:bottom w:w="0" w:type="dxa"/>
          <w:right w:w="0" w:type="dxa"/>
        </w:tblCellMar>
        <w:tblLook w:val="01E0"/>
      </w:tblPr>
      <w:tblGrid>
        <w:gridCol w:w="1742"/>
        <w:gridCol w:w="1417"/>
        <w:gridCol w:w="908"/>
        <w:gridCol w:w="1218"/>
        <w:gridCol w:w="1417"/>
        <w:gridCol w:w="966"/>
        <w:gridCol w:w="1217"/>
      </w:tblGrid>
      <w:tr>
        <w:trPr>
          <w:trHeight w:val="392"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2" w:hRule="exact"/>
        </w:trPr>
        <w:tc>
          <w:tcPr>
            <w:tcW w:w="1742" w:type="dxa"/>
            <w:vMerge/>
            <w:tcBorders>
              <w:left w:val="nil" w:sz="6" w:space="0" w:color="auto"/>
              <w:right w:val="single" w:sz="6" w:space="0" w:color="000000"/>
            </w:tcBorders>
          </w:tcPr>
          <w:p>
            <w:pPr/>
          </w:p>
        </w:tc>
        <w:tc>
          <w:tcPr>
            <w:tcW w:w="23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2" w:hRule="exact"/>
        </w:trPr>
        <w:tc>
          <w:tcPr>
            <w:tcW w:w="1742" w:type="dxa"/>
            <w:vMerge/>
            <w:tcBorders>
              <w:left w:val="nil" w:sz="6" w:space="0" w:color="auto"/>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8"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4,232,078.94</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82.58</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211,603.95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z w:val="18"/>
              </w:rPr>
              <w:t>814,813.61</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43.32</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40,740.68</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154,458.03</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3.01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15,445.80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z w:val="18"/>
              </w:rPr>
              <w:t>437,204.03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23.25</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43,720.40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238,603.83</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4.66</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47,720.77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z w:val="18"/>
              </w:rPr>
              <w:t>316,305.00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16.82</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63,261.00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499,680.00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9.75</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249,840.00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z w:val="18"/>
              </w:rPr>
              <w:t>312,505.00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16.62</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156,252.50</w:t>
            </w:r>
          </w:p>
        </w:tc>
      </w:tr>
      <w:tr>
        <w:trPr>
          <w:trHeight w:val="394"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5,124,820.80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524,610.52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1,880,827.64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303,974.58</w:t>
            </w:r>
          </w:p>
        </w:tc>
      </w:tr>
    </w:tbl>
    <w:p>
      <w:pPr>
        <w:spacing w:line="240" w:lineRule="auto" w:before="1"/>
        <w:rPr>
          <w:rFonts w:ascii="宋体" w:hAnsi="宋体" w:cs="宋体" w:eastAsia="宋体" w:hint="default"/>
          <w:sz w:val="13"/>
          <w:szCs w:val="13"/>
        </w:rPr>
      </w:pPr>
    </w:p>
    <w:p>
      <w:pPr>
        <w:spacing w:before="35"/>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）本期转回或收回情况：无。</w:t>
      </w:r>
    </w:p>
    <w:p>
      <w:pPr>
        <w:spacing w:line="240" w:lineRule="auto" w:before="2"/>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）本报告期实际核销的其他应收款情况：无。</w:t>
      </w:r>
    </w:p>
    <w:p>
      <w:pPr>
        <w:spacing w:line="240" w:lineRule="auto" w:before="3"/>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）本报告期其他应收款中持有公司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以上表决权股份的股东单位情况：无。</w:t>
      </w:r>
    </w:p>
    <w:p>
      <w:pPr>
        <w:spacing w:line="240" w:lineRule="auto" w:before="2"/>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）金额较大的其他应收款的性质或内容：</w:t>
      </w:r>
    </w:p>
    <w:p>
      <w:pPr>
        <w:spacing w:line="240" w:lineRule="auto" w:before="3"/>
        <w:rPr>
          <w:rFonts w:ascii="宋体" w:hAnsi="宋体" w:cs="宋体" w:eastAsia="宋体" w:hint="default"/>
          <w:sz w:val="18"/>
          <w:szCs w:val="18"/>
        </w:rPr>
      </w:pPr>
    </w:p>
    <w:p>
      <w:pPr>
        <w:spacing w:before="0"/>
        <w:ind w:left="108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年其他应收款期末余额主要为各类押金和备用金。</w:t>
      </w:r>
    </w:p>
    <w:p>
      <w:pPr>
        <w:spacing w:line="240" w:lineRule="auto" w:before="2"/>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after="0"/>
        <w:jc w:val="left"/>
        <w:rPr>
          <w:rFonts w:ascii="宋体" w:hAnsi="宋体" w:cs="宋体" w:eastAsia="宋体" w:hint="default"/>
          <w:sz w:val="21"/>
          <w:szCs w:val="21"/>
        </w:rPr>
        <w:sectPr>
          <w:pgSz w:w="11910" w:h="16840"/>
          <w:pgMar w:header="877" w:footer="982" w:top="1100" w:bottom="1180" w:left="980" w:right="960"/>
        </w:sectPr>
      </w:pPr>
    </w:p>
    <w:p>
      <w:pPr>
        <w:spacing w:line="240" w:lineRule="auto" w:before="1"/>
        <w:rPr>
          <w:rFonts w:ascii="宋体" w:hAnsi="宋体" w:cs="宋体" w:eastAsia="宋体" w:hint="default"/>
          <w:sz w:val="19"/>
          <w:szCs w:val="19"/>
        </w:rPr>
      </w:pPr>
    </w:p>
    <w:p>
      <w:pPr>
        <w:spacing w:before="35"/>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434"/>
        <w:gridCol w:w="1260"/>
        <w:gridCol w:w="1440"/>
        <w:gridCol w:w="1081"/>
        <w:gridCol w:w="1633"/>
      </w:tblGrid>
      <w:tr>
        <w:trPr>
          <w:trHeight w:val="7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415" w:right="203"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2"/>
              <w:ind w:left="129" w:right="132" w:firstLine="51"/>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 总额的比例</w:t>
            </w:r>
            <w:r>
              <w:rPr>
                <w:rFonts w:ascii="Times New Roman" w:hAnsi="Times New Roman" w:cs="Times New Roman" w:eastAsia="Times New Roman" w:hint="default"/>
                <w:sz w:val="21"/>
                <w:szCs w:val="21"/>
              </w:rPr>
              <w:t>(%)</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222,580.76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零至三年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4.34</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中国工商银行有限公司深圳市分行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180,000.00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零至四年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3.51</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深圳科技工业园有限公司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175,922.00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3.43</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中国农业银行有限公司吉林省分行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120,000.00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2.34</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中国农业银行有限公司深圳市分行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110,048.00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2.15</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6" w:right="0"/>
              <w:jc w:val="left"/>
              <w:rPr>
                <w:rFonts w:ascii="Times New Roman" w:hAnsi="Times New Roman" w:cs="Times New Roman" w:eastAsia="Times New Roman" w:hint="default"/>
                <w:sz w:val="18"/>
                <w:szCs w:val="18"/>
              </w:rPr>
            </w:pPr>
            <w:r>
              <w:rPr>
                <w:rFonts w:ascii="Times New Roman"/>
                <w:sz w:val="18"/>
              </w:rPr>
              <w:t>808,550.76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15.78</w:t>
            </w:r>
          </w:p>
        </w:tc>
      </w:tr>
    </w:tbl>
    <w:p>
      <w:pPr>
        <w:spacing w:line="240" w:lineRule="auto" w:before="4"/>
        <w:rPr>
          <w:rFonts w:ascii="宋体" w:hAnsi="宋体" w:cs="宋体" w:eastAsia="宋体" w:hint="default"/>
          <w:sz w:val="22"/>
          <w:szCs w:val="22"/>
        </w:rPr>
      </w:pPr>
    </w:p>
    <w:p>
      <w:pPr>
        <w:spacing w:before="35"/>
        <w:ind w:left="304" w:right="54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）应收关联方款项：无。</w:t>
      </w:r>
    </w:p>
    <w:p>
      <w:pPr>
        <w:spacing w:line="240" w:lineRule="auto" w:before="2"/>
        <w:rPr>
          <w:rFonts w:ascii="宋体" w:hAnsi="宋体" w:cs="宋体" w:eastAsia="宋体" w:hint="default"/>
          <w:sz w:val="18"/>
          <w:szCs w:val="18"/>
        </w:rPr>
      </w:pPr>
    </w:p>
    <w:p>
      <w:pPr>
        <w:spacing w:before="0"/>
        <w:ind w:left="304" w:right="28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）终止确认的其他应收款项情况：无。</w:t>
      </w:r>
    </w:p>
    <w:p>
      <w:pPr>
        <w:spacing w:line="240" w:lineRule="auto" w:before="3"/>
        <w:rPr>
          <w:rFonts w:ascii="宋体" w:hAnsi="宋体" w:cs="宋体" w:eastAsia="宋体" w:hint="default"/>
          <w:sz w:val="18"/>
          <w:szCs w:val="18"/>
        </w:rPr>
      </w:pPr>
    </w:p>
    <w:p>
      <w:pPr>
        <w:spacing w:before="0"/>
        <w:ind w:left="304" w:right="3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）以其他应收款项为标的进行证券化的，列示继续涉入形成的资产、负债的金额：无。</w:t>
      </w:r>
    </w:p>
    <w:p>
      <w:pPr>
        <w:spacing w:line="240" w:lineRule="auto" w:before="2"/>
        <w:rPr>
          <w:rFonts w:ascii="宋体" w:hAnsi="宋体" w:cs="宋体" w:eastAsia="宋体" w:hint="default"/>
          <w:sz w:val="18"/>
          <w:szCs w:val="18"/>
        </w:rPr>
      </w:pPr>
    </w:p>
    <w:p>
      <w:pPr>
        <w:spacing w:before="0"/>
        <w:ind w:left="304" w:right="54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304" w:right="54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1"/>
        <w:rPr>
          <w:rFonts w:ascii="宋体" w:hAnsi="宋体" w:cs="宋体" w:eastAsia="宋体" w:hint="default"/>
          <w:sz w:val="18"/>
          <w:szCs w:val="18"/>
        </w:rPr>
      </w:pPr>
    </w:p>
    <w:p>
      <w:pPr>
        <w:spacing w:before="0"/>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84" w:type="dxa"/>
        <w:tblLayout w:type="fixed"/>
        <w:tblCellMar>
          <w:top w:w="0" w:type="dxa"/>
          <w:left w:w="0" w:type="dxa"/>
          <w:bottom w:w="0" w:type="dxa"/>
          <w:right w:w="0" w:type="dxa"/>
        </w:tblCellMar>
        <w:tblLook w:val="01E0"/>
      </w:tblPr>
      <w:tblGrid>
        <w:gridCol w:w="1684"/>
        <w:gridCol w:w="1766"/>
        <w:gridCol w:w="1768"/>
        <w:gridCol w:w="1766"/>
        <w:gridCol w:w="1768"/>
      </w:tblGrid>
      <w:tr>
        <w:trPr>
          <w:trHeight w:val="388" w:hRule="exact"/>
        </w:trPr>
        <w:tc>
          <w:tcPr>
            <w:tcW w:w="168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3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1684" w:type="dxa"/>
            <w:vMerge/>
            <w:tcBorders>
              <w:left w:val="nil" w:sz="6" w:space="0" w:color="auto"/>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8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605,900.00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0"/>
              <w:jc w:val="right"/>
              <w:rPr>
                <w:rFonts w:ascii="Times New Roman" w:hAnsi="Times New Roman" w:cs="Times New Roman" w:eastAsia="Times New Roman" w:hint="default"/>
                <w:sz w:val="18"/>
                <w:szCs w:val="18"/>
              </w:rPr>
            </w:pPr>
            <w:r>
              <w:rPr>
                <w:rFonts w:ascii="Times New Roman"/>
                <w:sz w:val="18"/>
              </w:rPr>
              <w:t>95.57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600.00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2.09</w:t>
            </w:r>
          </w:p>
        </w:tc>
      </w:tr>
      <w:tr>
        <w:trPr>
          <w:trHeight w:val="38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1,140.00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3.97</w:t>
            </w:r>
          </w:p>
        </w:tc>
      </w:tr>
      <w:tr>
        <w:trPr>
          <w:trHeight w:val="38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28,100.00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0"/>
              <w:jc w:val="right"/>
              <w:rPr>
                <w:rFonts w:ascii="Times New Roman" w:hAnsi="Times New Roman" w:cs="Times New Roman" w:eastAsia="Times New Roman" w:hint="default"/>
                <w:sz w:val="18"/>
                <w:szCs w:val="18"/>
              </w:rPr>
            </w:pPr>
            <w:r>
              <w:rPr>
                <w:rFonts w:ascii="Times New Roman"/>
                <w:sz w:val="18"/>
              </w:rPr>
              <w:t>4.43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26,960.00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93.94</w:t>
            </w:r>
          </w:p>
        </w:tc>
      </w:tr>
      <w:tr>
        <w:trPr>
          <w:trHeight w:val="388"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634,000.00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0"/>
              <w:jc w:val="right"/>
              <w:rPr>
                <w:rFonts w:ascii="Times New Roman" w:hAnsi="Times New Roman" w:cs="Times New Roman" w:eastAsia="Times New Roman" w:hint="default"/>
                <w:sz w:val="18"/>
                <w:szCs w:val="18"/>
              </w:rPr>
            </w:pPr>
            <w:r>
              <w:rPr>
                <w:rFonts w:ascii="Times New Roman"/>
                <w:sz w:val="18"/>
              </w:rPr>
              <w:t>100.00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z w:val="18"/>
              </w:rPr>
              <w:t>28,700.00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4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22"/>
          <w:szCs w:val="22"/>
        </w:rPr>
      </w:pPr>
    </w:p>
    <w:p>
      <w:pPr>
        <w:spacing w:before="35"/>
        <w:ind w:left="304" w:right="54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5"/>
        <w:rPr>
          <w:rFonts w:ascii="宋体" w:hAnsi="宋体" w:cs="宋体" w:eastAsia="宋体" w:hint="default"/>
          <w:sz w:val="15"/>
          <w:szCs w:val="15"/>
        </w:rPr>
      </w:pPr>
    </w:p>
    <w:p>
      <w:pPr>
        <w:spacing w:before="35"/>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84" w:type="dxa"/>
        <w:tblLayout w:type="fixed"/>
        <w:tblCellMar>
          <w:top w:w="0" w:type="dxa"/>
          <w:left w:w="0" w:type="dxa"/>
          <w:bottom w:w="0" w:type="dxa"/>
          <w:right w:w="0" w:type="dxa"/>
        </w:tblCellMar>
        <w:tblLook w:val="01E0"/>
      </w:tblPr>
      <w:tblGrid>
        <w:gridCol w:w="3074"/>
        <w:gridCol w:w="1440"/>
        <w:gridCol w:w="1284"/>
        <w:gridCol w:w="1308"/>
        <w:gridCol w:w="1678"/>
      </w:tblGrid>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源德盛塑胶电子</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262,800.00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研发模具预付款</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深圳市协众机电设备有限公司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89,800.00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装饰材料预付款</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深圳市博华企业管理咨询有限公司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服务中介</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82,500.00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38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江苏万佳科技开发有限公司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80,500.00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工程服务预付款</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童立（工程服务负责人）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80,000.00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8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595,600.00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1340" w:right="1380"/>
        </w:sectPr>
      </w:pPr>
    </w:p>
    <w:p>
      <w:pPr>
        <w:spacing w:line="240" w:lineRule="auto" w:before="2"/>
        <w:rPr>
          <w:rFonts w:ascii="宋体" w:hAnsi="宋体" w:cs="宋体" w:eastAsia="宋体" w:hint="default"/>
          <w:sz w:val="19"/>
          <w:szCs w:val="19"/>
        </w:rPr>
      </w:pPr>
    </w:p>
    <w:p>
      <w:pPr>
        <w:spacing w:line="355" w:lineRule="auto" w:before="35"/>
        <w:ind w:left="304" w:right="150" w:firstLine="420"/>
        <w:jc w:val="left"/>
        <w:rPr>
          <w:rFonts w:ascii="宋体" w:hAnsi="宋体" w:cs="宋体" w:eastAsia="宋体" w:hint="default"/>
          <w:sz w:val="21"/>
          <w:szCs w:val="21"/>
        </w:rPr>
      </w:pPr>
      <w:r>
        <w:rPr>
          <w:rFonts w:ascii="宋体" w:hAnsi="宋体" w:cs="宋体" w:eastAsia="宋体" w:hint="default"/>
          <w:sz w:val="21"/>
          <w:szCs w:val="21"/>
        </w:rPr>
        <w:t>预付款项主要为预付研发新产品模具费、募集项目实施地点装修费以及人力资源管理咨询 项目的款项。</w:t>
      </w:r>
    </w:p>
    <w:p>
      <w:pPr>
        <w:spacing w:before="153"/>
        <w:ind w:left="30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）本报告期预付款项中持有公司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以上表决权股份的股东单位情况：无。</w:t>
      </w:r>
    </w:p>
    <w:p>
      <w:pPr>
        <w:spacing w:line="240" w:lineRule="auto" w:before="2"/>
        <w:rPr>
          <w:rFonts w:ascii="宋体" w:hAnsi="宋体" w:cs="宋体" w:eastAsia="宋体" w:hint="default"/>
          <w:sz w:val="18"/>
          <w:szCs w:val="18"/>
        </w:rPr>
      </w:pPr>
    </w:p>
    <w:p>
      <w:pPr>
        <w:spacing w:before="0"/>
        <w:ind w:left="30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30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1"/>
        <w:rPr>
          <w:rFonts w:ascii="宋体" w:hAnsi="宋体" w:cs="宋体" w:eastAsia="宋体" w:hint="default"/>
          <w:sz w:val="18"/>
          <w:szCs w:val="18"/>
        </w:rPr>
      </w:pPr>
    </w:p>
    <w:p>
      <w:pPr>
        <w:spacing w:before="0"/>
        <w:ind w:left="0" w:right="1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53" w:type="dxa"/>
        <w:tblLayout w:type="fixed"/>
        <w:tblCellMar>
          <w:top w:w="0" w:type="dxa"/>
          <w:left w:w="0" w:type="dxa"/>
          <w:bottom w:w="0" w:type="dxa"/>
          <w:right w:w="0" w:type="dxa"/>
        </w:tblCellMar>
        <w:tblLook w:val="01E0"/>
      </w:tblPr>
      <w:tblGrid>
        <w:gridCol w:w="1910"/>
        <w:gridCol w:w="1130"/>
        <w:gridCol w:w="1130"/>
        <w:gridCol w:w="1132"/>
        <w:gridCol w:w="1130"/>
        <w:gridCol w:w="1129"/>
        <w:gridCol w:w="1133"/>
      </w:tblGrid>
      <w:tr>
        <w:trPr>
          <w:trHeight w:val="388" w:hRule="exact"/>
        </w:trPr>
        <w:tc>
          <w:tcPr>
            <w:tcW w:w="191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9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1910" w:type="dxa"/>
            <w:vMerge/>
            <w:tcBorders>
              <w:left w:val="nil" w:sz="6" w:space="0" w:color="auto"/>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8"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8" w:right="0"/>
              <w:jc w:val="left"/>
              <w:rPr>
                <w:rFonts w:ascii="Times New Roman" w:hAnsi="Times New Roman" w:cs="Times New Roman" w:eastAsia="Times New Roman" w:hint="default"/>
                <w:sz w:val="18"/>
                <w:szCs w:val="18"/>
              </w:rPr>
            </w:pPr>
            <w:r>
              <w:rPr>
                <w:rFonts w:ascii="Times New Roman"/>
                <w:sz w:val="18"/>
              </w:rPr>
              <w:t>1,247,558.79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9" w:right="0"/>
              <w:jc w:val="left"/>
              <w:rPr>
                <w:rFonts w:ascii="Times New Roman" w:hAnsi="Times New Roman" w:cs="Times New Roman" w:eastAsia="Times New Roman" w:hint="default"/>
                <w:sz w:val="18"/>
                <w:szCs w:val="18"/>
              </w:rPr>
            </w:pPr>
            <w:r>
              <w:rPr>
                <w:rFonts w:ascii="Times New Roman"/>
                <w:sz w:val="18"/>
              </w:rPr>
              <w:t>1,247,558.79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z w:val="18"/>
              </w:rPr>
              <w:t>971,158.80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9"/>
              <w:jc w:val="right"/>
              <w:rPr>
                <w:rFonts w:ascii="Times New Roman" w:hAnsi="Times New Roman" w:cs="Times New Roman" w:eastAsia="Times New Roman" w:hint="default"/>
                <w:sz w:val="18"/>
                <w:szCs w:val="18"/>
              </w:rPr>
            </w:pPr>
            <w:r>
              <w:rPr>
                <w:rFonts w:ascii="Times New Roman"/>
                <w:sz w:val="18"/>
              </w:rPr>
              <w:t>971,158.80</w:t>
            </w:r>
          </w:p>
        </w:tc>
      </w:tr>
      <w:tr>
        <w:trPr>
          <w:trHeight w:val="388"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8" w:right="0"/>
              <w:jc w:val="left"/>
              <w:rPr>
                <w:rFonts w:ascii="Times New Roman" w:hAnsi="Times New Roman" w:cs="Times New Roman" w:eastAsia="Times New Roman" w:hint="default"/>
                <w:sz w:val="18"/>
                <w:szCs w:val="18"/>
              </w:rPr>
            </w:pPr>
            <w:r>
              <w:rPr>
                <w:rFonts w:ascii="Times New Roman"/>
                <w:sz w:val="18"/>
              </w:rPr>
              <w:t>1,247,558.79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9" w:right="0"/>
              <w:jc w:val="left"/>
              <w:rPr>
                <w:rFonts w:ascii="Times New Roman" w:hAnsi="Times New Roman" w:cs="Times New Roman" w:eastAsia="Times New Roman" w:hint="default"/>
                <w:sz w:val="18"/>
                <w:szCs w:val="18"/>
              </w:rPr>
            </w:pPr>
            <w:r>
              <w:rPr>
                <w:rFonts w:ascii="Times New Roman"/>
                <w:sz w:val="18"/>
              </w:rPr>
              <w:t>1,247,558.79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z w:val="18"/>
              </w:rPr>
              <w:t>971,158.80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9"/>
              <w:jc w:val="right"/>
              <w:rPr>
                <w:rFonts w:ascii="Times New Roman" w:hAnsi="Times New Roman" w:cs="Times New Roman" w:eastAsia="Times New Roman" w:hint="default"/>
                <w:sz w:val="18"/>
                <w:szCs w:val="18"/>
              </w:rPr>
            </w:pPr>
            <w:r>
              <w:rPr>
                <w:rFonts w:ascii="Times New Roman"/>
                <w:sz w:val="18"/>
              </w:rPr>
              <w:t>971,158.80</w:t>
            </w:r>
          </w:p>
        </w:tc>
      </w:tr>
    </w:tbl>
    <w:p>
      <w:pPr>
        <w:spacing w:line="240" w:lineRule="auto" w:before="4"/>
        <w:rPr>
          <w:rFonts w:ascii="宋体" w:hAnsi="宋体" w:cs="宋体" w:eastAsia="宋体" w:hint="default"/>
          <w:sz w:val="22"/>
          <w:szCs w:val="22"/>
        </w:rPr>
      </w:pPr>
    </w:p>
    <w:p>
      <w:pPr>
        <w:spacing w:before="35"/>
        <w:ind w:left="30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6"/>
        <w:rPr>
          <w:rFonts w:ascii="宋体" w:hAnsi="宋体" w:cs="宋体" w:eastAsia="宋体" w:hint="default"/>
          <w:sz w:val="15"/>
          <w:szCs w:val="15"/>
        </w:rPr>
      </w:pPr>
    </w:p>
    <w:p>
      <w:pPr>
        <w:spacing w:before="35"/>
        <w:ind w:left="0" w:right="1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84" w:type="dxa"/>
        <w:tblLayout w:type="fixed"/>
        <w:tblCellMar>
          <w:top w:w="0" w:type="dxa"/>
          <w:left w:w="0" w:type="dxa"/>
          <w:bottom w:w="0" w:type="dxa"/>
          <w:right w:w="0" w:type="dxa"/>
        </w:tblCellMar>
        <w:tblLook w:val="01E0"/>
      </w:tblPr>
      <w:tblGrid>
        <w:gridCol w:w="1274"/>
        <w:gridCol w:w="1260"/>
        <w:gridCol w:w="1440"/>
        <w:gridCol w:w="1260"/>
        <w:gridCol w:w="1080"/>
        <w:gridCol w:w="2340"/>
      </w:tblGrid>
      <w:tr>
        <w:trPr>
          <w:trHeight w:val="426" w:hRule="exact"/>
        </w:trPr>
        <w:tc>
          <w:tcPr>
            <w:tcW w:w="127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40"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26" w:hRule="exact"/>
        </w:trPr>
        <w:tc>
          <w:tcPr>
            <w:tcW w:w="1274" w:type="dxa"/>
            <w:vMerge/>
            <w:tcBorders>
              <w:left w:val="nil" w:sz="6" w:space="0" w:color="auto"/>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1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25"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2340" w:type="dxa"/>
            <w:vMerge/>
            <w:tcBorders>
              <w:left w:val="single" w:sz="4" w:space="0" w:color="000000"/>
              <w:bottom w:val="single" w:sz="4" w:space="0" w:color="000000"/>
              <w:right w:val="nil" w:sz="6" w:space="0" w:color="auto"/>
            </w:tcBorders>
          </w:tcPr>
          <w:p>
            <w:pPr/>
          </w:p>
        </w:tc>
      </w:tr>
      <w:tr>
        <w:trPr>
          <w:trHeight w:val="42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r>
      <w:tr>
        <w:trPr>
          <w:trHeight w:val="427"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r>
    </w:tbl>
    <w:p>
      <w:pPr>
        <w:spacing w:before="86"/>
        <w:ind w:left="724" w:right="0" w:firstLine="0"/>
        <w:jc w:val="left"/>
        <w:rPr>
          <w:rFonts w:ascii="宋体" w:hAnsi="宋体" w:cs="宋体" w:eastAsia="宋体" w:hint="default"/>
          <w:sz w:val="21"/>
          <w:szCs w:val="21"/>
        </w:rPr>
      </w:pPr>
      <w:r>
        <w:rPr>
          <w:rFonts w:ascii="宋体" w:hAnsi="宋体" w:cs="宋体" w:eastAsia="宋体" w:hint="default"/>
          <w:sz w:val="21"/>
          <w:szCs w:val="21"/>
        </w:rPr>
        <w:t>按照年末库存盘点结果，根据其可变现净值低于存货成本的差额计提存货跌价准备。</w:t>
      </w:r>
    </w:p>
    <w:p>
      <w:pPr>
        <w:spacing w:line="240" w:lineRule="auto" w:before="5"/>
        <w:rPr>
          <w:rFonts w:ascii="宋体" w:hAnsi="宋体" w:cs="宋体" w:eastAsia="宋体" w:hint="default"/>
          <w:sz w:val="19"/>
          <w:szCs w:val="19"/>
        </w:rPr>
      </w:pPr>
    </w:p>
    <w:p>
      <w:pPr>
        <w:spacing w:before="0"/>
        <w:ind w:left="30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tabs>
          <w:tab w:pos="1154" w:val="left" w:leader="none"/>
        </w:tabs>
        <w:spacing w:before="0"/>
        <w:ind w:left="0" w:right="137"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9"/>
        <w:rPr>
          <w:rFonts w:ascii="宋体" w:hAnsi="宋体" w:cs="宋体" w:eastAsia="宋体" w:hint="default"/>
          <w:sz w:val="11"/>
          <w:szCs w:val="11"/>
        </w:rPr>
      </w:pPr>
    </w:p>
    <w:tbl>
      <w:tblPr>
        <w:tblW w:w="0" w:type="auto"/>
        <w:jc w:val="left"/>
        <w:tblInd w:w="284" w:type="dxa"/>
        <w:tblLayout w:type="fixed"/>
        <w:tblCellMar>
          <w:top w:w="0" w:type="dxa"/>
          <w:left w:w="0" w:type="dxa"/>
          <w:bottom w:w="0" w:type="dxa"/>
          <w:right w:w="0" w:type="dxa"/>
        </w:tblCellMar>
        <w:tblLook w:val="01E0"/>
      </w:tblPr>
      <w:tblGrid>
        <w:gridCol w:w="2534"/>
        <w:gridCol w:w="2700"/>
        <w:gridCol w:w="3420"/>
      </w:tblGrid>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9"/>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289,731.28</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134,497.33</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289,731.28</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134,497.33</w:t>
            </w:r>
          </w:p>
        </w:tc>
      </w:tr>
    </w:tbl>
    <w:p>
      <w:pPr>
        <w:spacing w:line="240" w:lineRule="auto" w:before="1"/>
        <w:rPr>
          <w:rFonts w:ascii="宋体" w:hAnsi="宋体" w:cs="宋体" w:eastAsia="宋体" w:hint="default"/>
          <w:sz w:val="13"/>
          <w:szCs w:val="13"/>
        </w:rPr>
      </w:pPr>
    </w:p>
    <w:p>
      <w:pPr>
        <w:spacing w:before="35"/>
        <w:ind w:left="724" w:right="0" w:firstLine="0"/>
        <w:jc w:val="left"/>
        <w:rPr>
          <w:rFonts w:ascii="宋体" w:hAnsi="宋体" w:cs="宋体" w:eastAsia="宋体" w:hint="default"/>
          <w:sz w:val="21"/>
          <w:szCs w:val="21"/>
        </w:rPr>
      </w:pPr>
      <w:r>
        <w:rPr>
          <w:rFonts w:ascii="宋体" w:hAnsi="宋体" w:cs="宋体" w:eastAsia="宋体" w:hint="default"/>
          <w:sz w:val="21"/>
          <w:szCs w:val="21"/>
        </w:rPr>
        <w:t>待摊费用主要为预付的房租。</w:t>
      </w:r>
    </w:p>
    <w:p>
      <w:pPr>
        <w:spacing w:line="240" w:lineRule="auto" w:before="5"/>
        <w:rPr>
          <w:rFonts w:ascii="宋体" w:hAnsi="宋体" w:cs="宋体" w:eastAsia="宋体" w:hint="default"/>
          <w:sz w:val="19"/>
          <w:szCs w:val="19"/>
        </w:rPr>
      </w:pPr>
    </w:p>
    <w:p>
      <w:pPr>
        <w:spacing w:before="0"/>
        <w:ind w:left="30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30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）按成本计量的投资性房地产</w:t>
      </w:r>
    </w:p>
    <w:p>
      <w:pPr>
        <w:spacing w:line="240" w:lineRule="auto" w:before="5"/>
        <w:rPr>
          <w:rFonts w:ascii="宋体" w:hAnsi="宋体" w:cs="宋体" w:eastAsia="宋体" w:hint="default"/>
          <w:sz w:val="15"/>
          <w:szCs w:val="15"/>
        </w:rPr>
      </w:pPr>
    </w:p>
    <w:p>
      <w:pPr>
        <w:spacing w:before="35"/>
        <w:ind w:left="0" w:right="2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160"/>
        <w:gridCol w:w="1424"/>
        <w:gridCol w:w="1348"/>
        <w:gridCol w:w="1352"/>
        <w:gridCol w:w="1565"/>
      </w:tblGrid>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0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47,315,346.98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8" w:right="0"/>
              <w:jc w:val="left"/>
              <w:rPr>
                <w:rFonts w:ascii="Times New Roman" w:hAnsi="Times New Roman" w:cs="Times New Roman" w:eastAsia="Times New Roman" w:hint="default"/>
                <w:sz w:val="18"/>
                <w:szCs w:val="18"/>
              </w:rPr>
            </w:pPr>
            <w:r>
              <w:rPr>
                <w:rFonts w:ascii="Times New Roman"/>
                <w:sz w:val="18"/>
              </w:rPr>
              <w:t>1,385,141.25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47,315,346.98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8" w:right="0"/>
              <w:jc w:val="left"/>
              <w:rPr>
                <w:rFonts w:ascii="Times New Roman" w:hAnsi="Times New Roman" w:cs="Times New Roman" w:eastAsia="Times New Roman" w:hint="default"/>
                <w:sz w:val="18"/>
                <w:szCs w:val="18"/>
              </w:rPr>
            </w:pPr>
            <w:r>
              <w:rPr>
                <w:rFonts w:ascii="Times New Roman"/>
                <w:sz w:val="18"/>
              </w:rPr>
              <w:t>1,385,141.25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48,700,488.23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340" w:right="148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160"/>
        <w:gridCol w:w="1424"/>
        <w:gridCol w:w="1348"/>
        <w:gridCol w:w="1352"/>
        <w:gridCol w:w="1565"/>
      </w:tblGrid>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0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1,217,384.48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1,146,476.16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2,363,860.64</w:t>
            </w:r>
          </w:p>
        </w:tc>
      </w:tr>
      <w:tr>
        <w:trPr>
          <w:trHeight w:val="386"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1,217,384.48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1,146,476.16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2,363,860.64</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46,097,962.50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238,665.09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46,336,627.59</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46,097,962.50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238,665.09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46,336,627.59</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620"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97"/>
              <w:jc w:val="left"/>
              <w:rPr>
                <w:rFonts w:ascii="宋体" w:hAnsi="宋体" w:cs="宋体" w:eastAsia="宋体" w:hint="default"/>
                <w:sz w:val="18"/>
                <w:szCs w:val="18"/>
              </w:rPr>
            </w:pPr>
            <w:r>
              <w:rPr>
                <w:rFonts w:ascii="宋体" w:hAnsi="宋体" w:cs="宋体" w:eastAsia="宋体" w:hint="default"/>
                <w:spacing w:val="2"/>
                <w:sz w:val="18"/>
                <w:szCs w:val="18"/>
              </w:rPr>
              <w:t>四、投资性房地产减值准备累计金额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46,097,962.50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238,665.09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46,336,627.59</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46,097,962.50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238,665.09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46,336,627.59</w:t>
            </w:r>
          </w:p>
        </w:tc>
      </w:tr>
      <w:tr>
        <w:trPr>
          <w:trHeight w:val="388" w:hRule="exact"/>
        </w:trPr>
        <w:tc>
          <w:tcPr>
            <w:tcW w:w="3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bl>
    <w:p>
      <w:pPr>
        <w:spacing w:line="436" w:lineRule="auto" w:before="86"/>
        <w:ind w:left="723" w:right="4561" w:firstLine="0"/>
        <w:jc w:val="left"/>
        <w:rPr>
          <w:rFonts w:ascii="宋体" w:hAnsi="宋体" w:cs="宋体" w:eastAsia="宋体" w:hint="default"/>
          <w:sz w:val="21"/>
          <w:szCs w:val="21"/>
        </w:rPr>
      </w:pPr>
      <w:r>
        <w:rPr>
          <w:rFonts w:ascii="宋体" w:hAnsi="宋体" w:cs="宋体" w:eastAsia="宋体" w:hint="default"/>
          <w:sz w:val="21"/>
          <w:szCs w:val="21"/>
        </w:rPr>
        <w:t>本期折旧和摊销额为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1,146,476.16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投资性房地产本期减值准备计提额：无。</w:t>
      </w:r>
    </w:p>
    <w:p>
      <w:pPr>
        <w:spacing w:before="82"/>
        <w:ind w:left="30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30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6"/>
        <w:rPr>
          <w:rFonts w:ascii="宋体" w:hAnsi="宋体" w:cs="宋体" w:eastAsia="宋体" w:hint="default"/>
          <w:sz w:val="15"/>
          <w:szCs w:val="15"/>
        </w:rPr>
      </w:pPr>
    </w:p>
    <w:p>
      <w:pPr>
        <w:spacing w:before="35"/>
        <w:ind w:left="0" w:right="2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54" w:type="dxa"/>
        <w:tblLayout w:type="fixed"/>
        <w:tblCellMar>
          <w:top w:w="0" w:type="dxa"/>
          <w:left w:w="0" w:type="dxa"/>
          <w:bottom w:w="0" w:type="dxa"/>
          <w:right w:w="0" w:type="dxa"/>
        </w:tblCellMar>
        <w:tblLook w:val="01E0"/>
      </w:tblPr>
      <w:tblGrid>
        <w:gridCol w:w="2566"/>
        <w:gridCol w:w="1579"/>
        <w:gridCol w:w="805"/>
        <w:gridCol w:w="1038"/>
        <w:gridCol w:w="1260"/>
        <w:gridCol w:w="1435"/>
      </w:tblGrid>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1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4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6"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4,814,878.50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2" w:right="0"/>
              <w:jc w:val="left"/>
              <w:rPr>
                <w:rFonts w:ascii="Times New Roman" w:hAnsi="Times New Roman" w:cs="Times New Roman" w:eastAsia="Times New Roman" w:hint="default"/>
                <w:sz w:val="18"/>
                <w:szCs w:val="18"/>
              </w:rPr>
            </w:pPr>
            <w:r>
              <w:rPr>
                <w:rFonts w:ascii="Times New Roman"/>
                <w:sz w:val="18"/>
              </w:rPr>
              <w:t>1,998,291.64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211,337.00</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6,601,833.14</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其中：运输工具</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2,176,983.00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2" w:right="0"/>
              <w:jc w:val="left"/>
              <w:rPr>
                <w:rFonts w:ascii="Times New Roman" w:hAnsi="Times New Roman" w:cs="Times New Roman" w:eastAsia="Times New Roman" w:hint="default"/>
                <w:sz w:val="18"/>
                <w:szCs w:val="18"/>
              </w:rPr>
            </w:pPr>
            <w:r>
              <w:rPr>
                <w:rFonts w:ascii="Times New Roman"/>
                <w:sz w:val="18"/>
              </w:rPr>
              <w:t>1,022,800.00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3,199,783.00</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2,058,424.49</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610,563.84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211,337.00</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2,457,651.33</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579,471.01</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364,927.80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944,398.81</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hAnsi="宋体" w:cs="宋体" w:eastAsia="宋体" w:hint="default"/>
                <w:sz w:val="18"/>
                <w:szCs w:val="18"/>
              </w:rPr>
              <w:t>本期计提</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2,125,234.02</w:t>
            </w:r>
          </w:p>
        </w:tc>
        <w:tc>
          <w:tcPr>
            <w:tcW w:w="805"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815,758.42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200,770.15</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2,740,222.29</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其中：运输工具</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1,125,835.14</w:t>
            </w:r>
          </w:p>
        </w:tc>
        <w:tc>
          <w:tcPr>
            <w:tcW w:w="805"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336,281.38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1,462,116.52</w:t>
            </w:r>
          </w:p>
        </w:tc>
      </w:tr>
      <w:tr>
        <w:trPr>
          <w:trHeight w:val="386"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790,038.76</w:t>
            </w:r>
          </w:p>
        </w:tc>
        <w:tc>
          <w:tcPr>
            <w:tcW w:w="805"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377,282.01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200,770.15</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966,550.62</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209,360.12</w:t>
            </w:r>
          </w:p>
        </w:tc>
        <w:tc>
          <w:tcPr>
            <w:tcW w:w="805"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102,195.03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311,555.15</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2,689,644.48</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3,861,610.85</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其中：运输工具</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1,051,147.86</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1,737,666.48</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1,268,385.73</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1,491,100.71</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370,110.89</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632,843.66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340" w:right="148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566"/>
        <w:gridCol w:w="1579"/>
        <w:gridCol w:w="1843"/>
        <w:gridCol w:w="1260"/>
        <w:gridCol w:w="1435"/>
      </w:tblGrid>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1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4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其中：运输工具</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2,689,644.48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3,861,610.85</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其中：运输工具</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1,051,147.86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1,737,666.48</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1,268,385.73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1,491,100.71</w:t>
            </w:r>
          </w:p>
        </w:tc>
      </w:tr>
      <w:tr>
        <w:trPr>
          <w:trHeight w:val="3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370,110.89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632,843.66</w:t>
            </w:r>
          </w:p>
        </w:tc>
      </w:tr>
    </w:tbl>
    <w:p>
      <w:pPr>
        <w:spacing w:line="436" w:lineRule="auto" w:before="86"/>
        <w:ind w:left="584" w:right="4297"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_815,758.42</w:t>
      </w:r>
      <w:r>
        <w:rPr>
          <w:rFonts w:ascii="Times New Roman" w:hAnsi="Times New Roman" w:cs="Times New Roman" w:eastAsia="Times New Roman" w:hint="default"/>
          <w:spacing w:val="52"/>
          <w:sz w:val="21"/>
          <w:szCs w:val="21"/>
          <w:u w:val="single" w:color="000000"/>
        </w:rPr>
        <w:t> </w:t>
      </w:r>
      <w:r>
        <w:rPr>
          <w:rFonts w:ascii="Times New Roman" w:hAnsi="Times New Roman" w:cs="Times New Roman" w:eastAsia="Times New Roman" w:hint="default"/>
          <w:spacing w:val="52"/>
          <w:sz w:val="21"/>
          <w:szCs w:val="21"/>
        </w:rPr>
      </w:r>
      <w:r>
        <w:rPr>
          <w:rFonts w:ascii="宋体" w:hAnsi="宋体" w:cs="宋体" w:eastAsia="宋体" w:hint="default"/>
          <w:sz w:val="21"/>
          <w:szCs w:val="21"/>
        </w:rPr>
        <w:t>元。 本期由在建工程转入固定资产原价为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0  </w:t>
      </w:r>
      <w:r>
        <w:rPr>
          <w:rFonts w:ascii="宋体" w:hAnsi="宋体" w:cs="宋体" w:eastAsia="宋体" w:hint="default"/>
          <w:sz w:val="21"/>
          <w:szCs w:val="21"/>
          <w:u w:val="single" w:color="000000"/>
        </w:rPr>
        <w:t>元</w:t>
      </w:r>
      <w:r>
        <w:rPr>
          <w:rFonts w:ascii="宋体" w:hAnsi="宋体" w:cs="宋体" w:eastAsia="宋体" w:hint="default"/>
          <w:sz w:val="21"/>
          <w:szCs w:val="21"/>
        </w:rPr>
        <w:t>。</w:t>
      </w:r>
    </w:p>
    <w:p>
      <w:pPr>
        <w:spacing w:before="46"/>
        <w:ind w:left="163"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）暂时闲置的固定资产情况：无。</w:t>
      </w:r>
    </w:p>
    <w:p>
      <w:pPr>
        <w:spacing w:line="240" w:lineRule="auto" w:before="2"/>
        <w:rPr>
          <w:rFonts w:ascii="宋体" w:hAnsi="宋体" w:cs="宋体" w:eastAsia="宋体" w:hint="default"/>
          <w:sz w:val="18"/>
          <w:szCs w:val="18"/>
        </w:rPr>
      </w:pPr>
    </w:p>
    <w:p>
      <w:pPr>
        <w:spacing w:before="0"/>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）通过融资租赁租入的固定资产情况：无。</w:t>
      </w:r>
    </w:p>
    <w:p>
      <w:pPr>
        <w:spacing w:line="240" w:lineRule="auto" w:before="3"/>
        <w:rPr>
          <w:rFonts w:ascii="宋体" w:hAnsi="宋体" w:cs="宋体" w:eastAsia="宋体" w:hint="default"/>
          <w:sz w:val="18"/>
          <w:szCs w:val="18"/>
        </w:rPr>
      </w:pPr>
    </w:p>
    <w:p>
      <w:pPr>
        <w:spacing w:before="0"/>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）通过经营租赁租出的固定资产：无。</w:t>
      </w:r>
    </w:p>
    <w:p>
      <w:pPr>
        <w:spacing w:line="240" w:lineRule="auto" w:before="2"/>
        <w:rPr>
          <w:rFonts w:ascii="宋体" w:hAnsi="宋体" w:cs="宋体" w:eastAsia="宋体" w:hint="default"/>
          <w:sz w:val="18"/>
          <w:szCs w:val="18"/>
        </w:rPr>
      </w:pPr>
    </w:p>
    <w:p>
      <w:pPr>
        <w:spacing w:before="0"/>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）期末持有待售的固定资产情况：无。</w:t>
      </w:r>
    </w:p>
    <w:p>
      <w:pPr>
        <w:spacing w:line="240" w:lineRule="auto" w:before="3"/>
        <w:rPr>
          <w:rFonts w:ascii="宋体" w:hAnsi="宋体" w:cs="宋体" w:eastAsia="宋体" w:hint="default"/>
          <w:sz w:val="18"/>
          <w:szCs w:val="18"/>
        </w:rPr>
      </w:pPr>
    </w:p>
    <w:p>
      <w:pPr>
        <w:spacing w:before="0"/>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）未办妥产权证书的固定资产情况：无。</w:t>
      </w:r>
    </w:p>
    <w:p>
      <w:pPr>
        <w:spacing w:line="240" w:lineRule="auto" w:before="2"/>
        <w:rPr>
          <w:rFonts w:ascii="宋体" w:hAnsi="宋体" w:cs="宋体" w:eastAsia="宋体" w:hint="default"/>
          <w:sz w:val="18"/>
          <w:szCs w:val="18"/>
        </w:rPr>
      </w:pPr>
    </w:p>
    <w:p>
      <w:pPr>
        <w:spacing w:before="0"/>
        <w:ind w:left="164" w:right="1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）无形资产情况</w:t>
      </w:r>
    </w:p>
    <w:p>
      <w:pPr>
        <w:spacing w:line="240" w:lineRule="auto" w:before="5"/>
        <w:rPr>
          <w:rFonts w:ascii="宋体" w:hAnsi="宋体" w:cs="宋体" w:eastAsia="宋体" w:hint="default"/>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716"/>
        <w:gridCol w:w="1439"/>
        <w:gridCol w:w="1621"/>
        <w:gridCol w:w="1388"/>
        <w:gridCol w:w="1490"/>
      </w:tblGrid>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45,300.00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17,300.00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62,600.00</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23,300.00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26,300.00</w:t>
            </w:r>
          </w:p>
        </w:tc>
      </w:tr>
      <w:tr>
        <w:trPr>
          <w:trHeight w:val="386"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22,000.00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11,400.00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33,400.00</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2,900.00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2,900.00</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5"/>
              <w:jc w:val="right"/>
              <w:rPr>
                <w:rFonts w:ascii="Times New Roman" w:hAnsi="Times New Roman" w:cs="Times New Roman" w:eastAsia="Times New Roman" w:hint="default"/>
                <w:sz w:val="18"/>
                <w:szCs w:val="18"/>
              </w:rPr>
            </w:pPr>
            <w:r>
              <w:rPr>
                <w:rFonts w:ascii="Times New Roman"/>
                <w:sz w:val="18"/>
              </w:rPr>
              <w:t>19,646.86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8,069.89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27,716.75</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10,884.92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4,959.96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15,844.88</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8,761.94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2,994.96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11,756.90</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2"/>
                <w:sz w:val="18"/>
              </w:rPr>
              <w:t>114.97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2"/>
                <w:sz w:val="18"/>
              </w:rPr>
              <w:t>114.97</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25,653.14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w w:val="95"/>
                <w:sz w:val="18"/>
              </w:rPr>
              <w:t>9,230.11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34,883.25</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12,415.08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-1,959.96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10,455.12</w:t>
            </w:r>
          </w:p>
        </w:tc>
      </w:tr>
      <w:tr>
        <w:trPr>
          <w:trHeight w:val="386"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13,238.06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8,405.04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21,643.10</w:t>
            </w:r>
          </w:p>
        </w:tc>
      </w:tr>
      <w:tr>
        <w:trPr>
          <w:trHeight w:val="389"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2,785.03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2,785.03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80" w:right="150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716"/>
        <w:gridCol w:w="1439"/>
        <w:gridCol w:w="1621"/>
        <w:gridCol w:w="1388"/>
        <w:gridCol w:w="1490"/>
      </w:tblGrid>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25,653.14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w w:val="95"/>
                <w:sz w:val="18"/>
              </w:rPr>
              <w:t>9,230.11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34,883.25</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12,415.08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-1,959.96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10,455.12</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13,238.06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8,405.04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21,643.10</w:t>
            </w:r>
          </w:p>
        </w:tc>
      </w:tr>
      <w:tr>
        <w:trPr>
          <w:trHeight w:val="388" w:hRule="exact"/>
        </w:trPr>
        <w:tc>
          <w:tcPr>
            <w:tcW w:w="2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16"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2,785.03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2,785.03</w:t>
            </w:r>
          </w:p>
        </w:tc>
      </w:tr>
    </w:tbl>
    <w:p>
      <w:pPr>
        <w:spacing w:before="86"/>
        <w:ind w:left="564" w:right="273"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Times New Roman" w:hAnsi="Times New Roman" w:cs="Times New Roman" w:eastAsia="Times New Roman" w:hint="default"/>
          <w:sz w:val="21"/>
          <w:szCs w:val="21"/>
        </w:rPr>
        <w:t>_</w:t>
      </w:r>
      <w:r>
        <w:rPr>
          <w:rFonts w:ascii="Times New Roman" w:hAnsi="Times New Roman" w:cs="Times New Roman" w:eastAsia="Times New Roman" w:hint="default"/>
          <w:sz w:val="21"/>
          <w:szCs w:val="21"/>
          <w:u w:val="single" w:color="000000"/>
        </w:rPr>
        <w:t>8,069.89</w:t>
      </w:r>
      <w:r>
        <w:rPr>
          <w:rFonts w:ascii="Times New Roman" w:hAnsi="Times New Roman" w:cs="Times New Roman" w:eastAsia="Times New Roman" w:hint="default"/>
          <w:spacing w:val="48"/>
          <w:sz w:val="21"/>
          <w:szCs w:val="21"/>
          <w:u w:val="single" w:color="000000"/>
        </w:rPr>
        <w:t> </w:t>
      </w:r>
      <w:r>
        <w:rPr>
          <w:rFonts w:ascii="Times New Roman" w:hAnsi="Times New Roman" w:cs="Times New Roman" w:eastAsia="Times New Roman" w:hint="default"/>
          <w:spacing w:val="48"/>
          <w:sz w:val="21"/>
          <w:szCs w:val="21"/>
        </w:rPr>
      </w:r>
      <w:r>
        <w:rPr>
          <w:rFonts w:ascii="宋体" w:hAnsi="宋体" w:cs="宋体" w:eastAsia="宋体" w:hint="default"/>
          <w:sz w:val="21"/>
          <w:szCs w:val="21"/>
        </w:rPr>
        <w:t>元。</w:t>
      </w:r>
    </w:p>
    <w:p>
      <w:pPr>
        <w:spacing w:line="240" w:lineRule="auto" w:before="3"/>
        <w:rPr>
          <w:rFonts w:ascii="宋体" w:hAnsi="宋体" w:cs="宋体" w:eastAsia="宋体" w:hint="default"/>
          <w:sz w:val="18"/>
          <w:szCs w:val="18"/>
        </w:rPr>
      </w:pPr>
    </w:p>
    <w:p>
      <w:pPr>
        <w:spacing w:before="0"/>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1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456"/>
        <w:gridCol w:w="1144"/>
        <w:gridCol w:w="1327"/>
        <w:gridCol w:w="1606"/>
        <w:gridCol w:w="1607"/>
        <w:gridCol w:w="1507"/>
      </w:tblGrid>
      <w:tr>
        <w:trPr>
          <w:trHeight w:val="388" w:hRule="exact"/>
        </w:trPr>
        <w:tc>
          <w:tcPr>
            <w:tcW w:w="1456"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6"/>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07"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1456" w:type="dxa"/>
            <w:vMerge/>
            <w:tcBorders>
              <w:left w:val="nil" w:sz="6" w:space="0" w:color="auto"/>
              <w:bottom w:val="single" w:sz="4" w:space="0" w:color="000000"/>
              <w:right w:val="single" w:sz="4" w:space="0" w:color="000000"/>
            </w:tcBorders>
          </w:tcPr>
          <w:p>
            <w:pPr/>
          </w:p>
        </w:tc>
        <w:tc>
          <w:tcPr>
            <w:tcW w:w="1144"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7"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9"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07" w:type="dxa"/>
            <w:vMerge/>
            <w:tcBorders>
              <w:left w:val="single" w:sz="4" w:space="0" w:color="000000"/>
              <w:bottom w:val="single" w:sz="4" w:space="0" w:color="000000"/>
              <w:right w:val="nil" w:sz="6" w:space="0" w:color="auto"/>
            </w:tcBorders>
          </w:tcPr>
          <w:p>
            <w:pPr/>
          </w:p>
        </w:tc>
      </w:tr>
      <w:tr>
        <w:trPr>
          <w:trHeight w:val="38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全国影像</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511,307.20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511,307.20</w:t>
            </w:r>
          </w:p>
        </w:tc>
      </w:tr>
      <w:tr>
        <w:trPr>
          <w:trHeight w:val="386"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同城影像</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527,924.57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527,924.57</w:t>
            </w:r>
          </w:p>
        </w:tc>
      </w:tr>
      <w:tr>
        <w:trPr>
          <w:trHeight w:val="38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银企对账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419,195.70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419,195.70</w:t>
            </w:r>
          </w:p>
        </w:tc>
      </w:tr>
      <w:tr>
        <w:trPr>
          <w:trHeight w:val="38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远程授权</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372,890.73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372,890.73</w:t>
            </w:r>
          </w:p>
        </w:tc>
      </w:tr>
      <w:tr>
        <w:trPr>
          <w:trHeight w:val="38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印控机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203,875.27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203,875.27</w:t>
            </w:r>
          </w:p>
        </w:tc>
      </w:tr>
      <w:tr>
        <w:trPr>
          <w:trHeight w:val="38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回单打印机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26,137.94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26,137.94</w:t>
            </w:r>
          </w:p>
        </w:tc>
      </w:tr>
      <w:tr>
        <w:trPr>
          <w:trHeight w:val="388"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2,061,331.41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2,061,331.41</w:t>
            </w:r>
          </w:p>
        </w:tc>
      </w:tr>
    </w:tbl>
    <w:p>
      <w:pPr>
        <w:spacing w:line="240" w:lineRule="auto" w:before="1"/>
        <w:rPr>
          <w:rFonts w:ascii="宋体" w:hAnsi="宋体" w:cs="宋体" w:eastAsia="宋体" w:hint="default"/>
          <w:sz w:val="13"/>
          <w:szCs w:val="13"/>
        </w:rPr>
      </w:pPr>
    </w:p>
    <w:p>
      <w:pPr>
        <w:spacing w:line="436" w:lineRule="auto" w:before="35"/>
        <w:ind w:left="564" w:right="130" w:firstLine="0"/>
        <w:jc w:val="left"/>
        <w:rPr>
          <w:rFonts w:ascii="宋体" w:hAnsi="宋体" w:cs="宋体" w:eastAsia="宋体" w:hint="default"/>
          <w:sz w:val="21"/>
          <w:szCs w:val="21"/>
        </w:rPr>
      </w:pPr>
      <w:r>
        <w:rPr>
          <w:rFonts w:ascii="宋体" w:hAnsi="宋体" w:cs="宋体" w:eastAsia="宋体" w:hint="default"/>
          <w:sz w:val="21"/>
          <w:szCs w:val="21"/>
        </w:rPr>
        <w:t>本期开发支出占本期研究开发项目支出总额的比例</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_10.86%</w:t>
      </w:r>
      <w:r>
        <w:rPr>
          <w:rFonts w:ascii="Times New Roman" w:hAnsi="Times New Roman" w:cs="Times New Roman" w:eastAsia="Times New Roman" w:hint="default"/>
          <w:sz w:val="21"/>
          <w:szCs w:val="21"/>
        </w:rPr>
        <w:t>_</w:t>
      </w:r>
      <w:r>
        <w:rPr>
          <w:rFonts w:ascii="宋体" w:hAnsi="宋体" w:cs="宋体" w:eastAsia="宋体" w:hint="default"/>
          <w:sz w:val="21"/>
          <w:szCs w:val="21"/>
        </w:rPr>
        <w:t>。 通过公司内部研发形成的无形资产占无形资产期末账面价值的比例</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_0</w:t>
      </w:r>
      <w:r>
        <w:rPr>
          <w:rFonts w:ascii="Times New Roman" w:hAnsi="Times New Roman" w:cs="Times New Roman" w:eastAsia="Times New Roman" w:hint="default"/>
          <w:sz w:val="21"/>
          <w:szCs w:val="21"/>
        </w:rPr>
        <w:t>_</w:t>
      </w:r>
      <w:r>
        <w:rPr>
          <w:rFonts w:ascii="宋体" w:hAnsi="宋体" w:cs="宋体" w:eastAsia="宋体" w:hint="default"/>
          <w:sz w:val="21"/>
          <w:szCs w:val="21"/>
        </w:rPr>
        <w:t>。 开发项目支出是本公司研发部门发生的符合资本化条件的研发支出，其中：全国影像、同</w:t>
      </w:r>
    </w:p>
    <w:p>
      <w:pPr>
        <w:spacing w:line="236"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城影像、银企对账三项研发项目，分别为商业银行全国票据影像交换业务处理系统升级改造项</w:t>
      </w:r>
    </w:p>
    <w:p>
      <w:pPr>
        <w:spacing w:line="336" w:lineRule="auto" w:before="134"/>
        <w:ind w:left="143" w:right="125" w:firstLine="0"/>
        <w:jc w:val="left"/>
        <w:rPr>
          <w:rFonts w:ascii="宋体" w:hAnsi="宋体" w:cs="宋体" w:eastAsia="宋体" w:hint="default"/>
          <w:sz w:val="21"/>
          <w:szCs w:val="21"/>
        </w:rPr>
      </w:pPr>
      <w:r>
        <w:rPr>
          <w:rFonts w:ascii="宋体" w:hAnsi="宋体" w:cs="宋体" w:eastAsia="宋体" w:hint="default"/>
          <w:sz w:val="21"/>
          <w:szCs w:val="21"/>
        </w:rPr>
        <w:t>目、商业银行同城票据影像交换业务处理系统、银企对账管理系统，是本公司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募集资金投 资项目。</w:t>
      </w:r>
    </w:p>
    <w:p>
      <w:pPr>
        <w:spacing w:line="357" w:lineRule="auto" w:before="170"/>
        <w:ind w:left="143" w:right="138" w:firstLine="420"/>
        <w:jc w:val="both"/>
        <w:rPr>
          <w:rFonts w:ascii="宋体" w:hAnsi="宋体" w:cs="宋体" w:eastAsia="宋体" w:hint="default"/>
          <w:sz w:val="21"/>
          <w:szCs w:val="21"/>
        </w:rPr>
      </w:pPr>
      <w:r>
        <w:rPr>
          <w:rFonts w:ascii="宋体" w:hAnsi="宋体" w:cs="宋体" w:eastAsia="宋体" w:hint="default"/>
          <w:sz w:val="21"/>
          <w:szCs w:val="21"/>
        </w:rPr>
        <w:t>本公司对符合会计准则研发资本化条件的研发项目，在《研发项目立项申请书》获批准， 且承担项目开发的具体开发部门（人员）落实到位后，将开发部门（人员）所发生的开发支出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予以资本化。</w:t>
      </w:r>
    </w:p>
    <w:p>
      <w:pPr>
        <w:spacing w:before="150"/>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1"/>
        <w:rPr>
          <w:rFonts w:ascii="宋体" w:hAnsi="宋体" w:cs="宋体" w:eastAsia="宋体" w:hint="default"/>
          <w:b/>
          <w:bCs/>
          <w:sz w:val="19"/>
          <w:szCs w:val="19"/>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619"/>
        <w:gridCol w:w="1132"/>
        <w:gridCol w:w="1132"/>
        <w:gridCol w:w="1134"/>
        <w:gridCol w:w="1133"/>
        <w:gridCol w:w="958"/>
        <w:gridCol w:w="1586"/>
      </w:tblGrid>
      <w:tr>
        <w:trPr>
          <w:trHeight w:val="38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9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1"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1"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38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北京办事处装修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7,583.23</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z w:val="18"/>
              </w:rPr>
              <w:t>3,500.04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4,083.19</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67,273.20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z w:val="18"/>
              </w:rPr>
              <w:t>22,424.40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44,848.80</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w:t>
            </w:r>
          </w:p>
        </w:tc>
      </w:tr>
      <w:tr>
        <w:trPr>
          <w:trHeight w:val="62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44"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办公室装修</w:t>
            </w:r>
            <w:r>
              <w:rPr>
                <w:rFonts w:ascii="Times New Roman" w:hAnsi="Times New Roman" w:cs="Times New Roman" w:eastAsia="Times New Roman" w:hint="default"/>
                <w:sz w:val="18"/>
                <w:szCs w:val="18"/>
              </w:rPr>
              <w:t>(</w:t>
            </w:r>
            <w:r>
              <w:rPr>
                <w:rFonts w:ascii="宋体" w:hAnsi="宋体" w:cs="宋体" w:eastAsia="宋体" w:hint="default"/>
                <w:sz w:val="18"/>
                <w:szCs w:val="18"/>
              </w:rPr>
              <w:t>金融基 地</w:t>
            </w:r>
            <w:r>
              <w:rPr>
                <w:rFonts w:ascii="Times New Roman" w:hAnsi="Times New Roman" w:cs="Times New Roman" w:eastAsia="Times New Roman" w:hint="default"/>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531,675.00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17,722.50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513,952.50</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620"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44" w:right="127"/>
              <w:jc w:val="left"/>
              <w:rPr>
                <w:rFonts w:ascii="宋体" w:hAnsi="宋体" w:cs="宋体" w:eastAsia="宋体" w:hint="default"/>
                <w:sz w:val="18"/>
                <w:szCs w:val="18"/>
              </w:rPr>
            </w:pPr>
            <w:r>
              <w:rPr>
                <w:rFonts w:ascii="宋体" w:hAnsi="宋体" w:cs="宋体" w:eastAsia="宋体" w:hint="default"/>
                <w:sz w:val="18"/>
                <w:szCs w:val="18"/>
              </w:rPr>
              <w:t>高新技术产品责任 险</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11,458.33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263,541.67</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1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74,856.43</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806,675.00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5"/>
              <w:jc w:val="right"/>
              <w:rPr>
                <w:rFonts w:ascii="Times New Roman" w:hAnsi="Times New Roman" w:cs="Times New Roman" w:eastAsia="Times New Roman" w:hint="default"/>
                <w:sz w:val="18"/>
                <w:szCs w:val="18"/>
              </w:rPr>
            </w:pPr>
            <w:r>
              <w:rPr>
                <w:rFonts w:ascii="Times New Roman"/>
                <w:sz w:val="18"/>
              </w:rPr>
              <w:t>55,105.27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826,426.16</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3"/>
          <w:szCs w:val="13"/>
        </w:rPr>
      </w:pPr>
    </w:p>
    <w:p>
      <w:pPr>
        <w:spacing w:before="35"/>
        <w:ind w:left="584" w:right="1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、办公室装修</w:t>
      </w:r>
      <w:r>
        <w:rPr>
          <w:rFonts w:ascii="Times New Roman" w:hAnsi="Times New Roman" w:cs="Times New Roman" w:eastAsia="Times New Roman" w:hint="default"/>
          <w:sz w:val="21"/>
          <w:szCs w:val="21"/>
        </w:rPr>
        <w:t>(</w:t>
      </w:r>
      <w:r>
        <w:rPr>
          <w:rFonts w:ascii="宋体" w:hAnsi="宋体" w:cs="宋体" w:eastAsia="宋体" w:hint="default"/>
          <w:sz w:val="21"/>
          <w:szCs w:val="21"/>
        </w:rPr>
        <w:t>金融基地</w:t>
      </w:r>
      <w:r>
        <w:rPr>
          <w:rFonts w:ascii="Times New Roman" w:hAnsi="Times New Roman" w:cs="Times New Roman" w:eastAsia="Times New Roman" w:hint="default"/>
          <w:sz w:val="21"/>
          <w:szCs w:val="21"/>
        </w:rPr>
        <w:t>)</w:t>
      </w:r>
      <w:r>
        <w:rPr>
          <w:rFonts w:ascii="宋体" w:hAnsi="宋体" w:cs="宋体" w:eastAsia="宋体" w:hint="default"/>
          <w:sz w:val="21"/>
          <w:szCs w:val="21"/>
        </w:rPr>
        <w:t>是装修新租赁的位于金融服务技术创新基地办公用房。</w:t>
      </w:r>
    </w:p>
    <w:p>
      <w:pPr>
        <w:spacing w:line="240" w:lineRule="auto" w:before="2"/>
        <w:rPr>
          <w:rFonts w:ascii="宋体" w:hAnsi="宋体" w:cs="宋体" w:eastAsia="宋体" w:hint="default"/>
          <w:sz w:val="18"/>
          <w:szCs w:val="18"/>
        </w:rPr>
      </w:pPr>
    </w:p>
    <w:p>
      <w:pPr>
        <w:spacing w:before="0"/>
        <w:ind w:left="583" w:right="1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、高新技术产品责任险期限为两年，自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18"/>
          <w:szCs w:val="18"/>
        </w:rPr>
      </w:pPr>
    </w:p>
    <w:p>
      <w:pPr>
        <w:spacing w:before="0"/>
        <w:ind w:left="163" w:right="1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163" w:right="111" w:firstLine="0"/>
        <w:jc w:val="left"/>
        <w:rPr>
          <w:rFonts w:ascii="宋体" w:hAnsi="宋体" w:cs="宋体" w:eastAsia="宋体" w:hint="default"/>
          <w:sz w:val="21"/>
          <w:szCs w:val="21"/>
        </w:rPr>
      </w:pPr>
      <w:r>
        <w:rPr>
          <w:rFonts w:ascii="宋体" w:hAnsi="宋体" w:cs="宋体" w:eastAsia="宋体" w:hint="default"/>
          <w:sz w:val="21"/>
          <w:szCs w:val="21"/>
        </w:rPr>
        <w:t>（一）递延所得税资产不以抵销后的净额列示</w:t>
      </w:r>
    </w:p>
    <w:p>
      <w:pPr>
        <w:spacing w:line="240" w:lineRule="auto" w:before="5"/>
        <w:rPr>
          <w:rFonts w:ascii="宋体" w:hAnsi="宋体" w:cs="宋体" w:eastAsia="宋体" w:hint="default"/>
          <w:sz w:val="19"/>
          <w:szCs w:val="19"/>
        </w:rPr>
      </w:pPr>
    </w:p>
    <w:p>
      <w:pPr>
        <w:spacing w:before="0"/>
        <w:ind w:left="583"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2"/>
        <w:rPr>
          <w:rFonts w:ascii="宋体" w:hAnsi="宋体" w:cs="宋体" w:eastAsia="宋体" w:hint="default"/>
          <w:sz w:val="18"/>
          <w:szCs w:val="18"/>
        </w:rPr>
      </w:pPr>
    </w:p>
    <w:p>
      <w:pPr>
        <w:spacing w:before="0"/>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434"/>
        <w:gridCol w:w="2590"/>
        <w:gridCol w:w="2630"/>
      </w:tblGrid>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590" w:type="dxa"/>
            <w:tcBorders>
              <w:top w:val="single" w:sz="4" w:space="0" w:color="000000"/>
              <w:left w:val="single" w:sz="4" w:space="0" w:color="000000"/>
              <w:bottom w:val="single" w:sz="4" w:space="0" w:color="000000"/>
              <w:right w:val="single" w:sz="4" w:space="0" w:color="000000"/>
            </w:tcBorders>
          </w:tcPr>
          <w:p>
            <w:pPr/>
          </w:p>
        </w:tc>
        <w:tc>
          <w:tcPr>
            <w:tcW w:w="263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505,567.75</w:t>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272,613.00</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505,567.75</w:t>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272,613.00</w:t>
            </w:r>
          </w:p>
        </w:tc>
      </w:tr>
    </w:tbl>
    <w:p>
      <w:pPr>
        <w:spacing w:line="240" w:lineRule="auto" w:before="5"/>
        <w:rPr>
          <w:rFonts w:ascii="宋体" w:hAnsi="宋体" w:cs="宋体" w:eastAsia="宋体" w:hint="default"/>
          <w:sz w:val="22"/>
          <w:szCs w:val="22"/>
        </w:rPr>
      </w:pPr>
    </w:p>
    <w:p>
      <w:pPr>
        <w:spacing w:before="35"/>
        <w:ind w:left="58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）未确认递延所得税资产明细：无。</w:t>
      </w:r>
    </w:p>
    <w:p>
      <w:pPr>
        <w:spacing w:line="240" w:lineRule="auto" w:before="2"/>
        <w:rPr>
          <w:rFonts w:ascii="宋体" w:hAnsi="宋体" w:cs="宋体" w:eastAsia="宋体" w:hint="default"/>
          <w:sz w:val="18"/>
          <w:szCs w:val="18"/>
        </w:rPr>
      </w:pPr>
    </w:p>
    <w:p>
      <w:pPr>
        <w:spacing w:before="0"/>
        <w:ind w:left="58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）未确认递延所得税资产的可抵扣亏损将于以下年度到期：无。</w:t>
      </w:r>
    </w:p>
    <w:p>
      <w:pPr>
        <w:spacing w:line="240" w:lineRule="auto" w:before="3"/>
        <w:rPr>
          <w:rFonts w:ascii="宋体" w:hAnsi="宋体" w:cs="宋体" w:eastAsia="宋体" w:hint="default"/>
          <w:sz w:val="18"/>
          <w:szCs w:val="18"/>
        </w:rPr>
      </w:pPr>
    </w:p>
    <w:p>
      <w:pPr>
        <w:spacing w:before="0"/>
        <w:ind w:left="58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）应纳税差异和可抵扣差异项目明细</w:t>
      </w:r>
    </w:p>
    <w:p>
      <w:pPr>
        <w:spacing w:line="240" w:lineRule="auto" w:before="1"/>
        <w:rPr>
          <w:rFonts w:ascii="宋体" w:hAnsi="宋体" w:cs="宋体" w:eastAsia="宋体" w:hint="default"/>
          <w:sz w:val="18"/>
          <w:szCs w:val="18"/>
        </w:rPr>
      </w:pPr>
    </w:p>
    <w:p>
      <w:pPr>
        <w:spacing w:before="0"/>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354"/>
        <w:gridCol w:w="4339"/>
      </w:tblGrid>
      <w:tr>
        <w:trPr>
          <w:trHeight w:val="388"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88"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应收账款计提</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4,530,651.70</w:t>
            </w:r>
          </w:p>
        </w:tc>
      </w:tr>
      <w:tr>
        <w:trPr>
          <w:trHeight w:val="388"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其他应收款计提</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524,610.52</w:t>
            </w:r>
          </w:p>
        </w:tc>
      </w:tr>
      <w:tr>
        <w:trPr>
          <w:trHeight w:val="388"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5,055,262.22</w:t>
            </w:r>
          </w:p>
        </w:tc>
      </w:tr>
    </w:tbl>
    <w:p>
      <w:pPr>
        <w:spacing w:line="240" w:lineRule="auto" w:before="1"/>
        <w:rPr>
          <w:rFonts w:ascii="宋体" w:hAnsi="宋体" w:cs="宋体" w:eastAsia="宋体" w:hint="default"/>
          <w:sz w:val="13"/>
          <w:szCs w:val="13"/>
        </w:rPr>
      </w:pPr>
    </w:p>
    <w:p>
      <w:pPr>
        <w:spacing w:before="35"/>
        <w:ind w:left="584" w:right="111" w:firstLine="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递延所得税资产和递延所得税负债的说明：</w:t>
      </w:r>
    </w:p>
    <w:p>
      <w:pPr>
        <w:spacing w:line="240" w:lineRule="auto" w:before="5"/>
        <w:rPr>
          <w:rFonts w:ascii="宋体" w:hAnsi="宋体" w:cs="宋体" w:eastAsia="宋体" w:hint="default"/>
          <w:sz w:val="19"/>
          <w:szCs w:val="19"/>
        </w:rPr>
      </w:pPr>
    </w:p>
    <w:p>
      <w:pPr>
        <w:spacing w:line="357" w:lineRule="auto" w:before="0"/>
        <w:ind w:left="163" w:right="131" w:firstLine="420"/>
        <w:jc w:val="left"/>
        <w:rPr>
          <w:rFonts w:ascii="宋体" w:hAnsi="宋体" w:cs="宋体" w:eastAsia="宋体" w:hint="default"/>
          <w:sz w:val="21"/>
          <w:szCs w:val="21"/>
        </w:rPr>
      </w:pPr>
      <w:r>
        <w:rPr>
          <w:rFonts w:ascii="宋体" w:hAnsi="宋体" w:cs="宋体" w:eastAsia="宋体" w:hint="default"/>
          <w:sz w:val="21"/>
          <w:szCs w:val="21"/>
        </w:rPr>
        <w:t>资产减值准备引起可抵扣暂时性差异形成的递延所得税资产为应收帐款、其他应收款计提 的坏账准备形成的。</w:t>
      </w:r>
    </w:p>
    <w:p>
      <w:pPr>
        <w:spacing w:after="0" w:line="357" w:lineRule="auto"/>
        <w:jc w:val="left"/>
        <w:rPr>
          <w:rFonts w:ascii="宋体" w:hAnsi="宋体" w:cs="宋体" w:eastAsia="宋体" w:hint="default"/>
          <w:sz w:val="21"/>
          <w:szCs w:val="21"/>
        </w:rPr>
        <w:sectPr>
          <w:pgSz w:w="11910" w:h="16840"/>
          <w:pgMar w:header="877" w:footer="982" w:top="1100" w:bottom="1180" w:left="1480" w:right="1500"/>
        </w:sectPr>
      </w:pPr>
    </w:p>
    <w:p>
      <w:pPr>
        <w:spacing w:line="240" w:lineRule="auto" w:before="2"/>
        <w:rPr>
          <w:rFonts w:ascii="宋体" w:hAnsi="宋体" w:cs="宋体" w:eastAsia="宋体" w:hint="default"/>
          <w:sz w:val="19"/>
          <w:szCs w:val="19"/>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5"/>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2174"/>
        <w:gridCol w:w="1319"/>
        <w:gridCol w:w="1319"/>
        <w:gridCol w:w="1202"/>
        <w:gridCol w:w="1204"/>
        <w:gridCol w:w="1394"/>
      </w:tblGrid>
      <w:tr>
        <w:trPr>
          <w:trHeight w:val="386" w:hRule="exact"/>
        </w:trPr>
        <w:tc>
          <w:tcPr>
            <w:tcW w:w="217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94"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174" w:type="dxa"/>
            <w:vMerge/>
            <w:tcBorders>
              <w:left w:val="nil" w:sz="6" w:space="0" w:color="auto"/>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394" w:type="dxa"/>
            <w:vMerge/>
            <w:tcBorders>
              <w:left w:val="single" w:sz="4" w:space="0" w:color="000000"/>
              <w:bottom w:val="single" w:sz="4" w:space="0" w:color="000000"/>
              <w:right w:val="nil" w:sz="6" w:space="0" w:color="auto"/>
            </w:tcBorders>
          </w:tcPr>
          <w:p>
            <w:pPr/>
          </w:p>
        </w:tc>
      </w:tr>
      <w:tr>
        <w:trPr>
          <w:trHeight w:val="38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2,726,130.03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2,329,132.19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5,055,262.22</w:t>
            </w:r>
          </w:p>
        </w:tc>
      </w:tr>
      <w:tr>
        <w:trPr>
          <w:trHeight w:val="38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2,726,130.03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2,329,132.19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5,055,262.22</w:t>
            </w:r>
          </w:p>
        </w:tc>
      </w:tr>
    </w:tbl>
    <w:p>
      <w:pPr>
        <w:spacing w:line="240" w:lineRule="auto" w:before="5"/>
        <w:rPr>
          <w:rFonts w:ascii="宋体" w:hAnsi="宋体" w:cs="宋体" w:eastAsia="宋体" w:hint="default"/>
          <w:sz w:val="22"/>
          <w:szCs w:val="22"/>
        </w:rPr>
      </w:pPr>
    </w:p>
    <w:p>
      <w:pPr>
        <w:spacing w:line="436" w:lineRule="auto" w:before="35"/>
        <w:ind w:left="663" w:right="62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、所有权受到限制的资产</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before="82"/>
        <w:ind w:left="24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）应付账款账龄分析：</w:t>
      </w:r>
    </w:p>
    <w:p>
      <w:pPr>
        <w:spacing w:line="240" w:lineRule="auto" w:before="5"/>
        <w:rPr>
          <w:rFonts w:ascii="宋体" w:hAnsi="宋体" w:cs="宋体" w:eastAsia="宋体" w:hint="default"/>
          <w:sz w:val="15"/>
          <w:szCs w:val="15"/>
        </w:rPr>
      </w:pPr>
    </w:p>
    <w:p>
      <w:pPr>
        <w:spacing w:before="35"/>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879"/>
        <w:gridCol w:w="2984"/>
        <w:gridCol w:w="2986"/>
      </w:tblGrid>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5,721,491.58</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2,182,935.31</w:t>
            </w:r>
          </w:p>
        </w:tc>
      </w:tr>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173,750.00</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z w:val="18"/>
              </w:rPr>
              <w:t>1,662.03</w:t>
            </w:r>
          </w:p>
        </w:tc>
      </w:tr>
      <w:tr>
        <w:trPr>
          <w:trHeight w:val="388" w:hRule="exact"/>
        </w:trPr>
        <w:tc>
          <w:tcPr>
            <w:tcW w:w="2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5,895,241.58</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2,184,597.34</w:t>
            </w:r>
          </w:p>
        </w:tc>
      </w:tr>
    </w:tbl>
    <w:p>
      <w:pPr>
        <w:spacing w:line="336" w:lineRule="auto" w:before="86"/>
        <w:ind w:left="244" w:right="212" w:hanging="1"/>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）本报告期应付账款中应付持有公司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 情况：</w:t>
      </w:r>
    </w:p>
    <w:p>
      <w:pPr>
        <w:spacing w:before="170"/>
        <w:ind w:left="664"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5"/>
        <w:rPr>
          <w:rFonts w:ascii="宋体" w:hAnsi="宋体" w:cs="宋体" w:eastAsia="宋体" w:hint="default"/>
          <w:sz w:val="19"/>
          <w:szCs w:val="19"/>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年的大额应付账款情况的说明：</w:t>
      </w:r>
    </w:p>
    <w:p>
      <w:pPr>
        <w:spacing w:line="240" w:lineRule="auto" w:before="3"/>
        <w:rPr>
          <w:rFonts w:ascii="宋体" w:hAnsi="宋体" w:cs="宋体" w:eastAsia="宋体" w:hint="default"/>
          <w:sz w:val="18"/>
          <w:szCs w:val="18"/>
        </w:rPr>
      </w:pPr>
    </w:p>
    <w:p>
      <w:pPr>
        <w:spacing w:before="0"/>
        <w:ind w:left="0" w:right="219" w:firstLine="0"/>
        <w:jc w:val="righ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年度采购大型金融服务设备，根据双方采购合同，于设备安装调试完成并签署</w:t>
      </w:r>
    </w:p>
    <w:p>
      <w:pPr>
        <w:spacing w:before="117"/>
        <w:ind w:left="244" w:right="0" w:firstLine="0"/>
        <w:jc w:val="left"/>
        <w:rPr>
          <w:rFonts w:ascii="宋体" w:hAnsi="宋体" w:cs="宋体" w:eastAsia="宋体" w:hint="default"/>
          <w:sz w:val="21"/>
          <w:szCs w:val="21"/>
        </w:rPr>
      </w:pPr>
      <w:r>
        <w:rPr>
          <w:rFonts w:ascii="宋体" w:hAnsi="宋体" w:cs="宋体" w:eastAsia="宋体" w:hint="default"/>
          <w:sz w:val="21"/>
          <w:szCs w:val="21"/>
        </w:rPr>
        <w:t>验收报告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年期满后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日内，支付合同尾款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8"/>
          <w:szCs w:val="18"/>
        </w:rPr>
      </w:pPr>
    </w:p>
    <w:p>
      <w:pPr>
        <w:spacing w:before="0"/>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）预收款项账龄分析：</w:t>
      </w:r>
    </w:p>
    <w:p>
      <w:pPr>
        <w:spacing w:line="240" w:lineRule="auto" w:before="1"/>
        <w:rPr>
          <w:rFonts w:ascii="宋体" w:hAnsi="宋体" w:cs="宋体" w:eastAsia="宋体" w:hint="default"/>
          <w:sz w:val="18"/>
          <w:szCs w:val="18"/>
        </w:rPr>
      </w:pPr>
    </w:p>
    <w:p>
      <w:pPr>
        <w:spacing w:before="0"/>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905"/>
        <w:gridCol w:w="2980"/>
        <w:gridCol w:w="2964"/>
      </w:tblGrid>
      <w:tr>
        <w:trPr>
          <w:trHeight w:val="38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z w:val="18"/>
              </w:rPr>
              <w:t>257,953.00</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6,453.00</w:t>
            </w:r>
          </w:p>
        </w:tc>
      </w:tr>
      <w:tr>
        <w:trPr>
          <w:trHeight w:val="388" w:hRule="exact"/>
        </w:trPr>
        <w:tc>
          <w:tcPr>
            <w:tcW w:w="2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257,953.00</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6,453.00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00" w:right="1420"/>
        </w:sectPr>
      </w:pPr>
    </w:p>
    <w:p>
      <w:pPr>
        <w:spacing w:line="240" w:lineRule="auto" w:before="2"/>
        <w:rPr>
          <w:rFonts w:ascii="宋体" w:hAnsi="宋体" w:cs="宋体" w:eastAsia="宋体" w:hint="default"/>
          <w:sz w:val="19"/>
          <w:szCs w:val="19"/>
        </w:rPr>
      </w:pPr>
    </w:p>
    <w:p>
      <w:pPr>
        <w:spacing w:line="436" w:lineRule="auto" w:before="35"/>
        <w:ind w:left="584" w:right="88"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）本报告期预收款项中预收持有公司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以上表决权股份的股东单位或关联方情况： 无。</w:t>
      </w:r>
    </w:p>
    <w:p>
      <w:pPr>
        <w:spacing w:before="82"/>
        <w:ind w:left="164" w:right="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年的大额预收款项情况的说明：无。</w:t>
      </w:r>
    </w:p>
    <w:p>
      <w:pPr>
        <w:spacing w:line="240" w:lineRule="auto" w:before="2"/>
        <w:rPr>
          <w:rFonts w:ascii="宋体" w:hAnsi="宋体" w:cs="宋体" w:eastAsia="宋体" w:hint="default"/>
          <w:sz w:val="18"/>
          <w:szCs w:val="18"/>
        </w:rPr>
      </w:pPr>
    </w:p>
    <w:p>
      <w:pPr>
        <w:spacing w:before="0"/>
        <w:ind w:left="164" w:right="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2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012"/>
        <w:gridCol w:w="1410"/>
        <w:gridCol w:w="1411"/>
        <w:gridCol w:w="1410"/>
        <w:gridCol w:w="1412"/>
      </w:tblGrid>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6"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21,090,968.60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21,090,968.60</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2,922,229.27</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2,922,229.27</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2,694,839.07</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2,694,839.07</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六、工会经费和职工教育经费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125,005.35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7,000.00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116,885.00</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15,120.35</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125,005.35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26,715,036.94</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26,824,921.94</w:t>
            </w:r>
          </w:p>
        </w:tc>
        <w:tc>
          <w:tcPr>
            <w:tcW w:w="1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15,120.35</w:t>
            </w:r>
          </w:p>
        </w:tc>
      </w:tr>
    </w:tbl>
    <w:p>
      <w:pPr>
        <w:tabs>
          <w:tab w:pos="4732" w:val="left" w:leader="none"/>
        </w:tabs>
        <w:spacing w:before="86"/>
        <w:ind w:left="584" w:right="88"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应付职工薪酬中属于拖欠性质的金额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0 </w:t>
      </w:r>
      <w:r>
        <w:rPr>
          <w:rFonts w:ascii="宋体" w:hAnsi="宋体" w:cs="宋体" w:eastAsia="宋体" w:hint="default"/>
          <w:sz w:val="21"/>
          <w:szCs w:val="21"/>
          <w:u w:val="single" w:color="000000"/>
        </w:rPr>
        <w:t>元</w:t>
        <w:tab/>
      </w:r>
      <w:r>
        <w:rPr>
          <w:rFonts w:ascii="宋体" w:hAnsi="宋体" w:cs="宋体" w:eastAsia="宋体" w:hint="default"/>
          <w:sz w:val="21"/>
          <w:szCs w:val="21"/>
        </w:rPr>
        <w:t>。</w:t>
      </w:r>
    </w:p>
    <w:p>
      <w:pPr>
        <w:spacing w:line="240" w:lineRule="auto" w:before="2"/>
        <w:rPr>
          <w:rFonts w:ascii="宋体" w:hAnsi="宋体" w:cs="宋体" w:eastAsia="宋体" w:hint="default"/>
          <w:sz w:val="18"/>
          <w:szCs w:val="18"/>
        </w:rPr>
      </w:pPr>
    </w:p>
    <w:p>
      <w:pPr>
        <w:spacing w:line="338" w:lineRule="auto" w:before="0"/>
        <w:ind w:left="164" w:right="170" w:firstLine="420"/>
        <w:jc w:val="left"/>
        <w:rPr>
          <w:rFonts w:ascii="宋体" w:hAnsi="宋体" w:cs="宋体" w:eastAsia="宋体" w:hint="default"/>
          <w:sz w:val="21"/>
          <w:szCs w:val="21"/>
        </w:rPr>
      </w:pPr>
      <w:r>
        <w:rPr>
          <w:rFonts w:ascii="宋体" w:hAnsi="宋体" w:cs="宋体" w:eastAsia="宋体" w:hint="default"/>
          <w:sz w:val="21"/>
          <w:szCs w:val="21"/>
        </w:rPr>
        <w:t>工会经费和职工教育经费金额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116,885.00 </w:t>
      </w:r>
      <w:r>
        <w:rPr>
          <w:rFonts w:ascii="Times New Roman" w:hAnsi="Times New Roman" w:cs="Times New Roman" w:eastAsia="Times New Roman" w:hint="default"/>
          <w:sz w:val="21"/>
          <w:szCs w:val="21"/>
        </w:rPr>
      </w:r>
      <w:r>
        <w:rPr>
          <w:rFonts w:ascii="宋体" w:hAnsi="宋体" w:cs="宋体" w:eastAsia="宋体" w:hint="default"/>
          <w:sz w:val="21"/>
          <w:szCs w:val="21"/>
        </w:rPr>
        <w:t>元，非货币性福利金额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无</w:t>
      </w:r>
      <w:r>
        <w:rPr>
          <w:rFonts w:ascii="宋体" w:hAnsi="宋体" w:cs="宋体" w:eastAsia="宋体" w:hint="default"/>
          <w:spacing w:val="-51"/>
          <w:sz w:val="21"/>
          <w:szCs w:val="21"/>
          <w:u w:val="single" w:color="000000"/>
        </w:rPr>
        <w:t> </w:t>
      </w:r>
      <w:r>
        <w:rPr>
          <w:rFonts w:ascii="宋体" w:hAnsi="宋体" w:cs="宋体" w:eastAsia="宋体" w:hint="default"/>
          <w:spacing w:val="-51"/>
          <w:sz w:val="21"/>
          <w:szCs w:val="21"/>
        </w:rPr>
      </w:r>
      <w:r>
        <w:rPr>
          <w:rFonts w:ascii="宋体" w:hAnsi="宋体" w:cs="宋体" w:eastAsia="宋体" w:hint="default"/>
          <w:sz w:val="21"/>
          <w:szCs w:val="21"/>
        </w:rPr>
        <w:t>，因解除劳动关系给</w:t>
      </w:r>
      <w:r>
        <w:rPr>
          <w:rFonts w:ascii="宋体" w:hAnsi="宋体" w:cs="宋体" w:eastAsia="宋体" w:hint="default"/>
          <w:sz w:val="21"/>
          <w:szCs w:val="21"/>
        </w:rPr>
        <w:t> 予补偿</w:t>
      </w:r>
      <w:r>
        <w:rPr>
          <w:rFonts w:ascii="Times New Roman" w:hAnsi="Times New Roman" w:cs="Times New Roman" w:eastAsia="Times New Roman" w:hint="default"/>
          <w:sz w:val="21"/>
          <w:szCs w:val="21"/>
        </w:rPr>
        <w:t>_</w:t>
      </w:r>
      <w:r>
        <w:rPr>
          <w:rFonts w:ascii="Times New Roman" w:hAnsi="Times New Roman" w:cs="Times New Roman" w:eastAsia="Times New Roman" w:hint="default"/>
          <w:sz w:val="21"/>
          <w:szCs w:val="21"/>
          <w:u w:val="single" w:color="000000"/>
        </w:rPr>
        <w:t>0</w:t>
      </w:r>
      <w:r>
        <w:rPr>
          <w:rFonts w:ascii="Times New Roman" w:hAnsi="Times New Roman" w:cs="Times New Roman" w:eastAsia="Times New Roman" w:hint="default"/>
          <w:spacing w:val="48"/>
          <w:sz w:val="21"/>
          <w:szCs w:val="21"/>
          <w:u w:val="single" w:color="000000"/>
        </w:rPr>
        <w:t> </w:t>
      </w:r>
      <w:r>
        <w:rPr>
          <w:rFonts w:ascii="Times New Roman" w:hAnsi="Times New Roman" w:cs="Times New Roman" w:eastAsia="Times New Roman" w:hint="default"/>
          <w:spacing w:val="48"/>
          <w:sz w:val="21"/>
          <w:szCs w:val="21"/>
        </w:rPr>
      </w:r>
      <w:r>
        <w:rPr>
          <w:rFonts w:ascii="宋体" w:hAnsi="宋体" w:cs="宋体" w:eastAsia="宋体" w:hint="default"/>
          <w:sz w:val="21"/>
          <w:szCs w:val="21"/>
        </w:rPr>
        <w:t>元。</w:t>
      </w:r>
    </w:p>
    <w:p>
      <w:pPr>
        <w:spacing w:before="142"/>
        <w:ind w:left="584" w:right="88" w:firstLine="0"/>
        <w:jc w:val="left"/>
        <w:rPr>
          <w:rFonts w:ascii="宋体" w:hAnsi="宋体" w:cs="宋体" w:eastAsia="宋体" w:hint="default"/>
          <w:sz w:val="21"/>
          <w:szCs w:val="21"/>
        </w:rPr>
      </w:pPr>
      <w:r>
        <w:rPr>
          <w:rFonts w:ascii="宋体" w:hAnsi="宋体" w:cs="宋体" w:eastAsia="宋体" w:hint="default"/>
          <w:sz w:val="21"/>
          <w:szCs w:val="21"/>
        </w:rPr>
        <w:t>应付职工薪酬预计发放时间、金额等安排：无。</w:t>
      </w:r>
    </w:p>
    <w:p>
      <w:pPr>
        <w:spacing w:line="240" w:lineRule="auto" w:before="6"/>
        <w:rPr>
          <w:rFonts w:ascii="宋体" w:hAnsi="宋体" w:cs="宋体" w:eastAsia="宋体" w:hint="default"/>
          <w:sz w:val="19"/>
          <w:szCs w:val="19"/>
        </w:rPr>
      </w:pPr>
    </w:p>
    <w:p>
      <w:pPr>
        <w:spacing w:before="0"/>
        <w:ind w:left="164" w:right="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spacing w:before="0"/>
        <w:ind w:left="0" w:right="24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908"/>
        <w:gridCol w:w="2893"/>
        <w:gridCol w:w="2894"/>
      </w:tblGrid>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8"/>
              <w:jc w:val="right"/>
              <w:rPr>
                <w:rFonts w:ascii="Times New Roman" w:hAnsi="Times New Roman" w:cs="Times New Roman" w:eastAsia="Times New Roman" w:hint="default"/>
                <w:sz w:val="18"/>
                <w:szCs w:val="18"/>
              </w:rPr>
            </w:pPr>
            <w:r>
              <w:rPr>
                <w:rFonts w:ascii="Times New Roman"/>
                <w:spacing w:val="-1"/>
                <w:sz w:val="18"/>
              </w:rPr>
              <w:t>2,856,772.10</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3"/>
              <w:jc w:val="right"/>
              <w:rPr>
                <w:rFonts w:ascii="Times New Roman" w:hAnsi="Times New Roman" w:cs="Times New Roman" w:eastAsia="Times New Roman" w:hint="default"/>
                <w:sz w:val="18"/>
                <w:szCs w:val="18"/>
              </w:rPr>
            </w:pPr>
            <w:r>
              <w:rPr>
                <w:rFonts w:ascii="Times New Roman"/>
                <w:spacing w:val="-1"/>
                <w:sz w:val="18"/>
              </w:rPr>
              <w:t>2,823,591.24</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8"/>
              <w:jc w:val="right"/>
              <w:rPr>
                <w:rFonts w:ascii="Times New Roman" w:hAnsi="Times New Roman" w:cs="Times New Roman" w:eastAsia="Times New Roman" w:hint="default"/>
                <w:sz w:val="18"/>
                <w:szCs w:val="18"/>
              </w:rPr>
            </w:pPr>
            <w:r>
              <w:rPr>
                <w:rFonts w:ascii="Times New Roman"/>
                <w:sz w:val="18"/>
              </w:rPr>
              <w:t>182,736.51</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3"/>
              <w:jc w:val="right"/>
              <w:rPr>
                <w:rFonts w:ascii="Times New Roman" w:hAnsi="Times New Roman" w:cs="Times New Roman" w:eastAsia="Times New Roman" w:hint="default"/>
                <w:sz w:val="18"/>
                <w:szCs w:val="18"/>
              </w:rPr>
            </w:pPr>
            <w:r>
              <w:rPr>
                <w:rFonts w:ascii="Times New Roman"/>
                <w:sz w:val="18"/>
              </w:rPr>
              <w:t>61,339.73</w:t>
            </w:r>
          </w:p>
        </w:tc>
      </w:tr>
      <w:tr>
        <w:trPr>
          <w:trHeight w:val="386"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8"/>
              <w:jc w:val="right"/>
              <w:rPr>
                <w:rFonts w:ascii="Times New Roman" w:hAnsi="Times New Roman" w:cs="Times New Roman" w:eastAsia="Times New Roman" w:hint="default"/>
                <w:sz w:val="18"/>
                <w:szCs w:val="18"/>
              </w:rPr>
            </w:pPr>
            <w:r>
              <w:rPr>
                <w:rFonts w:ascii="Times New Roman"/>
                <w:sz w:val="18"/>
              </w:rPr>
              <w:t>-189,349.87</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3"/>
              <w:jc w:val="right"/>
              <w:rPr>
                <w:rFonts w:ascii="Times New Roman" w:hAnsi="Times New Roman" w:cs="Times New Roman" w:eastAsia="Times New Roman" w:hint="default"/>
                <w:sz w:val="18"/>
                <w:szCs w:val="18"/>
              </w:rPr>
            </w:pPr>
            <w:r>
              <w:rPr>
                <w:rFonts w:ascii="Times New Roman"/>
                <w:sz w:val="18"/>
              </w:rPr>
              <w:t>200,569.88</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8"/>
              <w:jc w:val="right"/>
              <w:rPr>
                <w:rFonts w:ascii="Times New Roman" w:hAnsi="Times New Roman" w:cs="Times New Roman" w:eastAsia="Times New Roman" w:hint="default"/>
                <w:sz w:val="18"/>
                <w:szCs w:val="18"/>
              </w:rPr>
            </w:pPr>
            <w:r>
              <w:rPr>
                <w:rFonts w:ascii="Times New Roman"/>
                <w:sz w:val="18"/>
              </w:rPr>
              <w:t>75,010.78</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3"/>
              <w:jc w:val="right"/>
              <w:rPr>
                <w:rFonts w:ascii="Times New Roman" w:hAnsi="Times New Roman" w:cs="Times New Roman" w:eastAsia="Times New Roman" w:hint="default"/>
                <w:sz w:val="18"/>
                <w:szCs w:val="18"/>
              </w:rPr>
            </w:pPr>
            <w:r>
              <w:rPr>
                <w:rFonts w:ascii="Times New Roman"/>
                <w:sz w:val="18"/>
              </w:rPr>
              <w:t>49,906.60</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8"/>
              <w:jc w:val="right"/>
              <w:rPr>
                <w:rFonts w:ascii="Times New Roman" w:hAnsi="Times New Roman" w:cs="Times New Roman" w:eastAsia="Times New Roman" w:hint="default"/>
                <w:sz w:val="18"/>
                <w:szCs w:val="18"/>
              </w:rPr>
            </w:pPr>
            <w:r>
              <w:rPr>
                <w:rFonts w:ascii="Times New Roman"/>
                <w:sz w:val="18"/>
              </w:rPr>
              <w:t>373,246.19</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3"/>
              <w:jc w:val="right"/>
              <w:rPr>
                <w:rFonts w:ascii="Times New Roman" w:hAnsi="Times New Roman" w:cs="Times New Roman" w:eastAsia="Times New Roman" w:hint="default"/>
                <w:sz w:val="18"/>
                <w:szCs w:val="18"/>
              </w:rPr>
            </w:pPr>
            <w:r>
              <w:rPr>
                <w:rFonts w:ascii="Times New Roman"/>
                <w:sz w:val="18"/>
              </w:rPr>
              <w:t>26,773.06</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8"/>
              <w:jc w:val="right"/>
              <w:rPr>
                <w:rFonts w:ascii="Times New Roman" w:hAnsi="Times New Roman" w:cs="Times New Roman" w:eastAsia="Times New Roman" w:hint="default"/>
                <w:sz w:val="18"/>
                <w:szCs w:val="18"/>
              </w:rPr>
            </w:pPr>
            <w:r>
              <w:rPr>
                <w:rFonts w:ascii="Times New Roman"/>
                <w:sz w:val="18"/>
              </w:rPr>
              <w:t>159,962.66</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3"/>
              <w:jc w:val="right"/>
              <w:rPr>
                <w:rFonts w:ascii="Times New Roman" w:hAnsi="Times New Roman" w:cs="Times New Roman" w:eastAsia="Times New Roman" w:hint="default"/>
                <w:sz w:val="18"/>
                <w:szCs w:val="18"/>
              </w:rPr>
            </w:pPr>
            <w:r>
              <w:rPr>
                <w:rFonts w:ascii="Times New Roman"/>
                <w:sz w:val="18"/>
              </w:rPr>
              <w:t>80,319.20</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8"/>
              <w:jc w:val="right"/>
              <w:rPr>
                <w:rFonts w:ascii="Times New Roman" w:hAnsi="Times New Roman" w:cs="Times New Roman" w:eastAsia="Times New Roman" w:hint="default"/>
                <w:sz w:val="18"/>
                <w:szCs w:val="18"/>
              </w:rPr>
            </w:pPr>
            <w:r>
              <w:rPr>
                <w:rFonts w:ascii="Times New Roman"/>
                <w:sz w:val="18"/>
              </w:rPr>
              <w:t>4,826.39</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3"/>
              <w:jc w:val="right"/>
              <w:rPr>
                <w:rFonts w:ascii="Times New Roman" w:hAnsi="Times New Roman" w:cs="Times New Roman" w:eastAsia="Times New Roman" w:hint="default"/>
                <w:sz w:val="18"/>
                <w:szCs w:val="18"/>
              </w:rPr>
            </w:pPr>
            <w:r>
              <w:rPr>
                <w:rFonts w:ascii="Times New Roman"/>
                <w:sz w:val="18"/>
              </w:rPr>
              <w:t>8,456.46</w:t>
            </w:r>
          </w:p>
        </w:tc>
      </w:tr>
      <w:tr>
        <w:trPr>
          <w:trHeight w:val="388" w:hRule="exact"/>
        </w:trPr>
        <w:tc>
          <w:tcPr>
            <w:tcW w:w="2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pacing w:val="-1"/>
                <w:sz w:val="18"/>
              </w:rPr>
              <w:t>3,463,204.76</w:t>
            </w:r>
          </w:p>
        </w:tc>
        <w:tc>
          <w:tcPr>
            <w:tcW w:w="2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3"/>
              <w:jc w:val="right"/>
              <w:rPr>
                <w:rFonts w:ascii="Times New Roman" w:hAnsi="Times New Roman" w:cs="Times New Roman" w:eastAsia="Times New Roman" w:hint="default"/>
                <w:sz w:val="18"/>
                <w:szCs w:val="18"/>
              </w:rPr>
            </w:pPr>
            <w:r>
              <w:rPr>
                <w:rFonts w:ascii="Times New Roman"/>
                <w:spacing w:val="-1"/>
                <w:sz w:val="18"/>
              </w:rPr>
              <w:t>3,250,956.17</w:t>
            </w:r>
          </w:p>
        </w:tc>
      </w:tr>
    </w:tbl>
    <w:p>
      <w:pPr>
        <w:spacing w:line="240" w:lineRule="auto" w:before="4"/>
        <w:rPr>
          <w:rFonts w:ascii="宋体" w:hAnsi="宋体" w:cs="宋体" w:eastAsia="宋体" w:hint="default"/>
          <w:sz w:val="22"/>
          <w:szCs w:val="22"/>
        </w:rPr>
      </w:pPr>
    </w:p>
    <w:p>
      <w:pPr>
        <w:spacing w:line="357" w:lineRule="auto" w:before="35"/>
        <w:ind w:left="164" w:right="150" w:firstLine="0"/>
        <w:jc w:val="left"/>
        <w:rPr>
          <w:rFonts w:ascii="宋体" w:hAnsi="宋体" w:cs="宋体" w:eastAsia="宋体" w:hint="default"/>
          <w:sz w:val="21"/>
          <w:szCs w:val="21"/>
        </w:rPr>
      </w:pPr>
      <w:r>
        <w:rPr>
          <w:rFonts w:ascii="宋体" w:hAnsi="宋体" w:cs="宋体" w:eastAsia="宋体" w:hint="default"/>
          <w:sz w:val="21"/>
          <w:szCs w:val="21"/>
        </w:rPr>
        <w:t>应交税费说明，所在地税务机关同意各分公司、分厂之间应纳税所得额相互调剂的，应说明税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款计算过程：无。</w:t>
      </w:r>
    </w:p>
    <w:p>
      <w:pPr>
        <w:spacing w:after="0" w:line="357" w:lineRule="auto"/>
        <w:jc w:val="left"/>
        <w:rPr>
          <w:rFonts w:ascii="宋体" w:hAnsi="宋体" w:cs="宋体" w:eastAsia="宋体" w:hint="default"/>
          <w:sz w:val="21"/>
          <w:szCs w:val="21"/>
        </w:rPr>
        <w:sectPr>
          <w:pgSz w:w="11910" w:h="16840"/>
          <w:pgMar w:header="877" w:footer="982" w:top="1100" w:bottom="1180" w:left="1480" w:right="1480"/>
        </w:sectPr>
      </w:pPr>
    </w:p>
    <w:p>
      <w:pPr>
        <w:spacing w:line="240" w:lineRule="auto" w:before="2"/>
        <w:rPr>
          <w:rFonts w:ascii="宋体" w:hAnsi="宋体" w:cs="宋体" w:eastAsia="宋体" w:hint="default"/>
          <w:sz w:val="19"/>
          <w:szCs w:val="19"/>
        </w:rPr>
      </w:pPr>
    </w:p>
    <w:p>
      <w:pPr>
        <w:spacing w:before="35"/>
        <w:ind w:left="244" w:right="5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43" w:right="5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）其他应付款账龄分析：</w:t>
      </w:r>
    </w:p>
    <w:p>
      <w:pPr>
        <w:spacing w:line="240" w:lineRule="auto" w:before="6"/>
        <w:rPr>
          <w:rFonts w:ascii="宋体" w:hAnsi="宋体" w:cs="宋体" w:eastAsia="宋体" w:hint="default"/>
          <w:sz w:val="15"/>
          <w:szCs w:val="15"/>
        </w:rPr>
      </w:pPr>
    </w:p>
    <w:p>
      <w:pPr>
        <w:spacing w:before="35"/>
        <w:ind w:left="0" w:right="6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887"/>
        <w:gridCol w:w="2992"/>
        <w:gridCol w:w="2970"/>
      </w:tblGrid>
      <w:tr>
        <w:trPr>
          <w:trHeight w:val="388"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174,577.70</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sz w:val="18"/>
              </w:rPr>
              <w:t>395,278.68</w:t>
            </w:r>
          </w:p>
        </w:tc>
      </w:tr>
      <w:tr>
        <w:trPr>
          <w:trHeight w:val="388"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338,199.50</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28,500.00</w:t>
            </w:r>
          </w:p>
        </w:tc>
      </w:tr>
      <w:tr>
        <w:trPr>
          <w:trHeight w:val="388"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31,500.00</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3,000.00</w:t>
            </w:r>
          </w:p>
        </w:tc>
      </w:tr>
      <w:tr>
        <w:trPr>
          <w:trHeight w:val="388" w:hRule="exact"/>
        </w:trPr>
        <w:tc>
          <w:tcPr>
            <w:tcW w:w="28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544,277.20</w:t>
            </w:r>
          </w:p>
        </w:tc>
        <w:tc>
          <w:tcPr>
            <w:tcW w:w="2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426,778.68</w:t>
            </w:r>
          </w:p>
        </w:tc>
      </w:tr>
    </w:tbl>
    <w:p>
      <w:pPr>
        <w:spacing w:line="240" w:lineRule="auto" w:before="5"/>
        <w:rPr>
          <w:rFonts w:ascii="宋体" w:hAnsi="宋体" w:cs="宋体" w:eastAsia="宋体" w:hint="default"/>
          <w:sz w:val="22"/>
          <w:szCs w:val="22"/>
        </w:rPr>
      </w:pPr>
    </w:p>
    <w:p>
      <w:pPr>
        <w:spacing w:line="336" w:lineRule="auto" w:before="35"/>
        <w:ind w:left="244" w:right="516"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）本报告期其他应付款中应付持有公司</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以上表决权股份的股东单位或关联方情</w:t>
      </w:r>
      <w:r>
        <w:rPr>
          <w:rFonts w:ascii="宋体" w:hAnsi="宋体" w:cs="宋体" w:eastAsia="宋体" w:hint="default"/>
          <w:spacing w:val="-102"/>
          <w:sz w:val="21"/>
          <w:szCs w:val="21"/>
        </w:rPr>
        <w:t> </w:t>
      </w:r>
      <w:r>
        <w:rPr>
          <w:rFonts w:ascii="宋体" w:hAnsi="宋体" w:cs="宋体" w:eastAsia="宋体" w:hint="default"/>
          <w:sz w:val="21"/>
          <w:szCs w:val="21"/>
        </w:rPr>
        <w:t>况：无。</w:t>
      </w:r>
    </w:p>
    <w:p>
      <w:pPr>
        <w:spacing w:before="169"/>
        <w:ind w:left="244" w:right="5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年的大额其他应付款情况的说明</w:t>
      </w:r>
    </w:p>
    <w:p>
      <w:pPr>
        <w:spacing w:line="240" w:lineRule="auto" w:before="3"/>
        <w:rPr>
          <w:rFonts w:ascii="宋体" w:hAnsi="宋体" w:cs="宋体" w:eastAsia="宋体" w:hint="default"/>
          <w:sz w:val="18"/>
          <w:szCs w:val="18"/>
        </w:rPr>
      </w:pPr>
    </w:p>
    <w:p>
      <w:pPr>
        <w:spacing w:before="0"/>
        <w:ind w:left="664" w:right="5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年其他应付款期末余额主要包括的是各项押金、预提性质的款项。</w:t>
      </w:r>
    </w:p>
    <w:p>
      <w:pPr>
        <w:spacing w:line="240" w:lineRule="auto" w:before="2"/>
        <w:rPr>
          <w:rFonts w:ascii="宋体" w:hAnsi="宋体" w:cs="宋体" w:eastAsia="宋体" w:hint="default"/>
          <w:sz w:val="18"/>
          <w:szCs w:val="18"/>
        </w:rPr>
      </w:pPr>
    </w:p>
    <w:p>
      <w:pPr>
        <w:spacing w:before="0"/>
        <w:ind w:left="244" w:right="5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）对于金额较大的其他应付款，应说明内容</w:t>
      </w:r>
    </w:p>
    <w:p>
      <w:pPr>
        <w:spacing w:line="240" w:lineRule="auto" w:before="3"/>
        <w:rPr>
          <w:rFonts w:ascii="宋体" w:hAnsi="宋体" w:cs="宋体" w:eastAsia="宋体" w:hint="default"/>
          <w:sz w:val="18"/>
          <w:szCs w:val="18"/>
        </w:rPr>
      </w:pPr>
    </w:p>
    <w:p>
      <w:pPr>
        <w:spacing w:before="0"/>
        <w:ind w:left="664" w:right="5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年其他应付款期末余额包括应付金运大厦房屋租赁押金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327,294.00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8"/>
          <w:szCs w:val="18"/>
        </w:rPr>
      </w:pPr>
    </w:p>
    <w:p>
      <w:pPr>
        <w:spacing w:before="0"/>
        <w:ind w:left="244" w:right="5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244" w:right="5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）长期借款分类</w:t>
      </w:r>
    </w:p>
    <w:p>
      <w:pPr>
        <w:spacing w:line="240" w:lineRule="auto" w:before="1"/>
        <w:rPr>
          <w:rFonts w:ascii="宋体" w:hAnsi="宋体" w:cs="宋体" w:eastAsia="宋体" w:hint="default"/>
          <w:sz w:val="18"/>
          <w:szCs w:val="18"/>
        </w:rPr>
      </w:pPr>
    </w:p>
    <w:p>
      <w:pPr>
        <w:spacing w:before="0"/>
        <w:ind w:left="0" w:right="6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2906"/>
        <w:gridCol w:w="2893"/>
        <w:gridCol w:w="2893"/>
      </w:tblGrid>
      <w:tr>
        <w:trPr>
          <w:trHeight w:val="388" w:hRule="exact"/>
        </w:trPr>
        <w:tc>
          <w:tcPr>
            <w:tcW w:w="2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w:t>
            </w:r>
          </w:p>
        </w:tc>
        <w:tc>
          <w:tcPr>
            <w:tcW w:w="2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w:t>
            </w:r>
          </w:p>
        </w:tc>
        <w:tc>
          <w:tcPr>
            <w:tcW w:w="2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19,400,000.00</w:t>
            </w:r>
          </w:p>
        </w:tc>
      </w:tr>
      <w:tr>
        <w:trPr>
          <w:trHeight w:val="386" w:hRule="exact"/>
        </w:trPr>
        <w:tc>
          <w:tcPr>
            <w:tcW w:w="2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w:t>
            </w:r>
          </w:p>
        </w:tc>
        <w:tc>
          <w:tcPr>
            <w:tcW w:w="2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w:t>
            </w:r>
          </w:p>
        </w:tc>
        <w:tc>
          <w:tcPr>
            <w:tcW w:w="2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w:t>
            </w:r>
          </w:p>
        </w:tc>
        <w:tc>
          <w:tcPr>
            <w:tcW w:w="2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19,400,000.00</w:t>
            </w:r>
          </w:p>
        </w:tc>
      </w:tr>
    </w:tbl>
    <w:p>
      <w:pPr>
        <w:spacing w:before="86"/>
        <w:ind w:left="664" w:right="516" w:firstLine="0"/>
        <w:jc w:val="left"/>
        <w:rPr>
          <w:rFonts w:ascii="宋体" w:hAnsi="宋体" w:cs="宋体" w:eastAsia="宋体" w:hint="default"/>
          <w:sz w:val="21"/>
          <w:szCs w:val="21"/>
        </w:rPr>
      </w:pPr>
      <w:r>
        <w:rPr>
          <w:rFonts w:ascii="宋体" w:hAnsi="宋体" w:cs="宋体" w:eastAsia="宋体" w:hint="default"/>
          <w:sz w:val="21"/>
          <w:szCs w:val="21"/>
        </w:rPr>
        <w:t>本公司已于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日以自有资金偿还了因购置金运世纪大厦房产的按揭贷款。</w:t>
      </w:r>
    </w:p>
    <w:p>
      <w:pPr>
        <w:spacing w:line="240" w:lineRule="auto" w:before="2"/>
        <w:rPr>
          <w:rFonts w:ascii="宋体" w:hAnsi="宋体" w:cs="宋体" w:eastAsia="宋体" w:hint="default"/>
          <w:sz w:val="18"/>
          <w:szCs w:val="18"/>
        </w:rPr>
      </w:pPr>
    </w:p>
    <w:p>
      <w:pPr>
        <w:spacing w:before="0"/>
        <w:ind w:left="243" w:right="5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）金额前五名的长期借款：无。</w:t>
      </w:r>
    </w:p>
    <w:p>
      <w:pPr>
        <w:spacing w:line="240" w:lineRule="auto" w:before="2"/>
        <w:rPr>
          <w:rFonts w:ascii="宋体" w:hAnsi="宋体" w:cs="宋体" w:eastAsia="宋体" w:hint="default"/>
          <w:sz w:val="18"/>
          <w:szCs w:val="18"/>
        </w:rPr>
      </w:pPr>
    </w:p>
    <w:p>
      <w:pPr>
        <w:spacing w:before="0"/>
        <w:ind w:left="244" w:right="5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4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181"/>
        <w:gridCol w:w="1440"/>
        <w:gridCol w:w="1440"/>
        <w:gridCol w:w="720"/>
        <w:gridCol w:w="1440"/>
        <w:gridCol w:w="720"/>
        <w:gridCol w:w="755"/>
        <w:gridCol w:w="1417"/>
      </w:tblGrid>
      <w:tr>
        <w:trPr>
          <w:trHeight w:val="426" w:hRule="exact"/>
        </w:trPr>
        <w:tc>
          <w:tcPr>
            <w:tcW w:w="1181" w:type="dxa"/>
            <w:vMerge w:val="restart"/>
            <w:tcBorders>
              <w:top w:val="single" w:sz="4" w:space="0" w:color="000000"/>
              <w:left w:val="nil" w:sz="6" w:space="0" w:color="auto"/>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0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42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417"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7" w:hRule="exact"/>
        </w:trPr>
        <w:tc>
          <w:tcPr>
            <w:tcW w:w="1181" w:type="dxa"/>
            <w:vMerge/>
            <w:tcBorders>
              <w:left w:val="nil" w:sz="6" w:space="0" w:color="auto"/>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9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4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9"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6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7" w:type="dxa"/>
            <w:vMerge/>
            <w:tcBorders>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400" w:right="112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202"/>
        <w:gridCol w:w="1440"/>
        <w:gridCol w:w="1440"/>
        <w:gridCol w:w="720"/>
        <w:gridCol w:w="1440"/>
        <w:gridCol w:w="720"/>
        <w:gridCol w:w="755"/>
        <w:gridCol w:w="1424"/>
      </w:tblGrid>
      <w:tr>
        <w:trPr>
          <w:trHeight w:val="427"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18" w:right="0"/>
              <w:jc w:val="left"/>
              <w:rPr>
                <w:rFonts w:ascii="Times New Roman" w:hAnsi="Times New Roman" w:cs="Times New Roman" w:eastAsia="Times New Roman" w:hint="default"/>
                <w:sz w:val="21"/>
                <w:szCs w:val="21"/>
              </w:rPr>
            </w:pPr>
            <w:r>
              <w:rPr>
                <w:rFonts w:ascii="Times New Roman"/>
                <w:sz w:val="21"/>
              </w:rPr>
              <w:t>15,000,000.00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65" w:right="0"/>
              <w:jc w:val="left"/>
              <w:rPr>
                <w:rFonts w:ascii="Times New Roman" w:hAnsi="Times New Roman" w:cs="Times New Roman" w:eastAsia="Times New Roman" w:hint="default"/>
                <w:sz w:val="21"/>
                <w:szCs w:val="21"/>
              </w:rPr>
            </w:pPr>
            <w:r>
              <w:rPr>
                <w:rFonts w:ascii="Times New Roman"/>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66" w:right="0"/>
              <w:jc w:val="left"/>
              <w:rPr>
                <w:rFonts w:ascii="Times New Roman" w:hAnsi="Times New Roman" w:cs="Times New Roman" w:eastAsia="Times New Roman" w:hint="default"/>
                <w:sz w:val="21"/>
                <w:szCs w:val="21"/>
              </w:rPr>
            </w:pPr>
            <w:r>
              <w:rPr>
                <w:rFonts w:ascii="Times New Roman"/>
                <w:sz w:val="21"/>
              </w:rPr>
              <w:t>--</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60,000,000.00</w:t>
            </w:r>
          </w:p>
        </w:tc>
      </w:tr>
    </w:tbl>
    <w:p>
      <w:pPr>
        <w:spacing w:line="240" w:lineRule="auto" w:before="4"/>
        <w:rPr>
          <w:rFonts w:ascii="宋体" w:hAnsi="宋体" w:cs="宋体" w:eastAsia="宋体" w:hint="default"/>
          <w:sz w:val="22"/>
          <w:szCs w:val="22"/>
        </w:rPr>
      </w:pPr>
    </w:p>
    <w:p>
      <w:pPr>
        <w:spacing w:line="338" w:lineRule="auto" w:before="35"/>
        <w:ind w:left="243" w:right="414" w:firstLine="420"/>
        <w:jc w:val="both"/>
        <w:rPr>
          <w:rFonts w:ascii="宋体" w:hAnsi="宋体" w:cs="宋体" w:eastAsia="宋体" w:hint="default"/>
          <w:sz w:val="21"/>
          <w:szCs w:val="21"/>
        </w:rPr>
      </w:pPr>
      <w:r>
        <w:rPr>
          <w:rFonts w:ascii="宋体" w:hAnsi="宋体" w:cs="宋体" w:eastAsia="宋体" w:hint="default"/>
          <w:sz w:val="21"/>
          <w:szCs w:val="21"/>
        </w:rPr>
        <w:t>经中国证券监督管理委员会</w:t>
      </w:r>
      <w:r>
        <w:rPr>
          <w:rFonts w:ascii="Times New Roman" w:hAnsi="Times New Roman" w:cs="Times New Roman" w:eastAsia="Times New Roman" w:hint="default"/>
          <w:sz w:val="21"/>
          <w:szCs w:val="21"/>
        </w:rPr>
        <w:t>“</w:t>
      </w: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[2010]548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文核准，本公司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年度向社会公开 发行人民币普通股（</w:t>
      </w:r>
      <w:r>
        <w:rPr>
          <w:rFonts w:ascii="Times New Roman" w:hAnsi="Times New Roman" w:cs="Times New Roman" w:eastAsia="Times New Roman" w:hint="default"/>
          <w:sz w:val="21"/>
          <w:szCs w:val="21"/>
        </w:rPr>
        <w:t>A </w:t>
      </w:r>
      <w:r>
        <w:rPr>
          <w:rFonts w:ascii="宋体" w:hAnsi="宋体" w:cs="宋体" w:eastAsia="宋体" w:hint="default"/>
          <w:spacing w:val="-3"/>
          <w:sz w:val="21"/>
          <w:szCs w:val="21"/>
        </w:rPr>
        <w:t>股）</w:t>
      </w:r>
      <w:r>
        <w:rPr>
          <w:rFonts w:ascii="Times New Roman" w:hAnsi="Times New Roman" w:cs="Times New Roman" w:eastAsia="Times New Roman" w:hint="default"/>
          <w:spacing w:val="-3"/>
          <w:sz w:val="21"/>
          <w:szCs w:val="21"/>
        </w:rPr>
        <w:t>1500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万股，业经深圳市鹏城会计师事务有限公司对本次发行募集资 </w:t>
      </w:r>
      <w:r>
        <w:rPr>
          <w:rFonts w:ascii="宋体" w:hAnsi="宋体" w:cs="宋体" w:eastAsia="宋体" w:hint="default"/>
          <w:spacing w:val="-6"/>
          <w:sz w:val="21"/>
          <w:szCs w:val="21"/>
        </w:rPr>
        <w:t>金到位情况进行了审验，并于</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日出具了深鹏所验字</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第</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184</w:t>
      </w:r>
      <w:r>
        <w:rPr>
          <w:rFonts w:ascii="Times New Roman" w:hAnsi="Times New Roman" w:cs="Times New Roman" w:eastAsia="Times New Roman" w:hint="default"/>
          <w:spacing w:val="3"/>
          <w:sz w:val="21"/>
          <w:szCs w:val="21"/>
        </w:rPr>
        <w:t> </w:t>
      </w:r>
      <w:r>
        <w:rPr>
          <w:rFonts w:ascii="宋体" w:hAnsi="宋体" w:cs="宋体" w:eastAsia="宋体" w:hint="default"/>
          <w:spacing w:val="-22"/>
          <w:sz w:val="21"/>
          <w:szCs w:val="21"/>
        </w:rPr>
        <w:t>号《验资报告》。</w:t>
      </w:r>
    </w:p>
    <w:p>
      <w:pPr>
        <w:spacing w:before="142"/>
        <w:ind w:left="243" w:right="5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6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2315"/>
        <w:gridCol w:w="1531"/>
        <w:gridCol w:w="1456"/>
        <w:gridCol w:w="1494"/>
        <w:gridCol w:w="1897"/>
      </w:tblGrid>
      <w:tr>
        <w:trPr>
          <w:trHeight w:val="386" w:hRule="exact"/>
        </w:trPr>
        <w:tc>
          <w:tcPr>
            <w:tcW w:w="2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2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24,560.25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373,950,739.96</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373,975,300.21</w:t>
            </w:r>
          </w:p>
        </w:tc>
      </w:tr>
      <w:tr>
        <w:trPr>
          <w:trHeight w:val="388" w:hRule="exact"/>
        </w:trPr>
        <w:tc>
          <w:tcPr>
            <w:tcW w:w="2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24,560.25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373,950,739.96</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373,975,300.21</w:t>
            </w:r>
          </w:p>
        </w:tc>
      </w:tr>
    </w:tbl>
    <w:p>
      <w:pPr>
        <w:spacing w:line="240" w:lineRule="auto" w:before="5"/>
        <w:rPr>
          <w:rFonts w:ascii="宋体" w:hAnsi="宋体" w:cs="宋体" w:eastAsia="宋体" w:hint="default"/>
          <w:sz w:val="22"/>
          <w:szCs w:val="22"/>
        </w:rPr>
      </w:pPr>
    </w:p>
    <w:p>
      <w:pPr>
        <w:spacing w:line="343" w:lineRule="auto" w:before="35"/>
        <w:ind w:left="243" w:right="521" w:firstLine="420"/>
        <w:jc w:val="both"/>
        <w:rPr>
          <w:rFonts w:ascii="宋体" w:hAnsi="宋体" w:cs="宋体" w:eastAsia="宋体" w:hint="default"/>
          <w:sz w:val="21"/>
          <w:szCs w:val="21"/>
        </w:rPr>
      </w:pPr>
      <w:r>
        <w:rPr>
          <w:rFonts w:ascii="宋体" w:hAnsi="宋体" w:cs="宋体" w:eastAsia="宋体" w:hint="default"/>
          <w:sz w:val="21"/>
          <w:szCs w:val="21"/>
        </w:rPr>
        <w:t>根据中国证券监督管理委员会</w:t>
      </w:r>
      <w:r>
        <w:rPr>
          <w:rFonts w:ascii="Times New Roman" w:hAnsi="Times New Roman" w:cs="Times New Roman" w:eastAsia="Times New Roman" w:hint="default"/>
          <w:sz w:val="21"/>
          <w:szCs w:val="21"/>
        </w:rPr>
        <w:t>“</w:t>
      </w: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[2010]548</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文《关于核准深圳市银之杰科技股份</w:t>
      </w:r>
      <w:r>
        <w:rPr>
          <w:rFonts w:ascii="宋体" w:hAnsi="宋体" w:cs="宋体" w:eastAsia="宋体" w:hint="default"/>
          <w:sz w:val="21"/>
          <w:szCs w:val="21"/>
        </w:rPr>
        <w:t> </w:t>
      </w:r>
      <w:r>
        <w:rPr>
          <w:rFonts w:ascii="宋体" w:hAnsi="宋体" w:cs="宋体" w:eastAsia="宋体" w:hint="default"/>
          <w:spacing w:val="5"/>
          <w:sz w:val="21"/>
          <w:szCs w:val="21"/>
        </w:rPr>
        <w:t>有限公司首次公开发行股票并在创业板上市的批复》，公司拟向社会公开发行人民币普通股</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1,500</w:t>
      </w:r>
      <w:r>
        <w:rPr>
          <w:rFonts w:ascii="Times New Roman" w:hAnsi="Times New Roman" w:cs="Times New Roman" w:eastAsia="Times New Roman" w:hint="default"/>
          <w:spacing w:val="3"/>
          <w:sz w:val="21"/>
          <w:szCs w:val="21"/>
        </w:rPr>
        <w:t> </w:t>
      </w:r>
      <w:r>
        <w:rPr>
          <w:rFonts w:ascii="宋体" w:hAnsi="宋体" w:cs="宋体" w:eastAsia="宋体" w:hint="default"/>
          <w:spacing w:val="-13"/>
          <w:sz w:val="21"/>
          <w:szCs w:val="21"/>
        </w:rPr>
        <w:t>万股（每股面值</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22"/>
          <w:sz w:val="21"/>
          <w:szCs w:val="21"/>
        </w:rPr>
        <w:t>元），增加注册资本</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15,000,000.00</w:t>
      </w:r>
      <w:r>
        <w:rPr>
          <w:rFonts w:ascii="Times New Roman" w:hAnsi="Times New Roman" w:cs="Times New Roman" w:eastAsia="Times New Roman" w:hint="default"/>
          <w:spacing w:val="4"/>
          <w:sz w:val="21"/>
          <w:szCs w:val="21"/>
        </w:rPr>
        <w:t> </w:t>
      </w:r>
      <w:r>
        <w:rPr>
          <w:rFonts w:ascii="宋体" w:hAnsi="宋体" w:cs="宋体" w:eastAsia="宋体" w:hint="default"/>
          <w:spacing w:val="-8"/>
          <w:sz w:val="21"/>
          <w:szCs w:val="21"/>
        </w:rPr>
        <w:t>元，变更后的注册资本为</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60,000,000.00</w:t>
      </w:r>
      <w:r>
        <w:rPr>
          <w:rFonts w:ascii="Times New Roman" w:hAnsi="Times New Roman" w:cs="Times New Roman" w:eastAsia="Times New Roman" w:hint="default"/>
          <w:spacing w:val="-51"/>
          <w:sz w:val="21"/>
          <w:szCs w:val="21"/>
        </w:rPr>
        <w:t> </w:t>
      </w:r>
      <w:r>
        <w:rPr>
          <w:rFonts w:ascii="Times New Roman" w:hAnsi="Times New Roman" w:cs="Times New Roman" w:eastAsia="Times New Roman" w:hint="default"/>
          <w:spacing w:val="-51"/>
          <w:sz w:val="21"/>
          <w:szCs w:val="21"/>
        </w:rPr>
      </w:r>
      <w:r>
        <w:rPr>
          <w:rFonts w:ascii="宋体" w:hAnsi="宋体" w:cs="宋体" w:eastAsia="宋体" w:hint="default"/>
          <w:sz w:val="21"/>
          <w:szCs w:val="21"/>
        </w:rPr>
        <w:t>元。</w:t>
      </w:r>
    </w:p>
    <w:p>
      <w:pPr>
        <w:spacing w:before="163"/>
        <w:ind w:left="0" w:right="520" w:firstLine="0"/>
        <w:jc w:val="righ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日深鹏所验字</w:t>
      </w:r>
      <w:r>
        <w:rPr>
          <w:rFonts w:ascii="Times New Roman" w:hAnsi="Times New Roman" w:cs="Times New Roman" w:eastAsia="Times New Roman" w:hint="default"/>
          <w:sz w:val="21"/>
          <w:szCs w:val="21"/>
        </w:rPr>
        <w:t>[2010]184</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号验资报告，截至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日止，公司</w:t>
      </w:r>
    </w:p>
    <w:p>
      <w:pPr>
        <w:spacing w:before="118"/>
        <w:ind w:left="243" w:right="0" w:firstLine="0"/>
        <w:jc w:val="left"/>
        <w:rPr>
          <w:rFonts w:ascii="宋体" w:hAnsi="宋体" w:cs="宋体" w:eastAsia="宋体" w:hint="default"/>
          <w:sz w:val="21"/>
          <w:szCs w:val="21"/>
        </w:rPr>
      </w:pPr>
      <w:r>
        <w:rPr>
          <w:rFonts w:ascii="宋体" w:hAnsi="宋体" w:cs="宋体" w:eastAsia="宋体" w:hint="default"/>
          <w:spacing w:val="2"/>
          <w:sz w:val="21"/>
          <w:szCs w:val="21"/>
        </w:rPr>
        <w:t>实际已发行人民币普通股 </w:t>
      </w:r>
      <w:r>
        <w:rPr>
          <w:rFonts w:ascii="Times New Roman" w:hAnsi="Times New Roman" w:cs="Times New Roman" w:eastAsia="Times New Roman" w:hint="default"/>
          <w:sz w:val="21"/>
          <w:szCs w:val="21"/>
        </w:rPr>
        <w:t>1,500  </w:t>
      </w:r>
      <w:r>
        <w:rPr>
          <w:rFonts w:ascii="宋体" w:hAnsi="宋体" w:cs="宋体" w:eastAsia="宋体" w:hint="default"/>
          <w:spacing w:val="2"/>
          <w:sz w:val="21"/>
          <w:szCs w:val="21"/>
        </w:rPr>
        <w:t>万股，募集资金总额 </w:t>
      </w:r>
      <w:r>
        <w:rPr>
          <w:rFonts w:ascii="Times New Roman" w:hAnsi="Times New Roman" w:cs="Times New Roman" w:eastAsia="Times New Roman" w:hint="default"/>
          <w:sz w:val="21"/>
          <w:szCs w:val="21"/>
        </w:rPr>
        <w:t>420,000,000.00 </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元，扣除各项发行费用</w:t>
      </w:r>
      <w:r>
        <w:rPr>
          <w:rFonts w:ascii="宋体" w:hAnsi="宋体" w:cs="宋体" w:eastAsia="宋体" w:hint="default"/>
          <w:sz w:val="21"/>
          <w:szCs w:val="21"/>
        </w:rPr>
      </w:r>
    </w:p>
    <w:p>
      <w:pPr>
        <w:spacing w:before="117"/>
        <w:ind w:left="24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35,242,475.00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元，实际募集资金净额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384,757,525.00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元，其中新增注册资本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15,000,000.00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before="118"/>
        <w:ind w:left="243" w:right="516" w:firstLine="0"/>
        <w:jc w:val="left"/>
        <w:rPr>
          <w:rFonts w:ascii="宋体" w:hAnsi="宋体" w:cs="宋体" w:eastAsia="宋体" w:hint="default"/>
          <w:sz w:val="21"/>
          <w:szCs w:val="21"/>
        </w:rPr>
      </w:pPr>
      <w:r>
        <w:rPr>
          <w:rFonts w:ascii="宋体" w:hAnsi="宋体" w:cs="宋体" w:eastAsia="宋体" w:hint="default"/>
          <w:sz w:val="21"/>
          <w:szCs w:val="21"/>
        </w:rPr>
        <w:t>增加资本公积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369,757,525.00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8"/>
          <w:szCs w:val="18"/>
        </w:rPr>
      </w:pPr>
    </w:p>
    <w:p>
      <w:pPr>
        <w:spacing w:before="0"/>
        <w:ind w:left="0" w:right="521" w:firstLine="0"/>
        <w:jc w:val="right"/>
        <w:rPr>
          <w:rFonts w:ascii="宋体" w:hAnsi="宋体" w:cs="宋体" w:eastAsia="宋体" w:hint="default"/>
          <w:sz w:val="21"/>
          <w:szCs w:val="21"/>
        </w:rPr>
      </w:pPr>
      <w:r>
        <w:rPr>
          <w:rFonts w:ascii="宋体" w:hAnsi="宋体" w:cs="宋体" w:eastAsia="宋体" w:hint="default"/>
          <w:sz w:val="21"/>
          <w:szCs w:val="21"/>
        </w:rPr>
        <w:t>根据中华人民共和国财政部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日财会</w:t>
      </w:r>
      <w:r>
        <w:rPr>
          <w:rFonts w:ascii="Times New Roman" w:hAnsi="Times New Roman" w:cs="Times New Roman" w:eastAsia="Times New Roman" w:hint="default"/>
          <w:sz w:val="21"/>
          <w:szCs w:val="21"/>
        </w:rPr>
        <w:t>[2010]25</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号《财政部关于执行企业会计</w:t>
      </w:r>
    </w:p>
    <w:p>
      <w:pPr>
        <w:spacing w:before="118"/>
        <w:ind w:left="243" w:right="0" w:firstLine="0"/>
        <w:jc w:val="left"/>
        <w:rPr>
          <w:rFonts w:ascii="宋体" w:hAnsi="宋体" w:cs="宋体" w:eastAsia="宋体" w:hint="default"/>
          <w:sz w:val="21"/>
          <w:szCs w:val="21"/>
        </w:rPr>
      </w:pPr>
      <w:r>
        <w:rPr>
          <w:rFonts w:ascii="宋体" w:hAnsi="宋体" w:cs="宋体" w:eastAsia="宋体" w:hint="default"/>
          <w:sz w:val="21"/>
          <w:szCs w:val="21"/>
        </w:rPr>
        <w:t>准则的上市公司和非上市企业做好</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年年报工作的通知》的相关规定，公司将发行权益性证</w:t>
      </w:r>
    </w:p>
    <w:p>
      <w:pPr>
        <w:spacing w:before="117"/>
        <w:ind w:left="243" w:right="0" w:firstLine="0"/>
        <w:jc w:val="left"/>
        <w:rPr>
          <w:rFonts w:ascii="宋体" w:hAnsi="宋体" w:cs="宋体" w:eastAsia="宋体" w:hint="default"/>
          <w:sz w:val="21"/>
          <w:szCs w:val="21"/>
        </w:rPr>
      </w:pPr>
      <w:r>
        <w:rPr>
          <w:rFonts w:ascii="宋体" w:hAnsi="宋体" w:cs="宋体" w:eastAsia="宋体" w:hint="default"/>
          <w:sz w:val="21"/>
          <w:szCs w:val="21"/>
        </w:rPr>
        <w:t>券过程中发生的广告费、路演费等费用</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4,193,214.96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元调整计入当期损益，同时增加资本公积，</w:t>
      </w:r>
    </w:p>
    <w:p>
      <w:pPr>
        <w:spacing w:before="117"/>
        <w:ind w:left="243" w:right="516" w:firstLine="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年增加资本公积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373,950,739.96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8"/>
          <w:szCs w:val="18"/>
        </w:rPr>
      </w:pPr>
    </w:p>
    <w:p>
      <w:pPr>
        <w:spacing w:before="0"/>
        <w:ind w:left="243" w:right="5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spacing w:before="0"/>
        <w:ind w:left="0" w:right="6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1750"/>
        <w:gridCol w:w="1735"/>
        <w:gridCol w:w="1735"/>
        <w:gridCol w:w="1736"/>
        <w:gridCol w:w="1736"/>
      </w:tblGrid>
      <w:tr>
        <w:trPr>
          <w:trHeight w:val="388"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6,290,179.42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10,843,670.67</w:t>
            </w:r>
          </w:p>
        </w:tc>
      </w:tr>
      <w:tr>
        <w:trPr>
          <w:trHeight w:val="388"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6,290,179.42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10,843,670.67</w:t>
            </w:r>
          </w:p>
        </w:tc>
      </w:tr>
    </w:tbl>
    <w:p>
      <w:pPr>
        <w:spacing w:line="240" w:lineRule="auto" w:before="4"/>
        <w:rPr>
          <w:rFonts w:ascii="宋体" w:hAnsi="宋体" w:cs="宋体" w:eastAsia="宋体" w:hint="default"/>
          <w:sz w:val="22"/>
          <w:szCs w:val="22"/>
        </w:rPr>
      </w:pPr>
    </w:p>
    <w:p>
      <w:pPr>
        <w:spacing w:before="35"/>
        <w:ind w:left="244" w:right="5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before="35"/>
        <w:ind w:left="0" w:right="60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2"/>
        <w:rPr>
          <w:rFonts w:ascii="宋体" w:hAnsi="宋体" w:cs="宋体" w:eastAsia="宋体" w:hint="default"/>
          <w:sz w:val="11"/>
          <w:szCs w:val="11"/>
        </w:rPr>
      </w:pPr>
    </w:p>
    <w:p>
      <w:pPr>
        <w:spacing w:line="421" w:lineRule="exact"/>
        <w:ind w:left="19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5.5pt;height:21.1pt;mso-position-horizontal-relative:char;mso-position-vertical-relative:line" coordorigin="0,0" coordsize="8710,422">
            <v:group style="position:absolute;left:22;top:14;width:4824;height:2" coordorigin="22,14" coordsize="4824,2">
              <v:shape style="position:absolute;left:22;top:14;width:4824;height:2" coordorigin="22,14" coordsize="4824,0" path="m22,14l4846,14e" filled="false" stroked="true" strokeweight=".72pt" strokecolor="#000000">
                <v:path arrowok="t"/>
              </v:shape>
            </v:group>
            <v:group style="position:absolute;left:4846;top:14;width:1612;height:2" coordorigin="4846,14" coordsize="1612,2">
              <v:shape style="position:absolute;left:4846;top:14;width:1612;height:2" coordorigin="4846,14" coordsize="1612,0" path="m4846,14l6457,14e" filled="false" stroked="true" strokeweight=".72pt" strokecolor="#000000">
                <v:path arrowok="t"/>
              </v:shape>
            </v:group>
            <v:group style="position:absolute;left:6472;top:14;width:2224;height:2" coordorigin="6472,14" coordsize="2224,2">
              <v:shape style="position:absolute;left:6472;top:14;width:2224;height:2" coordorigin="6472,14" coordsize="2224,0" path="m6472,14l8695,14e" filled="false" stroked="true" strokeweight=".72pt" strokecolor="#000000">
                <v:path arrowok="t"/>
              </v:shape>
            </v:group>
            <v:group style="position:absolute;left:7;top:407;width:4839;height:2" coordorigin="7,407" coordsize="4839,2">
              <v:shape style="position:absolute;left:7;top:407;width:4839;height:2" coordorigin="7,407" coordsize="4839,0" path="m7,407l4846,407e" filled="false" stroked="true" strokeweight=".72pt" strokecolor="#000000">
                <v:path arrowok="t"/>
              </v:shape>
            </v:group>
            <v:group style="position:absolute;left:4850;top:22;width:2;height:378" coordorigin="4850,22" coordsize="2,378">
              <v:shape style="position:absolute;left:4850;top:22;width:2;height:378" coordorigin="4850,22" coordsize="0,378" path="m4850,22l4850,400e" filled="false" stroked="true" strokeweight=".48001pt" strokecolor="#000000">
                <v:path arrowok="t"/>
              </v:shape>
            </v:group>
            <v:group style="position:absolute;left:4846;top:407;width:1612;height:2" coordorigin="4846,407" coordsize="1612,2">
              <v:shape style="position:absolute;left:4846;top:407;width:1612;height:2" coordorigin="4846,407" coordsize="1612,0" path="m4846,407l6457,407e" filled="false" stroked="true" strokeweight=".72pt" strokecolor="#000000">
                <v:path arrowok="t"/>
              </v:shape>
            </v:group>
            <v:group style="position:absolute;left:6464;top:7;width:2;height:407" coordorigin="6464,7" coordsize="2,407">
              <v:shape style="position:absolute;left:6464;top:7;width:2;height:407" coordorigin="6464,7" coordsize="0,407" path="m6464,7l6464,414e" filled="false" stroked="true" strokeweight=".72pt" strokecolor="#000000">
                <v:path arrowok="t"/>
              </v:shape>
            </v:group>
            <v:group style="position:absolute;left:6472;top:407;width:2231;height:2" coordorigin="6472,407" coordsize="2231,2">
              <v:shape style="position:absolute;left:6472;top:407;width:2231;height:2" coordorigin="6472,407" coordsize="2231,0" path="m6472,407l8702,407e" filled="false" stroked="true" strokeweight=".72pt" strokecolor="#000000">
                <v:path arrowok="t"/>
              </v:shape>
              <v:shape style="position:absolute;left:4850;top:14;width:1614;height:393" type="#_x0000_t202" filled="false" stroked="false">
                <v:textbox inset="0,0,0,0">
                  <w:txbxContent>
                    <w:p>
                      <w:pPr>
                        <w:spacing w:before="50"/>
                        <w:ind w:left="0" w:right="1" w:firstLine="0"/>
                        <w:jc w:val="center"/>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2256;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952;top:120;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提取或分配比例</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877" w:footer="982" w:top="1100" w:bottom="1180" w:left="1400" w:right="112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4843"/>
        <w:gridCol w:w="1614"/>
        <w:gridCol w:w="2238"/>
      </w:tblGrid>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调整前 上年末未分配利润</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pacing w:val="-1"/>
                <w:sz w:val="18"/>
              </w:rPr>
              <w:t>56,611,614.63</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调整 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z w:val="18"/>
              </w:rPr>
              <w:t>--</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8"/>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调整后 年初未分配利润</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pacing w:val="-1"/>
                <w:sz w:val="18"/>
              </w:rPr>
              <w:t>56,611,614.63</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pacing w:val="-1"/>
                <w:sz w:val="18"/>
              </w:rPr>
              <w:t>33,973,521.32</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pacing w:val="-1"/>
                <w:sz w:val="18"/>
              </w:rPr>
              <w:t>4,553,491.25</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7"/>
              <w:jc w:val="center"/>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z w:val="18"/>
              </w:rPr>
              <w:t>--</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8"/>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z w:val="18"/>
              </w:rPr>
              <w:t>--</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8"/>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z w:val="18"/>
              </w:rPr>
              <w:t>--</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8"/>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0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z w:val="18"/>
              </w:rPr>
              <w:t>--</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8"/>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484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4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6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pacing w:val="-1"/>
                <w:sz w:val="18"/>
              </w:rPr>
              <w:t>86,031,644.70</w:t>
            </w:r>
          </w:p>
        </w:tc>
        <w:tc>
          <w:tcPr>
            <w:tcW w:w="22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2"/>
          <w:szCs w:val="22"/>
        </w:rPr>
      </w:pPr>
    </w:p>
    <w:p>
      <w:pPr>
        <w:spacing w:before="35"/>
        <w:ind w:left="584" w:right="0" w:firstLine="0"/>
        <w:jc w:val="left"/>
        <w:rPr>
          <w:rFonts w:ascii="宋体" w:hAnsi="宋体" w:cs="宋体" w:eastAsia="宋体" w:hint="default"/>
          <w:sz w:val="21"/>
          <w:szCs w:val="21"/>
        </w:rPr>
      </w:pPr>
      <w:r>
        <w:rPr>
          <w:rFonts w:ascii="宋体" w:hAnsi="宋体" w:cs="宋体" w:eastAsia="宋体" w:hint="default"/>
          <w:sz w:val="21"/>
          <w:szCs w:val="21"/>
        </w:rPr>
        <w:t>调整年初未分配利润明细：</w:t>
      </w:r>
    </w:p>
    <w:p>
      <w:pPr>
        <w:spacing w:line="240" w:lineRule="auto" w:before="6"/>
        <w:rPr>
          <w:rFonts w:ascii="宋体" w:hAnsi="宋体" w:cs="宋体" w:eastAsia="宋体" w:hint="default"/>
          <w:sz w:val="19"/>
          <w:szCs w:val="19"/>
        </w:rPr>
      </w:pPr>
    </w:p>
    <w:p>
      <w:pPr>
        <w:tabs>
          <w:tab w:pos="8424" w:val="left" w:leader="none"/>
        </w:tabs>
        <w:spacing w:before="0"/>
        <w:ind w:left="58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、由于《企业会计准则》及其相关新规定进行追溯调整，影响年初未分配利润</w:t>
      </w:r>
      <w:r>
        <w:rPr>
          <w:rFonts w:ascii="宋体" w:hAnsi="宋体" w:cs="宋体" w:eastAsia="宋体" w:hint="default"/>
          <w:spacing w:val="104"/>
          <w:sz w:val="21"/>
          <w:szCs w:val="21"/>
        </w:rPr>
        <w:t> </w:t>
      </w:r>
      <w:r>
        <w:rPr>
          <w:rFonts w:ascii="Times New Roman" w:hAnsi="Times New Roman" w:cs="Times New Roman" w:eastAsia="Times New Roman" w:hint="default"/>
          <w:spacing w:val="104"/>
          <w:sz w:val="21"/>
          <w:szCs w:val="21"/>
        </w:rPr>
      </w:r>
      <w:r>
        <w:rPr>
          <w:rFonts w:ascii="Times New Roman" w:hAnsi="Times New Roman" w:cs="Times New Roman" w:eastAsia="Times New Roman" w:hint="default"/>
          <w:spacing w:val="104"/>
          <w:sz w:val="21"/>
          <w:szCs w:val="21"/>
          <w:u w:val="single" w:color="000000"/>
        </w:rPr>
        <w:t> </w:t>
      </w:r>
      <w:r>
        <w:rPr>
          <w:rFonts w:ascii="Times New Roman" w:hAnsi="Times New Roman" w:cs="Times New Roman" w:eastAsia="Times New Roman" w:hint="default"/>
          <w:sz w:val="21"/>
          <w:szCs w:val="21"/>
          <w:u w:val="single" w:color="000000"/>
        </w:rPr>
        <w:t>0</w:t>
        <w:tab/>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tabs>
          <w:tab w:pos="5274" w:val="left" w:leader="none"/>
        </w:tabs>
        <w:spacing w:before="117"/>
        <w:ind w:left="58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、由于会计政策变更，影响年初未分配利润</w:t>
      </w:r>
      <w:r>
        <w:rPr>
          <w:rFonts w:ascii="宋体" w:hAnsi="宋体" w:cs="宋体" w:eastAsia="宋体" w:hint="default"/>
          <w:spacing w:val="104"/>
          <w:sz w:val="21"/>
          <w:szCs w:val="21"/>
        </w:rPr>
        <w:t> </w:t>
      </w:r>
      <w:r>
        <w:rPr>
          <w:rFonts w:ascii="Times New Roman" w:hAnsi="Times New Roman" w:cs="Times New Roman" w:eastAsia="Times New Roman" w:hint="default"/>
          <w:spacing w:val="104"/>
          <w:sz w:val="21"/>
          <w:szCs w:val="21"/>
        </w:rPr>
      </w:r>
      <w:r>
        <w:rPr>
          <w:rFonts w:ascii="Times New Roman" w:hAnsi="Times New Roman" w:cs="Times New Roman" w:eastAsia="Times New Roman" w:hint="default"/>
          <w:spacing w:val="104"/>
          <w:sz w:val="21"/>
          <w:szCs w:val="21"/>
          <w:u w:val="single" w:color="000000"/>
        </w:rPr>
        <w:t> </w:t>
      </w:r>
      <w:r>
        <w:rPr>
          <w:rFonts w:ascii="Times New Roman" w:hAnsi="Times New Roman" w:cs="Times New Roman" w:eastAsia="Times New Roman" w:hint="default"/>
          <w:sz w:val="21"/>
          <w:szCs w:val="21"/>
          <w:u w:val="single" w:color="000000"/>
        </w:rPr>
        <w:t>0</w:t>
        <w:tab/>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tabs>
          <w:tab w:pos="5694" w:val="left" w:leader="none"/>
        </w:tabs>
        <w:spacing w:before="117"/>
        <w:ind w:left="58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、由于重大会计差错更正，影响年初未分配利润</w:t>
      </w:r>
      <w:r>
        <w:rPr>
          <w:rFonts w:ascii="宋体" w:hAnsi="宋体" w:cs="宋体" w:eastAsia="宋体" w:hint="default"/>
          <w:spacing w:val="104"/>
          <w:sz w:val="21"/>
          <w:szCs w:val="21"/>
        </w:rPr>
        <w:t> </w:t>
      </w:r>
      <w:r>
        <w:rPr>
          <w:rFonts w:ascii="Times New Roman" w:hAnsi="Times New Roman" w:cs="Times New Roman" w:eastAsia="Times New Roman" w:hint="default"/>
          <w:spacing w:val="104"/>
          <w:sz w:val="21"/>
          <w:szCs w:val="21"/>
        </w:rPr>
      </w:r>
      <w:r>
        <w:rPr>
          <w:rFonts w:ascii="Times New Roman" w:hAnsi="Times New Roman" w:cs="Times New Roman" w:eastAsia="Times New Roman" w:hint="default"/>
          <w:spacing w:val="104"/>
          <w:sz w:val="21"/>
          <w:szCs w:val="21"/>
          <w:u w:val="single" w:color="000000"/>
        </w:rPr>
        <w:t> </w:t>
      </w:r>
      <w:r>
        <w:rPr>
          <w:rFonts w:ascii="Times New Roman" w:hAnsi="Times New Roman" w:cs="Times New Roman" w:eastAsia="Times New Roman" w:hint="default"/>
          <w:sz w:val="21"/>
          <w:szCs w:val="21"/>
          <w:u w:val="single" w:color="000000"/>
        </w:rPr>
        <w:t>0</w:t>
        <w:tab/>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tabs>
          <w:tab w:pos="6744" w:val="left" w:leader="none"/>
        </w:tabs>
        <w:spacing w:before="118"/>
        <w:ind w:left="58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、由于同一控制导致的合并范围变更，影响年初未分配利润</w:t>
      </w:r>
      <w:r>
        <w:rPr>
          <w:rFonts w:ascii="宋体" w:hAnsi="宋体" w:cs="宋体" w:eastAsia="宋体" w:hint="default"/>
          <w:spacing w:val="104"/>
          <w:sz w:val="21"/>
          <w:szCs w:val="21"/>
        </w:rPr>
        <w:t> </w:t>
      </w:r>
      <w:r>
        <w:rPr>
          <w:rFonts w:ascii="Times New Roman" w:hAnsi="Times New Roman" w:cs="Times New Roman" w:eastAsia="Times New Roman" w:hint="default"/>
          <w:spacing w:val="104"/>
          <w:sz w:val="21"/>
          <w:szCs w:val="21"/>
        </w:rPr>
      </w:r>
      <w:r>
        <w:rPr>
          <w:rFonts w:ascii="Times New Roman" w:hAnsi="Times New Roman" w:cs="Times New Roman" w:eastAsia="Times New Roman" w:hint="default"/>
          <w:spacing w:val="104"/>
          <w:sz w:val="21"/>
          <w:szCs w:val="21"/>
          <w:u w:val="single" w:color="000000"/>
        </w:rPr>
        <w:t> </w:t>
      </w:r>
      <w:r>
        <w:rPr>
          <w:rFonts w:ascii="Times New Roman" w:hAnsi="Times New Roman" w:cs="Times New Roman" w:eastAsia="Times New Roman" w:hint="default"/>
          <w:sz w:val="21"/>
          <w:szCs w:val="21"/>
          <w:u w:val="single" w:color="000000"/>
        </w:rPr>
        <w:t>0</w:t>
        <w:tab/>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tabs>
          <w:tab w:pos="4644" w:val="left" w:leader="none"/>
        </w:tabs>
        <w:spacing w:line="436" w:lineRule="auto" w:before="117"/>
        <w:ind w:left="584" w:right="1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、其他调整合计影响年初未分配利润</w:t>
      </w:r>
      <w:r>
        <w:rPr>
          <w:rFonts w:ascii="宋体" w:hAnsi="宋体" w:cs="宋体" w:eastAsia="宋体" w:hint="default"/>
          <w:spacing w:val="104"/>
          <w:sz w:val="21"/>
          <w:szCs w:val="21"/>
        </w:rPr>
        <w:t> </w:t>
      </w:r>
      <w:r>
        <w:rPr>
          <w:rFonts w:ascii="Times New Roman" w:hAnsi="Times New Roman" w:cs="Times New Roman" w:eastAsia="Times New Roman" w:hint="default"/>
          <w:spacing w:val="104"/>
          <w:sz w:val="21"/>
          <w:szCs w:val="21"/>
        </w:rPr>
      </w:r>
      <w:r>
        <w:rPr>
          <w:rFonts w:ascii="Times New Roman" w:hAnsi="Times New Roman" w:cs="Times New Roman" w:eastAsia="Times New Roman" w:hint="default"/>
          <w:spacing w:val="104"/>
          <w:sz w:val="21"/>
          <w:szCs w:val="21"/>
          <w:u w:val="single" w:color="000000"/>
        </w:rPr>
        <w:t> </w:t>
      </w:r>
      <w:r>
        <w:rPr>
          <w:rFonts w:ascii="Times New Roman" w:hAnsi="Times New Roman" w:cs="Times New Roman" w:eastAsia="Times New Roman" w:hint="default"/>
          <w:sz w:val="21"/>
          <w:szCs w:val="21"/>
          <w:u w:val="single" w:color="000000"/>
        </w:rPr>
        <w:t>0</w:t>
        <w:tab/>
      </w:r>
      <w:r>
        <w:rPr>
          <w:rFonts w:ascii="Times New Roman" w:hAnsi="Times New Roman" w:cs="Times New Roman" w:eastAsia="Times New Roman" w:hint="default"/>
          <w:sz w:val="21"/>
          <w:szCs w:val="21"/>
        </w:rPr>
      </w:r>
      <w:r>
        <w:rPr>
          <w:rFonts w:ascii="宋体" w:hAnsi="宋体" w:cs="宋体" w:eastAsia="宋体" w:hint="default"/>
          <w:sz w:val="21"/>
          <w:szCs w:val="21"/>
        </w:rPr>
        <w:t>元。 未分配利润说明，对于首次公开发行证券的公司，如果发行前的滚存利润经股东大会决议</w:t>
      </w:r>
    </w:p>
    <w:p>
      <w:pPr>
        <w:spacing w:line="236" w:lineRule="exact" w:before="0"/>
        <w:ind w:left="164" w:right="0" w:firstLine="0"/>
        <w:jc w:val="left"/>
        <w:rPr>
          <w:rFonts w:ascii="宋体" w:hAnsi="宋体" w:cs="宋体" w:eastAsia="宋体" w:hint="default"/>
          <w:sz w:val="21"/>
          <w:szCs w:val="21"/>
        </w:rPr>
      </w:pPr>
      <w:r>
        <w:rPr>
          <w:rFonts w:ascii="宋体" w:hAnsi="宋体" w:cs="宋体" w:eastAsia="宋体" w:hint="default"/>
          <w:sz w:val="21"/>
          <w:szCs w:val="21"/>
        </w:rPr>
        <w:t>由新老股东共同享有，应明确予以说明；如果发行前的滚存利润经股东大会决议在发行前进行</w:t>
      </w:r>
    </w:p>
    <w:p>
      <w:pPr>
        <w:spacing w:line="460" w:lineRule="auto" w:before="134"/>
        <w:ind w:left="584" w:right="1220" w:hanging="420"/>
        <w:jc w:val="left"/>
        <w:rPr>
          <w:rFonts w:ascii="宋体" w:hAnsi="宋体" w:cs="宋体" w:eastAsia="宋体" w:hint="default"/>
          <w:sz w:val="21"/>
          <w:szCs w:val="21"/>
        </w:rPr>
      </w:pPr>
      <w:r>
        <w:rPr>
          <w:rFonts w:ascii="宋体" w:hAnsi="宋体" w:cs="宋体" w:eastAsia="宋体" w:hint="default"/>
          <w:sz w:val="21"/>
          <w:szCs w:val="21"/>
        </w:rPr>
        <w:t>分配并由老股东享有，公司应明确披露应付股利中老股东享有的经审计的利润数： 无。</w:t>
      </w:r>
    </w:p>
    <w:p>
      <w:pPr>
        <w:spacing w:before="60"/>
        <w:ind w:left="16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1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1"/>
        <w:rPr>
          <w:rFonts w:ascii="宋体" w:hAnsi="宋体" w:cs="宋体" w:eastAsia="宋体" w:hint="default"/>
          <w:sz w:val="18"/>
          <w:szCs w:val="18"/>
        </w:rPr>
      </w:pPr>
    </w:p>
    <w:p>
      <w:pPr>
        <w:spacing w:before="0"/>
        <w:ind w:left="0" w:right="26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684"/>
        <w:gridCol w:w="2448"/>
        <w:gridCol w:w="2448"/>
      </w:tblGrid>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7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90,244,022.54</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73,249,447.36</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1,898,305.20</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1,898,305.20</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1289"/>
              <w:jc w:val="right"/>
              <w:rPr>
                <w:rFonts w:ascii="宋体" w:hAnsi="宋体" w:cs="宋体" w:eastAsia="宋体" w:hint="default"/>
                <w:sz w:val="18"/>
                <w:szCs w:val="18"/>
              </w:rPr>
            </w:pPr>
            <w:r>
              <w:rPr>
                <w:rFonts w:ascii="宋体" w:hAnsi="宋体" w:cs="宋体" w:eastAsia="宋体" w:hint="default"/>
                <w:sz w:val="18"/>
                <w:szCs w:val="18"/>
              </w:rPr>
              <w:t>营业收入合计</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92,142,327.74</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75,147,752.56</w:t>
            </w:r>
          </w:p>
        </w:tc>
      </w:tr>
      <w:tr>
        <w:trPr>
          <w:trHeight w:val="388"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31,473,431.85</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25,062,504.78</w:t>
            </w:r>
          </w:p>
        </w:tc>
      </w:tr>
      <w:tr>
        <w:trPr>
          <w:trHeight w:val="386"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1,146,476.16</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1,123,739.52</w:t>
            </w:r>
          </w:p>
        </w:tc>
      </w:tr>
      <w:tr>
        <w:trPr>
          <w:trHeight w:val="389"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1289"/>
              <w:jc w:val="right"/>
              <w:rPr>
                <w:rFonts w:ascii="宋体" w:hAnsi="宋体" w:cs="宋体" w:eastAsia="宋体" w:hint="default"/>
                <w:sz w:val="18"/>
                <w:szCs w:val="18"/>
              </w:rPr>
            </w:pPr>
            <w:r>
              <w:rPr>
                <w:rFonts w:ascii="宋体" w:hAnsi="宋体" w:cs="宋体" w:eastAsia="宋体" w:hint="default"/>
                <w:sz w:val="18"/>
                <w:szCs w:val="18"/>
              </w:rPr>
              <w:t>营业成本合计</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32,619,908.01</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26,186,244.30</w:t>
            </w:r>
          </w:p>
        </w:tc>
      </w:tr>
    </w:tbl>
    <w:p>
      <w:pPr>
        <w:spacing w:line="240" w:lineRule="auto" w:before="4"/>
        <w:rPr>
          <w:rFonts w:ascii="宋体" w:hAnsi="宋体" w:cs="宋体" w:eastAsia="宋体" w:hint="default"/>
          <w:sz w:val="22"/>
          <w:szCs w:val="22"/>
        </w:rPr>
      </w:pPr>
    </w:p>
    <w:p>
      <w:pPr>
        <w:spacing w:before="35"/>
        <w:ind w:left="1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after="0"/>
        <w:jc w:val="left"/>
        <w:rPr>
          <w:rFonts w:ascii="宋体" w:hAnsi="宋体" w:cs="宋体" w:eastAsia="宋体" w:hint="default"/>
          <w:sz w:val="21"/>
          <w:szCs w:val="21"/>
        </w:rPr>
        <w:sectPr>
          <w:pgSz w:w="11910" w:h="16840"/>
          <w:pgMar w:header="877" w:footer="982" w:top="1100" w:bottom="1180" w:left="1480" w:right="1460"/>
        </w:sectPr>
      </w:pPr>
    </w:p>
    <w:p>
      <w:pPr>
        <w:spacing w:line="240" w:lineRule="auto" w:before="1"/>
        <w:rPr>
          <w:rFonts w:ascii="宋体" w:hAnsi="宋体" w:cs="宋体" w:eastAsia="宋体" w:hint="default"/>
          <w:sz w:val="19"/>
          <w:szCs w:val="19"/>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350"/>
        <w:gridCol w:w="1560"/>
        <w:gridCol w:w="1564"/>
        <w:gridCol w:w="1560"/>
        <w:gridCol w:w="1560"/>
      </w:tblGrid>
      <w:tr>
        <w:trPr>
          <w:trHeight w:val="407" w:hRule="exact"/>
        </w:trPr>
        <w:tc>
          <w:tcPr>
            <w:tcW w:w="235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2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2350"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7" w:hRule="exact"/>
        </w:trPr>
        <w:tc>
          <w:tcPr>
            <w:tcW w:w="2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90,244,022.54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01" w:right="0"/>
              <w:jc w:val="left"/>
              <w:rPr>
                <w:rFonts w:ascii="Times New Roman" w:hAnsi="Times New Roman" w:cs="Times New Roman" w:eastAsia="Times New Roman" w:hint="default"/>
                <w:sz w:val="18"/>
                <w:szCs w:val="18"/>
              </w:rPr>
            </w:pPr>
            <w:r>
              <w:rPr>
                <w:rFonts w:ascii="Times New Roman"/>
                <w:sz w:val="18"/>
              </w:rPr>
              <w:t>31,473,431.85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73,249,447.36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25,062,504.78</w:t>
            </w:r>
          </w:p>
        </w:tc>
      </w:tr>
      <w:tr>
        <w:trPr>
          <w:trHeight w:val="408" w:hRule="exact"/>
        </w:trPr>
        <w:tc>
          <w:tcPr>
            <w:tcW w:w="2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90,244,022.54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401" w:right="0"/>
              <w:jc w:val="left"/>
              <w:rPr>
                <w:rFonts w:ascii="Times New Roman" w:hAnsi="Times New Roman" w:cs="Times New Roman" w:eastAsia="Times New Roman" w:hint="default"/>
                <w:sz w:val="18"/>
                <w:szCs w:val="18"/>
              </w:rPr>
            </w:pPr>
            <w:r>
              <w:rPr>
                <w:rFonts w:ascii="Times New Roman"/>
                <w:sz w:val="18"/>
              </w:rPr>
              <w:t>31,473,431.85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73,249,447.36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25,062,504.78</w:t>
            </w:r>
          </w:p>
        </w:tc>
      </w:tr>
    </w:tbl>
    <w:p>
      <w:pPr>
        <w:spacing w:line="240" w:lineRule="auto" w:before="4"/>
        <w:rPr>
          <w:rFonts w:ascii="宋体" w:hAnsi="宋体" w:cs="宋体" w:eastAsia="宋体" w:hint="default"/>
          <w:sz w:val="22"/>
          <w:szCs w:val="22"/>
        </w:rPr>
      </w:pPr>
    </w:p>
    <w:p>
      <w:pPr>
        <w:spacing w:before="35"/>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6"/>
        <w:rPr>
          <w:rFonts w:ascii="宋体" w:hAnsi="宋体" w:cs="宋体" w:eastAsia="宋体" w:hint="default"/>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300"/>
        <w:gridCol w:w="1691"/>
        <w:gridCol w:w="1560"/>
        <w:gridCol w:w="1560"/>
        <w:gridCol w:w="1554"/>
      </w:tblGrid>
      <w:tr>
        <w:trPr>
          <w:trHeight w:val="386" w:hRule="exact"/>
        </w:trPr>
        <w:tc>
          <w:tcPr>
            <w:tcW w:w="230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6"/>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300" w:type="dxa"/>
            <w:vMerge/>
            <w:tcBorders>
              <w:left w:val="nil" w:sz="6" w:space="0" w:color="auto"/>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8"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软件产品及开发</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4"/>
              <w:jc w:val="right"/>
              <w:rPr>
                <w:rFonts w:ascii="Times New Roman" w:hAnsi="Times New Roman" w:cs="Times New Roman" w:eastAsia="Times New Roman" w:hint="default"/>
                <w:sz w:val="18"/>
                <w:szCs w:val="18"/>
              </w:rPr>
            </w:pPr>
            <w:r>
              <w:rPr>
                <w:rFonts w:ascii="Times New Roman"/>
                <w:spacing w:val="-1"/>
                <w:sz w:val="18"/>
              </w:rPr>
              <w:t>68,075,672.99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15,602,065.91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53,020,952.04</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81" w:right="0"/>
              <w:jc w:val="left"/>
              <w:rPr>
                <w:rFonts w:ascii="Times New Roman" w:hAnsi="Times New Roman" w:cs="Times New Roman" w:eastAsia="Times New Roman" w:hint="default"/>
                <w:sz w:val="18"/>
                <w:szCs w:val="18"/>
              </w:rPr>
            </w:pPr>
            <w:r>
              <w:rPr>
                <w:rFonts w:ascii="Times New Roman"/>
                <w:sz w:val="18"/>
              </w:rPr>
              <w:t>9,430,736.95</w:t>
            </w:r>
          </w:p>
        </w:tc>
      </w:tr>
      <w:tr>
        <w:trPr>
          <w:trHeight w:val="388"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4"/>
              <w:jc w:val="right"/>
              <w:rPr>
                <w:rFonts w:ascii="Times New Roman" w:hAnsi="Times New Roman" w:cs="Times New Roman" w:eastAsia="Times New Roman" w:hint="default"/>
                <w:sz w:val="18"/>
                <w:szCs w:val="18"/>
              </w:rPr>
            </w:pPr>
            <w:r>
              <w:rPr>
                <w:rFonts w:ascii="Times New Roman"/>
                <w:spacing w:val="-1"/>
                <w:sz w:val="18"/>
              </w:rPr>
              <w:t>14,122,444.43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12,245,074.03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16,501,896.06</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14,010,615.12</w:t>
            </w:r>
          </w:p>
        </w:tc>
      </w:tr>
      <w:tr>
        <w:trPr>
          <w:trHeight w:val="388"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服务类</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4"/>
              <w:jc w:val="right"/>
              <w:rPr>
                <w:rFonts w:ascii="Times New Roman" w:hAnsi="Times New Roman" w:cs="Times New Roman" w:eastAsia="Times New Roman" w:hint="default"/>
                <w:sz w:val="18"/>
                <w:szCs w:val="18"/>
              </w:rPr>
            </w:pPr>
            <w:r>
              <w:rPr>
                <w:rFonts w:ascii="Times New Roman"/>
                <w:spacing w:val="-1"/>
                <w:sz w:val="18"/>
              </w:rPr>
              <w:t>8,045,905.12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3,626,291.91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3,726,599.26</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81" w:right="0"/>
              <w:jc w:val="left"/>
              <w:rPr>
                <w:rFonts w:ascii="Times New Roman" w:hAnsi="Times New Roman" w:cs="Times New Roman" w:eastAsia="Times New Roman" w:hint="default"/>
                <w:sz w:val="18"/>
                <w:szCs w:val="18"/>
              </w:rPr>
            </w:pPr>
            <w:r>
              <w:rPr>
                <w:rFonts w:ascii="Times New Roman"/>
                <w:sz w:val="18"/>
              </w:rPr>
              <w:t>1,621,152.71</w:t>
            </w:r>
          </w:p>
        </w:tc>
      </w:tr>
      <w:tr>
        <w:trPr>
          <w:trHeight w:val="388"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4"/>
              <w:jc w:val="right"/>
              <w:rPr>
                <w:rFonts w:ascii="Times New Roman" w:hAnsi="Times New Roman" w:cs="Times New Roman" w:eastAsia="Times New Roman" w:hint="default"/>
                <w:sz w:val="18"/>
                <w:szCs w:val="18"/>
              </w:rPr>
            </w:pPr>
            <w:r>
              <w:rPr>
                <w:rFonts w:ascii="Times New Roman"/>
                <w:spacing w:val="-1"/>
                <w:sz w:val="18"/>
              </w:rPr>
              <w:t>90,244,022.54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31,473,431.85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73,249,447.36</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25,062,504.78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35"/>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5"/>
        <w:rPr>
          <w:rFonts w:ascii="宋体" w:hAnsi="宋体" w:cs="宋体" w:eastAsia="宋体" w:hint="default"/>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927"/>
        <w:gridCol w:w="2668"/>
        <w:gridCol w:w="3060"/>
      </w:tblGrid>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中国农业银行浙江省分行</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6,113,888.90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6.64</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4,267,531.44</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4.63</w:t>
            </w:r>
          </w:p>
        </w:tc>
      </w:tr>
      <w:tr>
        <w:trPr>
          <w:trHeight w:val="386"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中国工商银行湖北省分行</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3,308,215.32</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3.59</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中国工商银行湖南省分行</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2,991,367.60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3.25</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2,877,622.15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3.12</w:t>
            </w:r>
          </w:p>
        </w:tc>
      </w:tr>
      <w:tr>
        <w:trPr>
          <w:trHeight w:val="38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19,558,625.41</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Times New Roman" w:hAnsi="Times New Roman" w:cs="Times New Roman" w:eastAsia="Times New Roman" w:hint="default"/>
                <w:sz w:val="18"/>
                <w:szCs w:val="18"/>
              </w:rPr>
            </w:pPr>
            <w:r>
              <w:rPr>
                <w:rFonts w:ascii="Times New Roman"/>
                <w:sz w:val="18"/>
              </w:rPr>
              <w:t>21.23</w:t>
            </w:r>
          </w:p>
        </w:tc>
      </w:tr>
    </w:tbl>
    <w:p>
      <w:pPr>
        <w:spacing w:line="240" w:lineRule="auto" w:before="5"/>
        <w:rPr>
          <w:rFonts w:ascii="宋体" w:hAnsi="宋体" w:cs="宋体" w:eastAsia="宋体" w:hint="default"/>
          <w:sz w:val="22"/>
          <w:szCs w:val="22"/>
        </w:rPr>
      </w:pPr>
    </w:p>
    <w:p>
      <w:pPr>
        <w:spacing w:before="35"/>
        <w:ind w:left="164" w:right="1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148"/>
        <w:gridCol w:w="1721"/>
        <w:gridCol w:w="1721"/>
        <w:gridCol w:w="3004"/>
      </w:tblGrid>
      <w:tr>
        <w:trPr>
          <w:trHeight w:val="38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8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634,949.31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301,759.97</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软件开发及服务类收入</w:t>
            </w:r>
          </w:p>
        </w:tc>
      </w:tr>
      <w:tr>
        <w:trPr>
          <w:trHeight w:val="38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424,020.18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69,171.14</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增值税和营业税应纳税额</w:t>
            </w:r>
          </w:p>
        </w:tc>
      </w:tr>
      <w:tr>
        <w:trPr>
          <w:trHeight w:val="386"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307,712.89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207,513.47</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增值税和营业税应纳税额</w:t>
            </w:r>
          </w:p>
        </w:tc>
      </w:tr>
      <w:tr>
        <w:trPr>
          <w:trHeight w:val="38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Times New Roman" w:hAnsi="Times New Roman" w:cs="Times New Roman" w:eastAsia="Times New Roman" w:hint="default"/>
                <w:sz w:val="18"/>
                <w:szCs w:val="18"/>
              </w:rPr>
            </w:pPr>
            <w:r>
              <w:rPr>
                <w:rFonts w:ascii="Times New Roman"/>
                <w:sz w:val="18"/>
              </w:rPr>
              <w:t>11,026.87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9"/>
              <w:jc w:val="right"/>
              <w:rPr>
                <w:rFonts w:ascii="Times New Roman" w:hAnsi="Times New Roman" w:cs="Times New Roman" w:eastAsia="Times New Roman" w:hint="default"/>
                <w:sz w:val="18"/>
                <w:szCs w:val="18"/>
              </w:rPr>
            </w:pPr>
            <w:r>
              <w:rPr>
                <w:rFonts w:ascii="Times New Roman"/>
                <w:sz w:val="18"/>
              </w:rPr>
              <w:t>8,455.37</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营业收入</w:t>
            </w:r>
          </w:p>
        </w:tc>
      </w:tr>
      <w:tr>
        <w:trPr>
          <w:trHeight w:val="389"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8"/>
              <w:jc w:val="right"/>
              <w:rPr>
                <w:rFonts w:ascii="Times New Roman" w:hAnsi="Times New Roman" w:cs="Times New Roman" w:eastAsia="Times New Roman" w:hint="default"/>
                <w:sz w:val="18"/>
                <w:szCs w:val="18"/>
              </w:rPr>
            </w:pPr>
            <w:r>
              <w:rPr>
                <w:rFonts w:ascii="Times New Roman"/>
                <w:spacing w:val="-1"/>
                <w:sz w:val="18"/>
              </w:rPr>
              <w:t>1,377,709.25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8"/>
              <w:jc w:val="right"/>
              <w:rPr>
                <w:rFonts w:ascii="Times New Roman" w:hAnsi="Times New Roman" w:cs="Times New Roman" w:eastAsia="Times New Roman" w:hint="default"/>
                <w:sz w:val="18"/>
                <w:szCs w:val="18"/>
              </w:rPr>
            </w:pPr>
            <w:r>
              <w:rPr>
                <w:rFonts w:ascii="Times New Roman"/>
                <w:sz w:val="18"/>
              </w:rPr>
              <w:t>586,899.95</w:t>
            </w:r>
          </w:p>
        </w:tc>
        <w:tc>
          <w:tcPr>
            <w:tcW w:w="3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1480" w:right="1500"/>
        </w:sectPr>
      </w:pPr>
    </w:p>
    <w:p>
      <w:pPr>
        <w:spacing w:line="240" w:lineRule="auto" w:before="2"/>
        <w:rPr>
          <w:rFonts w:ascii="宋体" w:hAnsi="宋体" w:cs="宋体" w:eastAsia="宋体" w:hint="default"/>
          <w:sz w:val="19"/>
          <w:szCs w:val="19"/>
        </w:rPr>
      </w:pPr>
    </w:p>
    <w:p>
      <w:pPr>
        <w:spacing w:before="35"/>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2534"/>
        <w:gridCol w:w="2700"/>
        <w:gridCol w:w="3420"/>
      </w:tblGrid>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销售费用合计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12,721,557.86</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10,283,143.58</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其中：市场开拓费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4,021,052.12</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3,286,912.57</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3,041,699.91</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2,390,414.57</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3,169,406.33</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2,308,480.29</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746,127.60</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152,154.80</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138,676.60</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98,181.98</w:t>
            </w:r>
          </w:p>
        </w:tc>
      </w:tr>
    </w:tbl>
    <w:p>
      <w:pPr>
        <w:spacing w:line="240" w:lineRule="auto" w:before="4"/>
        <w:rPr>
          <w:rFonts w:ascii="宋体" w:hAnsi="宋体" w:cs="宋体" w:eastAsia="宋体" w:hint="default"/>
          <w:sz w:val="22"/>
          <w:szCs w:val="22"/>
        </w:rPr>
      </w:pPr>
    </w:p>
    <w:p>
      <w:pPr>
        <w:spacing w:before="35"/>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2534"/>
        <w:gridCol w:w="2700"/>
        <w:gridCol w:w="3420"/>
      </w:tblGrid>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管理费用合计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18,454,038.35</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9"/>
              <w:jc w:val="right"/>
              <w:rPr>
                <w:rFonts w:ascii="Times New Roman" w:hAnsi="Times New Roman" w:cs="Times New Roman" w:eastAsia="Times New Roman" w:hint="default"/>
                <w:sz w:val="18"/>
                <w:szCs w:val="18"/>
              </w:rPr>
            </w:pPr>
            <w:r>
              <w:rPr>
                <w:rFonts w:ascii="Times New Roman"/>
                <w:spacing w:val="-1"/>
                <w:sz w:val="18"/>
              </w:rPr>
              <w:t>11,913,373.39</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其中：租赁管理费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3,837,443.80</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2,701,013.92</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1,568,984.87</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1,693,357.76</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2,241,012.01</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1,542,191.01</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1,801,110.00</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1,240,384.37</w:t>
            </w:r>
          </w:p>
        </w:tc>
      </w:tr>
      <w:tr>
        <w:trPr>
          <w:trHeight w:val="38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pacing w:val="-1"/>
                <w:sz w:val="18"/>
              </w:rPr>
              <w:t>1,382,996.81</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Times New Roman" w:hAnsi="Times New Roman" w:cs="Times New Roman" w:eastAsia="Times New Roman" w:hint="default"/>
                <w:sz w:val="18"/>
                <w:szCs w:val="18"/>
              </w:rPr>
            </w:pPr>
            <w:r>
              <w:rPr>
                <w:rFonts w:ascii="Times New Roman"/>
                <w:sz w:val="18"/>
              </w:rPr>
              <w:t>325,828.14</w:t>
            </w:r>
          </w:p>
        </w:tc>
      </w:tr>
    </w:tbl>
    <w:p>
      <w:pPr>
        <w:spacing w:line="336" w:lineRule="auto" w:before="86"/>
        <w:ind w:left="144" w:right="126" w:firstLine="420"/>
        <w:jc w:val="left"/>
        <w:rPr>
          <w:rFonts w:ascii="宋体" w:hAnsi="宋体" w:cs="宋体" w:eastAsia="宋体" w:hint="default"/>
          <w:sz w:val="21"/>
          <w:szCs w:val="21"/>
        </w:rPr>
      </w:pPr>
      <w:r>
        <w:rPr>
          <w:rFonts w:ascii="宋体" w:hAnsi="宋体" w:cs="宋体" w:eastAsia="宋体" w:hint="default"/>
          <w:spacing w:val="-3"/>
          <w:sz w:val="21"/>
          <w:szCs w:val="21"/>
        </w:rPr>
        <w:t>备注：除上述五项经费外，</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年度管理费用中还包括公司发行权益性证券过程中发生的 广告费、路演费、财经公关费等费用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4,193,214.96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before="145"/>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spacing w:before="0"/>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304" w:type="dxa"/>
        <w:tblLayout w:type="fixed"/>
        <w:tblCellMar>
          <w:top w:w="0" w:type="dxa"/>
          <w:left w:w="0" w:type="dxa"/>
          <w:bottom w:w="0" w:type="dxa"/>
          <w:right w:w="0" w:type="dxa"/>
        </w:tblCellMar>
        <w:tblLook w:val="01E0"/>
      </w:tblPr>
      <w:tblGrid>
        <w:gridCol w:w="2354"/>
        <w:gridCol w:w="2700"/>
        <w:gridCol w:w="3420"/>
      </w:tblGrid>
      <w:tr>
        <w:trPr>
          <w:trHeight w:val="3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93"/>
              <w:jc w:val="right"/>
              <w:rPr>
                <w:rFonts w:ascii="宋体" w:hAnsi="宋体" w:cs="宋体" w:eastAsia="宋体" w:hint="default"/>
                <w:sz w:val="18"/>
                <w:szCs w:val="18"/>
              </w:rPr>
            </w:pPr>
            <w:r>
              <w:rPr>
                <w:rFonts w:ascii="宋体" w:hAnsi="宋体" w:cs="宋体" w:eastAsia="宋体" w:hint="default"/>
                <w:sz w:val="18"/>
                <w:szCs w:val="18"/>
              </w:rPr>
              <w:t>类  别</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601,401.60</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1,201,424.78</w:t>
            </w:r>
          </w:p>
        </w:tc>
      </w:tr>
      <w:tr>
        <w:trPr>
          <w:trHeight w:val="3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3,836,669.08</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207,171.71</w:t>
            </w:r>
          </w:p>
        </w:tc>
      </w:tr>
      <w:tr>
        <w:trPr>
          <w:trHeight w:val="3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26,596.37</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16,991.75</w:t>
            </w:r>
          </w:p>
        </w:tc>
      </w:tr>
      <w:tr>
        <w:trPr>
          <w:trHeight w:val="38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93"/>
              <w:jc w:val="right"/>
              <w:rPr>
                <w:rFonts w:ascii="宋体" w:hAnsi="宋体" w:cs="宋体" w:eastAsia="宋体" w:hint="default"/>
                <w:sz w:val="18"/>
                <w:szCs w:val="18"/>
              </w:rPr>
            </w:pPr>
            <w:r>
              <w:rPr>
                <w:rFonts w:ascii="宋体" w:hAnsi="宋体" w:cs="宋体" w:eastAsia="宋体" w:hint="default"/>
                <w:sz w:val="18"/>
                <w:szCs w:val="18"/>
              </w:rPr>
              <w:t>合  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-3,208,671.11</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pacing w:val="-1"/>
                <w:sz w:val="18"/>
              </w:rPr>
              <w:t>1,011,244.82</w:t>
            </w:r>
          </w:p>
        </w:tc>
      </w:tr>
    </w:tbl>
    <w:p>
      <w:pPr>
        <w:spacing w:line="240" w:lineRule="auto" w:before="4"/>
        <w:rPr>
          <w:rFonts w:ascii="宋体" w:hAnsi="宋体" w:cs="宋体" w:eastAsia="宋体" w:hint="default"/>
          <w:sz w:val="22"/>
          <w:szCs w:val="22"/>
        </w:rPr>
      </w:pPr>
    </w:p>
    <w:p>
      <w:pPr>
        <w:spacing w:before="35"/>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2854"/>
        <w:gridCol w:w="2851"/>
        <w:gridCol w:w="2851"/>
      </w:tblGrid>
      <w:tr>
        <w:trPr>
          <w:trHeight w:val="38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92" w:right="0"/>
              <w:jc w:val="left"/>
              <w:rPr>
                <w:rFonts w:ascii="Times New Roman" w:hAnsi="Times New Roman" w:cs="Times New Roman" w:eastAsia="Times New Roman" w:hint="default"/>
                <w:sz w:val="18"/>
                <w:szCs w:val="18"/>
              </w:rPr>
            </w:pPr>
            <w:r>
              <w:rPr>
                <w:rFonts w:ascii="Times New Roman"/>
                <w:sz w:val="18"/>
              </w:rPr>
              <w:t>2,329,132.19</w:t>
            </w:r>
          </w:p>
        </w:tc>
        <w:tc>
          <w:tcPr>
            <w:tcW w:w="2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792" w:right="0"/>
              <w:jc w:val="left"/>
              <w:rPr>
                <w:rFonts w:ascii="Times New Roman" w:hAnsi="Times New Roman" w:cs="Times New Roman" w:eastAsia="Times New Roman" w:hint="default"/>
                <w:sz w:val="18"/>
                <w:szCs w:val="18"/>
              </w:rPr>
            </w:pPr>
            <w:r>
              <w:rPr>
                <w:rFonts w:ascii="Times New Roman"/>
                <w:sz w:val="18"/>
              </w:rPr>
              <w:t>1,270,076.82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1500" w:right="1500"/>
        </w:sectPr>
      </w:pPr>
    </w:p>
    <w:p>
      <w:pPr>
        <w:spacing w:line="240" w:lineRule="auto" w:before="6"/>
        <w:rPr>
          <w:rFonts w:ascii="宋体" w:hAnsi="宋体" w:cs="宋体" w:eastAsia="宋体" w:hint="default"/>
          <w:sz w:val="24"/>
          <w:szCs w:val="24"/>
        </w:rPr>
      </w:pPr>
    </w:p>
    <w:p>
      <w:pPr>
        <w:spacing w:line="402" w:lineRule="exact"/>
        <w:ind w:left="2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3pt;height:20.1pt;mso-position-horizontal-relative:char;mso-position-vertical-relative:line" coordorigin="0,0" coordsize="8566,402">
            <v:group style="position:absolute;left:19;top:5;width:8535;height:2" coordorigin="19,5" coordsize="8535,2">
              <v:shape style="position:absolute;left:19;top:5;width:8535;height:2" coordorigin="19,5" coordsize="8535,0" path="m19,5l8554,5e" filled="false" stroked="true" strokeweight=".48004pt" strokecolor="#000000">
                <v:path arrowok="t"/>
              </v:shape>
            </v:group>
            <v:group style="position:absolute;left:5;top:392;width:2849;height:2" coordorigin="5,392" coordsize="2849,2">
              <v:shape style="position:absolute;left:5;top:392;width:2849;height:2" coordorigin="5,392" coordsize="2849,0" path="m5,392l2854,392e" filled="false" stroked="true" strokeweight=".47998pt" strokecolor="#000000">
                <v:path arrowok="t"/>
              </v:shape>
            </v:group>
            <v:group style="position:absolute;left:2858;top:10;width:2;height:388" coordorigin="2858,10" coordsize="2,388">
              <v:shape style="position:absolute;left:2858;top:10;width:2;height:388" coordorigin="2858,10" coordsize="0,388" path="m2858,10l2858,397e" filled="false" stroked="true" strokeweight=".48001pt" strokecolor="#000000">
                <v:path arrowok="t"/>
              </v:shape>
            </v:group>
            <v:group style="position:absolute;left:2863;top:392;width:2842;height:2" coordorigin="2863,392" coordsize="2842,2">
              <v:shape style="position:absolute;left:2863;top:392;width:2842;height:2" coordorigin="2863,392" coordsize="2842,0" path="m2863,392l5705,392e" filled="false" stroked="true" strokeweight=".47998pt" strokecolor="#000000">
                <v:path arrowok="t"/>
              </v:shape>
            </v:group>
            <v:group style="position:absolute;left:5710;top:10;width:2;height:388" coordorigin="5710,10" coordsize="2,388">
              <v:shape style="position:absolute;left:5710;top:10;width:2;height:388" coordorigin="5710,10" coordsize="0,388" path="m5710,10l5710,397e" filled="false" stroked="true" strokeweight=".47998pt" strokecolor="#000000">
                <v:path arrowok="t"/>
              </v:shape>
            </v:group>
            <v:group style="position:absolute;left:5714;top:392;width:2847;height:2" coordorigin="5714,392" coordsize="2847,2">
              <v:shape style="position:absolute;left:5714;top:392;width:2847;height:2" coordorigin="5714,392" coordsize="2847,0" path="m5714,392l8561,392e" filled="false" stroked="true" strokeweight=".47998pt" strokecolor="#000000">
                <v:path arrowok="t"/>
              </v:shape>
              <v:shape style="position:absolute;left:2858;top:5;width:2852;height:388" type="#_x0000_t202" filled="false" stroked="false">
                <v:textbox inset="0,0,0,0">
                  <w:txbxContent>
                    <w:p>
                      <w:pPr>
                        <w:spacing w:before="85"/>
                        <w:ind w:left="1797" w:right="0" w:firstLine="0"/>
                        <w:jc w:val="left"/>
                        <w:rPr>
                          <w:rFonts w:ascii="Times New Roman" w:hAnsi="Times New Roman" w:cs="Times New Roman" w:eastAsia="Times New Roman" w:hint="default"/>
                          <w:sz w:val="18"/>
                          <w:szCs w:val="18"/>
                        </w:rPr>
                      </w:pPr>
                      <w:r>
                        <w:rPr>
                          <w:rFonts w:ascii="Times New Roman"/>
                          <w:sz w:val="18"/>
                        </w:rPr>
                        <w:t>2,329,132.19</w:t>
                      </w:r>
                    </w:p>
                  </w:txbxContent>
                </v:textbox>
                <w10:wrap type="none"/>
              </v:shape>
              <v:shape style="position:absolute;left:127;top:10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7507;top:113;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1,270,076.82</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21"/>
          <w:szCs w:val="21"/>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tabs>
          <w:tab w:pos="6543" w:val="left" w:leader="none"/>
        </w:tabs>
        <w:spacing w:before="0"/>
        <w:ind w:left="24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tab/>
      </w:r>
      <w:r>
        <w:rPr>
          <w:rFonts w:ascii="宋体" w:hAnsi="宋体" w:cs="宋体" w:eastAsia="宋体" w:hint="default"/>
          <w:spacing w:val="-12"/>
          <w:sz w:val="21"/>
          <w:szCs w:val="21"/>
        </w:rPr>
        <w:t>单位：元</w:t>
      </w:r>
      <w:r>
        <w:rPr>
          <w:rFonts w:ascii="宋体" w:hAnsi="宋体" w:cs="宋体" w:eastAsia="宋体" w:hint="default"/>
          <w:spacing w:val="4"/>
          <w:sz w:val="21"/>
          <w:szCs w:val="21"/>
        </w:rPr>
        <w:t> </w:t>
      </w:r>
      <w:r>
        <w:rPr>
          <w:rFonts w:ascii="宋体" w:hAnsi="宋体" w:cs="宋体" w:eastAsia="宋体" w:hint="default"/>
          <w:spacing w:val="-9"/>
          <w:sz w:val="21"/>
          <w:szCs w:val="21"/>
        </w:rPr>
        <w:t>币种：人民币</w:t>
      </w: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642"/>
        <w:gridCol w:w="1800"/>
        <w:gridCol w:w="1800"/>
        <w:gridCol w:w="2606"/>
      </w:tblGrid>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31"/>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666"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3,800,600.00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1,787,700.00</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3,800,600.00</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3,440,814.15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4,895,709.74</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4,500.00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4,500.00</w:t>
            </w:r>
          </w:p>
        </w:tc>
      </w:tr>
      <w:tr>
        <w:trPr>
          <w:trHeight w:val="394"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7,245,914.15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6,683,409.74</w:t>
            </w:r>
          </w:p>
        </w:tc>
        <w:tc>
          <w:tcPr>
            <w:tcW w:w="2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3,805,100.00</w:t>
            </w:r>
          </w:p>
        </w:tc>
      </w:tr>
    </w:tbl>
    <w:p>
      <w:pPr>
        <w:spacing w:line="240" w:lineRule="auto" w:before="0"/>
        <w:rPr>
          <w:rFonts w:ascii="宋体" w:hAnsi="宋体" w:cs="宋体" w:eastAsia="宋体" w:hint="default"/>
          <w:sz w:val="20"/>
          <w:szCs w:val="20"/>
        </w:rPr>
      </w:pPr>
    </w:p>
    <w:p>
      <w:pPr>
        <w:spacing w:before="185"/>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10"/>
        <w:rPr>
          <w:rFonts w:ascii="宋体" w:hAnsi="宋体" w:cs="宋体" w:eastAsia="宋体" w:hint="default"/>
          <w:sz w:val="20"/>
          <w:szCs w:val="20"/>
        </w:rPr>
      </w:pPr>
    </w:p>
    <w:tbl>
      <w:tblPr>
        <w:tblW w:w="0" w:type="auto"/>
        <w:jc w:val="left"/>
        <w:tblInd w:w="224" w:type="dxa"/>
        <w:tblLayout w:type="fixed"/>
        <w:tblCellMar>
          <w:top w:w="0" w:type="dxa"/>
          <w:left w:w="0" w:type="dxa"/>
          <w:bottom w:w="0" w:type="dxa"/>
          <w:right w:w="0" w:type="dxa"/>
        </w:tblCellMar>
        <w:tblLook w:val="01E0"/>
      </w:tblPr>
      <w:tblGrid>
        <w:gridCol w:w="2538"/>
        <w:gridCol w:w="2005"/>
        <w:gridCol w:w="2010"/>
        <w:gridCol w:w="2008"/>
      </w:tblGrid>
      <w:tr>
        <w:trPr>
          <w:trHeight w:val="388"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88"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科技研究经费补贴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800,600.00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1,787,700.00</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上市财政资助</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3,000,000.00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3,800,600.00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1,787,700.00</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4"/>
        <w:rPr>
          <w:rFonts w:ascii="宋体" w:hAnsi="宋体" w:cs="宋体" w:eastAsia="宋体" w:hint="default"/>
          <w:sz w:val="22"/>
          <w:szCs w:val="22"/>
        </w:rPr>
      </w:pPr>
    </w:p>
    <w:p>
      <w:pPr>
        <w:spacing w:before="35"/>
        <w:ind w:left="664" w:right="0" w:firstLine="0"/>
        <w:jc w:val="left"/>
        <w:rPr>
          <w:rFonts w:ascii="宋体" w:hAnsi="宋体" w:cs="宋体" w:eastAsia="宋体" w:hint="default"/>
          <w:sz w:val="21"/>
          <w:szCs w:val="21"/>
        </w:rPr>
      </w:pPr>
      <w:r>
        <w:rPr>
          <w:rFonts w:ascii="宋体" w:hAnsi="宋体" w:cs="宋体" w:eastAsia="宋体" w:hint="default"/>
          <w:sz w:val="21"/>
          <w:szCs w:val="21"/>
        </w:rPr>
        <w:t>营业外收入说明：</w:t>
      </w:r>
    </w:p>
    <w:p>
      <w:pPr>
        <w:spacing w:line="240" w:lineRule="auto" w:before="6"/>
        <w:rPr>
          <w:rFonts w:ascii="宋体" w:hAnsi="宋体" w:cs="宋体" w:eastAsia="宋体" w:hint="default"/>
          <w:sz w:val="19"/>
          <w:szCs w:val="19"/>
        </w:rPr>
      </w:pPr>
    </w:p>
    <w:p>
      <w:pPr>
        <w:spacing w:before="0"/>
        <w:ind w:left="6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、增值</w:t>
      </w:r>
      <w:r>
        <w:rPr>
          <w:rFonts w:ascii="宋体" w:hAnsi="宋体" w:cs="宋体" w:eastAsia="宋体" w:hint="default"/>
          <w:spacing w:val="-2"/>
          <w:sz w:val="21"/>
          <w:szCs w:val="21"/>
        </w:rPr>
        <w:t>税</w:t>
      </w:r>
      <w:r>
        <w:rPr>
          <w:rFonts w:ascii="宋体" w:hAnsi="宋体" w:cs="宋体" w:eastAsia="宋体" w:hint="default"/>
          <w:sz w:val="21"/>
          <w:szCs w:val="21"/>
        </w:rPr>
        <w:t>退税的原因见附注三。</w:t>
      </w:r>
    </w:p>
    <w:p>
      <w:pPr>
        <w:spacing w:line="240" w:lineRule="auto" w:before="2"/>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、政府</w:t>
      </w:r>
      <w:r>
        <w:rPr>
          <w:rFonts w:ascii="宋体" w:hAnsi="宋体" w:cs="宋体" w:eastAsia="宋体" w:hint="default"/>
          <w:spacing w:val="-2"/>
          <w:sz w:val="21"/>
          <w:szCs w:val="21"/>
        </w:rPr>
        <w:t>补</w:t>
      </w:r>
      <w:r>
        <w:rPr>
          <w:rFonts w:ascii="宋体" w:hAnsi="宋体" w:cs="宋体" w:eastAsia="宋体" w:hint="default"/>
          <w:sz w:val="21"/>
          <w:szCs w:val="21"/>
        </w:rPr>
        <w:t>助明细说明见附注十四。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3"/>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before="101"/>
        <w:ind w:left="0" w:right="44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2533"/>
        <w:gridCol w:w="1620"/>
        <w:gridCol w:w="1622"/>
        <w:gridCol w:w="2976"/>
      </w:tblGrid>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5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left="3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576.85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576.85</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576.85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576.85</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6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00" w:right="1400"/>
        </w:sectPr>
      </w:pPr>
    </w:p>
    <w:p>
      <w:pPr>
        <w:spacing w:line="240" w:lineRule="auto" w:before="6"/>
        <w:rPr>
          <w:rFonts w:ascii="宋体" w:hAnsi="宋体" w:cs="宋体" w:eastAsia="宋体" w:hint="default"/>
          <w:sz w:val="24"/>
          <w:szCs w:val="24"/>
        </w:rPr>
      </w:pPr>
    </w:p>
    <w:tbl>
      <w:tblPr>
        <w:tblW w:w="0" w:type="auto"/>
        <w:jc w:val="left"/>
        <w:tblInd w:w="222" w:type="dxa"/>
        <w:tblLayout w:type="fixed"/>
        <w:tblCellMar>
          <w:top w:w="0" w:type="dxa"/>
          <w:left w:w="0" w:type="dxa"/>
          <w:bottom w:w="0" w:type="dxa"/>
          <w:right w:w="0" w:type="dxa"/>
        </w:tblCellMar>
        <w:tblLook w:val="01E0"/>
      </w:tblPr>
      <w:tblGrid>
        <w:gridCol w:w="2533"/>
        <w:gridCol w:w="1620"/>
        <w:gridCol w:w="1622"/>
        <w:gridCol w:w="2976"/>
      </w:tblGrid>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576.85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576.85</w:t>
            </w:r>
          </w:p>
        </w:tc>
      </w:tr>
    </w:tbl>
    <w:p>
      <w:pPr>
        <w:spacing w:line="240" w:lineRule="auto" w:before="4"/>
        <w:rPr>
          <w:rFonts w:ascii="宋体" w:hAnsi="宋体" w:cs="宋体" w:eastAsia="宋体" w:hint="default"/>
          <w:sz w:val="22"/>
          <w:szCs w:val="22"/>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3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3" w:type="dxa"/>
        <w:tblLayout w:type="fixed"/>
        <w:tblCellMar>
          <w:top w:w="0" w:type="dxa"/>
          <w:left w:w="0" w:type="dxa"/>
          <w:bottom w:w="0" w:type="dxa"/>
          <w:right w:w="0" w:type="dxa"/>
        </w:tblCellMar>
        <w:tblLook w:val="01E0"/>
      </w:tblPr>
      <w:tblGrid>
        <w:gridCol w:w="4403"/>
        <w:gridCol w:w="2092"/>
        <w:gridCol w:w="2093"/>
      </w:tblGrid>
      <w:tr>
        <w:trPr>
          <w:trHeight w:val="388" w:hRule="exact"/>
        </w:trPr>
        <w:tc>
          <w:tcPr>
            <w:tcW w:w="4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4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1,353,423.92</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1,432,669.77</w:t>
            </w:r>
          </w:p>
        </w:tc>
      </w:tr>
      <w:tr>
        <w:trPr>
          <w:trHeight w:val="388" w:hRule="exact"/>
        </w:trPr>
        <w:tc>
          <w:tcPr>
            <w:tcW w:w="4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z w:val="18"/>
              </w:rPr>
              <w:t>-232,954.75</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z w:val="18"/>
              </w:rPr>
              <w:t>-126,983.63</w:t>
            </w:r>
          </w:p>
        </w:tc>
      </w:tr>
      <w:tr>
        <w:trPr>
          <w:trHeight w:val="388" w:hRule="exact"/>
        </w:trPr>
        <w:tc>
          <w:tcPr>
            <w:tcW w:w="4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1,120,469.17</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1,305,686.14</w:t>
            </w:r>
          </w:p>
        </w:tc>
      </w:tr>
    </w:tbl>
    <w:p>
      <w:pPr>
        <w:spacing w:line="240" w:lineRule="auto" w:before="4"/>
        <w:rPr>
          <w:rFonts w:ascii="宋体" w:hAnsi="宋体" w:cs="宋体" w:eastAsia="宋体" w:hint="default"/>
          <w:sz w:val="22"/>
          <w:szCs w:val="22"/>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before="0"/>
        <w:ind w:left="0" w:right="23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442"/>
        <w:gridCol w:w="1582"/>
        <w:gridCol w:w="1352"/>
        <w:gridCol w:w="1354"/>
      </w:tblGrid>
      <w:tr>
        <w:trPr>
          <w:trHeight w:val="394" w:hRule="exact"/>
        </w:trPr>
        <w:tc>
          <w:tcPr>
            <w:tcW w:w="444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3"/>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426"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2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3"/>
              <w:ind w:left="2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6"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P0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pacing w:val="-1"/>
                <w:sz w:val="18"/>
              </w:rPr>
              <w:t>33,973,521.32</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29,274,493.30</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F</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pacing w:val="-1"/>
                <w:sz w:val="18"/>
              </w:rPr>
              <w:t>3,424,100.83</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1,608,930.00</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P0'=P0-F</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pacing w:val="-1"/>
                <w:sz w:val="18"/>
              </w:rPr>
              <w:t>30,549,420.49</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27,665,563.30</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854"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4"/>
              <w:ind w:left="122" w:right="-2"/>
              <w:jc w:val="both"/>
              <w:rPr>
                <w:rFonts w:ascii="宋体" w:hAnsi="宋体" w:cs="宋体" w:eastAsia="宋体" w:hint="default"/>
                <w:sz w:val="18"/>
                <w:szCs w:val="18"/>
              </w:rPr>
            </w:pPr>
            <w:r>
              <w:rPr>
                <w:rFonts w:ascii="宋体" w:hAnsi="宋体" w:cs="宋体" w:eastAsia="宋体" w:hint="default"/>
                <w:spacing w:val="-1"/>
                <w:sz w:val="18"/>
                <w:szCs w:val="18"/>
              </w:rPr>
              <w:t>归属于公司普通股股东的净利润，并考虑稀释性潜在普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通股对其影响，按《企业会计准则》及有关规定进行调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620"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11"/>
              <w:jc w:val="left"/>
              <w:rPr>
                <w:rFonts w:ascii="宋体" w:hAnsi="宋体" w:cs="宋体" w:eastAsia="宋体" w:hint="default"/>
                <w:sz w:val="18"/>
                <w:szCs w:val="18"/>
              </w:rPr>
            </w:pPr>
            <w:r>
              <w:rPr>
                <w:rFonts w:ascii="宋体" w:hAnsi="宋体" w:cs="宋体" w:eastAsia="宋体" w:hint="default"/>
                <w:spacing w:val="7"/>
                <w:sz w:val="18"/>
                <w:szCs w:val="18"/>
              </w:rPr>
              <w:t>稀释事项对扣除非经常性损益后归属于公司普通股股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854"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4"/>
              <w:ind w:left="122" w:right="-29"/>
              <w:jc w:val="both"/>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 </w:t>
            </w:r>
            <w:r>
              <w:rPr>
                <w:rFonts w:ascii="宋体" w:hAnsi="宋体" w:cs="宋体" w:eastAsia="宋体" w:hint="default"/>
                <w:spacing w:val="-7"/>
                <w:sz w:val="18"/>
                <w:szCs w:val="18"/>
              </w:rPr>
              <w:t>并考虑稀释性潜在普通股对其影响，按《企业会计准则》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S0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z w:val="18"/>
              </w:rPr>
              <w:t>45000000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45000000</w:t>
            </w:r>
          </w:p>
        </w:tc>
      </w:tr>
      <w:tr>
        <w:trPr>
          <w:trHeight w:val="622"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1"/>
              <w:jc w:val="left"/>
              <w:rPr>
                <w:rFonts w:ascii="宋体" w:hAnsi="宋体" w:cs="宋体" w:eastAsia="宋体" w:hint="default"/>
                <w:sz w:val="18"/>
                <w:szCs w:val="18"/>
              </w:rPr>
            </w:pPr>
            <w:r>
              <w:rPr>
                <w:rFonts w:ascii="宋体" w:hAnsi="宋体" w:cs="宋体" w:eastAsia="宋体" w:hint="default"/>
                <w:spacing w:val="7"/>
                <w:sz w:val="18"/>
                <w:szCs w:val="18"/>
              </w:rPr>
              <w:t>报告期因公积金转增股本或股票股利分配等增加股份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386"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Si</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15000000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Sj</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Sk</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M0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Mi</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7</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Mj</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w:t>
            </w:r>
          </w:p>
        </w:tc>
      </w:tr>
      <w:tr>
        <w:trPr>
          <w:trHeight w:val="666"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8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53750000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00" w:right="140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4442"/>
        <w:gridCol w:w="1582"/>
        <w:gridCol w:w="1352"/>
        <w:gridCol w:w="1354"/>
      </w:tblGrid>
      <w:tr>
        <w:trPr>
          <w:trHeight w:val="392" w:hRule="exact"/>
        </w:trPr>
        <w:tc>
          <w:tcPr>
            <w:tcW w:w="444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3"/>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426"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2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3"/>
              <w:ind w:left="2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22"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2"/>
              <w:jc w:val="left"/>
              <w:rPr>
                <w:rFonts w:ascii="宋体" w:hAnsi="宋体" w:cs="宋体" w:eastAsia="宋体" w:hint="default"/>
                <w:sz w:val="18"/>
                <w:szCs w:val="18"/>
              </w:rPr>
            </w:pPr>
            <w:r>
              <w:rPr>
                <w:rFonts w:ascii="宋体" w:hAnsi="宋体" w:cs="宋体" w:eastAsia="宋体" w:hint="default"/>
                <w:spacing w:val="-1"/>
                <w:sz w:val="18"/>
                <w:szCs w:val="18"/>
              </w:rPr>
              <w:t>加：假定稀释性潜在普通股转换为已发行普通股而增加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sz w:val="18"/>
              </w:rPr>
              <w:t>X2=S+X1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644"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644"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pacing w:val="-1"/>
                <w:sz w:val="18"/>
              </w:rPr>
              <w:t>0.6321</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0.6505</w:t>
            </w:r>
            <w:r>
              <w:rPr>
                <w:rFonts w:ascii="Times New Roman"/>
                <w:sz w:val="18"/>
              </w:rPr>
            </w:r>
          </w:p>
        </w:tc>
      </w:tr>
      <w:tr>
        <w:trPr>
          <w:trHeight w:val="620"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11"/>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扣除非经常性损益后归属于公司普通股股东的基本每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0.5684</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0.6148</w:t>
            </w:r>
            <w:r>
              <w:rPr>
                <w:rFonts w:ascii="Times New Roman"/>
                <w:sz w:val="18"/>
              </w:rPr>
            </w:r>
          </w:p>
        </w:tc>
      </w:tr>
      <w:tr>
        <w:trPr>
          <w:trHeight w:val="388"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z w:val="18"/>
              </w:rPr>
              <w:t>0.6321</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0.6505</w:t>
            </w:r>
          </w:p>
        </w:tc>
      </w:tr>
      <w:tr>
        <w:trPr>
          <w:trHeight w:val="626" w:hRule="exact"/>
        </w:trPr>
        <w:tc>
          <w:tcPr>
            <w:tcW w:w="444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41"/>
              <w:ind w:left="122" w:right="-11"/>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扣除非经常性损益后归属于公司普通股股东的稀释每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0.5684</w:t>
            </w:r>
            <w:r>
              <w:rPr>
                <w:rFonts w:ascii="Times New Roman"/>
                <w:sz w:val="18"/>
              </w:rPr>
            </w:r>
          </w:p>
        </w:tc>
        <w:tc>
          <w:tcPr>
            <w:tcW w:w="135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0.6148</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5"/>
        <w:rPr>
          <w:rFonts w:ascii="宋体" w:hAnsi="宋体" w:cs="宋体" w:eastAsia="宋体" w:hint="default"/>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4366"/>
        <w:gridCol w:w="4140"/>
      </w:tblGrid>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3,800,600.00</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z w:val="18"/>
              </w:rPr>
              <w:t>4,500.00</w:t>
            </w:r>
          </w:p>
        </w:tc>
      </w:tr>
      <w:tr>
        <w:trPr>
          <w:trHeight w:val="386"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3,836,669.08</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3,022,476.43</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10,664,245.51</w:t>
            </w:r>
          </w:p>
        </w:tc>
      </w:tr>
    </w:tbl>
    <w:p>
      <w:pPr>
        <w:spacing w:line="240" w:lineRule="auto" w:before="5"/>
        <w:rPr>
          <w:rFonts w:ascii="宋体" w:hAnsi="宋体" w:cs="宋体" w:eastAsia="宋体" w:hint="default"/>
          <w:sz w:val="22"/>
          <w:szCs w:val="22"/>
        </w:rPr>
      </w:pPr>
    </w:p>
    <w:p>
      <w:pPr>
        <w:spacing w:before="35"/>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5"/>
        <w:rPr>
          <w:rFonts w:ascii="宋体" w:hAnsi="宋体" w:cs="宋体" w:eastAsia="宋体" w:hint="default"/>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4366"/>
        <w:gridCol w:w="4140"/>
      </w:tblGrid>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z w:val="18"/>
              </w:rPr>
              <w:t>26,596.37</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除工资外付现销售费用</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9,529,391.10</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除工资、税金外付现管理费用</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8,402,569.37</w:t>
            </w:r>
          </w:p>
        </w:tc>
      </w:tr>
      <w:tr>
        <w:trPr>
          <w:trHeight w:val="386"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除工资、采购成本劳务外付现营业成本</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4,381,792.93</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7,787,721.72</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7"/>
              <w:jc w:val="right"/>
              <w:rPr>
                <w:rFonts w:ascii="Times New Roman" w:hAnsi="Times New Roman" w:cs="Times New Roman" w:eastAsia="Times New Roman" w:hint="default"/>
                <w:sz w:val="18"/>
                <w:szCs w:val="18"/>
              </w:rPr>
            </w:pPr>
            <w:r>
              <w:rPr>
                <w:rFonts w:ascii="Times New Roman"/>
                <w:sz w:val="18"/>
              </w:rPr>
              <w:t>193,160.95</w:t>
            </w:r>
          </w:p>
        </w:tc>
      </w:tr>
      <w:tr>
        <w:trPr>
          <w:trHeight w:val="38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30,321,232.44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00" w:right="1500"/>
        </w:sectPr>
      </w:pPr>
    </w:p>
    <w:p>
      <w:pPr>
        <w:spacing w:line="240" w:lineRule="auto" w:before="2"/>
        <w:rPr>
          <w:rFonts w:ascii="宋体" w:hAnsi="宋体" w:cs="宋体" w:eastAsia="宋体" w:hint="default"/>
          <w:sz w:val="19"/>
          <w:szCs w:val="19"/>
        </w:rPr>
      </w:pPr>
    </w:p>
    <w:p>
      <w:pPr>
        <w:spacing w:before="35"/>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）收到的其他与投资活动有关的现金：无。</w:t>
      </w:r>
    </w:p>
    <w:p>
      <w:pPr>
        <w:spacing w:line="240" w:lineRule="auto" w:before="2"/>
        <w:rPr>
          <w:rFonts w:ascii="宋体" w:hAnsi="宋体" w:cs="宋体" w:eastAsia="宋体" w:hint="default"/>
          <w:sz w:val="18"/>
          <w:szCs w:val="18"/>
        </w:rPr>
      </w:pPr>
    </w:p>
    <w:p>
      <w:pPr>
        <w:spacing w:before="0"/>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）支付的其他与投资活动有关的现金：无。</w:t>
      </w:r>
    </w:p>
    <w:p>
      <w:pPr>
        <w:spacing w:line="240" w:lineRule="auto" w:before="3"/>
        <w:rPr>
          <w:rFonts w:ascii="宋体" w:hAnsi="宋体" w:cs="宋体" w:eastAsia="宋体" w:hint="default"/>
          <w:sz w:val="18"/>
          <w:szCs w:val="18"/>
        </w:rPr>
      </w:pPr>
    </w:p>
    <w:p>
      <w:pPr>
        <w:spacing w:before="0"/>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）收到的其他与筹资活动有关的现金：无。</w:t>
      </w:r>
    </w:p>
    <w:p>
      <w:pPr>
        <w:spacing w:line="240" w:lineRule="auto" w:before="2"/>
        <w:rPr>
          <w:rFonts w:ascii="宋体" w:hAnsi="宋体" w:cs="宋体" w:eastAsia="宋体" w:hint="default"/>
          <w:sz w:val="18"/>
          <w:szCs w:val="18"/>
        </w:rPr>
      </w:pPr>
    </w:p>
    <w:p>
      <w:pPr>
        <w:spacing w:before="0"/>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）支付的其他与筹资活动有关的现金</w:t>
      </w:r>
    </w:p>
    <w:p>
      <w:pPr>
        <w:spacing w:line="240" w:lineRule="auto" w:before="6"/>
        <w:rPr>
          <w:rFonts w:ascii="宋体" w:hAnsi="宋体" w:cs="宋体" w:eastAsia="宋体" w:hint="default"/>
          <w:sz w:val="15"/>
          <w:szCs w:val="15"/>
        </w:rPr>
      </w:pPr>
    </w:p>
    <w:p>
      <w:pPr>
        <w:spacing w:before="35"/>
        <w:ind w:left="0" w:right="22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354"/>
        <w:gridCol w:w="4339"/>
      </w:tblGrid>
      <w:tr>
        <w:trPr>
          <w:trHeight w:val="388"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86"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发行费</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5,786,811.28</w:t>
            </w:r>
          </w:p>
        </w:tc>
      </w:tr>
      <w:tr>
        <w:trPr>
          <w:trHeight w:val="389" w:hRule="exact"/>
        </w:trPr>
        <w:tc>
          <w:tcPr>
            <w:tcW w:w="4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pacing w:val="-1"/>
                <w:sz w:val="18"/>
              </w:rPr>
              <w:t>5,786,811.28</w:t>
            </w:r>
          </w:p>
        </w:tc>
      </w:tr>
    </w:tbl>
    <w:p>
      <w:pPr>
        <w:spacing w:line="240" w:lineRule="auto" w:before="4"/>
        <w:rPr>
          <w:rFonts w:ascii="宋体" w:hAnsi="宋体" w:cs="宋体" w:eastAsia="宋体" w:hint="default"/>
          <w:sz w:val="22"/>
          <w:szCs w:val="22"/>
        </w:rPr>
      </w:pPr>
    </w:p>
    <w:p>
      <w:pPr>
        <w:spacing w:before="35"/>
        <w:ind w:left="164" w:right="1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164"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6"/>
        <w:rPr>
          <w:rFonts w:ascii="宋体" w:hAnsi="宋体" w:cs="宋体" w:eastAsia="宋体" w:hint="default"/>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5496"/>
        <w:gridCol w:w="1602"/>
        <w:gridCol w:w="1558"/>
      </w:tblGrid>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86"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33,973,521.32</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29,274,493.30</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2,329,132.19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1,270,076.82</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1,962,234.58</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1,819,059.54</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8,069.89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6,121.58</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55,105.27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25,924.44</w:t>
            </w:r>
          </w:p>
        </w:tc>
      </w:tr>
      <w:tr>
        <w:trPr>
          <w:trHeight w:val="620"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10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576.85</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601,401.60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pacing w:val="-1"/>
                <w:sz w:val="18"/>
              </w:rPr>
              <w:t>1,201,424.78</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-232,954.75</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-126,983.63</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-276,399.99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-611,003.97</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-21,736,391.24</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-10,814,765.06</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2,564,649.10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-2,160,867.33</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-155,233.95</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39,774.67</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19,093,710.87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19,923,255.14</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1480" w:right="150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496"/>
        <w:gridCol w:w="1602"/>
        <w:gridCol w:w="1558"/>
      </w:tblGrid>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433,006,815.47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49,605,158.29</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49,605,158.29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pacing w:val="-1"/>
                <w:sz w:val="18"/>
              </w:rPr>
              <w:t>-32,881,529.30</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383,401,657.18</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16,723,628.99</w:t>
            </w:r>
          </w:p>
        </w:tc>
      </w:tr>
    </w:tbl>
    <w:p>
      <w:pPr>
        <w:spacing w:line="240" w:lineRule="auto" w:before="4"/>
        <w:rPr>
          <w:rFonts w:ascii="宋体" w:hAnsi="宋体" w:cs="宋体" w:eastAsia="宋体" w:hint="default"/>
          <w:sz w:val="22"/>
          <w:szCs w:val="22"/>
        </w:rPr>
      </w:pPr>
    </w:p>
    <w:p>
      <w:pPr>
        <w:spacing w:before="35"/>
        <w:ind w:left="1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）现金和现金等价物的构成</w:t>
      </w:r>
    </w:p>
    <w:p>
      <w:pPr>
        <w:spacing w:line="240" w:lineRule="auto" w:before="6"/>
        <w:rPr>
          <w:rFonts w:ascii="宋体" w:hAnsi="宋体" w:cs="宋体" w:eastAsia="宋体" w:hint="default"/>
          <w:sz w:val="15"/>
          <w:szCs w:val="15"/>
        </w:rPr>
      </w:pPr>
    </w:p>
    <w:p>
      <w:pPr>
        <w:spacing w:before="35"/>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5054"/>
        <w:gridCol w:w="1861"/>
        <w:gridCol w:w="1861"/>
      </w:tblGrid>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6"/>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0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60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8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433,006,815.47</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49,605,158.29</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41,079.64</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153,558.31</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432,965,735.83</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49,451,599.98</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204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204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2"/>
          <w:szCs w:val="22"/>
        </w:rPr>
      </w:pPr>
    </w:p>
    <w:p>
      <w:pPr>
        <w:spacing w:before="35"/>
        <w:ind w:left="1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38" w:lineRule="auto" w:before="0"/>
        <w:ind w:left="143" w:right="0" w:firstLine="420"/>
        <w:jc w:val="left"/>
        <w:rPr>
          <w:rFonts w:ascii="宋体" w:hAnsi="宋体" w:cs="宋体" w:eastAsia="宋体" w:hint="default"/>
          <w:sz w:val="21"/>
          <w:szCs w:val="21"/>
        </w:rPr>
      </w:pPr>
      <w:r>
        <w:rPr>
          <w:rFonts w:ascii="宋体" w:hAnsi="宋体" w:cs="宋体" w:eastAsia="宋体" w:hint="default"/>
          <w:sz w:val="21"/>
          <w:szCs w:val="21"/>
        </w:rPr>
        <w:t>对上年年末余额进行调整的</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r>
        <w:rPr>
          <w:rFonts w:ascii="Times New Roman" w:hAnsi="Times New Roman" w:cs="Times New Roman" w:eastAsia="Times New Roman" w:hint="default"/>
          <w:sz w:val="21"/>
          <w:szCs w:val="21"/>
        </w:rPr>
        <w:t>”</w:t>
      </w:r>
      <w:r>
        <w:rPr>
          <w:rFonts w:ascii="宋体" w:hAnsi="宋体" w:cs="宋体" w:eastAsia="宋体" w:hint="default"/>
          <w:sz w:val="21"/>
          <w:szCs w:val="21"/>
        </w:rPr>
        <w:t>项目名称及调整金额、由同一控制下企业合并产生的追 溯调整等事项：无。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5"/>
        <w:spacing w:line="240" w:lineRule="auto"/>
        <w:ind w:right="0"/>
        <w:jc w:val="left"/>
        <w:rPr>
          <w:b w:val="0"/>
          <w:bCs w:val="0"/>
        </w:rPr>
      </w:pPr>
      <w:r>
        <w:rPr/>
        <w:t>六、</w:t>
      </w:r>
      <w:r>
        <w:rPr>
          <w:spacing w:val="-39"/>
        </w:rPr>
        <w:t> </w:t>
      </w:r>
      <w:r>
        <w:rPr/>
        <w:t>资产证券化业务的会计处理</w:t>
      </w:r>
      <w:r>
        <w:rPr>
          <w:b w:val="0"/>
          <w:bCs w:val="0"/>
        </w:rPr>
      </w:r>
    </w:p>
    <w:p>
      <w:pPr>
        <w:spacing w:line="240" w:lineRule="auto" w:before="9"/>
        <w:rPr>
          <w:rFonts w:ascii="宋体" w:hAnsi="宋体" w:cs="宋体" w:eastAsia="宋体" w:hint="default"/>
          <w:b/>
          <w:bCs/>
          <w:sz w:val="20"/>
          <w:szCs w:val="20"/>
        </w:rPr>
      </w:pPr>
    </w:p>
    <w:p>
      <w:pPr>
        <w:spacing w:line="436" w:lineRule="auto" w:before="0"/>
        <w:ind w:left="564" w:right="243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、说明资产证券化业务的主要交易安排及其会计处理、破产隔离条款</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36" w:lineRule="auto" w:before="82"/>
        <w:ind w:left="564" w:right="306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、公司不具有控制权但实质上承担其风险的特殊目的主体情况</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436" w:lineRule="auto"/>
        <w:jc w:val="left"/>
        <w:rPr>
          <w:rFonts w:ascii="宋体" w:hAnsi="宋体" w:cs="宋体" w:eastAsia="宋体" w:hint="default"/>
          <w:sz w:val="21"/>
          <w:szCs w:val="21"/>
        </w:rPr>
        <w:sectPr>
          <w:pgSz w:w="11910" w:h="16840"/>
          <w:pgMar w:header="877" w:footer="982" w:top="1100" w:bottom="1180" w:left="15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5"/>
        <w:spacing w:line="240" w:lineRule="auto" w:before="29"/>
        <w:ind w:right="0"/>
        <w:jc w:val="left"/>
        <w:rPr>
          <w:b w:val="0"/>
          <w:bCs w:val="0"/>
        </w:rPr>
      </w:pPr>
      <w:r>
        <w:rPr/>
        <w:t>七、</w:t>
      </w:r>
      <w:r>
        <w:rPr>
          <w:spacing w:val="-39"/>
        </w:rPr>
        <w:t> </w:t>
      </w:r>
      <w:r>
        <w:rPr/>
        <w:t>关联方及关联交易</w:t>
      </w:r>
      <w:r>
        <w:rPr>
          <w:b w:val="0"/>
          <w:bCs w:val="0"/>
        </w:rPr>
      </w:r>
    </w:p>
    <w:p>
      <w:pPr>
        <w:spacing w:line="240" w:lineRule="auto" w:before="9"/>
        <w:rPr>
          <w:rFonts w:ascii="宋体" w:hAnsi="宋体" w:cs="宋体" w:eastAsia="宋体" w:hint="default"/>
          <w:b/>
          <w:bCs/>
          <w:sz w:val="20"/>
          <w:szCs w:val="20"/>
        </w:rPr>
      </w:pPr>
    </w:p>
    <w:p>
      <w:pPr>
        <w:spacing w:before="0"/>
        <w:ind w:left="1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564" w:right="0" w:firstLine="0"/>
        <w:jc w:val="left"/>
        <w:rPr>
          <w:rFonts w:ascii="宋体" w:hAnsi="宋体" w:cs="宋体" w:eastAsia="宋体" w:hint="default"/>
          <w:sz w:val="21"/>
          <w:szCs w:val="21"/>
        </w:rPr>
      </w:pPr>
      <w:r>
        <w:rPr>
          <w:rFonts w:ascii="宋体" w:hAnsi="宋体" w:cs="宋体" w:eastAsia="宋体" w:hint="default"/>
          <w:sz w:val="21"/>
          <w:szCs w:val="21"/>
        </w:rPr>
        <w:t>本公司股东均为自然人，有关情况详见本附注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、本企业的其他关联方情况。</w:t>
      </w:r>
    </w:p>
    <w:p>
      <w:pPr>
        <w:spacing w:line="240" w:lineRule="auto" w:before="2"/>
        <w:rPr>
          <w:rFonts w:ascii="宋体" w:hAnsi="宋体" w:cs="宋体" w:eastAsia="宋体" w:hint="default"/>
          <w:sz w:val="18"/>
          <w:szCs w:val="18"/>
        </w:rPr>
      </w:pPr>
    </w:p>
    <w:p>
      <w:pPr>
        <w:spacing w:before="0"/>
        <w:ind w:left="14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3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709"/>
        <w:gridCol w:w="677"/>
        <w:gridCol w:w="674"/>
        <w:gridCol w:w="588"/>
        <w:gridCol w:w="907"/>
        <w:gridCol w:w="889"/>
        <w:gridCol w:w="790"/>
        <w:gridCol w:w="655"/>
        <w:gridCol w:w="708"/>
        <w:gridCol w:w="1252"/>
      </w:tblGrid>
      <w:tr>
        <w:trPr>
          <w:trHeight w:val="949" w:hRule="exact"/>
        </w:trPr>
        <w:tc>
          <w:tcPr>
            <w:tcW w:w="1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53" w:right="151"/>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52" w:right="150"/>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97" w:right="108"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58" w:right="176"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49" w:right="168"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00" w:right="119"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03"/>
              <w:ind w:left="142" w:right="140"/>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23" w:right="122"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530" w:right="17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67" w:hRule="exact"/>
        </w:trPr>
        <w:tc>
          <w:tcPr>
            <w:tcW w:w="1709" w:type="dxa"/>
            <w:tcBorders>
              <w:top w:val="single" w:sz="4" w:space="0" w:color="000000"/>
              <w:left w:val="nil" w:sz="6" w:space="0" w:color="auto"/>
              <w:bottom w:val="nil" w:sz="6" w:space="0" w:color="auto"/>
              <w:right w:val="single" w:sz="4" w:space="0" w:color="000000"/>
            </w:tcBorders>
          </w:tcPr>
          <w:p>
            <w:pPr>
              <w:pStyle w:val="TableParagraph"/>
              <w:spacing w:line="240" w:lineRule="auto" w:before="89"/>
              <w:ind w:left="19" w:right="0"/>
              <w:jc w:val="center"/>
              <w:rPr>
                <w:rFonts w:ascii="宋体" w:hAnsi="宋体" w:cs="宋体" w:eastAsia="宋体" w:hint="default"/>
                <w:sz w:val="18"/>
                <w:szCs w:val="18"/>
              </w:rPr>
            </w:pPr>
            <w:r>
              <w:rPr>
                <w:rFonts w:ascii="宋体" w:hAnsi="宋体" w:cs="宋体" w:eastAsia="宋体" w:hint="default"/>
                <w:sz w:val="18"/>
                <w:szCs w:val="18"/>
              </w:rPr>
              <w:t>深圳市银之杰软件</w:t>
            </w:r>
          </w:p>
        </w:tc>
        <w:tc>
          <w:tcPr>
            <w:tcW w:w="677"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88" w:type="dxa"/>
            <w:tcBorders>
              <w:top w:val="single" w:sz="4" w:space="0" w:color="000000"/>
              <w:left w:val="single" w:sz="4" w:space="0" w:color="000000"/>
              <w:bottom w:val="nil" w:sz="6" w:space="0" w:color="auto"/>
              <w:right w:val="single" w:sz="4" w:space="0" w:color="000000"/>
            </w:tcBorders>
          </w:tcPr>
          <w:p>
            <w:pPr/>
          </w:p>
        </w:tc>
        <w:tc>
          <w:tcPr>
            <w:tcW w:w="907" w:type="dxa"/>
            <w:tcBorders>
              <w:top w:val="single" w:sz="4" w:space="0" w:color="000000"/>
              <w:left w:val="single" w:sz="4" w:space="0" w:color="000000"/>
              <w:bottom w:val="nil" w:sz="6" w:space="0" w:color="auto"/>
              <w:right w:val="single" w:sz="4" w:space="0" w:color="000000"/>
            </w:tcBorders>
          </w:tcPr>
          <w:p>
            <w:pPr/>
          </w:p>
        </w:tc>
        <w:tc>
          <w:tcPr>
            <w:tcW w:w="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软件开</w:t>
            </w:r>
          </w:p>
        </w:tc>
        <w:tc>
          <w:tcPr>
            <w:tcW w:w="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127" w:right="-17"/>
              <w:jc w:val="center"/>
              <w:rPr>
                <w:rFonts w:ascii="Times New Roman" w:hAnsi="Times New Roman" w:cs="Times New Roman" w:eastAsia="Times New Roman" w:hint="default"/>
                <w:sz w:val="18"/>
                <w:szCs w:val="18"/>
              </w:rPr>
            </w:pPr>
            <w:r>
              <w:rPr>
                <w:rFonts w:ascii="Times New Roman"/>
                <w:sz w:val="18"/>
              </w:rPr>
              <w:t>RMB100</w:t>
            </w:r>
          </w:p>
        </w:tc>
        <w:tc>
          <w:tcPr>
            <w:tcW w:w="655"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nil" w:sz="6" w:space="0" w:color="auto"/>
            </w:tcBorders>
          </w:tcPr>
          <w:p>
            <w:pPr/>
          </w:p>
        </w:tc>
      </w:tr>
      <w:tr>
        <w:trPr>
          <w:trHeight w:val="351" w:hRule="exact"/>
        </w:trPr>
        <w:tc>
          <w:tcPr>
            <w:tcW w:w="1709" w:type="dxa"/>
            <w:tcBorders>
              <w:top w:val="nil" w:sz="6" w:space="0" w:color="auto"/>
              <w:left w:val="nil" w:sz="6" w:space="0" w:color="auto"/>
              <w:bottom w:val="single" w:sz="4" w:space="0" w:color="000000"/>
              <w:right w:val="single" w:sz="4" w:space="0" w:color="000000"/>
            </w:tcBorders>
          </w:tcPr>
          <w:p>
            <w:pPr>
              <w:pStyle w:val="TableParagraph"/>
              <w:spacing w:line="197" w:lineRule="exact"/>
              <w:ind w:left="19" w:right="0"/>
              <w:jc w:val="center"/>
              <w:rPr>
                <w:rFonts w:ascii="宋体" w:hAnsi="宋体" w:cs="宋体" w:eastAsia="宋体" w:hint="default"/>
                <w:sz w:val="18"/>
                <w:szCs w:val="18"/>
              </w:rPr>
            </w:pPr>
            <w:r>
              <w:rPr>
                <w:rFonts w:ascii="宋体" w:hAnsi="宋体" w:cs="宋体" w:eastAsia="宋体" w:hint="default"/>
                <w:sz w:val="18"/>
                <w:szCs w:val="18"/>
              </w:rPr>
              <w:t>技术有限公司</w:t>
            </w: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left="153"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7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8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left="107"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07"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left="178"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8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sz w:val="18"/>
                <w:szCs w:val="18"/>
              </w:rPr>
              <w:t>发</w:t>
            </w:r>
          </w:p>
        </w:tc>
        <w:tc>
          <w:tcPr>
            <w:tcW w:w="790"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left="144"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6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12"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39" w:right="0"/>
              <w:jc w:val="left"/>
              <w:rPr>
                <w:rFonts w:ascii="Times New Roman" w:hAnsi="Times New Roman" w:cs="Times New Roman" w:eastAsia="Times New Roman" w:hint="default"/>
                <w:sz w:val="18"/>
                <w:szCs w:val="18"/>
              </w:rPr>
            </w:pPr>
            <w:r>
              <w:rPr>
                <w:rFonts w:ascii="Times New Roman"/>
                <w:sz w:val="18"/>
              </w:rPr>
              <w:t>100%</w:t>
            </w:r>
          </w:p>
        </w:tc>
        <w:tc>
          <w:tcPr>
            <w:tcW w:w="1252"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left="185" w:right="0"/>
              <w:jc w:val="left"/>
              <w:rPr>
                <w:rFonts w:ascii="Times New Roman" w:hAnsi="Times New Roman" w:cs="Times New Roman" w:eastAsia="Times New Roman" w:hint="default"/>
                <w:sz w:val="18"/>
                <w:szCs w:val="18"/>
              </w:rPr>
            </w:pPr>
            <w:r>
              <w:rPr>
                <w:rFonts w:ascii="Times New Roman"/>
                <w:sz w:val="18"/>
              </w:rPr>
              <w:t>68201739-4</w:t>
            </w:r>
          </w:p>
        </w:tc>
      </w:tr>
    </w:tbl>
    <w:p>
      <w:pPr>
        <w:spacing w:line="240" w:lineRule="auto" w:before="4"/>
        <w:rPr>
          <w:rFonts w:ascii="宋体" w:hAnsi="宋体" w:cs="宋体" w:eastAsia="宋体" w:hint="default"/>
          <w:sz w:val="22"/>
          <w:szCs w:val="22"/>
        </w:rPr>
      </w:pPr>
    </w:p>
    <w:p>
      <w:pPr>
        <w:spacing w:before="35"/>
        <w:ind w:left="1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、本企业的合营和联营企业情况</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before="35"/>
        <w:ind w:left="0" w:right="3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127"/>
        <w:gridCol w:w="402"/>
        <w:gridCol w:w="541"/>
        <w:gridCol w:w="407"/>
        <w:gridCol w:w="404"/>
        <w:gridCol w:w="406"/>
        <w:gridCol w:w="715"/>
        <w:gridCol w:w="944"/>
        <w:gridCol w:w="550"/>
        <w:gridCol w:w="548"/>
        <w:gridCol w:w="622"/>
        <w:gridCol w:w="480"/>
        <w:gridCol w:w="588"/>
        <w:gridCol w:w="484"/>
        <w:gridCol w:w="644"/>
      </w:tblGrid>
      <w:tr>
        <w:trPr>
          <w:trHeight w:val="1183" w:hRule="exact"/>
        </w:trPr>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477" w:right="12"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60" w:lineRule="auto"/>
              <w:ind w:left="15" w:right="14"/>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75" w:right="84"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60" w:lineRule="auto"/>
              <w:ind w:left="17" w:right="17"/>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60" w:lineRule="auto"/>
              <w:ind w:left="16" w:right="1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60" w:lineRule="auto"/>
              <w:ind w:left="16" w:right="1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82" w:right="80"/>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 持股比 例</w:t>
            </w:r>
            <w:r>
              <w:rPr>
                <w:rFonts w:ascii="Times New Roman" w:hAnsi="Times New Roman" w:cs="Times New Roman" w:eastAsia="Times New Roman" w:hint="default"/>
                <w:sz w:val="18"/>
                <w:szCs w:val="18"/>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03"/>
              <w:ind w:left="16" w:right="17"/>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88" w:right="89"/>
              <w:jc w:val="left"/>
              <w:rPr>
                <w:rFonts w:ascii="宋体" w:hAnsi="宋体" w:cs="宋体" w:eastAsia="宋体" w:hint="default"/>
                <w:sz w:val="18"/>
                <w:szCs w:val="18"/>
              </w:rPr>
            </w:pPr>
            <w:r>
              <w:rPr>
                <w:rFonts w:ascii="宋体" w:hAnsi="宋体" w:cs="宋体" w:eastAsia="宋体" w:hint="default"/>
                <w:sz w:val="18"/>
                <w:szCs w:val="18"/>
              </w:rPr>
              <w:t>期末 资产</w:t>
            </w:r>
          </w:p>
          <w:p>
            <w:pPr>
              <w:pStyle w:val="TableParagraph"/>
              <w:spacing w:line="240" w:lineRule="auto" w:before="97"/>
              <w:ind w:left="88"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88" w:right="88"/>
              <w:jc w:val="left"/>
              <w:rPr>
                <w:rFonts w:ascii="宋体" w:hAnsi="宋体" w:cs="宋体" w:eastAsia="宋体" w:hint="default"/>
                <w:sz w:val="18"/>
                <w:szCs w:val="18"/>
              </w:rPr>
            </w:pPr>
            <w:r>
              <w:rPr>
                <w:rFonts w:ascii="宋体" w:hAnsi="宋体" w:cs="宋体" w:eastAsia="宋体" w:hint="default"/>
                <w:sz w:val="18"/>
                <w:szCs w:val="18"/>
              </w:rPr>
              <w:t>期末 负债</w:t>
            </w:r>
          </w:p>
          <w:p>
            <w:pPr>
              <w:pStyle w:val="TableParagraph"/>
              <w:spacing w:line="240" w:lineRule="auto" w:before="97"/>
              <w:ind w:left="88"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34" w:right="35"/>
              <w:jc w:val="center"/>
              <w:rPr>
                <w:rFonts w:ascii="宋体" w:hAnsi="宋体" w:cs="宋体" w:eastAsia="宋体" w:hint="default"/>
                <w:sz w:val="18"/>
                <w:szCs w:val="18"/>
              </w:rPr>
            </w:pPr>
            <w:r>
              <w:rPr>
                <w:rFonts w:ascii="宋体" w:hAnsi="宋体" w:cs="宋体" w:eastAsia="宋体" w:hint="default"/>
                <w:sz w:val="18"/>
                <w:szCs w:val="18"/>
              </w:rPr>
              <w:t>期末净 资产总 额</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55" w:right="53"/>
              <w:jc w:val="both"/>
              <w:rPr>
                <w:rFonts w:ascii="宋体" w:hAnsi="宋体" w:cs="宋体" w:eastAsia="宋体" w:hint="default"/>
                <w:sz w:val="18"/>
                <w:szCs w:val="18"/>
              </w:rPr>
            </w:pPr>
            <w:r>
              <w:rPr>
                <w:rFonts w:ascii="宋体" w:hAnsi="宋体" w:cs="宋体" w:eastAsia="宋体" w:hint="default"/>
                <w:sz w:val="18"/>
                <w:szCs w:val="18"/>
              </w:rPr>
              <w:t>本期 营业 收入 总额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60" w:lineRule="auto"/>
              <w:ind w:left="19" w:right="17" w:firstLine="90"/>
              <w:jc w:val="left"/>
              <w:rPr>
                <w:rFonts w:ascii="宋体" w:hAnsi="宋体" w:cs="宋体" w:eastAsia="宋体" w:hint="default"/>
                <w:sz w:val="18"/>
                <w:szCs w:val="18"/>
              </w:rPr>
            </w:pPr>
            <w:r>
              <w:rPr>
                <w:rFonts w:ascii="宋体" w:hAnsi="宋体" w:cs="宋体" w:eastAsia="宋体" w:hint="default"/>
                <w:sz w:val="18"/>
                <w:szCs w:val="18"/>
              </w:rPr>
              <w:t>本期 净利润</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56" w:right="55"/>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49" w:right="48"/>
              <w:jc w:val="left"/>
              <w:rPr>
                <w:rFonts w:ascii="宋体" w:hAnsi="宋体" w:cs="宋体" w:eastAsia="宋体" w:hint="default"/>
                <w:sz w:val="18"/>
                <w:szCs w:val="18"/>
              </w:rPr>
            </w:pPr>
            <w:r>
              <w:rPr>
                <w:rFonts w:ascii="宋体" w:hAnsi="宋体" w:cs="宋体" w:eastAsia="宋体" w:hint="default"/>
                <w:sz w:val="18"/>
                <w:szCs w:val="18"/>
              </w:rPr>
              <w:t>组织机 构代码</w:t>
            </w:r>
          </w:p>
        </w:tc>
      </w:tr>
      <w:tr>
        <w:trPr>
          <w:trHeight w:val="414" w:hRule="exact"/>
        </w:trPr>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402"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02"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402"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02"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2"/>
          <w:szCs w:val="22"/>
        </w:rPr>
      </w:pPr>
    </w:p>
    <w:p>
      <w:pPr>
        <w:spacing w:before="35"/>
        <w:ind w:left="1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0"/>
          <w:szCs w:val="20"/>
        </w:rPr>
      </w:pPr>
    </w:p>
    <w:tbl>
      <w:tblPr>
        <w:tblW w:w="0" w:type="auto"/>
        <w:jc w:val="left"/>
        <w:tblInd w:w="124" w:type="dxa"/>
        <w:tblLayout w:type="fixed"/>
        <w:tblCellMar>
          <w:top w:w="0" w:type="dxa"/>
          <w:left w:w="0" w:type="dxa"/>
          <w:bottom w:w="0" w:type="dxa"/>
          <w:right w:w="0" w:type="dxa"/>
        </w:tblCellMar>
        <w:tblLook w:val="01E0"/>
      </w:tblPr>
      <w:tblGrid>
        <w:gridCol w:w="2174"/>
        <w:gridCol w:w="4499"/>
        <w:gridCol w:w="1982"/>
      </w:tblGrid>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356"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27"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张学君</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共同控制人</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李</w:t>
              <w:tab/>
              <w:t>军</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共同控制人</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陈向军</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共同控制人</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27"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何</w:t>
              <w:tab/>
              <w:t>晔</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董事、股东之一</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单怀光</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宋靖雁</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朱厚佳</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nil" w:sz="6" w:space="0" w:color="auto"/>
            </w:tcBorders>
          </w:tcPr>
          <w:p>
            <w:pPr/>
          </w:p>
        </w:tc>
      </w:tr>
      <w:tr>
        <w:trPr>
          <w:trHeight w:val="427"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8" w:right="0"/>
              <w:jc w:val="center"/>
              <w:rPr>
                <w:rFonts w:ascii="宋体" w:hAnsi="宋体" w:cs="宋体" w:eastAsia="宋体" w:hint="default"/>
                <w:sz w:val="21"/>
                <w:szCs w:val="21"/>
              </w:rPr>
            </w:pPr>
            <w:r>
              <w:rPr>
                <w:rFonts w:ascii="宋体" w:hAnsi="宋体" w:cs="宋体" w:eastAsia="宋体" w:hint="default"/>
                <w:sz w:val="21"/>
                <w:szCs w:val="21"/>
              </w:rPr>
              <w:t>汪婉欣</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198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500" w:right="1300"/>
        </w:sectPr>
      </w:pPr>
    </w:p>
    <w:p>
      <w:pPr>
        <w:spacing w:line="240" w:lineRule="auto" w:before="6"/>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2160"/>
        <w:gridCol w:w="4499"/>
        <w:gridCol w:w="1975"/>
      </w:tblGrid>
      <w:tr>
        <w:trPr>
          <w:trHeight w:val="426"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764" w:right="0"/>
              <w:jc w:val="left"/>
              <w:rPr>
                <w:rFonts w:ascii="宋体" w:hAnsi="宋体" w:cs="宋体" w:eastAsia="宋体" w:hint="default"/>
                <w:sz w:val="21"/>
                <w:szCs w:val="21"/>
              </w:rPr>
            </w:pPr>
            <w:r>
              <w:rPr>
                <w:rFonts w:ascii="宋体" w:hAnsi="宋体" w:cs="宋体" w:eastAsia="宋体" w:hint="default"/>
                <w:sz w:val="21"/>
                <w:szCs w:val="21"/>
              </w:rPr>
              <w:t>杨金敏</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1975" w:type="dxa"/>
            <w:tcBorders>
              <w:top w:val="single" w:sz="4" w:space="0" w:color="000000"/>
              <w:left w:val="single" w:sz="4" w:space="0" w:color="000000"/>
              <w:bottom w:val="single" w:sz="4" w:space="0" w:color="000000"/>
              <w:right w:val="nil" w:sz="6" w:space="0" w:color="auto"/>
            </w:tcBorders>
          </w:tcPr>
          <w:p>
            <w:pPr/>
          </w:p>
        </w:tc>
      </w:tr>
      <w:tr>
        <w:trPr>
          <w:trHeight w:val="42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tabs>
                <w:tab w:pos="1185" w:val="left" w:leader="none"/>
              </w:tabs>
              <w:spacing w:line="240" w:lineRule="auto" w:before="36"/>
              <w:ind w:left="764" w:right="0"/>
              <w:jc w:val="left"/>
              <w:rPr>
                <w:rFonts w:ascii="宋体" w:hAnsi="宋体" w:cs="宋体" w:eastAsia="宋体" w:hint="default"/>
                <w:sz w:val="21"/>
                <w:szCs w:val="21"/>
              </w:rPr>
            </w:pPr>
            <w:r>
              <w:rPr>
                <w:rFonts w:ascii="宋体" w:hAnsi="宋体" w:cs="宋体" w:eastAsia="宋体" w:hint="default"/>
                <w:sz w:val="21"/>
                <w:szCs w:val="21"/>
              </w:rPr>
              <w:t>周</w:t>
              <w:tab/>
              <w:t>峰</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1975"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tabs>
                <w:tab w:pos="1185" w:val="left" w:leader="none"/>
              </w:tabs>
              <w:spacing w:line="240" w:lineRule="auto" w:before="36"/>
              <w:ind w:left="764" w:right="0"/>
              <w:jc w:val="left"/>
              <w:rPr>
                <w:rFonts w:ascii="宋体" w:hAnsi="宋体" w:cs="宋体" w:eastAsia="宋体" w:hint="default"/>
                <w:sz w:val="21"/>
                <w:szCs w:val="21"/>
              </w:rPr>
            </w:pPr>
            <w:r>
              <w:rPr>
                <w:rFonts w:ascii="宋体" w:hAnsi="宋体" w:cs="宋体" w:eastAsia="宋体" w:hint="default"/>
                <w:sz w:val="21"/>
                <w:szCs w:val="21"/>
              </w:rPr>
              <w:t>刘</w:t>
              <w:tab/>
              <w:t>奕</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1975"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764" w:right="0"/>
              <w:jc w:val="left"/>
              <w:rPr>
                <w:rFonts w:ascii="宋体" w:hAnsi="宋体" w:cs="宋体" w:eastAsia="宋体" w:hint="default"/>
                <w:sz w:val="21"/>
                <w:szCs w:val="21"/>
              </w:rPr>
            </w:pPr>
            <w:r>
              <w:rPr>
                <w:rFonts w:ascii="宋体" w:hAnsi="宋体" w:cs="宋体" w:eastAsia="宋体" w:hint="default"/>
                <w:sz w:val="21"/>
                <w:szCs w:val="21"/>
              </w:rPr>
              <w:t>许秋江</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975"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764" w:right="0"/>
              <w:jc w:val="left"/>
              <w:rPr>
                <w:rFonts w:ascii="宋体" w:hAnsi="宋体" w:cs="宋体" w:eastAsia="宋体" w:hint="default"/>
                <w:sz w:val="21"/>
                <w:szCs w:val="21"/>
              </w:rPr>
            </w:pPr>
            <w:r>
              <w:rPr>
                <w:rFonts w:ascii="宋体" w:hAnsi="宋体" w:cs="宋体" w:eastAsia="宋体" w:hint="default"/>
                <w:sz w:val="21"/>
                <w:szCs w:val="21"/>
              </w:rPr>
              <w:t>唐劲星</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975" w:type="dxa"/>
            <w:tcBorders>
              <w:top w:val="single" w:sz="4" w:space="0" w:color="000000"/>
              <w:left w:val="single" w:sz="4" w:space="0" w:color="000000"/>
              <w:bottom w:val="single" w:sz="4" w:space="0" w:color="000000"/>
              <w:right w:val="nil" w:sz="6" w:space="0" w:color="auto"/>
            </w:tcBorders>
          </w:tcPr>
          <w:p>
            <w:pPr/>
          </w:p>
        </w:tc>
      </w:tr>
      <w:tr>
        <w:trPr>
          <w:trHeight w:val="42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764" w:right="0"/>
              <w:jc w:val="left"/>
              <w:rPr>
                <w:rFonts w:ascii="宋体" w:hAnsi="宋体" w:cs="宋体" w:eastAsia="宋体" w:hint="default"/>
                <w:sz w:val="21"/>
                <w:szCs w:val="21"/>
              </w:rPr>
            </w:pPr>
            <w:r>
              <w:rPr>
                <w:rFonts w:ascii="宋体" w:hAnsi="宋体" w:cs="宋体" w:eastAsia="宋体" w:hint="default"/>
                <w:sz w:val="21"/>
                <w:szCs w:val="21"/>
              </w:rPr>
              <w:t>彭建文</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975" w:type="dxa"/>
            <w:tcBorders>
              <w:top w:val="single" w:sz="4" w:space="0" w:color="000000"/>
              <w:left w:val="single" w:sz="4" w:space="0" w:color="000000"/>
              <w:bottom w:val="single" w:sz="4" w:space="0" w:color="000000"/>
              <w:right w:val="nil" w:sz="6" w:space="0" w:color="auto"/>
            </w:tcBorders>
          </w:tcPr>
          <w:p>
            <w:pPr/>
          </w:p>
        </w:tc>
      </w:tr>
    </w:tbl>
    <w:p>
      <w:pPr>
        <w:spacing w:before="36"/>
        <w:ind w:left="2344" w:right="2321" w:firstLine="0"/>
        <w:jc w:val="center"/>
        <w:rPr>
          <w:rFonts w:ascii="宋体" w:hAnsi="宋体" w:cs="宋体" w:eastAsia="宋体" w:hint="default"/>
          <w:sz w:val="21"/>
          <w:szCs w:val="21"/>
        </w:rPr>
      </w:pPr>
      <w:r>
        <w:rPr>
          <w:rFonts w:ascii="宋体" w:hAnsi="宋体" w:cs="宋体" w:eastAsia="宋体" w:hint="default"/>
          <w:sz w:val="21"/>
          <w:szCs w:val="21"/>
        </w:rPr>
        <w:t>本企业的其他关联方情况的说明</w:t>
      </w:r>
    </w:p>
    <w:p>
      <w:pPr>
        <w:spacing w:line="240" w:lineRule="auto" w:before="0"/>
        <w:rPr>
          <w:rFonts w:ascii="宋体" w:hAnsi="宋体" w:cs="宋体" w:eastAsia="宋体" w:hint="default"/>
          <w:sz w:val="8"/>
          <w:szCs w:val="8"/>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32.2pt;height:.5pt;mso-position-horizontal-relative:char;mso-position-vertical-relative:line" coordorigin="0,0" coordsize="8644,10">
            <v:group style="position:absolute;left:5;top:5;width:8634;height:2" coordorigin="5,5" coordsize="8634,2">
              <v:shape style="position:absolute;left:5;top:5;width:8634;height:2" coordorigin="5,5" coordsize="8634,0" path="m5,5l8639,5e" filled="false" stroked="true" strokeweight=".48004pt" strokecolor="#000000">
                <v:path arrowok="t"/>
              </v:shape>
            </v:group>
          </v:group>
        </w:pict>
      </w:r>
      <w:r>
        <w:rPr>
          <w:rFonts w:ascii="宋体" w:hAnsi="宋体" w:cs="宋体" w:eastAsia="宋体" w:hint="default"/>
          <w:sz w:val="2"/>
          <w:szCs w:val="2"/>
        </w:rPr>
      </w:r>
    </w:p>
    <w:p>
      <w:pPr>
        <w:spacing w:line="272" w:lineRule="exact" w:before="54"/>
        <w:ind w:left="252" w:right="115"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）张学君、李军、陈向军为本公司共同控制人，分别持有本公司股权比例为</w:t>
      </w:r>
      <w:r>
        <w:rPr>
          <w:rFonts w:ascii="宋体" w:hAnsi="宋体" w:cs="宋体" w:eastAsia="宋体" w:hint="default"/>
          <w:spacing w:val="-33"/>
          <w:sz w:val="21"/>
          <w:szCs w:val="21"/>
        </w:rPr>
        <w:t> </w:t>
      </w:r>
      <w:r>
        <w:rPr>
          <w:rFonts w:ascii="Times New Roman" w:hAnsi="Times New Roman" w:cs="Times New Roman" w:eastAsia="Times New Roman" w:hint="default"/>
          <w:spacing w:val="-1"/>
          <w:sz w:val="21"/>
          <w:szCs w:val="21"/>
        </w:rPr>
        <w:t>23.26%</w:t>
      </w:r>
      <w:r>
        <w:rPr>
          <w:rFonts w:ascii="宋体" w:hAnsi="宋体" w:cs="宋体" w:eastAsia="宋体" w:hint="default"/>
          <w:spacing w:val="-1"/>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9.97%</w:t>
      </w:r>
      <w:r>
        <w:rPr>
          <w:rFonts w:ascii="宋体" w:hAnsi="宋体" w:cs="宋体" w:eastAsia="宋体" w:hint="default"/>
          <w:sz w:val="21"/>
          <w:szCs w:val="21"/>
        </w:rPr>
        <w:t>、</w:t>
      </w:r>
      <w:r>
        <w:rPr>
          <w:rFonts w:ascii="Times New Roman" w:hAnsi="Times New Roman" w:cs="Times New Roman" w:eastAsia="Times New Roman" w:hint="default"/>
          <w:sz w:val="21"/>
          <w:szCs w:val="21"/>
        </w:rPr>
        <w:t>9.97%</w:t>
      </w:r>
      <w:r>
        <w:rPr>
          <w:rFonts w:ascii="宋体" w:hAnsi="宋体" w:cs="宋体" w:eastAsia="宋体" w:hint="default"/>
          <w:sz w:val="21"/>
          <w:szCs w:val="21"/>
        </w:rPr>
        <w:t>。</w:t>
      </w:r>
    </w:p>
    <w:p>
      <w:pPr>
        <w:spacing w:line="282" w:lineRule="exact" w:before="44"/>
        <w:ind w:left="672" w:right="201"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）何晔、杨金敏、周峰、刘奕、许秋江、唐劲星、彭建文分别持有本公司股权比例为</w:t>
      </w:r>
    </w:p>
    <w:p>
      <w:pPr>
        <w:spacing w:line="282" w:lineRule="exact" w:before="0"/>
        <w:ind w:left="252" w:right="2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19.94%</w:t>
      </w:r>
      <w:r>
        <w:rPr>
          <w:rFonts w:ascii="宋体" w:hAnsi="宋体" w:cs="宋体" w:eastAsia="宋体" w:hint="default"/>
          <w:sz w:val="21"/>
          <w:szCs w:val="21"/>
        </w:rPr>
        <w:t>、</w:t>
      </w:r>
      <w:r>
        <w:rPr>
          <w:rFonts w:ascii="Times New Roman" w:hAnsi="Times New Roman" w:cs="Times New Roman" w:eastAsia="Times New Roman" w:hint="default"/>
          <w:sz w:val="21"/>
          <w:szCs w:val="21"/>
        </w:rPr>
        <w:t>0.09%</w:t>
      </w:r>
      <w:r>
        <w:rPr>
          <w:rFonts w:ascii="宋体" w:hAnsi="宋体" w:cs="宋体" w:eastAsia="宋体" w:hint="default"/>
          <w:sz w:val="21"/>
          <w:szCs w:val="21"/>
        </w:rPr>
        <w:t>、</w:t>
      </w:r>
      <w:r>
        <w:rPr>
          <w:rFonts w:ascii="Times New Roman" w:hAnsi="Times New Roman" w:cs="Times New Roman" w:eastAsia="Times New Roman" w:hint="default"/>
          <w:sz w:val="21"/>
          <w:szCs w:val="21"/>
        </w:rPr>
        <w:t>0.04%</w:t>
      </w:r>
      <w:r>
        <w:rPr>
          <w:rFonts w:ascii="宋体" w:hAnsi="宋体" w:cs="宋体" w:eastAsia="宋体" w:hint="default"/>
          <w:sz w:val="21"/>
          <w:szCs w:val="21"/>
        </w:rPr>
        <w:t>、</w:t>
      </w:r>
      <w:r>
        <w:rPr>
          <w:rFonts w:ascii="Times New Roman" w:hAnsi="Times New Roman" w:cs="Times New Roman" w:eastAsia="Times New Roman" w:hint="default"/>
          <w:sz w:val="21"/>
          <w:szCs w:val="21"/>
        </w:rPr>
        <w:t>0.72%</w:t>
      </w:r>
      <w:r>
        <w:rPr>
          <w:rFonts w:ascii="宋体" w:hAnsi="宋体" w:cs="宋体" w:eastAsia="宋体" w:hint="default"/>
          <w:sz w:val="21"/>
          <w:szCs w:val="21"/>
        </w:rPr>
        <w:t>、</w:t>
      </w:r>
      <w:r>
        <w:rPr>
          <w:rFonts w:ascii="Times New Roman" w:hAnsi="Times New Roman" w:cs="Times New Roman" w:eastAsia="Times New Roman" w:hint="default"/>
          <w:sz w:val="21"/>
          <w:szCs w:val="21"/>
        </w:rPr>
        <w:t>0.72%</w:t>
      </w:r>
      <w:r>
        <w:rPr>
          <w:rFonts w:ascii="宋体" w:hAnsi="宋体" w:cs="宋体" w:eastAsia="宋体" w:hint="default"/>
          <w:sz w:val="21"/>
          <w:szCs w:val="21"/>
        </w:rPr>
        <w:t>、</w:t>
      </w:r>
      <w:r>
        <w:rPr>
          <w:rFonts w:ascii="Times New Roman" w:hAnsi="Times New Roman" w:cs="Times New Roman" w:eastAsia="Times New Roman" w:hint="default"/>
          <w:sz w:val="21"/>
          <w:szCs w:val="21"/>
        </w:rPr>
        <w:t>0.59%</w:t>
      </w:r>
      <w:r>
        <w:rPr>
          <w:rFonts w:ascii="宋体" w:hAnsi="宋体" w:cs="宋体" w:eastAsia="宋体" w:hint="default"/>
          <w:sz w:val="21"/>
          <w:szCs w:val="21"/>
        </w:rPr>
        <w:t>、</w:t>
      </w:r>
      <w:r>
        <w:rPr>
          <w:rFonts w:ascii="Times New Roman" w:hAnsi="Times New Roman" w:cs="Times New Roman" w:eastAsia="Times New Roman" w:hint="default"/>
          <w:sz w:val="21"/>
          <w:szCs w:val="21"/>
        </w:rPr>
        <w:t>0.50%</w:t>
      </w:r>
      <w:r>
        <w:rPr>
          <w:rFonts w:ascii="宋体" w:hAnsi="宋体" w:cs="宋体" w:eastAsia="宋体" w:hint="default"/>
          <w:sz w:val="21"/>
          <w:szCs w:val="21"/>
        </w:rPr>
        <w:t>。</w:t>
      </w:r>
    </w:p>
    <w:p>
      <w:pPr>
        <w:spacing w:line="240" w:lineRule="auto" w:before="12"/>
        <w:rPr>
          <w:rFonts w:ascii="宋体" w:hAnsi="宋体" w:cs="宋体" w:eastAsia="宋体" w:hint="default"/>
          <w:sz w:val="6"/>
          <w:szCs w:val="6"/>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33.3pt;height:.5pt;mso-position-horizontal-relative:char;mso-position-vertical-relative:line" coordorigin="0,0" coordsize="8666,10">
            <v:group style="position:absolute;left:5;top:5;width:8656;height:2" coordorigin="5,5" coordsize="8656,2">
              <v:shape style="position:absolute;left:5;top:5;width:8656;height:2" coordorigin="5,5" coordsize="8656,0" path="m5,5l8660,5e" filled="false" stroked="true" strokeweight=".4799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before="35"/>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669" w:right="5217" w:hanging="52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接受劳务情况表：无。 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提供劳务情况表：无。</w:t>
      </w:r>
    </w:p>
    <w:p>
      <w:pPr>
        <w:spacing w:before="46"/>
        <w:ind w:left="14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）关联托管</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承包情况：无。</w:t>
      </w:r>
    </w:p>
    <w:p>
      <w:pPr>
        <w:spacing w:line="240" w:lineRule="auto" w:before="2"/>
        <w:rPr>
          <w:rFonts w:ascii="宋体" w:hAnsi="宋体" w:cs="宋体" w:eastAsia="宋体" w:hint="default"/>
          <w:sz w:val="18"/>
          <w:szCs w:val="18"/>
        </w:rPr>
      </w:pPr>
    </w:p>
    <w:p>
      <w:pPr>
        <w:spacing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）关联租赁情况</w:t>
      </w:r>
      <w:r>
        <w:rPr>
          <w:rFonts w:ascii="宋体" w:hAnsi="宋体" w:cs="宋体" w:eastAsia="宋体" w:hint="default"/>
          <w:spacing w:val="-4"/>
          <w:sz w:val="21"/>
          <w:szCs w:val="21"/>
        </w:rPr>
        <w:t> </w:t>
      </w:r>
      <w:r>
        <w:rPr>
          <w:rFonts w:ascii="宋体" w:hAnsi="宋体" w:cs="宋体" w:eastAsia="宋体" w:hint="default"/>
          <w:sz w:val="21"/>
          <w:szCs w:val="21"/>
        </w:rPr>
        <w:t>：无。</w:t>
      </w:r>
    </w:p>
    <w:p>
      <w:pPr>
        <w:spacing w:line="240" w:lineRule="auto" w:before="3"/>
        <w:rPr>
          <w:rFonts w:ascii="宋体" w:hAnsi="宋体" w:cs="宋体" w:eastAsia="宋体" w:hint="default"/>
          <w:sz w:val="18"/>
          <w:szCs w:val="18"/>
        </w:rPr>
      </w:pPr>
    </w:p>
    <w:p>
      <w:pPr>
        <w:spacing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）关联担保情况</w:t>
      </w:r>
      <w:r>
        <w:rPr>
          <w:rFonts w:ascii="宋体" w:hAnsi="宋体" w:cs="宋体" w:eastAsia="宋体" w:hint="default"/>
          <w:spacing w:val="-4"/>
          <w:sz w:val="21"/>
          <w:szCs w:val="21"/>
        </w:rPr>
        <w:t> </w:t>
      </w:r>
      <w:r>
        <w:rPr>
          <w:rFonts w:ascii="宋体" w:hAnsi="宋体" w:cs="宋体" w:eastAsia="宋体" w:hint="default"/>
          <w:sz w:val="21"/>
          <w:szCs w:val="21"/>
        </w:rPr>
        <w:t>：无。</w:t>
      </w:r>
    </w:p>
    <w:p>
      <w:pPr>
        <w:spacing w:line="240" w:lineRule="auto" w:before="2"/>
        <w:rPr>
          <w:rFonts w:ascii="宋体" w:hAnsi="宋体" w:cs="宋体" w:eastAsia="宋体" w:hint="default"/>
          <w:sz w:val="18"/>
          <w:szCs w:val="18"/>
        </w:rPr>
      </w:pPr>
    </w:p>
    <w:p>
      <w:pPr>
        <w:spacing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）关联方资金拆借：无。</w:t>
      </w:r>
    </w:p>
    <w:p>
      <w:pPr>
        <w:spacing w:line="240" w:lineRule="auto" w:before="3"/>
        <w:rPr>
          <w:rFonts w:ascii="宋体" w:hAnsi="宋体" w:cs="宋体" w:eastAsia="宋体" w:hint="default"/>
          <w:sz w:val="18"/>
          <w:szCs w:val="18"/>
        </w:rPr>
      </w:pPr>
    </w:p>
    <w:p>
      <w:pPr>
        <w:spacing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）关联方资产转让、债务重组情况：无。</w:t>
      </w:r>
    </w:p>
    <w:p>
      <w:pPr>
        <w:spacing w:line="240" w:lineRule="auto" w:before="2"/>
        <w:rPr>
          <w:rFonts w:ascii="宋体" w:hAnsi="宋体" w:cs="宋体" w:eastAsia="宋体" w:hint="default"/>
          <w:sz w:val="18"/>
          <w:szCs w:val="18"/>
        </w:rPr>
      </w:pPr>
    </w:p>
    <w:p>
      <w:pPr>
        <w:spacing w:before="0"/>
        <w:ind w:left="144" w:right="27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）其他关联交易：无。</w:t>
      </w:r>
    </w:p>
    <w:p>
      <w:pPr>
        <w:spacing w:line="240" w:lineRule="auto" w:before="3"/>
        <w:rPr>
          <w:rFonts w:ascii="宋体" w:hAnsi="宋体" w:cs="宋体" w:eastAsia="宋体" w:hint="default"/>
          <w:sz w:val="18"/>
          <w:szCs w:val="18"/>
        </w:rPr>
      </w:pPr>
    </w:p>
    <w:p>
      <w:pPr>
        <w:spacing w:line="436" w:lineRule="auto" w:before="0"/>
        <w:ind w:left="564" w:right="6738"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、关联应收应付款项</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5"/>
        <w:spacing w:line="240" w:lineRule="auto"/>
        <w:ind w:right="273"/>
        <w:jc w:val="left"/>
        <w:rPr>
          <w:b w:val="0"/>
          <w:bCs w:val="0"/>
        </w:rPr>
      </w:pPr>
      <w:r>
        <w:rPr/>
        <w:t>八、</w:t>
      </w:r>
      <w:r>
        <w:rPr>
          <w:spacing w:val="-38"/>
        </w:rPr>
        <w:t> </w:t>
      </w:r>
      <w:r>
        <w:rPr/>
        <w:t>股份支付</w:t>
      </w:r>
      <w:r>
        <w:rPr>
          <w:b w:val="0"/>
          <w:bCs w:val="0"/>
        </w:rPr>
      </w:r>
    </w:p>
    <w:p>
      <w:pPr>
        <w:spacing w:line="240" w:lineRule="auto" w:before="9"/>
        <w:rPr>
          <w:rFonts w:ascii="宋体" w:hAnsi="宋体" w:cs="宋体" w:eastAsia="宋体" w:hint="default"/>
          <w:b/>
          <w:bCs/>
          <w:sz w:val="20"/>
          <w:szCs w:val="20"/>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ind w:right="273"/>
        <w:jc w:val="left"/>
        <w:rPr>
          <w:b w:val="0"/>
          <w:bCs w:val="0"/>
        </w:rPr>
      </w:pPr>
      <w:r>
        <w:rPr/>
        <w:t>九、</w:t>
      </w:r>
      <w:r>
        <w:rPr>
          <w:spacing w:val="-38"/>
        </w:rPr>
        <w:t> </w:t>
      </w:r>
      <w:r>
        <w:rPr/>
        <w:t>或有事项</w:t>
      </w:r>
      <w:r>
        <w:rPr>
          <w:b w:val="0"/>
          <w:bCs w:val="0"/>
        </w:rPr>
      </w:r>
    </w:p>
    <w:p>
      <w:pPr>
        <w:spacing w:line="240" w:lineRule="auto" w:before="9"/>
        <w:rPr>
          <w:rFonts w:ascii="宋体" w:hAnsi="宋体" w:cs="宋体" w:eastAsia="宋体" w:hint="default"/>
          <w:b/>
          <w:bCs/>
          <w:sz w:val="20"/>
          <w:szCs w:val="20"/>
        </w:rPr>
      </w:pPr>
    </w:p>
    <w:p>
      <w:pPr>
        <w:spacing w:line="436" w:lineRule="auto" w:before="0"/>
        <w:ind w:left="564" w:right="442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、未决诉讼仲裁形成的或有负债及其财务影响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436" w:lineRule="auto"/>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line="436" w:lineRule="auto" w:before="35"/>
        <w:ind w:left="564" w:right="336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36" w:lineRule="auto" w:before="82"/>
        <w:ind w:left="564" w:right="589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、其他或有负债及其财务影响</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5"/>
        <w:spacing w:line="240" w:lineRule="auto"/>
        <w:ind w:right="273"/>
        <w:jc w:val="left"/>
        <w:rPr>
          <w:b w:val="0"/>
          <w:bCs w:val="0"/>
        </w:rPr>
      </w:pPr>
      <w:r>
        <w:rPr/>
        <w:t>十、</w:t>
      </w:r>
      <w:r>
        <w:rPr>
          <w:spacing w:val="-38"/>
        </w:rPr>
        <w:t> </w:t>
      </w:r>
      <w:r>
        <w:rPr/>
        <w:t>承诺事项</w:t>
      </w:r>
      <w:r>
        <w:rPr>
          <w:b w:val="0"/>
          <w:bCs w:val="0"/>
        </w:rPr>
      </w:r>
    </w:p>
    <w:p>
      <w:pPr>
        <w:spacing w:line="240" w:lineRule="auto" w:before="8"/>
        <w:rPr>
          <w:rFonts w:ascii="宋体" w:hAnsi="宋体" w:cs="宋体" w:eastAsia="宋体" w:hint="default"/>
          <w:b/>
          <w:bCs/>
          <w:sz w:val="20"/>
          <w:szCs w:val="20"/>
        </w:rPr>
      </w:pPr>
    </w:p>
    <w:p>
      <w:pPr>
        <w:spacing w:line="436" w:lineRule="auto" w:before="0"/>
        <w:ind w:left="564" w:right="716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before="81"/>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5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月和</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月，本公司前后两次与深圳科技工业园有限公司签署了《房屋租赁意向</w:t>
      </w:r>
    </w:p>
    <w:p>
      <w:pPr>
        <w:spacing w:before="117"/>
        <w:ind w:left="144" w:right="0" w:firstLine="0"/>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5"/>
          <w:sz w:val="21"/>
          <w:szCs w:val="21"/>
        </w:rPr>
        <w:t>》</w:t>
      </w:r>
      <w:r>
        <w:rPr>
          <w:rFonts w:ascii="宋体" w:hAnsi="宋体" w:cs="宋体" w:eastAsia="宋体" w:hint="default"/>
          <w:sz w:val="21"/>
          <w:szCs w:val="21"/>
        </w:rPr>
        <w:t>，约定租赁位于</w:t>
      </w:r>
      <w:r>
        <w:rPr>
          <w:rFonts w:ascii="宋体" w:hAnsi="宋体" w:cs="宋体" w:eastAsia="宋体" w:hint="default"/>
          <w:spacing w:val="1"/>
          <w:sz w:val="21"/>
          <w:szCs w:val="21"/>
        </w:rPr>
        <w:t>深</w:t>
      </w:r>
      <w:r>
        <w:rPr>
          <w:rFonts w:ascii="宋体" w:hAnsi="宋体" w:cs="宋体" w:eastAsia="宋体" w:hint="default"/>
          <w:sz w:val="21"/>
          <w:szCs w:val="21"/>
        </w:rPr>
        <w:t>圳高新区</w:t>
      </w:r>
      <w:r>
        <w:rPr>
          <w:rFonts w:ascii="宋体" w:hAnsi="宋体" w:cs="宋体" w:eastAsia="宋体" w:hint="default"/>
          <w:spacing w:val="1"/>
          <w:sz w:val="21"/>
          <w:szCs w:val="21"/>
        </w:rPr>
        <w:t>科</w:t>
      </w:r>
      <w:r>
        <w:rPr>
          <w:rFonts w:ascii="宋体" w:hAnsi="宋体" w:cs="宋体" w:eastAsia="宋体" w:hint="default"/>
          <w:sz w:val="21"/>
          <w:szCs w:val="21"/>
        </w:rPr>
        <w:t>发路 </w:t>
      </w:r>
      <w:r>
        <w:rPr>
          <w:rFonts w:ascii="Times New Roman" w:hAnsi="Times New Roman" w:cs="Times New Roman" w:eastAsia="Times New Roman" w:hint="default"/>
          <w:sz w:val="21"/>
          <w:szCs w:val="21"/>
        </w:rPr>
        <w:t>8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科</w:t>
      </w:r>
      <w:r>
        <w:rPr>
          <w:rFonts w:ascii="宋体" w:hAnsi="宋体" w:cs="宋体" w:eastAsia="宋体" w:hint="default"/>
          <w:sz w:val="21"/>
          <w:szCs w:val="21"/>
        </w:rPr>
        <w:t>技园金融</w:t>
      </w:r>
      <w:r>
        <w:rPr>
          <w:rFonts w:ascii="宋体" w:hAnsi="宋体" w:cs="宋体" w:eastAsia="宋体" w:hint="default"/>
          <w:spacing w:val="1"/>
          <w:sz w:val="21"/>
          <w:szCs w:val="21"/>
        </w:rPr>
        <w:t>服</w:t>
      </w:r>
      <w:r>
        <w:rPr>
          <w:rFonts w:ascii="宋体" w:hAnsi="宋体" w:cs="宋体" w:eastAsia="宋体" w:hint="default"/>
          <w:sz w:val="21"/>
          <w:szCs w:val="21"/>
        </w:rPr>
        <w:t>务技术创</w:t>
      </w:r>
      <w:r>
        <w:rPr>
          <w:rFonts w:ascii="宋体" w:hAnsi="宋体" w:cs="宋体" w:eastAsia="宋体" w:hint="default"/>
          <w:spacing w:val="1"/>
          <w:sz w:val="21"/>
          <w:szCs w:val="21"/>
        </w:rPr>
        <w:t>新</w:t>
      </w:r>
      <w:r>
        <w:rPr>
          <w:rFonts w:ascii="宋体" w:hAnsi="宋体" w:cs="宋体" w:eastAsia="宋体" w:hint="default"/>
          <w:sz w:val="21"/>
          <w:szCs w:val="21"/>
        </w:rPr>
        <w:t>基地的办</w:t>
      </w:r>
      <w:r>
        <w:rPr>
          <w:rFonts w:ascii="宋体" w:hAnsi="宋体" w:cs="宋体" w:eastAsia="宋体" w:hint="default"/>
          <w:spacing w:val="1"/>
          <w:sz w:val="21"/>
          <w:szCs w:val="21"/>
        </w:rPr>
        <w:t>公</w:t>
      </w:r>
      <w:r>
        <w:rPr>
          <w:rFonts w:ascii="宋体" w:hAnsi="宋体" w:cs="宋体" w:eastAsia="宋体" w:hint="default"/>
          <w:sz w:val="21"/>
          <w:szCs w:val="21"/>
        </w:rPr>
        <w:t>用房。后于</w:t>
      </w:r>
    </w:p>
    <w:p>
      <w:pPr>
        <w:spacing w:before="118"/>
        <w:ind w:left="14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1"/>
          <w:sz w:val="21"/>
          <w:szCs w:val="21"/>
        </w:rPr>
        <w:t> </w:t>
      </w:r>
      <w:r>
        <w:rPr>
          <w:rFonts w:ascii="宋体" w:hAnsi="宋体" w:cs="宋体" w:eastAsia="宋体" w:hint="default"/>
          <w:spacing w:val="-2"/>
          <w:sz w:val="21"/>
          <w:szCs w:val="21"/>
        </w:rPr>
        <w:t>月</w:t>
      </w:r>
      <w:r>
        <w:rPr>
          <w:rFonts w:ascii="宋体" w:hAnsi="宋体" w:cs="宋体" w:eastAsia="宋体" w:hint="default"/>
          <w:sz w:val="21"/>
          <w:szCs w:val="21"/>
        </w:rPr>
        <w:t>，本公司与深圳科技工业园有限公司正式签订了《深圳市房屋租赁合同书</w:t>
      </w:r>
      <w:r>
        <w:rPr>
          <w:rFonts w:ascii="宋体" w:hAnsi="宋体" w:cs="宋体" w:eastAsia="宋体" w:hint="default"/>
          <w:spacing w:val="-105"/>
          <w:sz w:val="21"/>
          <w:szCs w:val="21"/>
        </w:rPr>
        <w:t>》</w:t>
      </w:r>
      <w:r>
        <w:rPr>
          <w:rFonts w:ascii="宋体" w:hAnsi="宋体" w:cs="宋体" w:eastAsia="宋体" w:hint="default"/>
          <w:sz w:val="21"/>
          <w:szCs w:val="21"/>
        </w:rPr>
        <w:t>，租赁</w:t>
      </w:r>
    </w:p>
    <w:p>
      <w:pPr>
        <w:spacing w:before="117"/>
        <w:ind w:left="144" w:right="0" w:firstLine="0"/>
        <w:jc w:val="left"/>
        <w:rPr>
          <w:rFonts w:ascii="宋体" w:hAnsi="宋体" w:cs="宋体" w:eastAsia="宋体" w:hint="default"/>
          <w:sz w:val="21"/>
          <w:szCs w:val="21"/>
        </w:rPr>
      </w:pPr>
      <w:r>
        <w:rPr>
          <w:rFonts w:ascii="宋体" w:hAnsi="宋体" w:cs="宋体" w:eastAsia="宋体" w:hint="default"/>
          <w:sz w:val="21"/>
          <w:szCs w:val="21"/>
        </w:rPr>
        <w:t>位于深圳高新区科发路</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号科技园金融服务技术创新基地的办公用房第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栋第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层</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F1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单元，</w:t>
      </w:r>
    </w:p>
    <w:p>
      <w:pPr>
        <w:spacing w:before="117"/>
        <w:ind w:left="144" w:right="273" w:firstLine="0"/>
        <w:jc w:val="left"/>
        <w:rPr>
          <w:rFonts w:ascii="宋体" w:hAnsi="宋体" w:cs="宋体" w:eastAsia="宋体" w:hint="default"/>
          <w:sz w:val="21"/>
          <w:szCs w:val="21"/>
        </w:rPr>
      </w:pPr>
      <w:r>
        <w:rPr>
          <w:rFonts w:ascii="宋体" w:hAnsi="宋体" w:cs="宋体" w:eastAsia="宋体" w:hint="default"/>
          <w:sz w:val="21"/>
          <w:szCs w:val="21"/>
        </w:rPr>
        <w:t>建筑面积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1034.83 </w:t>
      </w:r>
      <w:r>
        <w:rPr>
          <w:rFonts w:ascii="宋体" w:hAnsi="宋体" w:cs="宋体" w:eastAsia="宋体" w:hint="default"/>
          <w:sz w:val="21"/>
          <w:szCs w:val="21"/>
        </w:rPr>
        <w:t>平方米，租赁期间从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2"/>
          <w:szCs w:val="32"/>
        </w:rPr>
      </w:pPr>
    </w:p>
    <w:p>
      <w:pPr>
        <w:pStyle w:val="Heading5"/>
        <w:spacing w:line="240" w:lineRule="auto"/>
        <w:ind w:right="273"/>
        <w:jc w:val="left"/>
        <w:rPr>
          <w:b w:val="0"/>
          <w:bCs w:val="0"/>
        </w:rPr>
      </w:pPr>
      <w:r>
        <w:rPr/>
        <w:t>十一、</w:t>
      </w:r>
      <w:r>
        <w:rPr>
          <w:spacing w:val="29"/>
        </w:rPr>
        <w:t> </w:t>
      </w:r>
      <w:r>
        <w:rPr/>
        <w:t>资产负债表日后事项</w:t>
      </w:r>
      <w:r>
        <w:rPr>
          <w:b w:val="0"/>
          <w:bCs w:val="0"/>
        </w:rPr>
      </w:r>
    </w:p>
    <w:p>
      <w:pPr>
        <w:spacing w:line="240" w:lineRule="auto" w:before="9"/>
        <w:rPr>
          <w:rFonts w:ascii="宋体" w:hAnsi="宋体" w:cs="宋体" w:eastAsia="宋体" w:hint="default"/>
          <w:b/>
          <w:bCs/>
          <w:sz w:val="20"/>
          <w:szCs w:val="20"/>
        </w:rPr>
      </w:pPr>
    </w:p>
    <w:p>
      <w:pPr>
        <w:spacing w:line="436" w:lineRule="auto" w:before="0"/>
        <w:ind w:left="564" w:right="547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before="81"/>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564" w:right="0" w:firstLine="0"/>
        <w:jc w:val="left"/>
        <w:rPr>
          <w:rFonts w:ascii="宋体" w:hAnsi="宋体" w:cs="宋体" w:eastAsia="宋体" w:hint="default"/>
          <w:sz w:val="21"/>
          <w:szCs w:val="21"/>
        </w:rPr>
      </w:pPr>
      <w:r>
        <w:rPr>
          <w:rFonts w:ascii="宋体" w:hAnsi="宋体" w:cs="宋体" w:eastAsia="宋体" w:hint="default"/>
          <w:sz w:val="21"/>
          <w:szCs w:val="21"/>
        </w:rPr>
        <w:t>公司拟以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0 </w:t>
      </w:r>
      <w:r>
        <w:rPr>
          <w:rFonts w:ascii="宋体" w:hAnsi="宋体" w:cs="宋体" w:eastAsia="宋体" w:hint="default"/>
          <w:sz w:val="21"/>
          <w:szCs w:val="21"/>
        </w:rPr>
        <w:t>万股为基</w:t>
      </w:r>
      <w:r>
        <w:rPr>
          <w:rFonts w:ascii="宋体" w:hAnsi="宋体" w:cs="宋体" w:eastAsia="宋体" w:hint="default"/>
          <w:spacing w:val="-2"/>
          <w:sz w:val="21"/>
          <w:szCs w:val="21"/>
        </w:rPr>
        <w:t>数</w:t>
      </w:r>
      <w:r>
        <w:rPr>
          <w:rFonts w:ascii="宋体" w:hAnsi="宋体" w:cs="宋体" w:eastAsia="宋体" w:hint="default"/>
          <w:spacing w:val="-98"/>
          <w:sz w:val="21"/>
          <w:szCs w:val="21"/>
        </w:rPr>
        <w:t>，</w:t>
      </w:r>
      <w:r>
        <w:rPr>
          <w:rFonts w:ascii="宋体" w:hAnsi="宋体" w:cs="宋体" w:eastAsia="宋体" w:hint="default"/>
          <w:sz w:val="21"/>
          <w:szCs w:val="21"/>
        </w:rPr>
        <w:t>向全体股东按每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股</w:t>
      </w:r>
      <w:r>
        <w:rPr>
          <w:rFonts w:ascii="宋体" w:hAnsi="宋体" w:cs="宋体" w:eastAsia="宋体" w:hint="default"/>
          <w:spacing w:val="-2"/>
          <w:sz w:val="21"/>
          <w:szCs w:val="21"/>
        </w:rPr>
        <w:t>派</w:t>
      </w:r>
      <w:r>
        <w:rPr>
          <w:rFonts w:ascii="宋体" w:hAnsi="宋体" w:cs="宋体" w:eastAsia="宋体" w:hint="default"/>
          <w:sz w:val="21"/>
          <w:szCs w:val="21"/>
        </w:rPr>
        <w:t>发现金</w:t>
      </w:r>
      <w:r>
        <w:rPr>
          <w:rFonts w:ascii="宋体" w:hAnsi="宋体" w:cs="宋体" w:eastAsia="宋体" w:hint="default"/>
          <w:spacing w:val="1"/>
          <w:sz w:val="21"/>
          <w:szCs w:val="21"/>
        </w:rPr>
        <w:t>红</w:t>
      </w:r>
      <w:r>
        <w:rPr>
          <w:rFonts w:ascii="宋体" w:hAnsi="宋体" w:cs="宋体" w:eastAsia="宋体" w:hint="default"/>
          <w:sz w:val="21"/>
          <w:szCs w:val="21"/>
        </w:rPr>
        <w:t>利</w:t>
      </w:r>
    </w:p>
    <w:p>
      <w:pPr>
        <w:spacing w:before="117"/>
        <w:ind w:left="14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元（含税</w:t>
      </w:r>
      <w:r>
        <w:rPr>
          <w:rFonts w:ascii="宋体" w:hAnsi="宋体" w:cs="宋体" w:eastAsia="宋体" w:hint="default"/>
          <w:spacing w:val="-106"/>
          <w:sz w:val="21"/>
          <w:szCs w:val="21"/>
        </w:rPr>
        <w:t>）</w:t>
      </w:r>
      <w:r>
        <w:rPr>
          <w:rFonts w:ascii="宋体" w:hAnsi="宋体" w:cs="宋体" w:eastAsia="宋体" w:hint="default"/>
          <w:sz w:val="21"/>
          <w:szCs w:val="21"/>
        </w:rPr>
        <w:t>，以资本公积金向全体股东每</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pacing w:val="-2"/>
          <w:sz w:val="21"/>
          <w:szCs w:val="21"/>
        </w:rPr>
        <w:t>股</w:t>
      </w:r>
      <w:r>
        <w:rPr>
          <w:rFonts w:ascii="宋体" w:hAnsi="宋体" w:cs="宋体" w:eastAsia="宋体" w:hint="default"/>
          <w:sz w:val="21"/>
          <w:szCs w:val="21"/>
        </w:rPr>
        <w:t>转增</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合计派发现金股利</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万元（含</w:t>
      </w:r>
    </w:p>
    <w:p>
      <w:pPr>
        <w:spacing w:before="118"/>
        <w:ind w:left="143" w:right="273" w:firstLine="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105"/>
          <w:sz w:val="21"/>
          <w:szCs w:val="21"/>
        </w:rPr>
        <w:t>）</w:t>
      </w:r>
      <w:r>
        <w:rPr>
          <w:rFonts w:ascii="宋体" w:hAnsi="宋体" w:cs="宋体" w:eastAsia="宋体" w:hint="default"/>
          <w:sz w:val="21"/>
          <w:szCs w:val="21"/>
        </w:rPr>
        <w:t>，转增</w:t>
      </w:r>
      <w:r>
        <w:rPr>
          <w:rFonts w:ascii="宋体" w:hAnsi="宋体" w:cs="宋体" w:eastAsia="宋体" w:hint="default"/>
          <w:spacing w:val="-2"/>
          <w:sz w:val="21"/>
          <w:szCs w:val="21"/>
        </w:rPr>
        <w:t>股</w:t>
      </w:r>
      <w:r>
        <w:rPr>
          <w:rFonts w:ascii="宋体" w:hAnsi="宋体" w:cs="宋体" w:eastAsia="宋体" w:hint="default"/>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0 </w:t>
      </w:r>
      <w:r>
        <w:rPr>
          <w:rFonts w:ascii="宋体" w:hAnsi="宋体" w:cs="宋体" w:eastAsia="宋体" w:hint="default"/>
          <w:sz w:val="21"/>
          <w:szCs w:val="21"/>
        </w:rPr>
        <w:t>万</w:t>
      </w:r>
      <w:r>
        <w:rPr>
          <w:rFonts w:ascii="宋体" w:hAnsi="宋体" w:cs="宋体" w:eastAsia="宋体" w:hint="default"/>
          <w:spacing w:val="-2"/>
          <w:sz w:val="21"/>
          <w:szCs w:val="21"/>
        </w:rPr>
        <w:t>股</w:t>
      </w:r>
      <w:r>
        <w:rPr>
          <w:rFonts w:ascii="宋体" w:hAnsi="宋体" w:cs="宋体" w:eastAsia="宋体" w:hint="default"/>
          <w:sz w:val="21"/>
          <w:szCs w:val="21"/>
        </w:rPr>
        <w:t>。</w:t>
      </w:r>
    </w:p>
    <w:p>
      <w:pPr>
        <w:spacing w:line="240" w:lineRule="auto" w:before="2"/>
        <w:rPr>
          <w:rFonts w:ascii="宋体" w:hAnsi="宋体" w:cs="宋体" w:eastAsia="宋体" w:hint="default"/>
          <w:sz w:val="18"/>
          <w:szCs w:val="18"/>
        </w:rPr>
      </w:pPr>
    </w:p>
    <w:p>
      <w:pPr>
        <w:spacing w:before="0"/>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5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月，本公司向中国人民财产保险股份有限公司深圳分公司购买高新技术产品责</w:t>
      </w:r>
    </w:p>
    <w:p>
      <w:pPr>
        <w:spacing w:before="117"/>
        <w:ind w:left="143" w:right="131" w:firstLine="0"/>
        <w:jc w:val="left"/>
        <w:rPr>
          <w:rFonts w:ascii="宋体" w:hAnsi="宋体" w:cs="宋体" w:eastAsia="宋体" w:hint="default"/>
          <w:sz w:val="21"/>
          <w:szCs w:val="21"/>
        </w:rPr>
      </w:pPr>
      <w:r>
        <w:rPr>
          <w:rFonts w:ascii="宋体" w:hAnsi="宋体" w:cs="宋体" w:eastAsia="宋体" w:hint="default"/>
          <w:sz w:val="21"/>
          <w:szCs w:val="21"/>
        </w:rPr>
        <w:t>任险，期限为自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日。后于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月，本公司与中国人</w:t>
      </w:r>
    </w:p>
    <w:p>
      <w:pPr>
        <w:spacing w:before="117"/>
        <w:ind w:left="143"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民财产保险股份有限公司深圳分公司重新修订高新技术产品责任险保险单，期限变更为自</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p>
    <w:p>
      <w:pPr>
        <w:spacing w:before="118"/>
        <w:ind w:left="143" w:right="273"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日，保险费变更为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240" w:lineRule="auto" w:before="29"/>
        <w:ind w:right="273"/>
        <w:jc w:val="left"/>
        <w:rPr>
          <w:b w:val="0"/>
          <w:bCs w:val="0"/>
        </w:rPr>
      </w:pPr>
      <w:r>
        <w:rPr/>
        <w:t>十二、</w:t>
      </w:r>
      <w:r>
        <w:rPr>
          <w:spacing w:val="29"/>
        </w:rPr>
        <w:t> </w:t>
      </w:r>
      <w:r>
        <w:rPr/>
        <w:t>其他重要事项</w:t>
      </w:r>
      <w:r>
        <w:rPr>
          <w:b w:val="0"/>
          <w:bCs w:val="0"/>
        </w:rPr>
      </w:r>
    </w:p>
    <w:p>
      <w:pPr>
        <w:spacing w:line="240" w:lineRule="auto" w:before="9"/>
        <w:rPr>
          <w:rFonts w:ascii="宋体" w:hAnsi="宋体" w:cs="宋体" w:eastAsia="宋体" w:hint="default"/>
          <w:b/>
          <w:bCs/>
          <w:sz w:val="20"/>
          <w:szCs w:val="20"/>
        </w:rPr>
      </w:pPr>
    </w:p>
    <w:p>
      <w:pPr>
        <w:spacing w:line="436" w:lineRule="auto" w:before="0"/>
        <w:ind w:left="563" w:right="6739"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444" w:lineRule="auto" w:before="82"/>
        <w:ind w:left="143" w:right="7598"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spacing w:val="1"/>
          <w:w w:val="99"/>
          <w:sz w:val="21"/>
          <w:szCs w:val="21"/>
        </w:rPr>
        <w:t> </w:t>
      </w:r>
      <w:r>
        <w:rPr>
          <w:rFonts w:ascii="宋体" w:hAnsi="宋体" w:cs="宋体" w:eastAsia="宋体" w:hint="default"/>
          <w:sz w:val="21"/>
          <w:szCs w:val="21"/>
        </w:rPr>
        <w:t>无。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before="74"/>
        <w:ind w:left="143"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143" w:right="7497" w:firstLine="0"/>
        <w:jc w:val="center"/>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5"/>
        <w:rPr>
          <w:rFonts w:ascii="宋体" w:hAnsi="宋体" w:cs="宋体" w:eastAsia="宋体" w:hint="default"/>
          <w:sz w:val="19"/>
          <w:szCs w:val="19"/>
        </w:rPr>
      </w:pPr>
    </w:p>
    <w:p>
      <w:pPr>
        <w:spacing w:line="436" w:lineRule="auto" w:before="0"/>
        <w:ind w:left="564" w:right="442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、期末发生在外的、可转换为股份的金融工具</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36" w:lineRule="auto" w:before="81"/>
        <w:ind w:left="564" w:right="568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436" w:lineRule="auto" w:before="82"/>
        <w:ind w:left="564" w:right="568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、外币金融资产和外币金融负债</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436" w:lineRule="auto" w:before="82"/>
        <w:ind w:left="564" w:right="568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、年金计划主要内容及重大变化</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before="82"/>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143" w:right="7497" w:firstLine="0"/>
        <w:jc w:val="center"/>
        <w:rPr>
          <w:rFonts w:ascii="宋体" w:hAnsi="宋体" w:cs="宋体" w:eastAsia="宋体" w:hint="default"/>
          <w:sz w:val="21"/>
          <w:szCs w:val="21"/>
        </w:rPr>
      </w:pPr>
      <w:r>
        <w:rPr>
          <w:rFonts w:ascii="宋体" w:hAnsi="宋体" w:cs="宋体" w:eastAsia="宋体" w:hint="default"/>
          <w:sz w:val="21"/>
          <w:szCs w:val="21"/>
        </w:rPr>
        <w:t>无。</w:t>
      </w:r>
    </w:p>
    <w:p>
      <w:pPr>
        <w:spacing w:after="0"/>
        <w:jc w:val="center"/>
        <w:rPr>
          <w:rFonts w:ascii="宋体" w:hAnsi="宋体" w:cs="宋体" w:eastAsia="宋体" w:hint="default"/>
          <w:sz w:val="21"/>
          <w:szCs w:val="21"/>
        </w:rPr>
        <w:sectPr>
          <w:pgSz w:w="11910" w:h="16840"/>
          <w:pgMar w:header="877" w:footer="982" w:top="1100" w:bottom="1180" w:left="150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240" w:lineRule="auto" w:before="29"/>
        <w:ind w:left="664" w:right="0"/>
        <w:jc w:val="left"/>
        <w:rPr>
          <w:b w:val="0"/>
          <w:bCs w:val="0"/>
        </w:rPr>
      </w:pPr>
      <w:r>
        <w:rPr/>
        <w:t>十三、</w:t>
      </w:r>
      <w:r>
        <w:rPr>
          <w:spacing w:val="29"/>
        </w:rPr>
        <w:t> </w:t>
      </w:r>
      <w:r>
        <w:rPr/>
        <w:t>母公司财务报表主要项目注释</w:t>
      </w:r>
      <w:r>
        <w:rPr>
          <w:b w:val="0"/>
          <w:bCs w:val="0"/>
        </w:rPr>
      </w:r>
    </w:p>
    <w:p>
      <w:pPr>
        <w:spacing w:line="240" w:lineRule="auto" w:before="9"/>
        <w:rPr>
          <w:rFonts w:ascii="宋体" w:hAnsi="宋体" w:cs="宋体" w:eastAsia="宋体" w:hint="default"/>
          <w:b/>
          <w:bCs/>
          <w:sz w:val="20"/>
          <w:szCs w:val="20"/>
        </w:rPr>
      </w:pPr>
    </w:p>
    <w:p>
      <w:pPr>
        <w:spacing w:before="0"/>
        <w:ind w:left="66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6"/>
        <w:rPr>
          <w:rFonts w:ascii="宋体" w:hAnsi="宋体" w:cs="宋体" w:eastAsia="宋体" w:hint="default"/>
          <w:sz w:val="15"/>
          <w:szCs w:val="15"/>
        </w:rPr>
      </w:pPr>
    </w:p>
    <w:p>
      <w:pPr>
        <w:spacing w:before="35"/>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152"/>
        <w:gridCol w:w="1150"/>
        <w:gridCol w:w="756"/>
        <w:gridCol w:w="1061"/>
        <w:gridCol w:w="818"/>
        <w:gridCol w:w="1148"/>
        <w:gridCol w:w="756"/>
        <w:gridCol w:w="1061"/>
        <w:gridCol w:w="811"/>
      </w:tblGrid>
      <w:tr>
        <w:trPr>
          <w:trHeight w:val="386" w:hRule="exact"/>
        </w:trPr>
        <w:tc>
          <w:tcPr>
            <w:tcW w:w="21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152" w:type="dxa"/>
            <w:vMerge/>
            <w:tcBorders>
              <w:left w:val="nil" w:sz="6" w:space="0" w:color="auto"/>
              <w:right w:val="single" w:sz="4" w:space="0" w:color="000000"/>
            </w:tcBorders>
          </w:tcPr>
          <w:p>
            <w:pPr/>
          </w:p>
        </w:tc>
        <w:tc>
          <w:tcPr>
            <w:tcW w:w="1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8" w:hRule="exact"/>
        </w:trPr>
        <w:tc>
          <w:tcPr>
            <w:tcW w:w="2152" w:type="dxa"/>
            <w:vMerge/>
            <w:tcBorders>
              <w:left w:val="nil" w:sz="6" w:space="0" w:color="auto"/>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2"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72"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r>
      <w:tr>
        <w:trPr>
          <w:trHeight w:val="622"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07" w:right="83"/>
              <w:jc w:val="left"/>
              <w:rPr>
                <w:rFonts w:ascii="宋体" w:hAnsi="宋体" w:cs="宋体" w:eastAsia="宋体" w:hint="default"/>
                <w:sz w:val="18"/>
                <w:szCs w:val="18"/>
              </w:rPr>
            </w:pPr>
            <w:r>
              <w:rPr>
                <w:rFonts w:ascii="宋体" w:hAnsi="宋体" w:cs="宋体" w:eastAsia="宋体" w:hint="default"/>
                <w:spacing w:val="14"/>
                <w:sz w:val="18"/>
                <w:szCs w:val="18"/>
              </w:rPr>
              <w:t>单项金额重大并单项计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提坏账准备的应收账款</w:t>
            </w:r>
          </w:p>
        </w:tc>
        <w:tc>
          <w:tcPr>
            <w:tcW w:w="115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nil" w:sz="6" w:space="0" w:color="auto"/>
            </w:tcBorders>
          </w:tcPr>
          <w:p>
            <w:pPr/>
          </w:p>
        </w:tc>
      </w:tr>
    </w:tbl>
    <w:p>
      <w:pPr>
        <w:spacing w:before="41"/>
        <w:ind w:left="232" w:right="0" w:firstLine="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按组合计提坏账准备的应收账款</w:t>
      </w:r>
      <w:r>
        <w:rPr>
          <w:rFonts w:ascii="宋体" w:hAnsi="宋体" w:cs="宋体" w:eastAsia="宋体" w:hint="default"/>
          <w:sz w:val="18"/>
          <w:szCs w:val="18"/>
        </w:rPr>
      </w:r>
    </w:p>
    <w:p>
      <w:pPr>
        <w:spacing w:line="240" w:lineRule="auto" w:before="8"/>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166"/>
        <w:gridCol w:w="1150"/>
        <w:gridCol w:w="756"/>
        <w:gridCol w:w="1061"/>
        <w:gridCol w:w="818"/>
        <w:gridCol w:w="1148"/>
        <w:gridCol w:w="756"/>
        <w:gridCol w:w="1061"/>
        <w:gridCol w:w="818"/>
      </w:tblGrid>
      <w:tr>
        <w:trPr>
          <w:trHeight w:val="39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1" w:right="0"/>
              <w:jc w:val="center"/>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 w:right="0"/>
              <w:jc w:val="center"/>
              <w:rPr>
                <w:rFonts w:ascii="Times New Roman" w:hAnsi="Times New Roman" w:cs="Times New Roman" w:eastAsia="Times New Roman" w:hint="default"/>
                <w:sz w:val="18"/>
                <w:szCs w:val="18"/>
              </w:rPr>
            </w:pPr>
            <w:r>
              <w:rPr>
                <w:rFonts w:ascii="Times New Roman"/>
                <w:spacing w:val="-6"/>
                <w:sz w:val="18"/>
              </w:rPr>
              <w:t>8.69</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62"/>
              <w:jc w:val="right"/>
              <w:rPr>
                <w:rFonts w:ascii="Times New Roman" w:hAnsi="Times New Roman" w:cs="Times New Roman" w:eastAsia="Times New Roman" w:hint="default"/>
                <w:sz w:val="18"/>
                <w:szCs w:val="18"/>
              </w:rPr>
            </w:pPr>
            <w:r>
              <w:rPr>
                <w:rFonts w:ascii="Times New Roman"/>
                <w:spacing w:val="-7"/>
                <w:sz w:val="18"/>
              </w:rPr>
              <w:t>34,265,203.26</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15"/>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2,422,155.45</w:t>
            </w:r>
            <w:r>
              <w:rPr>
                <w:rFonts w:ascii="Times New Roman"/>
                <w:sz w:val="18"/>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237"/>
              <w:jc w:val="right"/>
              <w:rPr>
                <w:rFonts w:ascii="Times New Roman" w:hAnsi="Times New Roman" w:cs="Times New Roman" w:eastAsia="Times New Roman" w:hint="default"/>
                <w:sz w:val="18"/>
                <w:szCs w:val="18"/>
              </w:rPr>
            </w:pPr>
            <w:r>
              <w:rPr>
                <w:rFonts w:ascii="Times New Roman"/>
                <w:spacing w:val="-6"/>
                <w:w w:val="95"/>
                <w:sz w:val="18"/>
              </w:rPr>
              <w:t>7.07</w:t>
            </w:r>
            <w:r>
              <w:rPr>
                <w:rFonts w:ascii="Times New Roman"/>
                <w:w w:val="95"/>
                <w:sz w:val="18"/>
              </w:rPr>
            </w:r>
          </w:p>
        </w:tc>
      </w:tr>
      <w:tr>
        <w:trPr>
          <w:trHeight w:val="39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1" w:right="0"/>
              <w:jc w:val="center"/>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 w:right="0"/>
              <w:jc w:val="center"/>
              <w:rPr>
                <w:rFonts w:ascii="Times New Roman" w:hAnsi="Times New Roman" w:cs="Times New Roman" w:eastAsia="Times New Roman" w:hint="default"/>
                <w:sz w:val="18"/>
                <w:szCs w:val="18"/>
              </w:rPr>
            </w:pPr>
            <w:r>
              <w:rPr>
                <w:rFonts w:ascii="Times New Roman"/>
                <w:spacing w:val="-6"/>
                <w:sz w:val="18"/>
              </w:rPr>
              <w:t>8.69</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62"/>
              <w:jc w:val="right"/>
              <w:rPr>
                <w:rFonts w:ascii="Times New Roman" w:hAnsi="Times New Roman" w:cs="Times New Roman" w:eastAsia="Times New Roman" w:hint="default"/>
                <w:sz w:val="18"/>
                <w:szCs w:val="18"/>
              </w:rPr>
            </w:pPr>
            <w:r>
              <w:rPr>
                <w:rFonts w:ascii="Times New Roman"/>
                <w:spacing w:val="-7"/>
                <w:sz w:val="18"/>
              </w:rPr>
              <w:t>34,265,203.26</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15"/>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0" w:right="0"/>
              <w:jc w:val="center"/>
              <w:rPr>
                <w:rFonts w:ascii="Times New Roman" w:hAnsi="Times New Roman" w:cs="Times New Roman" w:eastAsia="Times New Roman" w:hint="default"/>
                <w:sz w:val="18"/>
                <w:szCs w:val="18"/>
              </w:rPr>
            </w:pPr>
            <w:r>
              <w:rPr>
                <w:rFonts w:ascii="Times New Roman"/>
                <w:spacing w:val="-7"/>
                <w:sz w:val="18"/>
              </w:rPr>
              <w:t>2,422,155.45</w:t>
            </w:r>
            <w:r>
              <w:rPr>
                <w:rFonts w:ascii="Times New Roman"/>
                <w:sz w:val="18"/>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237"/>
              <w:jc w:val="right"/>
              <w:rPr>
                <w:rFonts w:ascii="Times New Roman" w:hAnsi="Times New Roman" w:cs="Times New Roman" w:eastAsia="Times New Roman" w:hint="default"/>
                <w:sz w:val="18"/>
                <w:szCs w:val="18"/>
              </w:rPr>
            </w:pPr>
            <w:r>
              <w:rPr>
                <w:rFonts w:ascii="Times New Roman"/>
                <w:spacing w:val="-6"/>
                <w:w w:val="95"/>
                <w:sz w:val="18"/>
              </w:rPr>
              <w:t>7.07</w:t>
            </w:r>
            <w:r>
              <w:rPr>
                <w:rFonts w:ascii="Times New Roman"/>
                <w:w w:val="95"/>
                <w:sz w:val="18"/>
              </w:rPr>
            </w:r>
          </w:p>
        </w:tc>
      </w:tr>
      <w:tr>
        <w:trPr>
          <w:trHeight w:val="86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83"/>
              <w:jc w:val="both"/>
              <w:rPr>
                <w:rFonts w:ascii="宋体" w:hAnsi="宋体" w:cs="宋体" w:eastAsia="宋体" w:hint="default"/>
                <w:sz w:val="18"/>
                <w:szCs w:val="18"/>
              </w:rPr>
            </w:pPr>
            <w:r>
              <w:rPr>
                <w:rFonts w:ascii="宋体" w:hAnsi="宋体" w:cs="宋体" w:eastAsia="宋体" w:hint="default"/>
                <w:spacing w:val="14"/>
                <w:sz w:val="18"/>
                <w:szCs w:val="18"/>
              </w:rPr>
              <w:t>单项金额虽不重大但单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项计提坏账准备的应收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账款</w:t>
            </w:r>
          </w:p>
        </w:tc>
        <w:tc>
          <w:tcPr>
            <w:tcW w:w="115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nil" w:sz="6" w:space="0" w:color="auto"/>
            </w:tcBorders>
          </w:tcPr>
          <w:p>
            <w:pPr/>
          </w:p>
        </w:tc>
      </w:tr>
      <w:tr>
        <w:trPr>
          <w:trHeight w:val="30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 w:right="0"/>
              <w:jc w:val="center"/>
              <w:rPr>
                <w:rFonts w:ascii="Times New Roman" w:hAnsi="Times New Roman" w:cs="Times New Roman" w:eastAsia="Times New Roman" w:hint="default"/>
                <w:sz w:val="18"/>
                <w:szCs w:val="18"/>
              </w:rPr>
            </w:pPr>
            <w:r>
              <w:rPr>
                <w:rFonts w:ascii="Times New Roman"/>
                <w:spacing w:val="-7"/>
                <w:sz w:val="18"/>
              </w:rPr>
              <w:t>52,152,301.34</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1" w:right="0"/>
              <w:jc w:val="center"/>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 w:right="0"/>
              <w:jc w:val="center"/>
              <w:rPr>
                <w:rFonts w:ascii="Times New Roman" w:hAnsi="Times New Roman" w:cs="Times New Roman" w:eastAsia="Times New Roman" w:hint="default"/>
                <w:sz w:val="18"/>
                <w:szCs w:val="18"/>
              </w:rPr>
            </w:pPr>
            <w:r>
              <w:rPr>
                <w:rFonts w:ascii="Times New Roman"/>
                <w:spacing w:val="-7"/>
                <w:sz w:val="18"/>
              </w:rPr>
              <w:t>4,530,651.70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 w:right="0"/>
              <w:jc w:val="center"/>
              <w:rPr>
                <w:rFonts w:ascii="Times New Roman" w:hAnsi="Times New Roman" w:cs="Times New Roman" w:eastAsia="Times New Roman" w:hint="default"/>
                <w:sz w:val="18"/>
                <w:szCs w:val="18"/>
              </w:rPr>
            </w:pPr>
            <w:r>
              <w:rPr>
                <w:rFonts w:ascii="Times New Roman"/>
                <w:spacing w:val="-6"/>
                <w:sz w:val="18"/>
              </w:rPr>
              <w:t>8.69</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2"/>
              <w:jc w:val="right"/>
              <w:rPr>
                <w:rFonts w:ascii="Times New Roman" w:hAnsi="Times New Roman" w:cs="Times New Roman" w:eastAsia="Times New Roman" w:hint="default"/>
                <w:sz w:val="18"/>
                <w:szCs w:val="18"/>
              </w:rPr>
            </w:pPr>
            <w:r>
              <w:rPr>
                <w:rFonts w:ascii="Times New Roman"/>
                <w:spacing w:val="-7"/>
                <w:sz w:val="18"/>
              </w:rPr>
              <w:t>34,265,203.26</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5"/>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 w:right="0"/>
              <w:jc w:val="center"/>
              <w:rPr>
                <w:rFonts w:ascii="Times New Roman" w:hAnsi="Times New Roman" w:cs="Times New Roman" w:eastAsia="Times New Roman" w:hint="default"/>
                <w:sz w:val="18"/>
                <w:szCs w:val="18"/>
              </w:rPr>
            </w:pPr>
            <w:r>
              <w:rPr>
                <w:rFonts w:ascii="Times New Roman"/>
                <w:spacing w:val="-7"/>
                <w:sz w:val="18"/>
              </w:rPr>
              <w:t>2,422,155.45</w:t>
            </w:r>
            <w:r>
              <w:rPr>
                <w:rFonts w:ascii="Times New Roman"/>
                <w:sz w:val="18"/>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237"/>
              <w:jc w:val="right"/>
              <w:rPr>
                <w:rFonts w:ascii="Times New Roman" w:hAnsi="Times New Roman" w:cs="Times New Roman" w:eastAsia="Times New Roman" w:hint="default"/>
                <w:sz w:val="18"/>
                <w:szCs w:val="18"/>
              </w:rPr>
            </w:pPr>
            <w:r>
              <w:rPr>
                <w:rFonts w:ascii="Times New Roman"/>
                <w:spacing w:val="-6"/>
                <w:w w:val="95"/>
                <w:sz w:val="18"/>
              </w:rPr>
              <w:t>7.07</w:t>
            </w:r>
            <w:r>
              <w:rPr>
                <w:rFonts w:ascii="Times New Roman"/>
                <w:w w:val="95"/>
                <w:sz w:val="18"/>
              </w:rPr>
            </w:r>
          </w:p>
        </w:tc>
      </w:tr>
    </w:tbl>
    <w:p>
      <w:pPr>
        <w:spacing w:line="240" w:lineRule="auto" w:before="1"/>
        <w:rPr>
          <w:rFonts w:ascii="宋体" w:hAnsi="宋体" w:cs="宋体" w:eastAsia="宋体" w:hint="default"/>
          <w:sz w:val="13"/>
          <w:szCs w:val="13"/>
        </w:rPr>
      </w:pPr>
    </w:p>
    <w:p>
      <w:pPr>
        <w:spacing w:line="357" w:lineRule="auto" w:before="35"/>
        <w:ind w:left="664" w:right="678" w:firstLine="420"/>
        <w:jc w:val="both"/>
        <w:rPr>
          <w:rFonts w:ascii="宋体" w:hAnsi="宋体" w:cs="宋体" w:eastAsia="宋体" w:hint="default"/>
          <w:sz w:val="21"/>
          <w:szCs w:val="21"/>
        </w:rPr>
      </w:pPr>
      <w:r>
        <w:rPr>
          <w:rFonts w:ascii="宋体" w:hAnsi="宋体" w:cs="宋体" w:eastAsia="宋体" w:hint="default"/>
          <w:sz w:val="21"/>
          <w:szCs w:val="21"/>
        </w:rPr>
        <w:t>按款项账龄的组合计提坏账准备的应收账款，是指将未单项计提坏账准备的应收账款按账 龄划分为若干组合，根据以前年度与之相同或相类似的、具有类似信用风险特征的应收账款组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合的实际损失率为基础，结合现时情况确定各项组合计提坏账准备的比例，据此计算应计提的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坏账准备。</w:t>
      </w:r>
    </w:p>
    <w:p>
      <w:pPr>
        <w:spacing w:line="240" w:lineRule="auto" w:before="9"/>
        <w:rPr>
          <w:rFonts w:ascii="宋体" w:hAnsi="宋体" w:cs="宋体" w:eastAsia="宋体" w:hint="default"/>
          <w:sz w:val="20"/>
          <w:szCs w:val="20"/>
        </w:rPr>
      </w:pPr>
    </w:p>
    <w:p>
      <w:pPr>
        <w:spacing w:before="0"/>
        <w:ind w:left="1083"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3"/>
        <w:rPr>
          <w:rFonts w:ascii="宋体" w:hAnsi="宋体" w:cs="宋体" w:eastAsia="宋体" w:hint="default"/>
          <w:sz w:val="19"/>
          <w:szCs w:val="19"/>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534" w:type="dxa"/>
        <w:tblLayout w:type="fixed"/>
        <w:tblCellMar>
          <w:top w:w="0" w:type="dxa"/>
          <w:left w:w="0" w:type="dxa"/>
          <w:bottom w:w="0" w:type="dxa"/>
          <w:right w:w="0" w:type="dxa"/>
        </w:tblCellMar>
        <w:tblLook w:val="01E0"/>
      </w:tblPr>
      <w:tblGrid>
        <w:gridCol w:w="1742"/>
        <w:gridCol w:w="1417"/>
        <w:gridCol w:w="908"/>
        <w:gridCol w:w="1218"/>
        <w:gridCol w:w="1417"/>
        <w:gridCol w:w="966"/>
        <w:gridCol w:w="1217"/>
      </w:tblGrid>
      <w:tr>
        <w:trPr>
          <w:trHeight w:val="392"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2" w:hRule="exact"/>
        </w:trPr>
        <w:tc>
          <w:tcPr>
            <w:tcW w:w="1742" w:type="dxa"/>
            <w:vMerge/>
            <w:tcBorders>
              <w:left w:val="nil" w:sz="6" w:space="0" w:color="auto"/>
              <w:right w:val="single" w:sz="6" w:space="0" w:color="000000"/>
            </w:tcBorders>
          </w:tcPr>
          <w:p>
            <w:pPr/>
          </w:p>
        </w:tc>
        <w:tc>
          <w:tcPr>
            <w:tcW w:w="23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2" w:hRule="exact"/>
        </w:trPr>
        <w:tc>
          <w:tcPr>
            <w:tcW w:w="1742" w:type="dxa"/>
            <w:vMerge/>
            <w:tcBorders>
              <w:left w:val="nil" w:sz="6" w:space="0" w:color="auto"/>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8"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35,903,384.74</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68.84</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1,795,169.24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24,459,326.72</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71.38</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pacing w:val="-1"/>
                <w:sz w:val="18"/>
              </w:rPr>
              <w:t>1,222,966.34</w:t>
            </w:r>
          </w:p>
        </w:tc>
      </w:tr>
      <w:tr>
        <w:trPr>
          <w:trHeight w:val="394"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8,657,991.60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16.60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865,799.16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7,708,062.00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22.49</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770,806.20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6,419,264.00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12.31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1,283,852.80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2,068,414.54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6.04</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413,682.91</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1,171,661.00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2.25</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585,830.50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18"/>
                <w:szCs w:val="18"/>
              </w:rPr>
            </w:pPr>
            <w:r>
              <w:rPr>
                <w:rFonts w:ascii="Times New Roman"/>
                <w:sz w:val="18"/>
              </w:rPr>
              <w:t>29,400.00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0.09</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14,700.00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pacing w:val="-1"/>
                <w:sz w:val="18"/>
              </w:rPr>
              <w:t>52,152,301.34</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4,530,651.70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18"/>
                <w:szCs w:val="18"/>
              </w:rPr>
            </w:pPr>
            <w:r>
              <w:rPr>
                <w:rFonts w:ascii="Times New Roman"/>
                <w:spacing w:val="-1"/>
                <w:sz w:val="18"/>
              </w:rPr>
              <w:t>34,265,203.26</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pacing w:val="-1"/>
                <w:sz w:val="18"/>
              </w:rPr>
              <w:t>2,422,155.45</w:t>
            </w:r>
          </w:p>
        </w:tc>
      </w:tr>
    </w:tbl>
    <w:p>
      <w:pPr>
        <w:spacing w:before="86"/>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）本期转回或收回情况：无。</w:t>
      </w:r>
    </w:p>
    <w:p>
      <w:pPr>
        <w:spacing w:line="240" w:lineRule="auto" w:before="3"/>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）本报告期实际核销的应收账款情况：无。</w:t>
      </w:r>
    </w:p>
    <w:p>
      <w:pPr>
        <w:spacing w:after="0"/>
        <w:jc w:val="left"/>
        <w:rPr>
          <w:rFonts w:ascii="宋体" w:hAnsi="宋体" w:cs="宋体" w:eastAsia="宋体" w:hint="default"/>
          <w:sz w:val="21"/>
          <w:szCs w:val="21"/>
        </w:rPr>
        <w:sectPr>
          <w:pgSz w:w="11910" w:h="16840"/>
          <w:pgMar w:header="877" w:footer="982" w:top="1100" w:bottom="1180" w:left="980" w:right="960"/>
        </w:sectPr>
      </w:pPr>
    </w:p>
    <w:p>
      <w:pPr>
        <w:spacing w:line="240" w:lineRule="auto" w:before="2"/>
        <w:rPr>
          <w:rFonts w:ascii="宋体" w:hAnsi="宋体" w:cs="宋体" w:eastAsia="宋体" w:hint="default"/>
          <w:sz w:val="19"/>
          <w:szCs w:val="19"/>
        </w:rPr>
      </w:pPr>
    </w:p>
    <w:p>
      <w:pPr>
        <w:spacing w:before="35"/>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）本报告期应收账款中持有公司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以上表决权股份的股东单位情况：无。</w:t>
      </w:r>
    </w:p>
    <w:p>
      <w:pPr>
        <w:spacing w:line="240" w:lineRule="auto" w:before="2"/>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2"/>
        <w:rPr>
          <w:rFonts w:ascii="宋体" w:hAnsi="宋体" w:cs="宋体" w:eastAsia="宋体" w:hint="default"/>
          <w:sz w:val="18"/>
          <w:szCs w:val="18"/>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64" w:type="dxa"/>
        <w:tblLayout w:type="fixed"/>
        <w:tblCellMar>
          <w:top w:w="0" w:type="dxa"/>
          <w:left w:w="0" w:type="dxa"/>
          <w:bottom w:w="0" w:type="dxa"/>
          <w:right w:w="0" w:type="dxa"/>
        </w:tblCellMar>
        <w:tblLook w:val="01E0"/>
      </w:tblPr>
      <w:tblGrid>
        <w:gridCol w:w="2864"/>
        <w:gridCol w:w="1427"/>
        <w:gridCol w:w="1291"/>
        <w:gridCol w:w="1004"/>
        <w:gridCol w:w="2428"/>
      </w:tblGrid>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中国农业银行浙江省分行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5,550,675.00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10.64</w:t>
            </w:r>
          </w:p>
        </w:tc>
      </w:tr>
      <w:tr>
        <w:trPr>
          <w:trHeight w:val="386"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零至二年</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8.05</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上海浦东发展银行总行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2,862,500.00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零至三年</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5.49</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广东发展银行总行</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2,099,600.00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4.03</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中国工商银行四川分行营业部</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1,883,510.00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3.61</w:t>
            </w:r>
          </w:p>
        </w:tc>
      </w:tr>
      <w:tr>
        <w:trPr>
          <w:trHeight w:val="38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16,596,285.00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w:t>
            </w:r>
          </w:p>
        </w:tc>
        <w:tc>
          <w:tcPr>
            <w:tcW w:w="2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31.82</w:t>
            </w:r>
          </w:p>
        </w:tc>
      </w:tr>
    </w:tbl>
    <w:p>
      <w:pPr>
        <w:spacing w:before="86"/>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）应收关联方账款情况：无。</w:t>
      </w:r>
    </w:p>
    <w:p>
      <w:pPr>
        <w:spacing w:line="240" w:lineRule="auto" w:before="3"/>
        <w:rPr>
          <w:rFonts w:ascii="宋体" w:hAnsi="宋体" w:cs="宋体" w:eastAsia="宋体" w:hint="default"/>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）不符合终止确认条件的应收账款的转移金额为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_0_</w:t>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spacing w:line="240" w:lineRule="auto" w:before="2"/>
        <w:rPr>
          <w:rFonts w:ascii="宋体" w:hAnsi="宋体" w:cs="宋体" w:eastAsia="宋体" w:hint="default"/>
          <w:sz w:val="18"/>
          <w:szCs w:val="18"/>
        </w:rPr>
      </w:pPr>
    </w:p>
    <w:p>
      <w:pPr>
        <w:spacing w:before="0"/>
        <w:ind w:left="6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）以应收账款为标的资产进行资产证券化的，需简要说明相关交易安排：无。</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spacing w:before="0"/>
        <w:ind w:left="66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2"/>
        <w:rPr>
          <w:rFonts w:ascii="宋体" w:hAnsi="宋体" w:cs="宋体" w:eastAsia="宋体" w:hint="default"/>
          <w:sz w:val="18"/>
          <w:szCs w:val="18"/>
        </w:rPr>
      </w:pPr>
    </w:p>
    <w:p>
      <w:pPr>
        <w:spacing w:before="0"/>
        <w:ind w:left="0" w:right="65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152"/>
        <w:gridCol w:w="1163"/>
        <w:gridCol w:w="761"/>
        <w:gridCol w:w="1027"/>
        <w:gridCol w:w="834"/>
        <w:gridCol w:w="1162"/>
        <w:gridCol w:w="761"/>
        <w:gridCol w:w="1027"/>
        <w:gridCol w:w="827"/>
      </w:tblGrid>
      <w:tr>
        <w:trPr>
          <w:trHeight w:val="386" w:hRule="exact"/>
        </w:trPr>
        <w:tc>
          <w:tcPr>
            <w:tcW w:w="21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8" w:hRule="exact"/>
        </w:trPr>
        <w:tc>
          <w:tcPr>
            <w:tcW w:w="2152" w:type="dxa"/>
            <w:vMerge/>
            <w:tcBorders>
              <w:left w:val="nil" w:sz="6" w:space="0" w:color="auto"/>
              <w:right w:val="single" w:sz="4" w:space="0" w:color="000000"/>
            </w:tcBorders>
          </w:tcPr>
          <w:p>
            <w:pP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8" w:hRule="exact"/>
        </w:trPr>
        <w:tc>
          <w:tcPr>
            <w:tcW w:w="2152" w:type="dxa"/>
            <w:vMerge/>
            <w:tcBorders>
              <w:left w:val="nil" w:sz="6" w:space="0" w:color="auto"/>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4"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3"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81"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比例</w:t>
            </w:r>
            <w:r>
              <w:rPr>
                <w:rFonts w:ascii="Times New Roman" w:hAnsi="Times New Roman" w:cs="Times New Roman" w:eastAsia="Times New Roman" w:hint="default"/>
                <w:spacing w:val="-34"/>
                <w:sz w:val="18"/>
                <w:szCs w:val="18"/>
              </w:rPr>
              <w:t>(%)</w:t>
            </w:r>
            <w:r>
              <w:rPr>
                <w:rFonts w:ascii="Times New Roman" w:hAnsi="Times New Roman" w:cs="Times New Roman" w:eastAsia="Times New Roman" w:hint="default"/>
                <w:sz w:val="18"/>
                <w:szCs w:val="18"/>
              </w:rPr>
            </w:r>
          </w:p>
        </w:tc>
      </w:tr>
      <w:tr>
        <w:trPr>
          <w:trHeight w:val="854"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4"/>
              <w:ind w:left="107" w:right="83"/>
              <w:jc w:val="both"/>
              <w:rPr>
                <w:rFonts w:ascii="宋体" w:hAnsi="宋体" w:cs="宋体" w:eastAsia="宋体" w:hint="default"/>
                <w:sz w:val="18"/>
                <w:szCs w:val="18"/>
              </w:rPr>
            </w:pPr>
            <w:r>
              <w:rPr>
                <w:rFonts w:ascii="宋体" w:hAnsi="宋体" w:cs="宋体" w:eastAsia="宋体" w:hint="default"/>
                <w:spacing w:val="14"/>
                <w:sz w:val="18"/>
                <w:szCs w:val="18"/>
              </w:rPr>
              <w:t>单项金额重大并单项计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提坏账准备的其他应收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款</w:t>
            </w:r>
          </w:p>
        </w:tc>
        <w:tc>
          <w:tcPr>
            <w:tcW w:w="11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nil" w:sz="6" w:space="0" w:color="auto"/>
            </w:tcBorders>
          </w:tcPr>
          <w:p>
            <w:pPr/>
          </w:p>
        </w:tc>
      </w:tr>
    </w:tbl>
    <w:p>
      <w:pPr>
        <w:spacing w:before="41"/>
        <w:ind w:left="232" w:right="0" w:firstLine="0"/>
        <w:jc w:val="left"/>
        <w:rPr>
          <w:rFonts w:ascii="宋体" w:hAnsi="宋体" w:cs="宋体" w:eastAsia="宋体" w:hint="default"/>
          <w:sz w:val="18"/>
          <w:szCs w:val="18"/>
        </w:rPr>
      </w:pPr>
      <w:r>
        <w:rPr>
          <w:rFonts w:ascii="宋体" w:hAnsi="宋体" w:cs="宋体" w:eastAsia="宋体" w:hint="default"/>
          <w:spacing w:val="-8"/>
          <w:sz w:val="18"/>
          <w:szCs w:val="18"/>
        </w:rPr>
        <w:t>按组合计提坏账准备的其他应收款</w:t>
      </w:r>
    </w:p>
    <w:p>
      <w:pPr>
        <w:spacing w:line="240" w:lineRule="auto" w:before="9"/>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166"/>
        <w:gridCol w:w="1163"/>
        <w:gridCol w:w="761"/>
        <w:gridCol w:w="1027"/>
        <w:gridCol w:w="834"/>
        <w:gridCol w:w="1162"/>
        <w:gridCol w:w="761"/>
        <w:gridCol w:w="1027"/>
        <w:gridCol w:w="834"/>
      </w:tblGrid>
      <w:tr>
        <w:trPr>
          <w:trHeight w:val="39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5,091,599.50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Times New Roman" w:hAnsi="Times New Roman" w:cs="Times New Roman" w:eastAsia="Times New Roman" w:hint="default"/>
                <w:sz w:val="18"/>
                <w:szCs w:val="18"/>
              </w:rPr>
            </w:pPr>
            <w:r>
              <w:rPr>
                <w:rFonts w:ascii="Times New Roman"/>
                <w:sz w:val="18"/>
              </w:rPr>
              <w:t>522,949.45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10.27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Times New Roman" w:hAnsi="Times New Roman" w:cs="Times New Roman" w:eastAsia="Times New Roman" w:hint="default"/>
                <w:sz w:val="18"/>
                <w:szCs w:val="18"/>
              </w:rPr>
            </w:pPr>
            <w:r>
              <w:rPr>
                <w:rFonts w:ascii="Times New Roman"/>
                <w:sz w:val="18"/>
              </w:rPr>
              <w:t>1,880,827.64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303,974.58</w:t>
            </w:r>
          </w:p>
        </w:tc>
        <w:tc>
          <w:tcPr>
            <w:tcW w:w="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z w:val="18"/>
              </w:rPr>
              <w:t>16.16</w:t>
            </w:r>
          </w:p>
        </w:tc>
      </w:tr>
      <w:tr>
        <w:trPr>
          <w:trHeight w:val="39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5,091,599.50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Times New Roman" w:hAnsi="Times New Roman" w:cs="Times New Roman" w:eastAsia="Times New Roman" w:hint="default"/>
                <w:sz w:val="18"/>
                <w:szCs w:val="18"/>
              </w:rPr>
            </w:pPr>
            <w:r>
              <w:rPr>
                <w:rFonts w:ascii="Times New Roman"/>
                <w:sz w:val="18"/>
              </w:rPr>
              <w:t>522,949.45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10.27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Times New Roman" w:hAnsi="Times New Roman" w:cs="Times New Roman" w:eastAsia="Times New Roman" w:hint="default"/>
                <w:sz w:val="18"/>
                <w:szCs w:val="18"/>
              </w:rPr>
            </w:pPr>
            <w:r>
              <w:rPr>
                <w:rFonts w:ascii="Times New Roman"/>
                <w:sz w:val="18"/>
              </w:rPr>
              <w:t>1,880,827.64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303,974.58</w:t>
            </w:r>
          </w:p>
        </w:tc>
        <w:tc>
          <w:tcPr>
            <w:tcW w:w="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z w:val="18"/>
              </w:rPr>
              <w:t>16.16</w:t>
            </w:r>
          </w:p>
        </w:tc>
      </w:tr>
      <w:tr>
        <w:trPr>
          <w:trHeight w:val="86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83"/>
              <w:jc w:val="both"/>
              <w:rPr>
                <w:rFonts w:ascii="宋体" w:hAnsi="宋体" w:cs="宋体" w:eastAsia="宋体" w:hint="default"/>
                <w:sz w:val="18"/>
                <w:szCs w:val="18"/>
              </w:rPr>
            </w:pPr>
            <w:r>
              <w:rPr>
                <w:rFonts w:ascii="宋体" w:hAnsi="宋体" w:cs="宋体" w:eastAsia="宋体" w:hint="default"/>
                <w:spacing w:val="14"/>
                <w:sz w:val="18"/>
                <w:szCs w:val="18"/>
              </w:rPr>
              <w:t>单项金额虽不重大但单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项计提坏账准备的其他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应收款</w:t>
            </w:r>
          </w:p>
        </w:tc>
        <w:tc>
          <w:tcPr>
            <w:tcW w:w="11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5,091,599.50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2" w:right="0"/>
              <w:jc w:val="left"/>
              <w:rPr>
                <w:rFonts w:ascii="Times New Roman" w:hAnsi="Times New Roman" w:cs="Times New Roman" w:eastAsia="Times New Roman" w:hint="default"/>
                <w:sz w:val="18"/>
                <w:szCs w:val="18"/>
              </w:rPr>
            </w:pPr>
            <w:r>
              <w:rPr>
                <w:rFonts w:ascii="Times New Roman"/>
                <w:sz w:val="18"/>
              </w:rPr>
              <w:t>522,949.45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z w:val="18"/>
              </w:rPr>
              <w:t>10.27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Times New Roman" w:hAnsi="Times New Roman" w:cs="Times New Roman" w:eastAsia="Times New Roman" w:hint="default"/>
                <w:sz w:val="18"/>
                <w:szCs w:val="18"/>
              </w:rPr>
            </w:pPr>
            <w:r>
              <w:rPr>
                <w:rFonts w:ascii="Times New Roman"/>
                <w:sz w:val="18"/>
              </w:rPr>
              <w:t>1,880,827.64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8" w:right="0"/>
              <w:jc w:val="center"/>
              <w:rPr>
                <w:rFonts w:ascii="Times New Roman" w:hAnsi="Times New Roman" w:cs="Times New Roman" w:eastAsia="Times New Roman" w:hint="default"/>
                <w:sz w:val="18"/>
                <w:szCs w:val="18"/>
              </w:rPr>
            </w:pPr>
            <w:r>
              <w:rPr>
                <w:rFonts w:ascii="Times New Roman"/>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303,974.58</w:t>
            </w:r>
          </w:p>
        </w:tc>
        <w:tc>
          <w:tcPr>
            <w:tcW w:w="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z w:val="18"/>
              </w:rPr>
              <w:t>16.16</w:t>
            </w:r>
          </w:p>
        </w:tc>
      </w:tr>
    </w:tbl>
    <w:p>
      <w:pPr>
        <w:spacing w:line="240" w:lineRule="auto" w:before="1"/>
        <w:rPr>
          <w:rFonts w:ascii="宋体" w:hAnsi="宋体" w:cs="宋体" w:eastAsia="宋体" w:hint="default"/>
          <w:sz w:val="13"/>
          <w:szCs w:val="13"/>
        </w:rPr>
      </w:pPr>
    </w:p>
    <w:p>
      <w:pPr>
        <w:spacing w:line="357" w:lineRule="auto" w:before="35"/>
        <w:ind w:left="664" w:right="678" w:firstLine="420"/>
        <w:jc w:val="both"/>
        <w:rPr>
          <w:rFonts w:ascii="宋体" w:hAnsi="宋体" w:cs="宋体" w:eastAsia="宋体" w:hint="default"/>
          <w:sz w:val="21"/>
          <w:szCs w:val="21"/>
        </w:rPr>
      </w:pPr>
      <w:r>
        <w:rPr>
          <w:rFonts w:ascii="宋体" w:hAnsi="宋体" w:cs="宋体" w:eastAsia="宋体" w:hint="default"/>
          <w:sz w:val="21"/>
          <w:szCs w:val="21"/>
        </w:rPr>
        <w:t>按款项账龄的组合计提坏账准备的其他应收款，是指将未单项计提坏账准备的其他应收款 按账龄划分为若干组合，根据以前年度与之相同或相类似的、具有类似信用风险特征的其他应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收款组合的实际损失率为基础，结合现时情况确定各项组合计提坏账准备的比例，据此计算应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计提的坏账准备。</w:t>
      </w:r>
    </w:p>
    <w:p>
      <w:pPr>
        <w:spacing w:after="0" w:line="357" w:lineRule="auto"/>
        <w:jc w:val="both"/>
        <w:rPr>
          <w:rFonts w:ascii="宋体" w:hAnsi="宋体" w:cs="宋体" w:eastAsia="宋体" w:hint="default"/>
          <w:sz w:val="21"/>
          <w:szCs w:val="21"/>
        </w:rPr>
        <w:sectPr>
          <w:pgSz w:w="11910" w:h="16840"/>
          <w:pgMar w:header="877" w:footer="982" w:top="1100" w:bottom="1180" w:left="980" w:right="960"/>
        </w:sectPr>
      </w:pPr>
    </w:p>
    <w:p>
      <w:pPr>
        <w:spacing w:line="240" w:lineRule="auto" w:before="2"/>
        <w:rPr>
          <w:rFonts w:ascii="宋体" w:hAnsi="宋体" w:cs="宋体" w:eastAsia="宋体" w:hint="default"/>
          <w:sz w:val="19"/>
          <w:szCs w:val="19"/>
        </w:rPr>
      </w:pPr>
    </w:p>
    <w:p>
      <w:pPr>
        <w:spacing w:before="35"/>
        <w:ind w:left="724" w:right="283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7"/>
        <w:rPr>
          <w:rFonts w:ascii="宋体" w:hAnsi="宋体" w:cs="宋体" w:eastAsia="宋体" w:hint="default"/>
          <w:sz w:val="16"/>
          <w:szCs w:val="16"/>
        </w:rPr>
      </w:pPr>
    </w:p>
    <w:p>
      <w:pPr>
        <w:spacing w:before="35"/>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74" w:type="dxa"/>
        <w:tblLayout w:type="fixed"/>
        <w:tblCellMar>
          <w:top w:w="0" w:type="dxa"/>
          <w:left w:w="0" w:type="dxa"/>
          <w:bottom w:w="0" w:type="dxa"/>
          <w:right w:w="0" w:type="dxa"/>
        </w:tblCellMar>
        <w:tblLook w:val="01E0"/>
      </w:tblPr>
      <w:tblGrid>
        <w:gridCol w:w="1742"/>
        <w:gridCol w:w="1417"/>
        <w:gridCol w:w="908"/>
        <w:gridCol w:w="1218"/>
        <w:gridCol w:w="1417"/>
        <w:gridCol w:w="966"/>
        <w:gridCol w:w="1217"/>
      </w:tblGrid>
      <w:tr>
        <w:trPr>
          <w:trHeight w:val="392"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2" w:hRule="exact"/>
        </w:trPr>
        <w:tc>
          <w:tcPr>
            <w:tcW w:w="1742" w:type="dxa"/>
            <w:vMerge/>
            <w:tcBorders>
              <w:left w:val="nil" w:sz="6" w:space="0" w:color="auto"/>
              <w:right w:val="single" w:sz="6" w:space="0" w:color="000000"/>
            </w:tcBorders>
          </w:tcPr>
          <w:p>
            <w:pPr/>
          </w:p>
        </w:tc>
        <w:tc>
          <w:tcPr>
            <w:tcW w:w="23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2" w:hRule="exact"/>
        </w:trPr>
        <w:tc>
          <w:tcPr>
            <w:tcW w:w="1742" w:type="dxa"/>
            <w:vMerge/>
            <w:tcBorders>
              <w:left w:val="nil" w:sz="6" w:space="0" w:color="auto"/>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8"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7" w:type="dxa"/>
            <w:vMerge/>
            <w:tcBorders>
              <w:left w:val="single" w:sz="6" w:space="0" w:color="000000"/>
              <w:bottom w:val="single" w:sz="6" w:space="0" w:color="000000"/>
              <w:right w:val="nil" w:sz="6" w:space="0" w:color="auto"/>
            </w:tcBorders>
          </w:tcPr>
          <w:p>
            <w:pPr/>
          </w:p>
        </w:tc>
      </w:tr>
      <w:tr>
        <w:trPr>
          <w:trHeight w:val="394"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4,198,857.64</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82.47</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209,942.88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z w:val="18"/>
              </w:rPr>
              <w:t>814,813.61</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43.32</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40,740.68</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154,458.03</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3.03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15,445.80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z w:val="18"/>
              </w:rPr>
              <w:t>437,204.03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23.25</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43,720.40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238,603.83</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4.69</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47,720.77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z w:val="18"/>
              </w:rPr>
              <w:t>316,305.00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16.82</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63,261.00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499,680.00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9.81</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249,840.00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Times New Roman" w:hAnsi="Times New Roman" w:cs="Times New Roman" w:eastAsia="Times New Roman" w:hint="default"/>
                <w:sz w:val="18"/>
                <w:szCs w:val="18"/>
              </w:rPr>
            </w:pPr>
            <w:r>
              <w:rPr>
                <w:rFonts w:ascii="Times New Roman"/>
                <w:sz w:val="18"/>
              </w:rPr>
              <w:t>312,505.00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16.61</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156,252.50</w:t>
            </w:r>
          </w:p>
        </w:tc>
      </w:tr>
      <w:tr>
        <w:trPr>
          <w:trHeight w:val="392" w:hRule="exact"/>
        </w:trPr>
        <w:tc>
          <w:tcPr>
            <w:tcW w:w="1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5,091,599.50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522,949.45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1,880,827.64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303,974.58</w:t>
            </w:r>
          </w:p>
        </w:tc>
      </w:tr>
    </w:tbl>
    <w:p>
      <w:pPr>
        <w:spacing w:line="240" w:lineRule="auto" w:before="1"/>
        <w:rPr>
          <w:rFonts w:ascii="宋体" w:hAnsi="宋体" w:cs="宋体" w:eastAsia="宋体" w:hint="default"/>
          <w:sz w:val="13"/>
          <w:szCs w:val="13"/>
        </w:rPr>
      </w:pPr>
    </w:p>
    <w:p>
      <w:pPr>
        <w:spacing w:before="35"/>
        <w:ind w:left="304" w:right="54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）本期转回或收回情况：无。</w:t>
      </w:r>
    </w:p>
    <w:p>
      <w:pPr>
        <w:spacing w:line="240" w:lineRule="auto" w:before="3"/>
        <w:rPr>
          <w:rFonts w:ascii="宋体" w:hAnsi="宋体" w:cs="宋体" w:eastAsia="宋体" w:hint="default"/>
          <w:sz w:val="18"/>
          <w:szCs w:val="18"/>
        </w:rPr>
      </w:pPr>
    </w:p>
    <w:p>
      <w:pPr>
        <w:spacing w:before="0"/>
        <w:ind w:left="304" w:right="28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）本报告期实际核销的其他应收款情况：无。</w:t>
      </w:r>
    </w:p>
    <w:p>
      <w:pPr>
        <w:spacing w:line="240" w:lineRule="auto" w:before="2"/>
        <w:rPr>
          <w:rFonts w:ascii="宋体" w:hAnsi="宋体" w:cs="宋体" w:eastAsia="宋体" w:hint="default"/>
          <w:sz w:val="18"/>
          <w:szCs w:val="18"/>
        </w:rPr>
      </w:pPr>
    </w:p>
    <w:p>
      <w:pPr>
        <w:spacing w:before="0"/>
        <w:ind w:left="304" w:right="3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）本报告期其他应收款中持有公司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以上表决权股份的股东单位情况：无。</w:t>
      </w:r>
    </w:p>
    <w:p>
      <w:pPr>
        <w:spacing w:line="240" w:lineRule="auto" w:before="2"/>
        <w:rPr>
          <w:rFonts w:ascii="宋体" w:hAnsi="宋体" w:cs="宋体" w:eastAsia="宋体" w:hint="default"/>
          <w:sz w:val="18"/>
          <w:szCs w:val="18"/>
        </w:rPr>
      </w:pPr>
    </w:p>
    <w:p>
      <w:pPr>
        <w:spacing w:before="0"/>
        <w:ind w:left="304" w:right="28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）金额较大的其他应收款的性质或内容：</w:t>
      </w:r>
    </w:p>
    <w:p>
      <w:pPr>
        <w:spacing w:line="240" w:lineRule="auto" w:before="3"/>
        <w:rPr>
          <w:rFonts w:ascii="宋体" w:hAnsi="宋体" w:cs="宋体" w:eastAsia="宋体" w:hint="default"/>
          <w:sz w:val="18"/>
          <w:szCs w:val="18"/>
        </w:rPr>
      </w:pPr>
    </w:p>
    <w:p>
      <w:pPr>
        <w:spacing w:before="0"/>
        <w:ind w:left="724" w:right="28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年其他应收款期末余额主要为各类押金和备用金。</w:t>
      </w:r>
    </w:p>
    <w:p>
      <w:pPr>
        <w:spacing w:line="240" w:lineRule="auto" w:before="2"/>
        <w:rPr>
          <w:rFonts w:ascii="宋体" w:hAnsi="宋体" w:cs="宋体" w:eastAsia="宋体" w:hint="default"/>
          <w:sz w:val="18"/>
          <w:szCs w:val="18"/>
        </w:rPr>
      </w:pPr>
    </w:p>
    <w:p>
      <w:pPr>
        <w:spacing w:before="0"/>
        <w:ind w:left="304" w:right="28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2"/>
        <w:rPr>
          <w:rFonts w:ascii="宋体" w:hAnsi="宋体" w:cs="宋体" w:eastAsia="宋体" w:hint="default"/>
          <w:sz w:val="18"/>
          <w:szCs w:val="18"/>
        </w:rPr>
      </w:pPr>
    </w:p>
    <w:p>
      <w:pPr>
        <w:spacing w:before="0"/>
        <w:ind w:left="0" w:right="23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434"/>
        <w:gridCol w:w="1260"/>
        <w:gridCol w:w="1440"/>
        <w:gridCol w:w="1081"/>
        <w:gridCol w:w="1633"/>
      </w:tblGrid>
      <w:tr>
        <w:trPr>
          <w:trHeight w:val="79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415" w:right="203"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2"/>
              <w:ind w:left="129" w:right="132" w:firstLine="51"/>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 总额的比例</w:t>
            </w:r>
            <w:r>
              <w:rPr>
                <w:rFonts w:ascii="Times New Roman" w:hAnsi="Times New Roman" w:cs="Times New Roman" w:eastAsia="Times New Roman" w:hint="default"/>
                <w:sz w:val="21"/>
                <w:szCs w:val="21"/>
              </w:rPr>
              <w:t>(%)</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222,580.76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零至三年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4.37</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中国工商银行有限公司深圳市分行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180,000.00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零至四年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3.54</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深圳科技工业园有限公司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175,922.00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3.45</w:t>
            </w:r>
          </w:p>
        </w:tc>
      </w:tr>
      <w:tr>
        <w:trPr>
          <w:trHeight w:val="386"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中国农业银行有限公司吉林省分行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120,000.00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2.36</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中国农业银行有限公司深圳市分行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110,048.00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Times New Roman" w:hAnsi="Times New Roman" w:cs="Times New Roman" w:eastAsia="Times New Roman" w:hint="default"/>
                <w:sz w:val="18"/>
                <w:szCs w:val="18"/>
              </w:rPr>
            </w:pPr>
            <w:r>
              <w:rPr>
                <w:rFonts w:ascii="Times New Roman"/>
                <w:sz w:val="18"/>
              </w:rPr>
              <w:t>2.16</w:t>
            </w:r>
          </w:p>
        </w:tc>
      </w:tr>
      <w:tr>
        <w:trPr>
          <w:trHeight w:val="38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6" w:right="0"/>
              <w:jc w:val="left"/>
              <w:rPr>
                <w:rFonts w:ascii="Times New Roman" w:hAnsi="Times New Roman" w:cs="Times New Roman" w:eastAsia="Times New Roman" w:hint="default"/>
                <w:sz w:val="18"/>
                <w:szCs w:val="18"/>
              </w:rPr>
            </w:pPr>
            <w:r>
              <w:rPr>
                <w:rFonts w:ascii="Times New Roman"/>
                <w:sz w:val="18"/>
              </w:rPr>
              <w:t>808,550.76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15.88</w:t>
            </w:r>
          </w:p>
        </w:tc>
      </w:tr>
    </w:tbl>
    <w:p>
      <w:pPr>
        <w:spacing w:line="240" w:lineRule="auto" w:before="5"/>
        <w:rPr>
          <w:rFonts w:ascii="宋体" w:hAnsi="宋体" w:cs="宋体" w:eastAsia="宋体" w:hint="default"/>
          <w:sz w:val="22"/>
          <w:szCs w:val="22"/>
        </w:rPr>
      </w:pPr>
    </w:p>
    <w:p>
      <w:pPr>
        <w:spacing w:before="35"/>
        <w:ind w:left="304" w:right="54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）应收关联方款项：无。</w:t>
      </w:r>
    </w:p>
    <w:p>
      <w:pPr>
        <w:spacing w:line="240" w:lineRule="auto" w:before="2"/>
        <w:rPr>
          <w:rFonts w:ascii="宋体" w:hAnsi="宋体" w:cs="宋体" w:eastAsia="宋体" w:hint="default"/>
          <w:sz w:val="18"/>
          <w:szCs w:val="18"/>
        </w:rPr>
      </w:pPr>
    </w:p>
    <w:p>
      <w:pPr>
        <w:spacing w:before="0"/>
        <w:ind w:left="304" w:right="28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）不符</w:t>
      </w:r>
      <w:r>
        <w:rPr>
          <w:rFonts w:ascii="宋体" w:hAnsi="宋体" w:cs="宋体" w:eastAsia="宋体" w:hint="default"/>
          <w:spacing w:val="-2"/>
          <w:sz w:val="21"/>
          <w:szCs w:val="21"/>
        </w:rPr>
        <w:t>合</w:t>
      </w:r>
      <w:r>
        <w:rPr>
          <w:rFonts w:ascii="宋体" w:hAnsi="宋体" w:cs="宋体" w:eastAsia="宋体" w:hint="default"/>
          <w:sz w:val="21"/>
          <w:szCs w:val="21"/>
        </w:rPr>
        <w:t>终止确认条件的其他应收款的转移金额为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w:t>
      </w:r>
      <w:r>
        <w:rPr>
          <w:rFonts w:ascii="Times New Roman" w:hAnsi="Times New Roman" w:cs="Times New Roman" w:eastAsia="Times New Roman" w:hint="default"/>
          <w:spacing w:val="-1"/>
          <w:sz w:val="21"/>
          <w:szCs w:val="21"/>
          <w:u w:val="single" w:color="000000"/>
        </w:rPr>
        <w:t>0</w:t>
      </w:r>
      <w:r>
        <w:rPr>
          <w:rFonts w:ascii="Times New Roman" w:hAnsi="Times New Roman" w:cs="Times New Roman" w:eastAsia="Times New Roman" w:hint="default"/>
          <w:sz w:val="21"/>
          <w:szCs w:val="21"/>
          <w:u w:val="single" w:color="000000"/>
        </w:rPr>
        <w:t>_</w:t>
      </w:r>
      <w:r>
        <w:rPr>
          <w:rFonts w:ascii="Times New Roman" w:hAnsi="Times New Roman" w:cs="Times New Roman" w:eastAsia="Times New Roman" w:hint="default"/>
          <w:sz w:val="21"/>
          <w:szCs w:val="21"/>
        </w:rPr>
      </w:r>
      <w:r>
        <w:rPr>
          <w:rFonts w:ascii="宋体" w:hAnsi="宋体" w:cs="宋体" w:eastAsia="宋体" w:hint="default"/>
          <w:spacing w:val="-2"/>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3"/>
        <w:rPr>
          <w:rFonts w:ascii="宋体" w:hAnsi="宋体" w:cs="宋体" w:eastAsia="宋体" w:hint="default"/>
          <w:sz w:val="18"/>
          <w:szCs w:val="18"/>
        </w:rPr>
      </w:pPr>
    </w:p>
    <w:p>
      <w:pPr>
        <w:spacing w:before="0"/>
        <w:ind w:left="304" w:right="3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）以其他应收款为标的资产进行资产证券化的，需简要说明相关交易安排：无。</w:t>
      </w:r>
    </w:p>
    <w:p>
      <w:pPr>
        <w:spacing w:after="0"/>
        <w:jc w:val="left"/>
        <w:rPr>
          <w:rFonts w:ascii="宋体" w:hAnsi="宋体" w:cs="宋体" w:eastAsia="宋体" w:hint="default"/>
          <w:sz w:val="21"/>
          <w:szCs w:val="21"/>
        </w:rPr>
        <w:sectPr>
          <w:pgSz w:w="11910" w:h="16840"/>
          <w:pgMar w:header="877" w:footer="982" w:top="1100" w:bottom="1180" w:left="1340" w:right="1380"/>
        </w:sectPr>
      </w:pPr>
    </w:p>
    <w:p>
      <w:pPr>
        <w:spacing w:line="240" w:lineRule="auto" w:before="2"/>
        <w:rPr>
          <w:rFonts w:ascii="宋体" w:hAnsi="宋体" w:cs="宋体" w:eastAsia="宋体" w:hint="default"/>
          <w:sz w:val="19"/>
          <w:szCs w:val="19"/>
        </w:rPr>
      </w:pPr>
    </w:p>
    <w:p>
      <w:pPr>
        <w:spacing w:before="35"/>
        <w:ind w:left="48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692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072"/>
        <w:gridCol w:w="482"/>
        <w:gridCol w:w="1160"/>
        <w:gridCol w:w="1162"/>
        <w:gridCol w:w="512"/>
        <w:gridCol w:w="1162"/>
        <w:gridCol w:w="888"/>
        <w:gridCol w:w="923"/>
        <w:gridCol w:w="1099"/>
        <w:gridCol w:w="514"/>
        <w:gridCol w:w="644"/>
        <w:gridCol w:w="538"/>
      </w:tblGrid>
      <w:tr>
        <w:trPr>
          <w:trHeight w:val="357" w:hRule="exact"/>
        </w:trPr>
        <w:tc>
          <w:tcPr>
            <w:tcW w:w="1072" w:type="dxa"/>
            <w:tcBorders>
              <w:top w:val="single" w:sz="4" w:space="0" w:color="000000"/>
              <w:left w:val="nil" w:sz="6" w:space="0" w:color="auto"/>
              <w:bottom w:val="nil" w:sz="6" w:space="0" w:color="auto"/>
              <w:right w:val="single" w:sz="4" w:space="0" w:color="000000"/>
            </w:tcBorders>
          </w:tcPr>
          <w:p>
            <w:pPr/>
          </w:p>
        </w:tc>
        <w:tc>
          <w:tcPr>
            <w:tcW w:w="4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46" w:right="144"/>
              <w:jc w:val="both"/>
              <w:rPr>
                <w:rFonts w:ascii="宋体" w:hAnsi="宋体" w:cs="宋体" w:eastAsia="宋体" w:hint="default"/>
                <w:sz w:val="18"/>
                <w:szCs w:val="18"/>
              </w:rPr>
            </w:pPr>
            <w:r>
              <w:rPr>
                <w:rFonts w:ascii="宋体" w:hAnsi="宋体" w:cs="宋体" w:eastAsia="宋体" w:hint="default"/>
                <w:sz w:val="18"/>
                <w:szCs w:val="18"/>
              </w:rPr>
              <w:t>核 算 方 法</w:t>
            </w:r>
          </w:p>
        </w:tc>
        <w:tc>
          <w:tcPr>
            <w:tcW w:w="1160"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5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62" w:right="158"/>
              <w:jc w:val="both"/>
              <w:rPr>
                <w:rFonts w:ascii="宋体" w:hAnsi="宋体" w:cs="宋体" w:eastAsia="宋体" w:hint="default"/>
                <w:sz w:val="18"/>
                <w:szCs w:val="18"/>
              </w:rPr>
            </w:pPr>
            <w:r>
              <w:rPr>
                <w:rFonts w:ascii="宋体" w:hAnsi="宋体" w:cs="宋体" w:eastAsia="宋体" w:hint="default"/>
                <w:sz w:val="18"/>
                <w:szCs w:val="18"/>
              </w:rPr>
              <w:t>增 减 变 动</w:t>
            </w:r>
          </w:p>
        </w:tc>
        <w:tc>
          <w:tcPr>
            <w:tcW w:w="1162"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left="184"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5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61" w:right="160"/>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644"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73" w:right="176"/>
              <w:jc w:val="both"/>
              <w:rPr>
                <w:rFonts w:ascii="宋体" w:hAnsi="宋体" w:cs="宋体" w:eastAsia="宋体" w:hint="default"/>
                <w:sz w:val="18"/>
                <w:szCs w:val="18"/>
              </w:rPr>
            </w:pPr>
            <w:r>
              <w:rPr>
                <w:rFonts w:ascii="宋体" w:hAnsi="宋体" w:cs="宋体" w:eastAsia="宋体" w:hint="default"/>
                <w:sz w:val="18"/>
                <w:szCs w:val="18"/>
              </w:rPr>
              <w:t>现 金 红 利</w:t>
            </w:r>
          </w:p>
        </w:tc>
      </w:tr>
      <w:tr>
        <w:trPr>
          <w:trHeight w:val="939" w:hRule="exact"/>
        </w:trPr>
        <w:tc>
          <w:tcPr>
            <w:tcW w:w="1072" w:type="dxa"/>
            <w:tcBorders>
              <w:top w:val="nil" w:sz="6" w:space="0" w:color="auto"/>
              <w:left w:val="nil" w:sz="6" w:space="0" w:color="auto"/>
              <w:bottom w:val="nil" w:sz="6" w:space="0" w:color="auto"/>
              <w:right w:val="single" w:sz="4" w:space="0" w:color="000000"/>
            </w:tcBorders>
          </w:tcPr>
          <w:p>
            <w:pPr>
              <w:pStyle w:val="TableParagraph"/>
              <w:spacing w:line="360" w:lineRule="auto" w:before="144"/>
              <w:ind w:left="362" w:right="252"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482" w:type="dxa"/>
            <w:vMerge/>
            <w:tcBorders>
              <w:left w:val="single" w:sz="4" w:space="0" w:color="000000"/>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360" w:lineRule="auto" w:before="144"/>
              <w:ind w:left="396" w:right="212"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512" w:type="dxa"/>
            <w:vMerge/>
            <w:tcBorders>
              <w:left w:val="single" w:sz="4" w:space="0" w:color="000000"/>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69" w:right="0"/>
              <w:jc w:val="both"/>
              <w:rPr>
                <w:rFonts w:ascii="宋体" w:hAnsi="宋体" w:cs="宋体" w:eastAsia="宋体" w:hint="default"/>
                <w:sz w:val="18"/>
                <w:szCs w:val="18"/>
              </w:rPr>
            </w:pPr>
            <w:r>
              <w:rPr>
                <w:rFonts w:ascii="宋体" w:hAnsi="宋体" w:cs="宋体" w:eastAsia="宋体" w:hint="default"/>
                <w:sz w:val="18"/>
                <w:szCs w:val="18"/>
              </w:rPr>
              <w:t>在被投</w:t>
            </w:r>
          </w:p>
          <w:p>
            <w:pPr>
              <w:pStyle w:val="TableParagraph"/>
              <w:spacing w:line="237" w:lineRule="auto" w:before="1"/>
              <w:ind w:left="169" w:right="167"/>
              <w:jc w:val="both"/>
              <w:rPr>
                <w:rFonts w:ascii="Times New Roman" w:hAnsi="Times New Roman" w:cs="Times New Roman" w:eastAsia="Times New Roman" w:hint="default"/>
                <w:sz w:val="18"/>
                <w:szCs w:val="18"/>
              </w:rPr>
            </w:pPr>
            <w:r>
              <w:rPr>
                <w:rFonts w:ascii="宋体" w:hAnsi="宋体" w:cs="宋体" w:eastAsia="宋体" w:hint="default"/>
                <w:sz w:val="18"/>
                <w:szCs w:val="18"/>
              </w:rPr>
              <w:t>资单位 持股比 例</w:t>
            </w:r>
            <w:r>
              <w:rPr>
                <w:rFonts w:ascii="Times New Roman" w:hAnsi="Times New Roman" w:cs="Times New Roman" w:eastAsia="Times New Roman" w:hint="default"/>
                <w:sz w:val="18"/>
                <w:szCs w:val="18"/>
              </w:rPr>
              <w:t>(%)</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85" w:right="0"/>
              <w:jc w:val="both"/>
              <w:rPr>
                <w:rFonts w:ascii="宋体" w:hAnsi="宋体" w:cs="宋体" w:eastAsia="宋体" w:hint="default"/>
                <w:sz w:val="18"/>
                <w:szCs w:val="18"/>
              </w:rPr>
            </w:pPr>
            <w:r>
              <w:rPr>
                <w:rFonts w:ascii="宋体" w:hAnsi="宋体" w:cs="宋体" w:eastAsia="宋体" w:hint="default"/>
                <w:sz w:val="18"/>
                <w:szCs w:val="18"/>
              </w:rPr>
              <w:t>在被投</w:t>
            </w:r>
          </w:p>
          <w:p>
            <w:pPr>
              <w:pStyle w:val="TableParagraph"/>
              <w:spacing w:line="237" w:lineRule="auto" w:before="1"/>
              <w:ind w:left="140" w:right="140"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资单位 表决权 比例</w:t>
            </w:r>
            <w:r>
              <w:rPr>
                <w:rFonts w:ascii="Times New Roman" w:hAnsi="Times New Roman" w:cs="Times New Roman" w:eastAsia="Times New Roman" w:hint="default"/>
                <w:sz w:val="18"/>
                <w:szCs w:val="18"/>
              </w:rPr>
              <w:t>(%)</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84" w:right="0"/>
              <w:jc w:val="both"/>
              <w:rPr>
                <w:rFonts w:ascii="宋体" w:hAnsi="宋体" w:cs="宋体" w:eastAsia="宋体" w:hint="default"/>
                <w:sz w:val="18"/>
                <w:szCs w:val="18"/>
              </w:rPr>
            </w:pPr>
            <w:r>
              <w:rPr>
                <w:rFonts w:ascii="宋体" w:hAnsi="宋体" w:cs="宋体" w:eastAsia="宋体" w:hint="default"/>
                <w:sz w:val="18"/>
                <w:szCs w:val="18"/>
              </w:rPr>
              <w:t>单位持股</w:t>
            </w:r>
          </w:p>
          <w:p>
            <w:pPr>
              <w:pStyle w:val="TableParagraph"/>
              <w:spacing w:line="240" w:lineRule="auto"/>
              <w:ind w:left="184" w:right="182"/>
              <w:jc w:val="both"/>
              <w:rPr>
                <w:rFonts w:ascii="宋体" w:hAnsi="宋体" w:cs="宋体" w:eastAsia="宋体" w:hint="default"/>
                <w:sz w:val="18"/>
                <w:szCs w:val="18"/>
              </w:rPr>
            </w:pPr>
            <w:r>
              <w:rPr>
                <w:rFonts w:ascii="宋体" w:hAnsi="宋体" w:cs="宋体" w:eastAsia="宋体" w:hint="default"/>
                <w:sz w:val="18"/>
                <w:szCs w:val="18"/>
              </w:rPr>
              <w:t>比例与表 决权比例 不一致的</w:t>
            </w:r>
          </w:p>
        </w:tc>
        <w:tc>
          <w:tcPr>
            <w:tcW w:w="514" w:type="dxa"/>
            <w:vMerge/>
            <w:tcBorders>
              <w:left w:val="single" w:sz="4" w:space="0" w:color="000000"/>
              <w:right w:val="single" w:sz="4" w:space="0" w:color="000000"/>
            </w:tcBorders>
          </w:tcPr>
          <w:p>
            <w:pPr/>
          </w:p>
        </w:tc>
        <w:tc>
          <w:tcPr>
            <w:tcW w:w="6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36"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before="1"/>
              <w:ind w:left="136" w:right="13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38" w:type="dxa"/>
            <w:vMerge/>
            <w:tcBorders>
              <w:left w:val="single" w:sz="4" w:space="0" w:color="000000"/>
              <w:right w:val="nil" w:sz="6" w:space="0" w:color="auto"/>
            </w:tcBorders>
          </w:tcPr>
          <w:p>
            <w:pPr/>
          </w:p>
        </w:tc>
      </w:tr>
      <w:tr>
        <w:trPr>
          <w:trHeight w:val="355" w:hRule="exact"/>
        </w:trPr>
        <w:tc>
          <w:tcPr>
            <w:tcW w:w="1072" w:type="dxa"/>
            <w:tcBorders>
              <w:top w:val="nil" w:sz="6" w:space="0" w:color="auto"/>
              <w:left w:val="nil" w:sz="6" w:space="0" w:color="auto"/>
              <w:bottom w:val="single" w:sz="4" w:space="0" w:color="000000"/>
              <w:right w:val="single" w:sz="4" w:space="0" w:color="000000"/>
            </w:tcBorders>
          </w:tcPr>
          <w:p>
            <w:pPr/>
          </w:p>
        </w:tc>
        <w:tc>
          <w:tcPr>
            <w:tcW w:w="482" w:type="dxa"/>
            <w:vMerge/>
            <w:tcBorders>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512" w:type="dxa"/>
            <w:vMerge/>
            <w:tcBorders>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514" w:type="dxa"/>
            <w:vMerge/>
            <w:tcBorders>
              <w:left w:val="single" w:sz="4" w:space="0" w:color="000000"/>
              <w:bottom w:val="single" w:sz="4" w:space="0" w:color="000000"/>
              <w:right w:val="single" w:sz="4" w:space="0" w:color="000000"/>
            </w:tcBorders>
          </w:tcPr>
          <w:p>
            <w:pPr/>
          </w:p>
        </w:tc>
        <w:tc>
          <w:tcPr>
            <w:tcW w:w="644"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nil" w:sz="6" w:space="0" w:color="auto"/>
            </w:tcBorders>
          </w:tcPr>
          <w:p>
            <w:pPr/>
          </w:p>
        </w:tc>
      </w:tr>
      <w:tr>
        <w:trPr>
          <w:trHeight w:val="357" w:hRule="exact"/>
        </w:trPr>
        <w:tc>
          <w:tcPr>
            <w:tcW w:w="1072" w:type="dxa"/>
            <w:tcBorders>
              <w:top w:val="single" w:sz="4" w:space="0" w:color="000000"/>
              <w:left w:val="nil" w:sz="6" w:space="0" w:color="auto"/>
              <w:bottom w:val="nil" w:sz="6" w:space="0" w:color="auto"/>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pacing w:val="30"/>
                <w:sz w:val="18"/>
                <w:szCs w:val="18"/>
              </w:rPr>
              <w:t>深圳市银</w:t>
            </w:r>
            <w:r>
              <w:rPr>
                <w:rFonts w:ascii="宋体" w:hAnsi="宋体" w:cs="宋体" w:eastAsia="宋体" w:hint="default"/>
                <w:spacing w:val="-50"/>
                <w:sz w:val="18"/>
                <w:szCs w:val="18"/>
              </w:rPr>
              <w:t> </w:t>
            </w:r>
            <w:r>
              <w:rPr>
                <w:rFonts w:ascii="宋体" w:hAnsi="宋体" w:cs="宋体" w:eastAsia="宋体" w:hint="default"/>
                <w:sz w:val="18"/>
                <w:szCs w:val="18"/>
              </w:rPr>
            </w:r>
          </w:p>
        </w:tc>
        <w:tc>
          <w:tcPr>
            <w:tcW w:w="482" w:type="dxa"/>
            <w:vMerge w:val="restart"/>
            <w:tcBorders>
              <w:top w:val="single" w:sz="4" w:space="0" w:color="000000"/>
              <w:left w:val="single" w:sz="4" w:space="0" w:color="000000"/>
              <w:right w:val="single" w:sz="4" w:space="0" w:color="000000"/>
            </w:tcBorders>
          </w:tcPr>
          <w:p>
            <w:pPr>
              <w:pStyle w:val="TableParagraph"/>
              <w:spacing w:line="237" w:lineRule="auto" w:before="92"/>
              <w:ind w:left="146" w:right="144"/>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160"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512"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514" w:type="dxa"/>
            <w:tcBorders>
              <w:top w:val="single" w:sz="4" w:space="0" w:color="000000"/>
              <w:left w:val="single" w:sz="4" w:space="0" w:color="000000"/>
              <w:bottom w:val="nil" w:sz="6" w:space="0" w:color="auto"/>
              <w:right w:val="single" w:sz="4" w:space="0" w:color="000000"/>
            </w:tcBorders>
          </w:tcPr>
          <w:p>
            <w:pPr/>
          </w:p>
        </w:tc>
        <w:tc>
          <w:tcPr>
            <w:tcW w:w="644"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1072"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0"/>
                <w:sz w:val="18"/>
                <w:szCs w:val="18"/>
              </w:rPr>
              <w:t>之杰软件</w:t>
            </w:r>
            <w:r>
              <w:rPr>
                <w:rFonts w:ascii="宋体" w:hAnsi="宋体" w:cs="宋体" w:eastAsia="宋体" w:hint="default"/>
                <w:spacing w:val="-50"/>
                <w:sz w:val="18"/>
                <w:szCs w:val="18"/>
              </w:rPr>
              <w:t> </w:t>
            </w:r>
            <w:r>
              <w:rPr>
                <w:rFonts w:ascii="宋体" w:hAnsi="宋体" w:cs="宋体" w:eastAsia="宋体" w:hint="default"/>
                <w:sz w:val="18"/>
                <w:szCs w:val="18"/>
              </w:rPr>
            </w:r>
          </w:p>
        </w:tc>
        <w:tc>
          <w:tcPr>
            <w:tcW w:w="482" w:type="dxa"/>
            <w:vMerge/>
            <w:tcBorders>
              <w:left w:val="single" w:sz="4" w:space="0" w:color="000000"/>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512"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099" w:type="dxa"/>
            <w:tcBorders>
              <w:top w:val="nil" w:sz="6" w:space="0" w:color="auto"/>
              <w:left w:val="single" w:sz="4" w:space="0" w:color="000000"/>
              <w:bottom w:val="nil" w:sz="6" w:space="0" w:color="auto"/>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4" w:space="0" w:color="000000"/>
            </w:tcBorders>
          </w:tcPr>
          <w:p>
            <w:pPr/>
          </w:p>
        </w:tc>
        <w:tc>
          <w:tcPr>
            <w:tcW w:w="538" w:type="dxa"/>
            <w:tcBorders>
              <w:top w:val="nil" w:sz="6" w:space="0" w:color="auto"/>
              <w:left w:val="single" w:sz="4" w:space="0" w:color="000000"/>
              <w:bottom w:val="nil" w:sz="6" w:space="0" w:color="auto"/>
              <w:right w:val="nil" w:sz="6" w:space="0" w:color="auto"/>
            </w:tcBorders>
          </w:tcPr>
          <w:p>
            <w:pPr/>
          </w:p>
        </w:tc>
      </w:tr>
      <w:tr>
        <w:trPr>
          <w:trHeight w:val="360" w:hRule="exact"/>
        </w:trPr>
        <w:tc>
          <w:tcPr>
            <w:tcW w:w="1072"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482" w:type="dxa"/>
            <w:vMerge/>
            <w:tcBorders>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18"/>
                <w:szCs w:val="18"/>
              </w:rPr>
            </w:pPr>
            <w:r>
              <w:rPr>
                <w:rFonts w:ascii="Times New Roman"/>
                <w:sz w:val="18"/>
              </w:rPr>
              <w:t>1,000,000.00</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18"/>
                <w:szCs w:val="18"/>
              </w:rPr>
            </w:pPr>
            <w:r>
              <w:rPr>
                <w:rFonts w:ascii="Times New Roman"/>
                <w:sz w:val="18"/>
              </w:rPr>
              <w:t>1,000,000.00</w:t>
            </w:r>
          </w:p>
        </w:tc>
        <w:tc>
          <w:tcPr>
            <w:tcW w:w="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right="16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Times New Roman" w:hAnsi="Times New Roman" w:cs="Times New Roman" w:eastAsia="Times New Roman" w:hint="default"/>
                <w:sz w:val="18"/>
                <w:szCs w:val="18"/>
              </w:rPr>
            </w:pPr>
            <w:r>
              <w:rPr>
                <w:rFonts w:ascii="Times New Roman"/>
                <w:sz w:val="18"/>
              </w:rPr>
              <w:t>1,000,000.00</w:t>
            </w:r>
          </w:p>
        </w:tc>
        <w:tc>
          <w:tcPr>
            <w:tcW w:w="8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8"/>
                <w:szCs w:val="18"/>
              </w:rPr>
            </w:pPr>
            <w:r>
              <w:rPr>
                <w:rFonts w:ascii="Times New Roman"/>
                <w:sz w:val="18"/>
              </w:rPr>
              <w:t>100%</w:t>
            </w:r>
          </w:p>
        </w:tc>
        <w:tc>
          <w:tcPr>
            <w:tcW w:w="9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8"/>
                <w:szCs w:val="18"/>
              </w:rPr>
            </w:pPr>
            <w:r>
              <w:rPr>
                <w:rFonts w:ascii="Times New Roman"/>
                <w:sz w:val="18"/>
              </w:rPr>
              <w:t>100%</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5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right="162"/>
              <w:jc w:val="right"/>
              <w:rPr>
                <w:rFonts w:ascii="Times New Roman" w:hAnsi="Times New Roman" w:cs="Times New Roman" w:eastAsia="Times New Roman" w:hint="default"/>
                <w:sz w:val="18"/>
                <w:szCs w:val="18"/>
              </w:rPr>
            </w:pPr>
            <w:r>
              <w:rPr>
                <w:rFonts w:ascii="Times New Roman"/>
                <w:sz w:val="18"/>
              </w:rPr>
              <w:t>-</w:t>
            </w:r>
          </w:p>
        </w:tc>
        <w:tc>
          <w:tcPr>
            <w:tcW w:w="6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right="170"/>
              <w:jc w:val="right"/>
              <w:rPr>
                <w:rFonts w:ascii="Times New Roman" w:hAnsi="Times New Roman" w:cs="Times New Roman" w:eastAsia="Times New Roman" w:hint="default"/>
                <w:sz w:val="18"/>
                <w:szCs w:val="18"/>
              </w:rPr>
            </w:pPr>
            <w:r>
              <w:rPr>
                <w:rFonts w:ascii="Times New Roman"/>
                <w:sz w:val="18"/>
              </w:rPr>
              <w:t>-</w:t>
            </w:r>
          </w:p>
        </w:tc>
        <w:tc>
          <w:tcPr>
            <w:tcW w:w="538" w:type="dxa"/>
            <w:tcBorders>
              <w:top w:val="nil" w:sz="6" w:space="0" w:color="auto"/>
              <w:left w:val="single" w:sz="4" w:space="0" w:color="000000"/>
              <w:bottom w:val="single" w:sz="4" w:space="0" w:color="000000"/>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8"/>
                <w:szCs w:val="18"/>
              </w:rPr>
            </w:pPr>
            <w:r>
              <w:rPr>
                <w:rFonts w:ascii="Times New Roman"/>
                <w:sz w:val="18"/>
              </w:rPr>
              <w:t>-</w:t>
            </w:r>
          </w:p>
        </w:tc>
      </w:tr>
      <w:tr>
        <w:trPr>
          <w:trHeight w:val="664" w:hRule="exact"/>
        </w:trPr>
        <w:tc>
          <w:tcPr>
            <w:tcW w:w="1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2"/>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1,000,000.00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无</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2"/>
              <w:jc w:val="right"/>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2"/>
          <w:szCs w:val="22"/>
        </w:rPr>
      </w:pPr>
    </w:p>
    <w:p>
      <w:pPr>
        <w:spacing w:before="35"/>
        <w:ind w:left="48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48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6"/>
        <w:rPr>
          <w:rFonts w:ascii="宋体" w:hAnsi="宋体" w:cs="宋体" w:eastAsia="宋体" w:hint="default"/>
          <w:sz w:val="15"/>
          <w:szCs w:val="15"/>
        </w:rPr>
      </w:pPr>
    </w:p>
    <w:p>
      <w:pPr>
        <w:spacing w:before="35"/>
        <w:ind w:left="6816"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64" w:type="dxa"/>
        <w:tblLayout w:type="fixed"/>
        <w:tblCellMar>
          <w:top w:w="0" w:type="dxa"/>
          <w:left w:w="0" w:type="dxa"/>
          <w:bottom w:w="0" w:type="dxa"/>
          <w:right w:w="0" w:type="dxa"/>
        </w:tblCellMar>
        <w:tblLook w:val="01E0"/>
      </w:tblPr>
      <w:tblGrid>
        <w:gridCol w:w="2384"/>
        <w:gridCol w:w="3100"/>
        <w:gridCol w:w="3100"/>
      </w:tblGrid>
      <w:tr>
        <w:trPr>
          <w:trHeight w:val="386"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90,244,022.54</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73,249,447.36</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1,898,305.20</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1,898,305.20</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92,142,327.74</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75,147,752.56</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47,415,948.09</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33,443,848.03</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1,146,476.16</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1,123,739.52</w:t>
            </w:r>
          </w:p>
        </w:tc>
      </w:tr>
      <w:tr>
        <w:trPr>
          <w:trHeight w:val="388"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48,562,424.25</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34,567,587.55</w:t>
            </w:r>
          </w:p>
        </w:tc>
      </w:tr>
    </w:tbl>
    <w:p>
      <w:pPr>
        <w:spacing w:line="240" w:lineRule="auto" w:before="4"/>
        <w:rPr>
          <w:rFonts w:ascii="宋体" w:hAnsi="宋体" w:cs="宋体" w:eastAsia="宋体" w:hint="default"/>
          <w:sz w:val="22"/>
          <w:szCs w:val="22"/>
        </w:rPr>
      </w:pPr>
    </w:p>
    <w:p>
      <w:pPr>
        <w:spacing w:before="35"/>
        <w:ind w:left="48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6"/>
        <w:rPr>
          <w:rFonts w:ascii="宋体" w:hAnsi="宋体" w:cs="宋体" w:eastAsia="宋体" w:hint="default"/>
          <w:sz w:val="15"/>
          <w:szCs w:val="15"/>
        </w:rPr>
      </w:pPr>
    </w:p>
    <w:p>
      <w:pPr>
        <w:spacing w:before="35"/>
        <w:ind w:left="6816"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33" w:type="dxa"/>
        <w:tblLayout w:type="fixed"/>
        <w:tblCellMar>
          <w:top w:w="0" w:type="dxa"/>
          <w:left w:w="0" w:type="dxa"/>
          <w:bottom w:w="0" w:type="dxa"/>
          <w:right w:w="0" w:type="dxa"/>
        </w:tblCellMar>
        <w:tblLook w:val="01E0"/>
      </w:tblPr>
      <w:tblGrid>
        <w:gridCol w:w="2317"/>
        <w:gridCol w:w="1570"/>
        <w:gridCol w:w="1571"/>
        <w:gridCol w:w="1570"/>
        <w:gridCol w:w="1571"/>
      </w:tblGrid>
      <w:tr>
        <w:trPr>
          <w:trHeight w:val="386" w:hRule="exact"/>
        </w:trPr>
        <w:tc>
          <w:tcPr>
            <w:tcW w:w="2317"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317" w:type="dxa"/>
            <w:vMerge/>
            <w:tcBorders>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1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8"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90,244,022.54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47,415,948.09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7" w:right="0"/>
              <w:jc w:val="left"/>
              <w:rPr>
                <w:rFonts w:ascii="Times New Roman" w:hAnsi="Times New Roman" w:cs="Times New Roman" w:eastAsia="Times New Roman" w:hint="default"/>
                <w:sz w:val="18"/>
                <w:szCs w:val="18"/>
              </w:rPr>
            </w:pPr>
            <w:r>
              <w:rPr>
                <w:rFonts w:ascii="Times New Roman"/>
                <w:sz w:val="18"/>
              </w:rPr>
              <w:t>73,249,447.36</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0"/>
              <w:jc w:val="right"/>
              <w:rPr>
                <w:rFonts w:ascii="Times New Roman" w:hAnsi="Times New Roman" w:cs="Times New Roman" w:eastAsia="Times New Roman" w:hint="default"/>
                <w:sz w:val="18"/>
                <w:szCs w:val="18"/>
              </w:rPr>
            </w:pPr>
            <w:r>
              <w:rPr>
                <w:rFonts w:ascii="Times New Roman"/>
                <w:spacing w:val="-1"/>
                <w:sz w:val="18"/>
              </w:rPr>
              <w:t>33,443,848.03</w:t>
            </w:r>
          </w:p>
        </w:tc>
      </w:tr>
      <w:tr>
        <w:trPr>
          <w:trHeight w:val="388"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90,244,022.54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47,415,948.09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7" w:right="0"/>
              <w:jc w:val="left"/>
              <w:rPr>
                <w:rFonts w:ascii="Times New Roman" w:hAnsi="Times New Roman" w:cs="Times New Roman" w:eastAsia="Times New Roman" w:hint="default"/>
                <w:sz w:val="18"/>
                <w:szCs w:val="18"/>
              </w:rPr>
            </w:pPr>
            <w:r>
              <w:rPr>
                <w:rFonts w:ascii="Times New Roman"/>
                <w:sz w:val="18"/>
              </w:rPr>
              <w:t>73,249,447.36</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0"/>
              <w:jc w:val="right"/>
              <w:rPr>
                <w:rFonts w:ascii="Times New Roman" w:hAnsi="Times New Roman" w:cs="Times New Roman" w:eastAsia="Times New Roman" w:hint="default"/>
                <w:sz w:val="18"/>
                <w:szCs w:val="18"/>
              </w:rPr>
            </w:pPr>
            <w:r>
              <w:rPr>
                <w:rFonts w:ascii="Times New Roman"/>
                <w:spacing w:val="-1"/>
                <w:sz w:val="18"/>
              </w:rPr>
              <w:t>33,443,848.03</w:t>
            </w:r>
          </w:p>
        </w:tc>
      </w:tr>
    </w:tbl>
    <w:p>
      <w:pPr>
        <w:spacing w:line="240" w:lineRule="auto" w:before="5"/>
        <w:rPr>
          <w:rFonts w:ascii="宋体" w:hAnsi="宋体" w:cs="宋体" w:eastAsia="宋体" w:hint="default"/>
          <w:sz w:val="22"/>
          <w:szCs w:val="22"/>
        </w:rPr>
      </w:pPr>
    </w:p>
    <w:p>
      <w:pPr>
        <w:spacing w:before="35"/>
        <w:ind w:left="48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5"/>
        <w:rPr>
          <w:rFonts w:ascii="宋体" w:hAnsi="宋体" w:cs="宋体" w:eastAsia="宋体" w:hint="default"/>
          <w:sz w:val="15"/>
          <w:szCs w:val="15"/>
        </w:rPr>
      </w:pPr>
    </w:p>
    <w:p>
      <w:pPr>
        <w:spacing w:before="35"/>
        <w:ind w:left="6816"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55" w:type="dxa"/>
        <w:tblLayout w:type="fixed"/>
        <w:tblCellMar>
          <w:top w:w="0" w:type="dxa"/>
          <w:left w:w="0" w:type="dxa"/>
          <w:bottom w:w="0" w:type="dxa"/>
          <w:right w:w="0" w:type="dxa"/>
        </w:tblCellMar>
        <w:tblLook w:val="01E0"/>
      </w:tblPr>
      <w:tblGrid>
        <w:gridCol w:w="2275"/>
        <w:gridCol w:w="1657"/>
        <w:gridCol w:w="1532"/>
        <w:gridCol w:w="1531"/>
        <w:gridCol w:w="1524"/>
      </w:tblGrid>
      <w:tr>
        <w:trPr>
          <w:trHeight w:val="388" w:hRule="exact"/>
        </w:trPr>
        <w:tc>
          <w:tcPr>
            <w:tcW w:w="2275"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5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275"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00"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877" w:footer="982" w:top="1100" w:bottom="1180" w:left="1160" w:right="360"/>
        </w:sectPr>
      </w:pPr>
    </w:p>
    <w:p>
      <w:pPr>
        <w:spacing w:line="240" w:lineRule="auto" w:before="6"/>
        <w:rPr>
          <w:rFonts w:ascii="宋体" w:hAnsi="宋体" w:cs="宋体" w:eastAsia="宋体" w:hint="default"/>
          <w:sz w:val="24"/>
          <w:szCs w:val="24"/>
        </w:rPr>
      </w:pPr>
    </w:p>
    <w:tbl>
      <w:tblPr>
        <w:tblW w:w="0" w:type="auto"/>
        <w:jc w:val="left"/>
        <w:tblInd w:w="193" w:type="dxa"/>
        <w:tblLayout w:type="fixed"/>
        <w:tblCellMar>
          <w:top w:w="0" w:type="dxa"/>
          <w:left w:w="0" w:type="dxa"/>
          <w:bottom w:w="0" w:type="dxa"/>
          <w:right w:w="0" w:type="dxa"/>
        </w:tblCellMar>
        <w:tblLook w:val="01E0"/>
      </w:tblPr>
      <w:tblGrid>
        <w:gridCol w:w="2297"/>
        <w:gridCol w:w="1657"/>
        <w:gridCol w:w="1532"/>
        <w:gridCol w:w="1531"/>
        <w:gridCol w:w="1531"/>
      </w:tblGrid>
      <w:tr>
        <w:trPr>
          <w:trHeight w:val="38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软件产品及开发</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68,075,672.99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30,810,041.71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53,020,952.04</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17,184,762.23</w:t>
            </w:r>
          </w:p>
        </w:tc>
      </w:tr>
      <w:tr>
        <w:trPr>
          <w:trHeight w:val="38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14,122,444.43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12,245,074.03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16,501,896.06</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14,010,615.12</w:t>
            </w:r>
          </w:p>
        </w:tc>
      </w:tr>
      <w:tr>
        <w:trPr>
          <w:trHeight w:val="38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服务类</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8,045,905.12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4,360,832.35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3,726,599.26</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2,248,470.68</w:t>
            </w:r>
          </w:p>
        </w:tc>
      </w:tr>
      <w:tr>
        <w:trPr>
          <w:trHeight w:val="38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90,244,022.54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18"/>
                <w:szCs w:val="18"/>
              </w:rPr>
            </w:pPr>
            <w:r>
              <w:rPr>
                <w:rFonts w:ascii="Times New Roman"/>
                <w:spacing w:val="-1"/>
                <w:sz w:val="18"/>
              </w:rPr>
              <w:t>47,415,948.09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73,249,447.36</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pacing w:val="-1"/>
                <w:sz w:val="18"/>
              </w:rPr>
              <w:t>33,443,848.03</w:t>
            </w:r>
          </w:p>
        </w:tc>
      </w:tr>
    </w:tbl>
    <w:p>
      <w:pPr>
        <w:spacing w:line="240" w:lineRule="auto" w:before="4"/>
        <w:rPr>
          <w:rFonts w:ascii="宋体" w:hAnsi="宋体" w:cs="宋体" w:eastAsia="宋体" w:hint="default"/>
          <w:sz w:val="22"/>
          <w:szCs w:val="22"/>
        </w:rPr>
      </w:pPr>
    </w:p>
    <w:p>
      <w:pPr>
        <w:spacing w:before="35"/>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5"/>
        <w:rPr>
          <w:rFonts w:ascii="宋体" w:hAnsi="宋体" w:cs="宋体" w:eastAsia="宋体" w:hint="default"/>
          <w:sz w:val="15"/>
          <w:szCs w:val="15"/>
        </w:rPr>
      </w:pPr>
    </w:p>
    <w:p>
      <w:pPr>
        <w:spacing w:before="35"/>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958"/>
        <w:gridCol w:w="2566"/>
        <w:gridCol w:w="3325"/>
      </w:tblGrid>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3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6,113,888.90</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6.64</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中国农业银行四川省分行</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4,267,531.44</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4.63</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中国工商银行湖北省分行</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3,308,215.32</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3.59</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中国农业银行广西省分行</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2,991,367.60</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3.25</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中国工商银行深圳市分行</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2,877,622.15</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3.12</w:t>
            </w:r>
          </w:p>
        </w:tc>
      </w:tr>
      <w:tr>
        <w:trPr>
          <w:trHeight w:val="388"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19,558,625.41</w:t>
            </w:r>
          </w:p>
        </w:tc>
        <w:tc>
          <w:tcPr>
            <w:tcW w:w="3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4"/>
              <w:jc w:val="center"/>
              <w:rPr>
                <w:rFonts w:ascii="Times New Roman" w:hAnsi="Times New Roman" w:cs="Times New Roman" w:eastAsia="Times New Roman" w:hint="default"/>
                <w:sz w:val="18"/>
                <w:szCs w:val="18"/>
              </w:rPr>
            </w:pPr>
            <w:r>
              <w:rPr>
                <w:rFonts w:ascii="Times New Roman"/>
                <w:sz w:val="18"/>
              </w:rPr>
              <w:t>21.23</w:t>
            </w:r>
          </w:p>
        </w:tc>
      </w:tr>
    </w:tbl>
    <w:p>
      <w:pPr>
        <w:spacing w:line="240" w:lineRule="auto" w:before="4"/>
        <w:rPr>
          <w:rFonts w:ascii="宋体" w:hAnsi="宋体" w:cs="宋体" w:eastAsia="宋体" w:hint="default"/>
          <w:sz w:val="22"/>
          <w:szCs w:val="22"/>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4"/>
        <w:rPr>
          <w:rFonts w:ascii="宋体" w:hAnsi="宋体" w:cs="宋体" w:eastAsia="宋体" w:hint="default"/>
          <w:sz w:val="13"/>
          <w:szCs w:val="13"/>
        </w:rPr>
      </w:pPr>
    </w:p>
    <w:p>
      <w:pPr>
        <w:spacing w:before="35"/>
        <w:ind w:left="0" w:right="21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068"/>
        <w:gridCol w:w="1844"/>
        <w:gridCol w:w="1842"/>
      </w:tblGrid>
      <w:tr>
        <w:trPr>
          <w:trHeight w:val="388"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6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before="172"/>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）按成本法核算的长期股权投资收益</w:t>
      </w:r>
    </w:p>
    <w:p>
      <w:pPr>
        <w:spacing w:line="240" w:lineRule="auto" w:before="4"/>
        <w:rPr>
          <w:rFonts w:ascii="宋体" w:hAnsi="宋体" w:cs="宋体" w:eastAsia="宋体" w:hint="default"/>
          <w:sz w:val="13"/>
          <w:szCs w:val="13"/>
        </w:rPr>
      </w:pPr>
    </w:p>
    <w:p>
      <w:pPr>
        <w:spacing w:before="35"/>
        <w:ind w:left="0" w:right="21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370"/>
        <w:gridCol w:w="1528"/>
        <w:gridCol w:w="1526"/>
        <w:gridCol w:w="3400"/>
      </w:tblGrid>
      <w:tr>
        <w:trPr>
          <w:trHeight w:val="386"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74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622"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86"/>
              <w:jc w:val="left"/>
              <w:rPr>
                <w:rFonts w:ascii="宋体" w:hAnsi="宋体" w:cs="宋体" w:eastAsia="宋体" w:hint="default"/>
                <w:sz w:val="18"/>
                <w:szCs w:val="18"/>
              </w:rPr>
            </w:pPr>
            <w:r>
              <w:rPr>
                <w:rFonts w:ascii="宋体" w:hAnsi="宋体" w:cs="宋体" w:eastAsia="宋体" w:hint="default"/>
                <w:spacing w:val="15"/>
                <w:sz w:val="18"/>
                <w:szCs w:val="18"/>
              </w:rPr>
              <w:t>深圳市银之杰软件有限公 </w:t>
            </w:r>
            <w:r>
              <w:rPr>
                <w:rFonts w:ascii="宋体" w:hAnsi="宋体" w:cs="宋体" w:eastAsia="宋体" w:hint="default"/>
                <w:sz w:val="18"/>
                <w:szCs w:val="18"/>
              </w:rPr>
              <w:t>司</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23,000,000.00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3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4"/>
              <w:jc w:val="center"/>
              <w:rPr>
                <w:rFonts w:ascii="宋体" w:hAnsi="宋体" w:cs="宋体" w:eastAsia="宋体" w:hint="default"/>
                <w:sz w:val="18"/>
                <w:szCs w:val="18"/>
              </w:rPr>
            </w:pPr>
            <w:r>
              <w:rPr>
                <w:rFonts w:ascii="宋体" w:hAnsi="宋体" w:cs="宋体" w:eastAsia="宋体" w:hint="default"/>
                <w:sz w:val="18"/>
                <w:szCs w:val="18"/>
              </w:rPr>
              <w:t>子公司进行利润分配</w:t>
            </w:r>
          </w:p>
        </w:tc>
      </w:tr>
      <w:tr>
        <w:trPr>
          <w:trHeight w:val="388" w:hRule="exact"/>
        </w:trPr>
        <w:tc>
          <w:tcPr>
            <w:tcW w:w="2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79" w:right="0"/>
              <w:jc w:val="left"/>
              <w:rPr>
                <w:rFonts w:ascii="Times New Roman" w:hAnsi="Times New Roman" w:cs="Times New Roman" w:eastAsia="Times New Roman" w:hint="default"/>
                <w:sz w:val="18"/>
                <w:szCs w:val="18"/>
              </w:rPr>
            </w:pPr>
            <w:r>
              <w:rPr>
                <w:rFonts w:ascii="Times New Roman"/>
                <w:sz w:val="18"/>
              </w:rPr>
              <w:t>23,000,000.00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w:t>
            </w:r>
          </w:p>
        </w:tc>
        <w:tc>
          <w:tcPr>
            <w:tcW w:w="3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before="172"/>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）按权益法核算的长期股权投资收益：无。</w:t>
      </w:r>
    </w:p>
    <w:p>
      <w:pPr>
        <w:spacing w:line="240" w:lineRule="auto" w:before="0"/>
        <w:rPr>
          <w:rFonts w:ascii="宋体" w:hAnsi="宋体" w:cs="宋体" w:eastAsia="宋体" w:hint="default"/>
          <w:sz w:val="16"/>
          <w:szCs w:val="16"/>
        </w:rPr>
      </w:pPr>
    </w:p>
    <w:p>
      <w:pPr>
        <w:spacing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）投资收益的说明：</w:t>
      </w:r>
    </w:p>
    <w:p>
      <w:pPr>
        <w:spacing w:before="103"/>
        <w:ind w:left="664"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日控股子公司深圳市银之杰软件技术有限公司《关于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年度利润</w:t>
      </w:r>
    </w:p>
    <w:p>
      <w:pPr>
        <w:spacing w:before="117"/>
        <w:ind w:left="243" w:right="0" w:firstLine="0"/>
        <w:jc w:val="left"/>
        <w:rPr>
          <w:rFonts w:ascii="宋体" w:hAnsi="宋体" w:cs="宋体" w:eastAsia="宋体" w:hint="default"/>
          <w:sz w:val="21"/>
          <w:szCs w:val="21"/>
        </w:rPr>
      </w:pPr>
      <w:r>
        <w:rPr>
          <w:rFonts w:ascii="宋体" w:hAnsi="宋体" w:cs="宋体" w:eastAsia="宋体" w:hint="default"/>
          <w:spacing w:val="-3"/>
          <w:sz w:val="21"/>
          <w:szCs w:val="21"/>
        </w:rPr>
        <w:t>分配的执行董事决议书》和本公司《关于深圳市银之杰软件技术有限公司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年度利润分配的</w:t>
      </w:r>
    </w:p>
    <w:p>
      <w:pPr>
        <w:spacing w:line="336" w:lineRule="auto" w:before="118"/>
        <w:ind w:left="243" w:right="219" w:firstLine="0"/>
        <w:jc w:val="left"/>
        <w:rPr>
          <w:rFonts w:ascii="宋体" w:hAnsi="宋体" w:cs="宋体" w:eastAsia="宋体" w:hint="default"/>
          <w:sz w:val="21"/>
          <w:szCs w:val="21"/>
        </w:rPr>
      </w:pPr>
      <w:r>
        <w:rPr>
          <w:rFonts w:ascii="宋体" w:hAnsi="宋体" w:cs="宋体" w:eastAsia="宋体" w:hint="default"/>
          <w:spacing w:val="-12"/>
          <w:sz w:val="21"/>
          <w:szCs w:val="21"/>
        </w:rPr>
        <w:t>股东会决议书》，决定将截至</w:t>
      </w:r>
      <w:r>
        <w:rPr>
          <w:rFonts w:ascii="宋体" w:hAnsi="宋体" w:cs="宋体" w:eastAsia="宋体" w:hint="default"/>
          <w:spacing w:val="-47"/>
          <w:sz w:val="21"/>
          <w:szCs w:val="21"/>
        </w:rPr>
        <w:t> </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年末累计税后可分配利润中的货币资金</w:t>
      </w:r>
      <w:r>
        <w:rPr>
          <w:rFonts w:ascii="宋体" w:hAnsi="宋体" w:cs="宋体" w:eastAsia="宋体" w:hint="default"/>
          <w:spacing w:val="-47"/>
          <w:sz w:val="21"/>
          <w:szCs w:val="21"/>
        </w:rPr>
        <w:t> </w:t>
      </w:r>
      <w:r>
        <w:rPr>
          <w:rFonts w:ascii="Times New Roman" w:hAnsi="Times New Roman" w:cs="Times New Roman" w:eastAsia="Times New Roman" w:hint="default"/>
          <w:spacing w:val="-1"/>
          <w:sz w:val="21"/>
          <w:szCs w:val="21"/>
        </w:rPr>
        <w:t>23,000,000.00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元分配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给本公司。</w:t>
      </w:r>
    </w:p>
    <w:p>
      <w:pPr>
        <w:spacing w:after="0" w:line="336" w:lineRule="auto"/>
        <w:jc w:val="left"/>
        <w:rPr>
          <w:rFonts w:ascii="宋体" w:hAnsi="宋体" w:cs="宋体" w:eastAsia="宋体" w:hint="default"/>
          <w:sz w:val="21"/>
          <w:szCs w:val="21"/>
        </w:rPr>
        <w:sectPr>
          <w:pgSz w:w="11910" w:h="16840"/>
          <w:pgMar w:header="877" w:footer="982" w:top="1100" w:bottom="1180" w:left="1400" w:right="1420"/>
        </w:sectPr>
      </w:pPr>
    </w:p>
    <w:p>
      <w:pPr>
        <w:spacing w:line="240" w:lineRule="auto" w:before="2"/>
        <w:rPr>
          <w:rFonts w:ascii="宋体" w:hAnsi="宋体" w:cs="宋体" w:eastAsia="宋体" w:hint="default"/>
          <w:sz w:val="19"/>
          <w:szCs w:val="19"/>
        </w:rPr>
      </w:pPr>
    </w:p>
    <w:p>
      <w:pPr>
        <w:spacing w:before="35"/>
        <w:ind w:left="24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19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5755"/>
        <w:gridCol w:w="1602"/>
        <w:gridCol w:w="1492"/>
      </w:tblGrid>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7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39,808,813.74</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21,479,291.08</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2,327,471.12</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1,269,836.32</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1,961,268.34</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1,818,504.97</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6,459.85</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5,379.88</w:t>
            </w:r>
          </w:p>
        </w:tc>
      </w:tr>
      <w:tr>
        <w:trPr>
          <w:trHeight w:val="386"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55,105.27</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25,924.44</w:t>
            </w:r>
          </w:p>
        </w:tc>
      </w:tr>
      <w:tr>
        <w:trPr>
          <w:trHeight w:val="622"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64"/>
              <w:ind w:left="122" w:right="102" w:firstLine="36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z w:val="18"/>
                <w:szCs w:val="18"/>
              </w:rPr>
              <w:t> 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576.85</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601,401.60</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1,201,424.78</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-232,747.11</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z w:val="18"/>
              </w:rPr>
              <w:t>-126,983.63</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-276,399.99</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8"/>
                <w:szCs w:val="18"/>
              </w:rPr>
            </w:pPr>
            <w:r>
              <w:rPr>
                <w:rFonts w:ascii="Times New Roman"/>
                <w:spacing w:val="-1"/>
                <w:sz w:val="18"/>
              </w:rPr>
              <w:t>-611,003.97</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-21,703,169.94</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-10,814,765.06</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3,697,269.71</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-3,441,280.18</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-193,160.95</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77,701.67</w:t>
            </w:r>
          </w:p>
        </w:tc>
      </w:tr>
      <w:tr>
        <w:trPr>
          <w:trHeight w:val="386"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3,052,888.49</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10,884,030.30</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406,944,604.19</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39,577,469.39</w:t>
            </w:r>
          </w:p>
        </w:tc>
      </w:tr>
      <w:tr>
        <w:trPr>
          <w:trHeight w:val="386"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39,577,469.39</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31,880,789.24</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57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367,367,134.80</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pacing w:val="-1"/>
                <w:sz w:val="18"/>
              </w:rPr>
              <w:t>7,696,680.15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436" w:lineRule="auto" w:before="0"/>
        <w:ind w:left="664" w:right="450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、反向购买下以评估值入账的资产、负债情况</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436" w:lineRule="auto"/>
        <w:jc w:val="left"/>
        <w:rPr>
          <w:rFonts w:ascii="宋体" w:hAnsi="宋体" w:cs="宋体" w:eastAsia="宋体" w:hint="default"/>
          <w:sz w:val="21"/>
          <w:szCs w:val="21"/>
        </w:rPr>
        <w:sectPr>
          <w:pgSz w:w="11910" w:h="16840"/>
          <w:pgMar w:header="877" w:footer="982" w:top="1100" w:bottom="1180" w:left="1400" w:right="14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29"/>
        <w:ind w:right="273"/>
        <w:jc w:val="left"/>
        <w:rPr>
          <w:b w:val="0"/>
          <w:bCs w:val="0"/>
        </w:rPr>
      </w:pPr>
      <w:r>
        <w:rPr/>
        <w:t>十四、</w:t>
      </w:r>
      <w:r>
        <w:rPr>
          <w:spacing w:val="31"/>
        </w:rPr>
        <w:t> </w:t>
      </w:r>
      <w:r>
        <w:rPr/>
        <w:t>补充资料</w:t>
      </w:r>
      <w:r>
        <w:rPr>
          <w:b w:val="0"/>
          <w:bCs w:val="0"/>
        </w:rPr>
      </w:r>
    </w:p>
    <w:p>
      <w:pPr>
        <w:spacing w:line="240" w:lineRule="auto" w:before="9"/>
        <w:rPr>
          <w:rFonts w:ascii="宋体" w:hAnsi="宋体" w:cs="宋体" w:eastAsia="宋体" w:hint="default"/>
          <w:b/>
          <w:bCs/>
          <w:sz w:val="20"/>
          <w:szCs w:val="20"/>
        </w:rPr>
      </w:pPr>
    </w:p>
    <w:p>
      <w:pPr>
        <w:spacing w:before="0"/>
        <w:ind w:left="144" w:right="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8"/>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5234"/>
        <w:gridCol w:w="1620"/>
        <w:gridCol w:w="1800"/>
      </w:tblGrid>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842"/>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2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0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标准定额或定量享受的政府补助除外）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3,800,600.00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见政府补助明细表</w:t>
            </w: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22"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时应享有被投资单位可辨认净资产公允价值产生的收益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1087"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44"/>
              <w:ind w:left="122" w:right="101"/>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2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92"/>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产生的损益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22"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对当期损益的影响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3,923.15</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380,422.32</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3,424,100.83</w:t>
            </w:r>
          </w:p>
        </w:tc>
        <w:tc>
          <w:tcPr>
            <w:tcW w:w="18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22"/>
          <w:szCs w:val="22"/>
        </w:rPr>
      </w:pPr>
    </w:p>
    <w:p>
      <w:pPr>
        <w:spacing w:before="35"/>
        <w:ind w:left="564" w:right="0" w:firstLine="0"/>
        <w:jc w:val="left"/>
        <w:rPr>
          <w:rFonts w:ascii="宋体" w:hAnsi="宋体" w:cs="宋体" w:eastAsia="宋体" w:hint="default"/>
          <w:sz w:val="21"/>
          <w:szCs w:val="21"/>
        </w:rPr>
      </w:pPr>
      <w:r>
        <w:rPr>
          <w:rFonts w:ascii="宋体" w:hAnsi="宋体" w:cs="宋体" w:eastAsia="宋体" w:hint="default"/>
          <w:sz w:val="21"/>
          <w:szCs w:val="21"/>
        </w:rPr>
        <w:t>对公司根据《公开发行证券的公司信息披露解释性公告第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非经常性损益》定义界</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2"/>
        <w:rPr>
          <w:rFonts w:ascii="宋体" w:hAnsi="宋体" w:cs="宋体" w:eastAsia="宋体" w:hint="default"/>
          <w:sz w:val="19"/>
          <w:szCs w:val="19"/>
        </w:rPr>
      </w:pPr>
    </w:p>
    <w:p>
      <w:pPr>
        <w:spacing w:line="336" w:lineRule="auto" w:before="35"/>
        <w:ind w:left="483" w:right="483" w:firstLine="0"/>
        <w:jc w:val="left"/>
        <w:rPr>
          <w:rFonts w:ascii="宋体" w:hAnsi="宋体" w:cs="宋体" w:eastAsia="宋体" w:hint="default"/>
          <w:sz w:val="21"/>
          <w:szCs w:val="21"/>
        </w:rPr>
      </w:pPr>
      <w:r>
        <w:rPr>
          <w:rFonts w:ascii="宋体" w:hAnsi="宋体" w:cs="宋体" w:eastAsia="宋体" w:hint="default"/>
          <w:sz w:val="21"/>
          <w:szCs w:val="21"/>
        </w:rPr>
        <w:t>定的非经常性损益项目，以及把《公开发行证券的公司信息披露解释性公告第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 性损益》中列举的非经常性损益项目界定为经常性损益的项目，应说明原因。</w:t>
      </w:r>
    </w:p>
    <w:p>
      <w:pPr>
        <w:spacing w:before="169"/>
        <w:ind w:left="0" w:right="47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64" w:type="dxa"/>
        <w:tblLayout w:type="fixed"/>
        <w:tblCellMar>
          <w:top w:w="0" w:type="dxa"/>
          <w:left w:w="0" w:type="dxa"/>
          <w:bottom w:w="0" w:type="dxa"/>
          <w:right w:w="0" w:type="dxa"/>
        </w:tblCellMar>
        <w:tblLook w:val="01E0"/>
      </w:tblPr>
      <w:tblGrid>
        <w:gridCol w:w="3254"/>
        <w:gridCol w:w="1508"/>
        <w:gridCol w:w="3978"/>
      </w:tblGrid>
      <w:tr>
        <w:trPr>
          <w:trHeight w:val="38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88" w:right="0"/>
              <w:jc w:val="left"/>
              <w:rPr>
                <w:rFonts w:ascii="宋体" w:hAnsi="宋体" w:cs="宋体" w:eastAsia="宋体" w:hint="default"/>
                <w:sz w:val="18"/>
                <w:szCs w:val="18"/>
              </w:rPr>
            </w:pPr>
            <w:r>
              <w:rPr>
                <w:rFonts w:ascii="宋体" w:hAnsi="宋体" w:cs="宋体" w:eastAsia="宋体" w:hint="default"/>
                <w:sz w:val="18"/>
                <w:szCs w:val="18"/>
              </w:rPr>
              <w:t>涉及金额</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62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年经济发展资金扶持上市资助款</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41"/>
              <w:ind w:left="103" w:right="0"/>
              <w:jc w:val="left"/>
              <w:rPr>
                <w:rFonts w:ascii="宋体" w:hAnsi="宋体" w:cs="宋体" w:eastAsia="宋体" w:hint="default"/>
                <w:sz w:val="18"/>
                <w:szCs w:val="18"/>
              </w:rPr>
            </w:pPr>
            <w:r>
              <w:rPr>
                <w:rFonts w:ascii="宋体" w:hAnsi="宋体" w:cs="宋体" w:eastAsia="宋体" w:hint="default"/>
                <w:sz w:val="18"/>
                <w:szCs w:val="18"/>
              </w:rPr>
              <w:t>符合《深圳市福田区科技发展资金管理暂行办法</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年修订稿）》扶持企业上市单位。</w:t>
            </w:r>
          </w:p>
        </w:tc>
      </w:tr>
      <w:tr>
        <w:trPr>
          <w:trHeight w:val="62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年科技发展资金重点资助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800,000.00</w:t>
            </w:r>
          </w:p>
        </w:tc>
        <w:tc>
          <w:tcPr>
            <w:tcW w:w="3978"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41"/>
              <w:ind w:left="103" w:right="0"/>
              <w:jc w:val="left"/>
              <w:rPr>
                <w:rFonts w:ascii="宋体" w:hAnsi="宋体" w:cs="宋体" w:eastAsia="宋体" w:hint="default"/>
                <w:sz w:val="18"/>
                <w:szCs w:val="18"/>
              </w:rPr>
            </w:pPr>
            <w:r>
              <w:rPr>
                <w:rFonts w:ascii="宋体" w:hAnsi="宋体" w:cs="宋体" w:eastAsia="宋体" w:hint="default"/>
                <w:sz w:val="18"/>
                <w:szCs w:val="18"/>
              </w:rPr>
              <w:t>符合《深圳市福田区科技发展资金管理暂行办法</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年修订稿）》重点资助单位。</w:t>
            </w:r>
          </w:p>
        </w:tc>
      </w:tr>
      <w:tr>
        <w:trPr>
          <w:trHeight w:val="38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年著作权登记资助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600.00</w:t>
            </w:r>
          </w:p>
        </w:tc>
        <w:tc>
          <w:tcPr>
            <w:tcW w:w="3978" w:type="dxa"/>
            <w:tcBorders>
              <w:top w:val="single" w:sz="4" w:space="0" w:color="000000"/>
              <w:left w:val="single" w:sz="4" w:space="0" w:color="000000"/>
              <w:bottom w:val="single" w:sz="4" w:space="0" w:color="000000"/>
              <w:right w:val="nil" w:sz="6" w:space="0" w:color="auto"/>
            </w:tcBorders>
          </w:tcPr>
          <w:p>
            <w:pPr/>
          </w:p>
        </w:tc>
      </w:tr>
      <w:tr>
        <w:trPr>
          <w:trHeight w:val="62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91"/>
              <w:jc w:val="left"/>
              <w:rPr>
                <w:rFonts w:ascii="宋体" w:hAnsi="宋体" w:cs="宋体" w:eastAsia="宋体" w:hint="default"/>
                <w:sz w:val="18"/>
                <w:szCs w:val="18"/>
              </w:rPr>
            </w:pPr>
            <w:r>
              <w:rPr>
                <w:rFonts w:ascii="宋体" w:hAnsi="宋体" w:cs="宋体" w:eastAsia="宋体" w:hint="default"/>
                <w:spacing w:val="9"/>
                <w:sz w:val="18"/>
                <w:szCs w:val="18"/>
              </w:rPr>
              <w:t>除上述各项之外的其他营业外收入和 </w:t>
            </w:r>
            <w:r>
              <w:rPr>
                <w:rFonts w:ascii="宋体" w:hAnsi="宋体" w:cs="宋体" w:eastAsia="宋体" w:hint="default"/>
                <w:sz w:val="18"/>
                <w:szCs w:val="18"/>
              </w:rPr>
              <w:t>支出</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3,923.15</w:t>
            </w:r>
          </w:p>
        </w:tc>
        <w:tc>
          <w:tcPr>
            <w:tcW w:w="3978"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非经常性损益对所得税的影响合计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z w:val="18"/>
              </w:rPr>
              <w:t>-380,422.32</w:t>
            </w:r>
          </w:p>
        </w:tc>
        <w:tc>
          <w:tcPr>
            <w:tcW w:w="3978"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3,424,100.83</w:t>
            </w:r>
          </w:p>
        </w:tc>
        <w:tc>
          <w:tcPr>
            <w:tcW w:w="397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36" w:lineRule="auto" w:before="0"/>
        <w:ind w:left="904" w:right="58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、境内外会计准则下会计数据差异</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before="82"/>
        <w:ind w:left="484" w:right="4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47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464" w:type="dxa"/>
        <w:tblLayout w:type="fixed"/>
        <w:tblCellMar>
          <w:top w:w="0" w:type="dxa"/>
          <w:left w:w="0" w:type="dxa"/>
          <w:bottom w:w="0" w:type="dxa"/>
          <w:right w:w="0" w:type="dxa"/>
        </w:tblCellMar>
        <w:tblLook w:val="01E0"/>
      </w:tblPr>
      <w:tblGrid>
        <w:gridCol w:w="2850"/>
        <w:gridCol w:w="2384"/>
        <w:gridCol w:w="1800"/>
        <w:gridCol w:w="1620"/>
      </w:tblGrid>
      <w:tr>
        <w:trPr>
          <w:trHeight w:val="388"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加权平均净资产收益率（</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p>
        </w:tc>
        <w:tc>
          <w:tcPr>
            <w:tcW w:w="342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88" w:hRule="exact"/>
        </w:trPr>
        <w:tc>
          <w:tcPr>
            <w:tcW w:w="2850" w:type="dxa"/>
            <w:vMerge/>
            <w:tcBorders>
              <w:left w:val="nil" w:sz="6" w:space="0" w:color="auto"/>
              <w:bottom w:val="single" w:sz="4" w:space="0" w:color="000000"/>
              <w:right w:val="single" w:sz="4" w:space="0" w:color="000000"/>
            </w:tcBorders>
          </w:tcPr>
          <w:p>
            <w:pPr/>
          </w:p>
        </w:tc>
        <w:tc>
          <w:tcPr>
            <w:tcW w:w="2384"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8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9.66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18"/>
                <w:szCs w:val="18"/>
              </w:rPr>
            </w:pPr>
            <w:r>
              <w:rPr>
                <w:rFonts w:ascii="Times New Roman"/>
                <w:sz w:val="18"/>
              </w:rPr>
              <w:t>0.6321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Times New Roman" w:hAnsi="Times New Roman" w:cs="Times New Roman" w:eastAsia="Times New Roman" w:hint="default"/>
                <w:sz w:val="18"/>
                <w:szCs w:val="18"/>
              </w:rPr>
            </w:pPr>
            <w:r>
              <w:rPr>
                <w:rFonts w:ascii="Times New Roman"/>
                <w:sz w:val="18"/>
              </w:rPr>
              <w:t>0.6321</w:t>
            </w:r>
          </w:p>
        </w:tc>
      </w:tr>
      <w:tr>
        <w:trPr>
          <w:trHeight w:val="62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0.5684</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0.5684</w:t>
            </w:r>
          </w:p>
        </w:tc>
      </w:tr>
    </w:tbl>
    <w:p>
      <w:pPr>
        <w:spacing w:line="240" w:lineRule="auto" w:before="4"/>
        <w:rPr>
          <w:rFonts w:ascii="宋体" w:hAnsi="宋体" w:cs="宋体" w:eastAsia="宋体" w:hint="default"/>
          <w:sz w:val="22"/>
          <w:szCs w:val="22"/>
        </w:rPr>
      </w:pPr>
    </w:p>
    <w:p>
      <w:pPr>
        <w:spacing w:before="35"/>
        <w:ind w:left="484" w:right="4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5"/>
        <w:ind w:left="0" w:right="47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271"/>
        <w:gridCol w:w="1415"/>
        <w:gridCol w:w="1320"/>
        <w:gridCol w:w="1478"/>
        <w:gridCol w:w="1003"/>
        <w:gridCol w:w="2887"/>
      </w:tblGrid>
      <w:tr>
        <w:trPr>
          <w:trHeight w:val="388"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8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8"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72" w:right="0"/>
              <w:jc w:val="left"/>
              <w:rPr>
                <w:rFonts w:ascii="宋体" w:hAnsi="宋体" w:cs="宋体" w:eastAsia="宋体" w:hint="default"/>
                <w:sz w:val="18"/>
                <w:szCs w:val="18"/>
              </w:rPr>
            </w:pPr>
            <w:r>
              <w:rPr>
                <w:rFonts w:ascii="宋体" w:hAnsi="宋体" w:cs="宋体" w:eastAsia="宋体" w:hint="default"/>
                <w:sz w:val="18"/>
                <w:szCs w:val="18"/>
              </w:rPr>
              <w:t>增加率</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943" w:right="0"/>
              <w:jc w:val="left"/>
              <w:rPr>
                <w:rFonts w:ascii="宋体" w:hAnsi="宋体" w:cs="宋体" w:eastAsia="宋体" w:hint="default"/>
                <w:sz w:val="18"/>
                <w:szCs w:val="18"/>
              </w:rPr>
            </w:pPr>
            <w:r>
              <w:rPr>
                <w:rFonts w:ascii="宋体" w:hAnsi="宋体" w:cs="宋体" w:eastAsia="宋体" w:hint="default"/>
                <w:sz w:val="18"/>
                <w:szCs w:val="18"/>
              </w:rPr>
              <w:t>变化原因分析</w:t>
            </w:r>
          </w:p>
        </w:tc>
      </w:tr>
      <w:tr>
        <w:trPr>
          <w:trHeight w:val="622"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433,006,815.47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49,605,158.29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383,401,657.18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772.91%</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93"/>
              <w:jc w:val="left"/>
              <w:rPr>
                <w:rFonts w:ascii="宋体" w:hAnsi="宋体" w:cs="宋体" w:eastAsia="宋体" w:hint="default"/>
                <w:sz w:val="18"/>
                <w:szCs w:val="18"/>
              </w:rPr>
            </w:pPr>
            <w:r>
              <w:rPr>
                <w:rFonts w:ascii="宋体" w:hAnsi="宋体" w:cs="宋体" w:eastAsia="宋体" w:hint="default"/>
                <w:spacing w:val="11"/>
                <w:sz w:val="18"/>
                <w:szCs w:val="18"/>
              </w:rPr>
              <w:t>主要为发行新股而形成的资金增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w:t>
            </w:r>
          </w:p>
        </w:tc>
      </w:tr>
      <w:tr>
        <w:trPr>
          <w:trHeight w:val="620"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47,621,649.64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31,843,047.81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15,778,601.83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49.55%</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66"/>
              <w:ind w:left="103" w:right="93"/>
              <w:jc w:val="left"/>
              <w:rPr>
                <w:rFonts w:ascii="宋体" w:hAnsi="宋体" w:cs="宋体" w:eastAsia="宋体" w:hint="default"/>
                <w:sz w:val="18"/>
                <w:szCs w:val="18"/>
              </w:rPr>
            </w:pPr>
            <w:r>
              <w:rPr>
                <w:rFonts w:ascii="宋体" w:hAnsi="宋体" w:cs="宋体" w:eastAsia="宋体" w:hint="default"/>
                <w:spacing w:val="11"/>
                <w:sz w:val="18"/>
                <w:szCs w:val="18"/>
              </w:rPr>
              <w:t>主要为销售收入增长而尚未回款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形成。</w:t>
            </w:r>
          </w:p>
        </w:tc>
      </w:tr>
      <w:tr>
        <w:trPr>
          <w:trHeight w:val="854"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634,000.00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28,700.00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605,300.00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2109.06%</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93"/>
              <w:jc w:val="both"/>
              <w:rPr>
                <w:rFonts w:ascii="宋体" w:hAnsi="宋体" w:cs="宋体" w:eastAsia="宋体" w:hint="default"/>
                <w:sz w:val="18"/>
                <w:szCs w:val="18"/>
              </w:rPr>
            </w:pPr>
            <w:r>
              <w:rPr>
                <w:rFonts w:ascii="宋体" w:hAnsi="宋体" w:cs="宋体" w:eastAsia="宋体" w:hint="default"/>
                <w:spacing w:val="11"/>
                <w:sz w:val="18"/>
                <w:szCs w:val="18"/>
              </w:rPr>
              <w:t>主要为预付研发新产品模具费和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募集资金项目实施地点装修费及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人力资源管理体系建设的款项。</w:t>
            </w:r>
          </w:p>
        </w:tc>
      </w:tr>
      <w:tr>
        <w:trPr>
          <w:trHeight w:val="854"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4,600,210.28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1,576,853.06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3,023,357.22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191.73%</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93"/>
              <w:jc w:val="both"/>
              <w:rPr>
                <w:rFonts w:ascii="宋体" w:hAnsi="宋体" w:cs="宋体" w:eastAsia="宋体" w:hint="default"/>
                <w:sz w:val="18"/>
                <w:szCs w:val="18"/>
              </w:rPr>
            </w:pPr>
            <w:r>
              <w:rPr>
                <w:rFonts w:ascii="宋体" w:hAnsi="宋体" w:cs="宋体" w:eastAsia="宋体" w:hint="default"/>
                <w:spacing w:val="11"/>
                <w:sz w:val="18"/>
                <w:szCs w:val="18"/>
              </w:rPr>
              <w:t>主要为公司业务规模扩大产生各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分支办事机构及员工备用金和各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地办公场地租赁押金的增长。</w:t>
            </w:r>
          </w:p>
        </w:tc>
      </w:tr>
    </w:tbl>
    <w:p>
      <w:pPr>
        <w:spacing w:after="0" w:line="237" w:lineRule="auto"/>
        <w:jc w:val="both"/>
        <w:rPr>
          <w:rFonts w:ascii="宋体" w:hAnsi="宋体" w:cs="宋体" w:eastAsia="宋体" w:hint="default"/>
          <w:sz w:val="18"/>
          <w:szCs w:val="18"/>
        </w:rPr>
        <w:sectPr>
          <w:pgSz w:w="11910" w:h="16840"/>
          <w:pgMar w:header="877" w:footer="982" w:top="1100" w:bottom="1180" w:left="1160" w:right="114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256"/>
        <w:gridCol w:w="1415"/>
        <w:gridCol w:w="1320"/>
        <w:gridCol w:w="1478"/>
        <w:gridCol w:w="1003"/>
        <w:gridCol w:w="2880"/>
      </w:tblGrid>
      <w:tr>
        <w:trPr>
          <w:trHeight w:val="854"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07" w:right="241"/>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289,731.28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134,497.33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155,233.95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z w:val="18"/>
              </w:rPr>
              <w:t>115.42%</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86"/>
              <w:jc w:val="both"/>
              <w:rPr>
                <w:rFonts w:ascii="宋体" w:hAnsi="宋体" w:cs="宋体" w:eastAsia="宋体" w:hint="default"/>
                <w:sz w:val="18"/>
                <w:szCs w:val="18"/>
              </w:rPr>
            </w:pPr>
            <w:r>
              <w:rPr>
                <w:rFonts w:ascii="宋体" w:hAnsi="宋体" w:cs="宋体" w:eastAsia="宋体" w:hint="default"/>
                <w:spacing w:val="11"/>
                <w:sz w:val="18"/>
                <w:szCs w:val="18"/>
              </w:rPr>
              <w:t>主要为公司业务规模扩大产生各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分支办事机构办公场地租金的增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w:t>
            </w:r>
          </w:p>
        </w:tc>
      </w:tr>
      <w:tr>
        <w:trPr>
          <w:trHeight w:val="62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0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3,861,610.85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2,689,644.48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1,171,966.37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43.57%</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66"/>
              <w:ind w:left="103" w:right="86"/>
              <w:jc w:val="left"/>
              <w:rPr>
                <w:rFonts w:ascii="宋体" w:hAnsi="宋体" w:cs="宋体" w:eastAsia="宋体" w:hint="default"/>
                <w:sz w:val="18"/>
                <w:szCs w:val="18"/>
              </w:rPr>
            </w:pPr>
            <w:r>
              <w:rPr>
                <w:rFonts w:ascii="宋体" w:hAnsi="宋体" w:cs="宋体" w:eastAsia="宋体" w:hint="default"/>
                <w:spacing w:val="11"/>
                <w:sz w:val="18"/>
                <w:szCs w:val="18"/>
              </w:rPr>
              <w:t>主要为公司研发项目固定资产设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备的投入增加。</w:t>
            </w:r>
          </w:p>
        </w:tc>
      </w:tr>
      <w:tr>
        <w:trPr>
          <w:trHeight w:val="6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2,061,331.41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2,061,331.41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86"/>
              <w:jc w:val="left"/>
              <w:rPr>
                <w:rFonts w:ascii="宋体" w:hAnsi="宋体" w:cs="宋体" w:eastAsia="宋体" w:hint="default"/>
                <w:sz w:val="18"/>
                <w:szCs w:val="18"/>
              </w:rPr>
            </w:pPr>
            <w:r>
              <w:rPr>
                <w:rFonts w:ascii="宋体" w:hAnsi="宋体" w:cs="宋体" w:eastAsia="宋体" w:hint="default"/>
                <w:spacing w:val="11"/>
                <w:sz w:val="18"/>
                <w:szCs w:val="18"/>
              </w:rPr>
              <w:t>主要为公司募集资金项目及其他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研发项目的陆续投入。</w:t>
            </w:r>
          </w:p>
        </w:tc>
      </w:tr>
      <w:tr>
        <w:trPr>
          <w:trHeight w:val="854"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2" w:lineRule="exact"/>
              <w:ind w:left="107" w:right="241"/>
              <w:jc w:val="left"/>
              <w:rPr>
                <w:rFonts w:ascii="宋体" w:hAnsi="宋体" w:cs="宋体" w:eastAsia="宋体" w:hint="default"/>
                <w:sz w:val="18"/>
                <w:szCs w:val="18"/>
              </w:rPr>
            </w:pPr>
            <w:r>
              <w:rPr>
                <w:rFonts w:ascii="宋体" w:hAnsi="宋体" w:cs="宋体" w:eastAsia="宋体" w:hint="default"/>
                <w:sz w:val="18"/>
                <w:szCs w:val="18"/>
              </w:rPr>
              <w:t>长期待摊费 用</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826,426.16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74,856.43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751,569.73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z w:val="18"/>
              </w:rPr>
              <w:t>1004.01%</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86"/>
              <w:jc w:val="both"/>
              <w:rPr>
                <w:rFonts w:ascii="宋体" w:hAnsi="宋体" w:cs="宋体" w:eastAsia="宋体" w:hint="default"/>
                <w:sz w:val="18"/>
                <w:szCs w:val="18"/>
              </w:rPr>
            </w:pPr>
            <w:r>
              <w:rPr>
                <w:rFonts w:ascii="宋体" w:hAnsi="宋体" w:cs="宋体" w:eastAsia="宋体" w:hint="default"/>
                <w:spacing w:val="11"/>
                <w:sz w:val="18"/>
                <w:szCs w:val="18"/>
              </w:rPr>
              <w:t>主要为公司募集资金项目实施地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点装修费和高新技术产品责任险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的增加。</w:t>
            </w:r>
          </w:p>
        </w:tc>
      </w:tr>
      <w:tr>
        <w:trPr>
          <w:trHeight w:val="62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07" w:right="241"/>
              <w:jc w:val="left"/>
              <w:rPr>
                <w:rFonts w:ascii="宋体" w:hAnsi="宋体" w:cs="宋体" w:eastAsia="宋体" w:hint="default"/>
                <w:sz w:val="18"/>
                <w:szCs w:val="18"/>
              </w:rPr>
            </w:pPr>
            <w:r>
              <w:rPr>
                <w:rFonts w:ascii="宋体" w:hAnsi="宋体" w:cs="宋体" w:eastAsia="宋体" w:hint="default"/>
                <w:sz w:val="18"/>
                <w:szCs w:val="18"/>
              </w:rPr>
              <w:t>递延所得税 资产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505,567.75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272,613.00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232,954.75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85.45%</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66"/>
              <w:ind w:left="103" w:right="86"/>
              <w:jc w:val="left"/>
              <w:rPr>
                <w:rFonts w:ascii="宋体" w:hAnsi="宋体" w:cs="宋体" w:eastAsia="宋体" w:hint="default"/>
                <w:sz w:val="18"/>
                <w:szCs w:val="18"/>
              </w:rPr>
            </w:pPr>
            <w:r>
              <w:rPr>
                <w:rFonts w:ascii="宋体" w:hAnsi="宋体" w:cs="宋体" w:eastAsia="宋体" w:hint="default"/>
                <w:spacing w:val="11"/>
                <w:sz w:val="18"/>
                <w:szCs w:val="18"/>
              </w:rPr>
              <w:t>主要为应收款项的增加而形成可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抵扣暂时性差异的增加。</w:t>
            </w:r>
          </w:p>
        </w:tc>
      </w:tr>
      <w:tr>
        <w:trPr>
          <w:trHeight w:val="62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5,895,241.58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2,184,597.34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3,710,644.24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169.85%</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86"/>
              <w:jc w:val="left"/>
              <w:rPr>
                <w:rFonts w:ascii="宋体" w:hAnsi="宋体" w:cs="宋体" w:eastAsia="宋体" w:hint="default"/>
                <w:sz w:val="18"/>
                <w:szCs w:val="18"/>
              </w:rPr>
            </w:pPr>
            <w:r>
              <w:rPr>
                <w:rFonts w:ascii="宋体" w:hAnsi="宋体" w:cs="宋体" w:eastAsia="宋体" w:hint="default"/>
                <w:spacing w:val="11"/>
                <w:sz w:val="18"/>
                <w:szCs w:val="18"/>
              </w:rPr>
              <w:t>主要为公司采购材料款尚未结算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支付。</w:t>
            </w:r>
          </w:p>
        </w:tc>
      </w:tr>
      <w:tr>
        <w:trPr>
          <w:trHeight w:val="6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0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257,953.00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6,453.00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251,500.00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3897.41%</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86"/>
              <w:jc w:val="left"/>
              <w:rPr>
                <w:rFonts w:ascii="宋体" w:hAnsi="宋体" w:cs="宋体" w:eastAsia="宋体" w:hint="default"/>
                <w:sz w:val="18"/>
                <w:szCs w:val="18"/>
              </w:rPr>
            </w:pPr>
            <w:r>
              <w:rPr>
                <w:rFonts w:ascii="宋体" w:hAnsi="宋体" w:cs="宋体" w:eastAsia="宋体" w:hint="default"/>
                <w:spacing w:val="11"/>
                <w:sz w:val="18"/>
                <w:szCs w:val="18"/>
              </w:rPr>
              <w:t>主要为公司销售货款预收款项的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增加。</w:t>
            </w:r>
          </w:p>
        </w:tc>
      </w:tr>
      <w:tr>
        <w:trPr>
          <w:trHeight w:val="62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07" w:right="241"/>
              <w:jc w:val="left"/>
              <w:rPr>
                <w:rFonts w:ascii="宋体" w:hAnsi="宋体" w:cs="宋体" w:eastAsia="宋体" w:hint="default"/>
                <w:sz w:val="18"/>
                <w:szCs w:val="18"/>
              </w:rPr>
            </w:pPr>
            <w:r>
              <w:rPr>
                <w:rFonts w:ascii="宋体" w:hAnsi="宋体" w:cs="宋体" w:eastAsia="宋体" w:hint="default"/>
                <w:sz w:val="18"/>
                <w:szCs w:val="18"/>
              </w:rPr>
              <w:t>应付职工薪 酬</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15,120.35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125,005.35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-109,885.00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-87.90%</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66"/>
              <w:ind w:left="103" w:right="86"/>
              <w:jc w:val="left"/>
              <w:rPr>
                <w:rFonts w:ascii="宋体" w:hAnsi="宋体" w:cs="宋体" w:eastAsia="宋体" w:hint="default"/>
                <w:sz w:val="18"/>
                <w:szCs w:val="18"/>
              </w:rPr>
            </w:pPr>
            <w:r>
              <w:rPr>
                <w:rFonts w:ascii="宋体" w:hAnsi="宋体" w:cs="宋体" w:eastAsia="宋体" w:hint="default"/>
                <w:spacing w:val="11"/>
                <w:sz w:val="18"/>
                <w:szCs w:val="18"/>
              </w:rPr>
              <w:t>主要为公司前期计提的职工教育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经费由本期进行支付而减少。</w:t>
            </w:r>
          </w:p>
        </w:tc>
      </w:tr>
      <w:tr>
        <w:trPr>
          <w:trHeight w:val="622"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0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86"/>
              <w:jc w:val="left"/>
              <w:rPr>
                <w:rFonts w:ascii="宋体" w:hAnsi="宋体" w:cs="宋体" w:eastAsia="宋体" w:hint="default"/>
                <w:sz w:val="18"/>
                <w:szCs w:val="18"/>
              </w:rPr>
            </w:pPr>
            <w:r>
              <w:rPr>
                <w:rFonts w:ascii="宋体" w:hAnsi="宋体" w:cs="宋体" w:eastAsia="宋体" w:hint="default"/>
                <w:spacing w:val="11"/>
                <w:sz w:val="18"/>
                <w:szCs w:val="18"/>
              </w:rPr>
              <w:t>主要为公司用自有资金归还购置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房产按揭贷款而减少。</w:t>
            </w:r>
          </w:p>
        </w:tc>
      </w:tr>
      <w:tr>
        <w:trPr>
          <w:trHeight w:val="62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33.33%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66"/>
              <w:ind w:left="103" w:right="86"/>
              <w:jc w:val="left"/>
              <w:rPr>
                <w:rFonts w:ascii="宋体" w:hAnsi="宋体" w:cs="宋体" w:eastAsia="宋体" w:hint="default"/>
                <w:sz w:val="18"/>
                <w:szCs w:val="18"/>
              </w:rPr>
            </w:pPr>
            <w:r>
              <w:rPr>
                <w:rFonts w:ascii="宋体" w:hAnsi="宋体" w:cs="宋体" w:eastAsia="宋体" w:hint="default"/>
                <w:spacing w:val="11"/>
                <w:sz w:val="18"/>
                <w:szCs w:val="18"/>
              </w:rPr>
              <w:t>主要为发行新股而形成股本的增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w:t>
            </w:r>
          </w:p>
        </w:tc>
      </w:tr>
      <w:tr>
        <w:trPr>
          <w:trHeight w:val="620" w:hRule="exact"/>
        </w:trPr>
        <w:tc>
          <w:tcPr>
            <w:tcW w:w="1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373,975,300.21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24,560.25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373,950,739.96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1522585.2</w:t>
            </w:r>
          </w:p>
          <w:p>
            <w:pPr>
              <w:pStyle w:val="TableParagraph"/>
              <w:spacing w:line="240" w:lineRule="auto"/>
              <w:ind w:left="651" w:right="0"/>
              <w:jc w:val="left"/>
              <w:rPr>
                <w:rFonts w:ascii="Times New Roman" w:hAnsi="Times New Roman" w:cs="Times New Roman" w:eastAsia="Times New Roman" w:hint="default"/>
                <w:sz w:val="18"/>
                <w:szCs w:val="18"/>
              </w:rPr>
            </w:pPr>
            <w:r>
              <w:rPr>
                <w:rFonts w:ascii="Times New Roman"/>
                <w:sz w:val="18"/>
              </w:rPr>
              <w:t>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86"/>
              <w:jc w:val="left"/>
              <w:rPr>
                <w:rFonts w:ascii="宋体" w:hAnsi="宋体" w:cs="宋体" w:eastAsia="宋体" w:hint="default"/>
                <w:sz w:val="18"/>
                <w:szCs w:val="18"/>
              </w:rPr>
            </w:pPr>
            <w:r>
              <w:rPr>
                <w:rFonts w:ascii="宋体" w:hAnsi="宋体" w:cs="宋体" w:eastAsia="宋体" w:hint="default"/>
                <w:spacing w:val="11"/>
                <w:sz w:val="18"/>
                <w:szCs w:val="18"/>
              </w:rPr>
              <w:t>主要为发行新股而形成股本溢价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的增加。</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271"/>
        <w:gridCol w:w="1415"/>
        <w:gridCol w:w="1320"/>
        <w:gridCol w:w="1478"/>
        <w:gridCol w:w="1003"/>
        <w:gridCol w:w="2887"/>
      </w:tblGrid>
      <w:tr>
        <w:trPr>
          <w:trHeight w:val="388"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443"/>
              <w:jc w:val="right"/>
              <w:rPr>
                <w:rFonts w:ascii="宋体" w:hAnsi="宋体" w:cs="宋体" w:eastAsia="宋体" w:hint="default"/>
                <w:sz w:val="18"/>
                <w:szCs w:val="18"/>
              </w:rPr>
            </w:pPr>
            <w:r>
              <w:rPr>
                <w:rFonts w:ascii="宋体" w:hAnsi="宋体" w:cs="宋体" w:eastAsia="宋体" w:hint="default"/>
                <w:sz w:val="18"/>
                <w:szCs w:val="18"/>
              </w:rPr>
              <w:t>项目</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95"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4"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6" w:right="0"/>
              <w:jc w:val="left"/>
              <w:rPr>
                <w:rFonts w:ascii="宋体" w:hAnsi="宋体" w:cs="宋体" w:eastAsia="宋体" w:hint="default"/>
                <w:sz w:val="18"/>
                <w:szCs w:val="18"/>
              </w:rPr>
            </w:pPr>
            <w:r>
              <w:rPr>
                <w:rFonts w:ascii="宋体" w:hAnsi="宋体" w:cs="宋体" w:eastAsia="宋体" w:hint="default"/>
                <w:sz w:val="18"/>
                <w:szCs w:val="18"/>
              </w:rPr>
              <w:t>增加率</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变化原因分析</w:t>
            </w:r>
          </w:p>
        </w:tc>
      </w:tr>
      <w:tr>
        <w:trPr>
          <w:trHeight w:val="388"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42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92,142,327.74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75,147,752.56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16,994,575.18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22.61%</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23" w:right="0"/>
              <w:jc w:val="center"/>
              <w:rPr>
                <w:rFonts w:ascii="宋体" w:hAnsi="宋体" w:cs="宋体" w:eastAsia="宋体" w:hint="default"/>
                <w:sz w:val="18"/>
                <w:szCs w:val="18"/>
              </w:rPr>
            </w:pPr>
            <w:r>
              <w:rPr>
                <w:rFonts w:ascii="宋体" w:hAnsi="宋体" w:cs="宋体" w:eastAsia="宋体" w:hint="default"/>
                <w:sz w:val="18"/>
                <w:szCs w:val="18"/>
              </w:rPr>
              <w:t>主要为公司主营产品销售的增长。</w:t>
            </w:r>
          </w:p>
        </w:tc>
      </w:tr>
      <w:tr>
        <w:trPr>
          <w:trHeight w:val="620"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right="421"/>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32,619,908.01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26,186,244.30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6,433,663.71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24.57%</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03" w:right="93"/>
              <w:jc w:val="left"/>
              <w:rPr>
                <w:rFonts w:ascii="宋体" w:hAnsi="宋体" w:cs="宋体" w:eastAsia="宋体" w:hint="default"/>
                <w:sz w:val="18"/>
                <w:szCs w:val="18"/>
              </w:rPr>
            </w:pPr>
            <w:r>
              <w:rPr>
                <w:rFonts w:ascii="宋体" w:hAnsi="宋体" w:cs="宋体" w:eastAsia="宋体" w:hint="default"/>
                <w:spacing w:val="11"/>
                <w:sz w:val="18"/>
                <w:szCs w:val="18"/>
              </w:rPr>
              <w:t>主要为随着收入的增长而同比例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增长。</w:t>
            </w:r>
          </w:p>
        </w:tc>
      </w:tr>
      <w:tr>
        <w:trPr>
          <w:trHeight w:val="854"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67"/>
              <w:jc w:val="left"/>
              <w:rPr>
                <w:rFonts w:ascii="宋体" w:hAnsi="宋体" w:cs="宋体" w:eastAsia="宋体" w:hint="default"/>
                <w:sz w:val="18"/>
                <w:szCs w:val="18"/>
              </w:rPr>
            </w:pPr>
            <w:r>
              <w:rPr>
                <w:rFonts w:ascii="宋体" w:hAnsi="宋体" w:cs="宋体" w:eastAsia="宋体" w:hint="default"/>
                <w:spacing w:val="27"/>
                <w:sz w:val="18"/>
                <w:szCs w:val="18"/>
              </w:rPr>
              <w:t>营业税金及</w:t>
            </w:r>
            <w:r>
              <w:rPr>
                <w:rFonts w:ascii="宋体" w:hAnsi="宋体" w:cs="宋体" w:eastAsia="宋体" w:hint="default"/>
                <w:spacing w:val="-56"/>
                <w:sz w:val="18"/>
                <w:szCs w:val="18"/>
              </w:rPr>
              <w:t> </w:t>
            </w:r>
            <w:r>
              <w:rPr>
                <w:rFonts w:ascii="宋体" w:hAnsi="宋体" w:cs="宋体" w:eastAsia="宋体" w:hint="default"/>
                <w:sz w:val="18"/>
                <w:szCs w:val="18"/>
              </w:rPr>
              <w:t>附加</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1,377,709.25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586,899.95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790,809.30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z w:val="18"/>
              </w:rPr>
              <w:t>134.74%</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93"/>
              <w:jc w:val="both"/>
              <w:rPr>
                <w:rFonts w:ascii="宋体" w:hAnsi="宋体" w:cs="宋体" w:eastAsia="宋体" w:hint="default"/>
                <w:sz w:val="18"/>
                <w:szCs w:val="18"/>
              </w:rPr>
            </w:pPr>
            <w:r>
              <w:rPr>
                <w:rFonts w:ascii="宋体" w:hAnsi="宋体" w:cs="宋体" w:eastAsia="宋体" w:hint="default"/>
                <w:spacing w:val="11"/>
                <w:sz w:val="18"/>
                <w:szCs w:val="18"/>
              </w:rPr>
              <w:t>主要为公司维护收入的增长致营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业税及附加税增加和城建税税率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的提高。</w:t>
            </w:r>
          </w:p>
        </w:tc>
      </w:tr>
      <w:tr>
        <w:trPr>
          <w:trHeight w:val="854"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421"/>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12,721,557.86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10,283,143.58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2,438,414.28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z w:val="18"/>
              </w:rPr>
              <w:t>23.71%</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93"/>
              <w:jc w:val="both"/>
              <w:rPr>
                <w:rFonts w:ascii="宋体" w:hAnsi="宋体" w:cs="宋体" w:eastAsia="宋体" w:hint="default"/>
                <w:sz w:val="18"/>
                <w:szCs w:val="18"/>
              </w:rPr>
            </w:pPr>
            <w:r>
              <w:rPr>
                <w:rFonts w:ascii="宋体" w:hAnsi="宋体" w:cs="宋体" w:eastAsia="宋体" w:hint="default"/>
                <w:spacing w:val="-2"/>
                <w:sz w:val="18"/>
                <w:szCs w:val="18"/>
              </w:rPr>
              <w:t>主要为随着收入的增长而增长，其</w:t>
            </w:r>
            <w:r>
              <w:rPr>
                <w:rFonts w:ascii="宋体" w:hAnsi="宋体" w:cs="宋体" w:eastAsia="宋体" w:hint="default"/>
                <w:sz w:val="18"/>
                <w:szCs w:val="18"/>
              </w:rPr>
              <w:t> </w:t>
            </w:r>
            <w:r>
              <w:rPr>
                <w:rFonts w:ascii="宋体" w:hAnsi="宋体" w:cs="宋体" w:eastAsia="宋体" w:hint="default"/>
                <w:spacing w:val="11"/>
                <w:sz w:val="18"/>
                <w:szCs w:val="18"/>
              </w:rPr>
              <w:t>中销售人员薪酬及营销经费增长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较大。</w:t>
            </w:r>
          </w:p>
        </w:tc>
      </w:tr>
      <w:tr>
        <w:trPr>
          <w:trHeight w:val="1088"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21"/>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18,454,038.35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11,913,373.39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6,540,664.96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54.90%</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93"/>
              <w:jc w:val="both"/>
              <w:rPr>
                <w:rFonts w:ascii="宋体" w:hAnsi="宋体" w:cs="宋体" w:eastAsia="宋体" w:hint="default"/>
                <w:sz w:val="18"/>
                <w:szCs w:val="18"/>
              </w:rPr>
            </w:pPr>
            <w:r>
              <w:rPr>
                <w:rFonts w:ascii="宋体" w:hAnsi="宋体" w:cs="宋体" w:eastAsia="宋体" w:hint="default"/>
                <w:spacing w:val="11"/>
                <w:sz w:val="18"/>
                <w:szCs w:val="18"/>
              </w:rPr>
              <w:t>主要为租赁场地费用和管理人员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薪酬及活动经费增长较大，同时增</w:t>
            </w:r>
            <w:r>
              <w:rPr>
                <w:rFonts w:ascii="宋体" w:hAnsi="宋体" w:cs="宋体" w:eastAsia="宋体" w:hint="default"/>
                <w:sz w:val="18"/>
                <w:szCs w:val="18"/>
              </w:rPr>
              <w:t> </w:t>
            </w:r>
            <w:r>
              <w:rPr>
                <w:rFonts w:ascii="宋体" w:hAnsi="宋体" w:cs="宋体" w:eastAsia="宋体" w:hint="default"/>
                <w:spacing w:val="11"/>
                <w:sz w:val="18"/>
                <w:szCs w:val="18"/>
              </w:rPr>
              <w:t>加了发行权益性证券过程中发生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的广告费、路演费等费用。</w:t>
            </w:r>
          </w:p>
        </w:tc>
      </w:tr>
      <w:tr>
        <w:trPr>
          <w:trHeight w:val="854"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421"/>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-3,208,671.11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1,011,244.82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-4,219,915.93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0"/>
              <w:jc w:val="right"/>
              <w:rPr>
                <w:rFonts w:ascii="Times New Roman" w:hAnsi="Times New Roman" w:cs="Times New Roman" w:eastAsia="Times New Roman" w:hint="default"/>
                <w:sz w:val="18"/>
                <w:szCs w:val="18"/>
              </w:rPr>
            </w:pPr>
            <w:r>
              <w:rPr>
                <w:rFonts w:ascii="Times New Roman"/>
                <w:sz w:val="18"/>
              </w:rPr>
              <w:t>-417.30%</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4"/>
              <w:ind w:left="103" w:right="93"/>
              <w:jc w:val="both"/>
              <w:rPr>
                <w:rFonts w:ascii="宋体" w:hAnsi="宋体" w:cs="宋体" w:eastAsia="宋体" w:hint="default"/>
                <w:sz w:val="18"/>
                <w:szCs w:val="18"/>
              </w:rPr>
            </w:pPr>
            <w:r>
              <w:rPr>
                <w:rFonts w:ascii="宋体" w:hAnsi="宋体" w:cs="宋体" w:eastAsia="宋体" w:hint="default"/>
                <w:spacing w:val="11"/>
                <w:sz w:val="18"/>
                <w:szCs w:val="18"/>
              </w:rPr>
              <w:t>主要归还房产的按揭贷款使利息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支出减少，而募集资金所产生的利</w:t>
            </w:r>
            <w:r>
              <w:rPr>
                <w:rFonts w:ascii="宋体" w:hAnsi="宋体" w:cs="宋体" w:eastAsia="宋体" w:hint="default"/>
                <w:sz w:val="18"/>
                <w:szCs w:val="18"/>
              </w:rPr>
              <w:t> 息收入增加。</w:t>
            </w:r>
          </w:p>
        </w:tc>
      </w:tr>
      <w:tr>
        <w:trPr>
          <w:trHeight w:val="620" w:hRule="exact"/>
        </w:trPr>
        <w:tc>
          <w:tcPr>
            <w:tcW w:w="127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6"/>
              <w:ind w:left="122" w:right="67"/>
              <w:jc w:val="left"/>
              <w:rPr>
                <w:rFonts w:ascii="宋体" w:hAnsi="宋体" w:cs="宋体" w:eastAsia="宋体" w:hint="default"/>
                <w:sz w:val="18"/>
                <w:szCs w:val="18"/>
              </w:rPr>
            </w:pPr>
            <w:r>
              <w:rPr>
                <w:rFonts w:ascii="宋体" w:hAnsi="宋体" w:cs="宋体" w:eastAsia="宋体" w:hint="default"/>
                <w:spacing w:val="27"/>
                <w:sz w:val="18"/>
                <w:szCs w:val="18"/>
              </w:rPr>
              <w:t>资产减值损</w:t>
            </w:r>
            <w:r>
              <w:rPr>
                <w:rFonts w:ascii="宋体" w:hAnsi="宋体" w:cs="宋体" w:eastAsia="宋体" w:hint="default"/>
                <w:spacing w:val="-56"/>
                <w:sz w:val="18"/>
                <w:szCs w:val="18"/>
              </w:rPr>
              <w:t> </w:t>
            </w:r>
            <w:r>
              <w:rPr>
                <w:rFonts w:ascii="宋体" w:hAnsi="宋体" w:cs="宋体" w:eastAsia="宋体" w:hint="default"/>
                <w:sz w:val="18"/>
                <w:szCs w:val="18"/>
              </w:rPr>
              <w:t>失</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2,329,132.19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1,270,076.82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1,059,055.37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83.39%</w:t>
            </w:r>
          </w:p>
        </w:tc>
        <w:tc>
          <w:tcPr>
            <w:tcW w:w="288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66"/>
              <w:ind w:left="103" w:right="93"/>
              <w:jc w:val="left"/>
              <w:rPr>
                <w:rFonts w:ascii="宋体" w:hAnsi="宋体" w:cs="宋体" w:eastAsia="宋体" w:hint="default"/>
                <w:sz w:val="18"/>
                <w:szCs w:val="18"/>
              </w:rPr>
            </w:pPr>
            <w:r>
              <w:rPr>
                <w:rFonts w:ascii="宋体" w:hAnsi="宋体" w:cs="宋体" w:eastAsia="宋体" w:hint="default"/>
                <w:spacing w:val="11"/>
                <w:sz w:val="18"/>
                <w:szCs w:val="18"/>
              </w:rPr>
              <w:t>主要为部分应收款项数额增长而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增加计提坏账准备。</w:t>
            </w:r>
          </w:p>
        </w:tc>
      </w:tr>
    </w:tbl>
    <w:p>
      <w:pPr>
        <w:spacing w:after="0" w:line="232" w:lineRule="exact"/>
        <w:jc w:val="left"/>
        <w:rPr>
          <w:rFonts w:ascii="宋体" w:hAnsi="宋体" w:cs="宋体" w:eastAsia="宋体" w:hint="default"/>
          <w:sz w:val="18"/>
          <w:szCs w:val="18"/>
        </w:rPr>
        <w:sectPr>
          <w:pgSz w:w="11910" w:h="16840"/>
          <w:pgMar w:header="877" w:footer="982" w:top="1100" w:bottom="1180" w:left="11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5"/>
        <w:spacing w:line="240" w:lineRule="auto" w:before="29"/>
        <w:ind w:right="273"/>
        <w:jc w:val="left"/>
        <w:rPr>
          <w:b w:val="0"/>
          <w:bCs w:val="0"/>
        </w:rPr>
      </w:pPr>
      <w:r>
        <w:rPr/>
        <w:t>十五、</w:t>
      </w:r>
      <w:r>
        <w:rPr>
          <w:spacing w:val="30"/>
        </w:rPr>
        <w:t> </w:t>
      </w:r>
      <w:r>
        <w:rPr/>
        <w:t>财务报表之批准</w:t>
      </w:r>
      <w:r>
        <w:rPr>
          <w:b w:val="0"/>
          <w:bCs w:val="0"/>
        </w:rPr>
      </w:r>
    </w:p>
    <w:p>
      <w:pPr>
        <w:spacing w:line="240" w:lineRule="auto" w:before="9"/>
        <w:rPr>
          <w:rFonts w:ascii="宋体" w:hAnsi="宋体" w:cs="宋体" w:eastAsia="宋体" w:hint="default"/>
          <w:b/>
          <w:bCs/>
          <w:sz w:val="20"/>
          <w:szCs w:val="20"/>
        </w:rPr>
      </w:pPr>
    </w:p>
    <w:p>
      <w:pPr>
        <w:spacing w:before="0"/>
        <w:ind w:left="564" w:right="273" w:firstLine="0"/>
        <w:jc w:val="left"/>
        <w:rPr>
          <w:rFonts w:ascii="宋体" w:hAnsi="宋体" w:cs="宋体" w:eastAsia="宋体" w:hint="default"/>
          <w:sz w:val="21"/>
          <w:szCs w:val="21"/>
        </w:rPr>
      </w:pPr>
      <w:r>
        <w:rPr>
          <w:rFonts w:ascii="宋体" w:hAnsi="宋体" w:cs="宋体" w:eastAsia="宋体" w:hint="default"/>
          <w:sz w:val="21"/>
          <w:szCs w:val="21"/>
        </w:rPr>
        <w:t>本财务报表于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日业经本公司董事会批准通过。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7"/>
          <w:szCs w:val="27"/>
        </w:rPr>
      </w:pPr>
    </w:p>
    <w:p>
      <w:pPr>
        <w:spacing w:before="0"/>
        <w:ind w:left="5184" w:right="273" w:firstLine="0"/>
        <w:jc w:val="left"/>
        <w:rPr>
          <w:rFonts w:ascii="宋体" w:hAnsi="宋体" w:cs="宋体" w:eastAsia="宋体" w:hint="default"/>
          <w:sz w:val="21"/>
          <w:szCs w:val="21"/>
        </w:rPr>
      </w:pPr>
      <w:r>
        <w:rPr>
          <w:rFonts w:ascii="宋体" w:hAnsi="宋体" w:cs="宋体" w:eastAsia="宋体" w:hint="default"/>
          <w:sz w:val="21"/>
          <w:szCs w:val="21"/>
        </w:rPr>
        <w:t>深圳市银之杰科技股份有限公司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0"/>
        <w:ind w:left="5184" w:right="273" w:firstLine="0"/>
        <w:jc w:val="left"/>
        <w:rPr>
          <w:rFonts w:ascii="宋体" w:hAnsi="宋体" w:cs="宋体" w:eastAsia="宋体" w:hint="default"/>
          <w:sz w:val="21"/>
          <w:szCs w:val="21"/>
        </w:rPr>
      </w:pPr>
      <w:r>
        <w:rPr>
          <w:rFonts w:ascii="宋体" w:hAnsi="宋体" w:cs="宋体" w:eastAsia="宋体" w:hint="default"/>
          <w:sz w:val="21"/>
          <w:szCs w:val="21"/>
        </w:rPr>
        <w:t>法定代表人：陈向军</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0"/>
        <w:ind w:left="5184" w:right="273" w:firstLine="0"/>
        <w:jc w:val="left"/>
        <w:rPr>
          <w:rFonts w:ascii="宋体" w:hAnsi="宋体" w:cs="宋体" w:eastAsia="宋体" w:hint="default"/>
          <w:sz w:val="21"/>
          <w:szCs w:val="21"/>
        </w:rPr>
      </w:pPr>
      <w:r>
        <w:rPr>
          <w:rFonts w:ascii="宋体" w:hAnsi="宋体" w:cs="宋体" w:eastAsia="宋体" w:hint="default"/>
          <w:sz w:val="21"/>
          <w:szCs w:val="21"/>
        </w:rPr>
        <w:t>主管会计工作负责人：许秋江</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0"/>
        <w:ind w:left="5184" w:right="273" w:firstLine="0"/>
        <w:jc w:val="left"/>
        <w:rPr>
          <w:rFonts w:ascii="宋体" w:hAnsi="宋体" w:cs="宋体" w:eastAsia="宋体" w:hint="default"/>
          <w:sz w:val="21"/>
          <w:szCs w:val="21"/>
        </w:rPr>
      </w:pPr>
      <w:r>
        <w:rPr>
          <w:rFonts w:ascii="宋体" w:hAnsi="宋体" w:cs="宋体" w:eastAsia="宋体" w:hint="default"/>
          <w:sz w:val="21"/>
          <w:szCs w:val="21"/>
        </w:rPr>
        <w:t>会计机构负责人：张春雷</w:t>
      </w:r>
    </w:p>
    <w:p>
      <w:pPr>
        <w:spacing w:after="0"/>
        <w:jc w:val="left"/>
        <w:rPr>
          <w:rFonts w:ascii="宋体" w:hAnsi="宋体" w:cs="宋体" w:eastAsia="宋体" w:hint="default"/>
          <w:sz w:val="21"/>
          <w:szCs w:val="21"/>
        </w:rPr>
        <w:sectPr>
          <w:pgSz w:w="11910" w:h="16840"/>
          <w:pgMar w:header="877" w:footer="982" w:top="1100" w:bottom="1180" w:left="150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ind w:left="2341" w:right="2340"/>
        <w:jc w:val="center"/>
      </w:pPr>
      <w:bookmarkStart w:name="_TOC_250000" w:id="10"/>
      <w:r>
        <w:rPr/>
        <w:t>第十节</w:t>
      </w:r>
      <w:r>
        <w:rPr>
          <w:spacing w:val="-4"/>
        </w:rPr>
        <w:t> </w:t>
      </w:r>
      <w:bookmarkEnd w:id="10"/>
      <w:r>
        <w:rPr/>
        <w:t>备查文件</w:t>
      </w:r>
    </w:p>
    <w:p>
      <w:pPr>
        <w:spacing w:line="240" w:lineRule="auto" w:before="0"/>
        <w:rPr>
          <w:rFonts w:ascii="黑体" w:hAnsi="黑体" w:cs="黑体" w:eastAsia="黑体" w:hint="default"/>
          <w:sz w:val="32"/>
          <w:szCs w:val="32"/>
        </w:rPr>
      </w:pPr>
    </w:p>
    <w:p>
      <w:pPr>
        <w:spacing w:line="240" w:lineRule="auto" w:before="5"/>
        <w:rPr>
          <w:rFonts w:ascii="黑体" w:hAnsi="黑体" w:cs="黑体" w:eastAsia="黑体" w:hint="default"/>
          <w:sz w:val="37"/>
          <w:szCs w:val="37"/>
        </w:rPr>
      </w:pPr>
    </w:p>
    <w:p>
      <w:pPr>
        <w:pStyle w:val="BodyText"/>
        <w:spacing w:line="338" w:lineRule="auto" w:before="0"/>
        <w:ind w:left="143" w:right="131" w:firstLine="459"/>
        <w:jc w:val="left"/>
      </w:pPr>
      <w:r>
        <w:rPr>
          <w:rFonts w:ascii="Times New Roman" w:hAnsi="Times New Roman" w:cs="Times New Roman" w:eastAsia="Times New Roman" w:hint="default"/>
          <w:spacing w:val="-2"/>
        </w:rPr>
        <w:t>1</w:t>
      </w:r>
      <w:r>
        <w:rPr>
          <w:spacing w:val="-2"/>
        </w:rPr>
        <w:t>．载有公司法定代表人陈向军、主管会计工作负责人许秋江、会计机构负责人张</w:t>
      </w:r>
      <w:r>
        <w:rPr>
          <w:w w:val="100"/>
        </w:rPr>
        <w:t> </w:t>
      </w:r>
      <w:r>
        <w:rPr/>
        <w:t>春雷签名并盖章的财务报表。</w:t>
      </w:r>
    </w:p>
    <w:p>
      <w:pPr>
        <w:pStyle w:val="BodyText"/>
        <w:spacing w:line="338" w:lineRule="auto" w:before="51"/>
        <w:ind w:left="143" w:right="131" w:firstLine="459"/>
        <w:jc w:val="left"/>
      </w:pPr>
      <w:r>
        <w:rPr>
          <w:rFonts w:ascii="Times New Roman" w:hAnsi="Times New Roman" w:cs="Times New Roman" w:eastAsia="Times New Roman" w:hint="default"/>
          <w:spacing w:val="-2"/>
        </w:rPr>
        <w:t>2</w:t>
      </w:r>
      <w:r>
        <w:rPr>
          <w:spacing w:val="-2"/>
        </w:rPr>
        <w:t>．载有深圳市鹏城会计师事务所有限公司盖章、注册会计师梅月欣、蒙世权签名</w:t>
      </w:r>
      <w:r>
        <w:rPr>
          <w:w w:val="100"/>
        </w:rPr>
        <w:t> </w:t>
      </w:r>
      <w:r>
        <w:rPr/>
        <w:t>并盖章的审计报告原件。</w:t>
      </w:r>
    </w:p>
    <w:p>
      <w:pPr>
        <w:pStyle w:val="BodyText"/>
        <w:spacing w:line="240" w:lineRule="auto" w:before="52"/>
        <w:ind w:left="603" w:right="273"/>
        <w:jc w:val="left"/>
      </w:pPr>
      <w:r>
        <w:rPr>
          <w:rFonts w:ascii="Times New Roman" w:hAnsi="Times New Roman" w:cs="Times New Roman" w:eastAsia="Times New Roman" w:hint="default"/>
        </w:rPr>
        <w:t>3</w:t>
      </w:r>
      <w:r>
        <w:rPr/>
        <w:t>．载有公司董事长陈向军签名的公司</w:t>
      </w:r>
      <w:r>
        <w:rPr>
          <w:rFonts w:ascii="Times New Roman" w:hAnsi="Times New Roman" w:cs="Times New Roman" w:eastAsia="Times New Roman" w:hint="default"/>
        </w:rPr>
        <w:t>2010</w:t>
      </w:r>
      <w:r>
        <w:rPr/>
        <w:t>年年度报告。</w:t>
      </w:r>
    </w:p>
    <w:p>
      <w:pPr>
        <w:pStyle w:val="BodyText"/>
        <w:spacing w:line="338" w:lineRule="auto" w:before="129"/>
        <w:ind w:left="143" w:right="131" w:firstLine="459"/>
        <w:jc w:val="left"/>
      </w:pPr>
      <w:r>
        <w:rPr>
          <w:rFonts w:ascii="Times New Roman" w:hAnsi="Times New Roman" w:cs="Times New Roman" w:eastAsia="Times New Roman" w:hint="default"/>
          <w:spacing w:val="-2"/>
        </w:rPr>
        <w:t>4</w:t>
      </w:r>
      <w:r>
        <w:rPr>
          <w:spacing w:val="-2"/>
        </w:rPr>
        <w:t>．报告期内公司在中国证监会指定网站上公开披露过的所有文件的正本及公告的</w:t>
      </w:r>
      <w:r>
        <w:rPr>
          <w:w w:val="100"/>
        </w:rPr>
        <w:t> </w:t>
      </w:r>
      <w:r>
        <w:rPr/>
        <w:t>原件。</w:t>
      </w:r>
    </w:p>
    <w:p>
      <w:pPr>
        <w:pStyle w:val="BodyText"/>
        <w:spacing w:line="338" w:lineRule="auto" w:before="52"/>
        <w:ind w:left="143" w:right="201" w:firstLine="459"/>
        <w:jc w:val="left"/>
      </w:pPr>
      <w:r>
        <w:rPr>
          <w:spacing w:val="-1"/>
        </w:rPr>
        <w:t>以上备查文件的备置地点：深圳市福田区天安数码城天祥大厦</w:t>
      </w:r>
      <w:r>
        <w:rPr>
          <w:rFonts w:ascii="Times New Roman" w:hAnsi="Times New Roman" w:cs="Times New Roman" w:eastAsia="Times New Roman" w:hint="default"/>
          <w:spacing w:val="-1"/>
        </w:rPr>
        <w:t>AB</w:t>
      </w:r>
      <w:r>
        <w:rPr>
          <w:spacing w:val="-1"/>
        </w:rPr>
        <w:t>座</w:t>
      </w:r>
      <w:r>
        <w:rPr>
          <w:rFonts w:ascii="Times New Roman" w:hAnsi="Times New Roman" w:cs="Times New Roman" w:eastAsia="Times New Roman" w:hint="default"/>
          <w:spacing w:val="-1"/>
        </w:rPr>
        <w:t>5B2</w:t>
      </w:r>
      <w:r>
        <w:rPr>
          <w:spacing w:val="-1"/>
        </w:rPr>
        <w:t>，公司董</w:t>
      </w:r>
      <w:r>
        <w:rPr>
          <w:w w:val="100"/>
        </w:rPr>
        <w:t> </w:t>
      </w:r>
      <w:r>
        <w:rPr/>
        <w:t>事会办公室。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BodyText"/>
        <w:spacing w:line="453" w:lineRule="auto" w:before="0"/>
        <w:ind w:left="6138" w:right="137" w:hanging="597"/>
        <w:jc w:val="left"/>
      </w:pPr>
      <w:r>
        <w:rPr>
          <w:spacing w:val="-1"/>
        </w:rPr>
        <w:t>深圳市银之杰科技股份有限公司</w:t>
      </w:r>
      <w:r>
        <w:rPr>
          <w:spacing w:val="-104"/>
        </w:rPr>
        <w:t> </w:t>
      </w:r>
      <w:r>
        <w:rPr>
          <w:spacing w:val="-104"/>
        </w:rPr>
      </w:r>
      <w:r>
        <w:rPr/>
        <w:t>法定代表人：陈向军</w:t>
      </w:r>
      <w:r>
        <w:rPr>
          <w:w w:val="100"/>
        </w:rPr>
        <w:t> </w:t>
      </w:r>
      <w:r>
        <w:rPr/>
        <w:t>二〇一一年三月十日</w:t>
      </w:r>
    </w:p>
    <w:sectPr>
      <w:pgSz w:w="11910" w:h="16840"/>
      <w:pgMar w:header="877" w:footer="982" w:top="1100" w:bottom="1180" w:left="150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48.736267pt;width:95.1pt;height:12.5pt;mso-position-horizontal-relative:page;mso-position-vertical-relative:page;z-index:-61950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法定代表人：陈向军</w:t>
                </w:r>
              </w:p>
            </w:txbxContent>
          </v:textbox>
          <w10:wrap type="none"/>
        </v:shape>
      </w:pict>
    </w:r>
    <w:r>
      <w:rPr/>
      <w:pict>
        <v:shape style="position:absolute;margin-left:223.940445pt;margin-top:748.736267pt;width:137pt;height:12.5pt;mso-position-horizontal-relative:page;mso-position-vertical-relative:page;z-index:-61948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pacing w:val="-3"/>
                    <w:sz w:val="21"/>
                    <w:szCs w:val="21"/>
                  </w:rPr>
                  <w:t>主管会计工作负责人：许秋江</w:t>
                </w:r>
              </w:p>
            </w:txbxContent>
          </v:textbox>
          <w10:wrap type="none"/>
        </v:shape>
      </w:pict>
    </w:r>
    <w:r>
      <w:rPr/>
      <w:pict>
        <v:shape style="position:absolute;margin-left:390.440002pt;margin-top:748.736267pt;width:116pt;height:12.5pt;mso-position-horizontal-relative:page;mso-position-vertical-relative:page;z-index:-61945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pacing w:val="-3"/>
                    <w:sz w:val="21"/>
                    <w:szCs w:val="21"/>
                  </w:rPr>
                  <w:t>会计机构负责人：张春雷</w:t>
                </w:r>
              </w:p>
            </w:txbxContent>
          </v:textbox>
          <w10:wrap type="none"/>
        </v:shape>
      </w:pict>
    </w:r>
    <w:r>
      <w:rPr/>
      <w:pict>
        <v:shape style="position:absolute;margin-left:291.160004pt;margin-top:781.897522pt;width:13pt;height:11pt;mso-position-horizontal-relative:page;mso-position-vertical-relative:page;z-index:-619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536.156433pt;width:96.4pt;height:12.5pt;mso-position-horizontal-relative:page;mso-position-vertical-relative:page;z-index:-61938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法定代表人：陈向军</w:t>
                </w:r>
              </w:p>
            </w:txbxContent>
          </v:textbox>
          <w10:wrap type="none"/>
        </v:shape>
      </w:pict>
    </w:r>
    <w:r>
      <w:rPr/>
      <w:pict>
        <v:shape style="position:absolute;margin-left:322.870789pt;margin-top:536.156433pt;width:138.35pt;height:27.5pt;mso-position-horizontal-relative:page;mso-position-vertical-relative:page;z-index:-61936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主管会计工作负责人：许秋江</w:t>
                </w:r>
              </w:p>
              <w:p>
                <w:pPr>
                  <w:spacing w:before="96"/>
                  <w:ind w:left="0" w:right="712" w:firstLine="0"/>
                  <w:jc w:val="righ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r>
      <w:rPr/>
      <w:pict>
        <v:shape style="position:absolute;margin-left:653.410828pt;margin-top:536.156433pt;width:117.45pt;height:12.5pt;mso-position-horizontal-relative:page;mso-position-vertical-relative:page;z-index:-61933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会计机构负责人：张春雷</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536.156433pt;width:96.4pt;height:12.5pt;mso-position-horizontal-relative:page;mso-position-vertical-relative:page;z-index:-61931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法定代表人：陈向军</w:t>
                </w:r>
              </w:p>
            </w:txbxContent>
          </v:textbox>
          <w10:wrap type="none"/>
        </v:shape>
      </w:pict>
    </w:r>
    <w:r>
      <w:rPr/>
      <w:pict>
        <v:shape style="position:absolute;margin-left:322.870789pt;margin-top:536.156433pt;width:138.35pt;height:27.5pt;mso-position-horizontal-relative:page;mso-position-vertical-relative:page;z-index:-61928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主管会计工作负责人：许秋江</w:t>
                </w:r>
              </w:p>
              <w:p>
                <w:pPr>
                  <w:spacing w:before="96"/>
                  <w:ind w:left="0" w:right="712" w:firstLine="0"/>
                  <w:jc w:val="righ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r>
      <w:rPr/>
      <w:pict>
        <v:shape style="position:absolute;margin-left:653.410828pt;margin-top:536.156433pt;width:117.45pt;height:12.5pt;mso-position-horizontal-relative:page;mso-position-vertical-relative:page;z-index:-61926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会计机构负责人：张春雷</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52.637939pt;width:13pt;height:11pt;mso-position-horizontal-relative:page;mso-position-vertical-relative:page;z-index:-619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52.637939pt;width:13pt;height:11pt;mso-position-horizontal-relative:page;mso-position-vertical-relative:page;z-index:-619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619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619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5.297913pt;width:13pt;height:11pt;mso-position-horizontal-relative:page;mso-position-vertical-relative:page;z-index:-619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19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65pt;height:.1pt;mso-position-horizontal-relative:page;mso-position-vertical-relative:page;z-index:-620008" coordorigin="1768,1112" coordsize="8373,2">
          <v:shape style="position:absolute;left:1768;top:1112;width:8373;height:2" coordorigin="1768,1112" coordsize="8373,0" path="m1768,1112l10140,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2.865326pt;width:128pt;height:11pt;mso-position-horizontal-relative:page;mso-position-vertical-relative:page;z-index:-619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xbxContent>
          </v:textbox>
          <w10:wrap type="none"/>
        </v:shape>
      </w:pict>
    </w:r>
    <w:r>
      <w:rPr/>
      <w:pict>
        <v:shape style="position:absolute;margin-left:439.880005pt;margin-top:42.865326pt;width:66.650pt;height:11.5pt;mso-position-horizontal-relative:page;mso-position-vertical-relative:page;z-index:-619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619840"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28pt;height:11pt;mso-position-horizontal-relative:page;mso-position-vertical-relative:page;z-index:-619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xbxContent>
          </v:textbox>
          <w10:wrap type="none"/>
        </v:shape>
      </w:pict>
    </w:r>
    <w:r>
      <w:rPr/>
      <w:pict>
        <v:shape style="position:absolute;margin-left:696.490479pt;margin-top:42.865623pt;width:67.25pt;height:11.5pt;mso-position-horizontal-relative:page;mso-position-vertical-relative:page;z-index:-619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65pt;height:.1pt;mso-position-horizontal-relative:page;mso-position-vertical-relative:page;z-index:-619744" coordorigin="1768,1112" coordsize="8373,2">
          <v:shape style="position:absolute;left:1768;top:1112;width:8373;height:2" coordorigin="1768,1112" coordsize="8373,0" path="m1768,1112l10140,1112e" filled="false" stroked="true" strokeweight=".72003pt" strokecolor="#000000">
            <v:path arrowok="t"/>
          </v:shape>
          <w10:wrap type="none"/>
        </v:group>
      </w:pict>
    </w:r>
    <w:r>
      <w:rPr/>
      <w:pict>
        <v:shape style="position:absolute;margin-left:88.879997pt;margin-top:42.865326pt;width:128pt;height:11pt;mso-position-horizontal-relative:page;mso-position-vertical-relative:page;z-index:-619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xbxContent>
          </v:textbox>
          <w10:wrap type="none"/>
        </v:shape>
      </w:pict>
    </w:r>
    <w:r>
      <w:rPr/>
      <w:pict>
        <v:shape style="position:absolute;margin-left:439.880005pt;margin-top:42.865326pt;width:66.650pt;height:11.5pt;mso-position-horizontal-relative:page;mso-position-vertical-relative:page;z-index:-619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699997pt;margin-top:55.619984pt;width:433.95pt;height:.1pt;mso-position-horizontal-relative:page;mso-position-vertical-relative:page;z-index:-619192" coordorigin="1614,1112" coordsize="8679,2">
          <v:shape style="position:absolute;left:1614;top:1112;width:8679;height:2" coordorigin="1614,1112" coordsize="8679,0" path="m1614,1112l10292,1112e" filled="false" stroked="true" strokeweight=".72003pt" strokecolor="#000000">
            <v:path arrowok="t"/>
          </v:shape>
          <w10:wrap type="none"/>
        </v:group>
      </w:pict>
    </w:r>
    <w:r>
      <w:rPr/>
      <w:pict>
        <v:shape style="position:absolute;margin-left:81.199997pt;margin-top:42.865326pt;width:128pt;height:11pt;mso-position-horizontal-relative:page;mso-position-vertical-relative:page;z-index:-6191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xbxContent>
          </v:textbox>
          <w10:wrap type="none"/>
        </v:shape>
      </w:pict>
    </w:r>
    <w:r>
      <w:rPr/>
      <w:pict>
        <v:shape style="position:absolute;margin-left:441.200012pt;margin-top:42.865326pt;width:67.25pt;height:11.5pt;mso-position-horizontal-relative:page;mso-position-vertical-relative:page;z-index:-619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49"/>
      <w:ind w:left="496"/>
    </w:pPr>
    <w:rPr>
      <w:rFonts w:ascii="宋体" w:hAnsi="宋体" w:eastAsia="宋体"/>
      <w:sz w:val="23"/>
      <w:szCs w:val="23"/>
    </w:rPr>
  </w:style>
  <w:style w:styleId="BodyText" w:type="paragraph">
    <w:name w:val="Body Text"/>
    <w:basedOn w:val="Normal"/>
    <w:uiPriority w:val="1"/>
    <w:qFormat/>
    <w:pPr>
      <w:spacing w:before="29"/>
      <w:ind w:left="137"/>
    </w:pPr>
    <w:rPr>
      <w:rFonts w:ascii="宋体" w:hAnsi="宋体" w:eastAsia="宋体"/>
      <w:sz w:val="23"/>
      <w:szCs w:val="23"/>
    </w:rPr>
  </w:style>
  <w:style w:styleId="Heading1" w:type="paragraph">
    <w:name w:val="Heading 1"/>
    <w:basedOn w:val="Normal"/>
    <w:uiPriority w:val="1"/>
    <w:qFormat/>
    <w:pPr>
      <w:spacing w:before="1"/>
      <w:outlineLvl w:val="1"/>
    </w:pPr>
    <w:rPr>
      <w:rFonts w:ascii="黑体" w:hAnsi="黑体" w:eastAsia="黑体"/>
      <w:sz w:val="32"/>
      <w:szCs w:val="32"/>
    </w:rPr>
  </w:style>
  <w:style w:styleId="Heading2" w:type="paragraph">
    <w:name w:val="Heading 2"/>
    <w:basedOn w:val="Normal"/>
    <w:uiPriority w:val="1"/>
    <w:qFormat/>
    <w:pPr>
      <w:spacing w:before="7"/>
      <w:ind w:left="613"/>
      <w:outlineLvl w:val="2"/>
    </w:pPr>
    <w:rPr>
      <w:rFonts w:ascii="宋体" w:hAnsi="宋体" w:eastAsia="宋体"/>
      <w:b/>
      <w:bCs/>
      <w:sz w:val="30"/>
      <w:szCs w:val="30"/>
    </w:rPr>
  </w:style>
  <w:style w:styleId="Heading3" w:type="paragraph">
    <w:name w:val="Heading 3"/>
    <w:basedOn w:val="Normal"/>
    <w:uiPriority w:val="1"/>
    <w:qFormat/>
    <w:pPr>
      <w:spacing w:before="148"/>
      <w:ind w:left="2344"/>
      <w:outlineLvl w:val="3"/>
    </w:pPr>
    <w:rPr>
      <w:rFonts w:ascii="宋体" w:hAnsi="宋体" w:eastAsia="宋体"/>
      <w:b/>
      <w:bCs/>
      <w:sz w:val="28"/>
      <w:szCs w:val="28"/>
    </w:rPr>
  </w:style>
  <w:style w:styleId="Heading4" w:type="paragraph">
    <w:name w:val="Heading 4"/>
    <w:basedOn w:val="Normal"/>
    <w:uiPriority w:val="1"/>
    <w:qFormat/>
    <w:pPr>
      <w:ind w:left="150"/>
      <w:outlineLvl w:val="4"/>
    </w:pPr>
    <w:rPr>
      <w:rFonts w:ascii="宋体" w:hAnsi="宋体" w:eastAsia="宋体"/>
      <w:b/>
      <w:bCs/>
      <w:sz w:val="24"/>
      <w:szCs w:val="24"/>
    </w:rPr>
  </w:style>
  <w:style w:styleId="Heading5" w:type="paragraph">
    <w:name w:val="Heading 5"/>
    <w:basedOn w:val="Normal"/>
    <w:uiPriority w:val="1"/>
    <w:qFormat/>
    <w:pPr>
      <w:ind w:left="144"/>
      <w:outlineLvl w:val="5"/>
    </w:pPr>
    <w:rPr>
      <w:rFonts w:ascii="宋体" w:hAnsi="宋体" w:eastAsia="宋体"/>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yinzhijie.com" TargetMode="External"/><Relationship Id="rId9" Type="http://schemas.openxmlformats.org/officeDocument/2006/relationships/hyperlink" Target="http://www.yinzhijie.com/"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header" Target="header4.xml"/><Relationship Id="rId28" Type="http://schemas.openxmlformats.org/officeDocument/2006/relationships/footer" Target="footer15.xml"/><Relationship Id="rId29" Type="http://schemas.openxmlformats.org/officeDocument/2006/relationships/header" Target="header5.xml"/><Relationship Id="rId30" Type="http://schemas.openxmlformats.org/officeDocument/2006/relationships/footer" Target="footer16.xml"/><Relationship Id="rId31" Type="http://schemas.openxmlformats.org/officeDocument/2006/relationships/header" Target="header6.xml"/><Relationship Id="rId32" Type="http://schemas.openxmlformats.org/officeDocument/2006/relationships/footer" Target="footer17.xml"/><Relationship Id="rId33" Type="http://schemas.openxmlformats.org/officeDocument/2006/relationships/header" Target="header7.xml"/><Relationship Id="rId34" Type="http://schemas.openxmlformats.org/officeDocument/2006/relationships/footer" Target="footer18.xml"/><Relationship Id="rId35" Type="http://schemas.openxmlformats.org/officeDocument/2006/relationships/header" Target="header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liuyi</dc:creator>
  <dc:title>Microsoft Word - 2010年年度报告.doc</dc:title>
  <dcterms:created xsi:type="dcterms:W3CDTF">2020-04-29T03:59:52Z</dcterms:created>
  <dcterms:modified xsi:type="dcterms:W3CDTF">2020-04-29T03:59:52Z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Creator">
    <vt:lpwstr>PScript5.dll Version 5.2</vt:lpwstr>
  </property>
  <property fmtid="{D5CDD505-2E9C-101B-9397-08002B2CF9AE}" pid="4" name="LastSaved">
    <vt:filetime>2020-04-28T00:00:00Z</vt:filetime>
  </property>
</Properties>
</file>