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p>
      <w:pPr>
        <w:spacing w:line="988" w:lineRule="exact"/>
        <w:ind w:left="207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drawing>
          <wp:inline distT="0" distB="0" distL="0" distR="0">
            <wp:extent cx="2801716" cy="62788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801716" cy="627887"/>
                    </a:xfrm>
                    <a:prstGeom prst="rect">
                      <a:avLst/>
                    </a:prstGeom>
                  </pic:spPr>
                </pic:pic>
              </a:graphicData>
            </a:graphic>
          </wp:inline>
        </w:drawing>
      </w:r>
      <w:r>
        <w:rPr>
          <w:rFonts w:ascii="Times New Roman" w:hAnsi="Times New Roman" w:cs="Times New Roman" w:eastAsia="Times New Roman" w:hint="default"/>
          <w:position w:val="-19"/>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6"/>
          <w:szCs w:val="26"/>
        </w:rPr>
      </w:pPr>
    </w:p>
    <w:p>
      <w:pPr>
        <w:spacing w:line="620" w:lineRule="exact" w:before="0"/>
        <w:ind w:left="613" w:right="611" w:firstLine="0"/>
        <w:jc w:val="center"/>
        <w:rPr>
          <w:rFonts w:ascii="黑体" w:hAnsi="黑体" w:cs="黑体" w:eastAsia="黑体" w:hint="default"/>
          <w:sz w:val="52"/>
          <w:szCs w:val="52"/>
        </w:rPr>
      </w:pPr>
      <w:r>
        <w:rPr>
          <w:rFonts w:ascii="黑体" w:hAnsi="黑体" w:cs="黑体" w:eastAsia="黑体" w:hint="default"/>
          <w:sz w:val="52"/>
          <w:szCs w:val="52"/>
        </w:rPr>
        <w:t>深圳市银之杰科技股份有限公司</w:t>
      </w:r>
    </w:p>
    <w:p>
      <w:pPr>
        <w:pStyle w:val="Heading2"/>
        <w:spacing w:line="240" w:lineRule="auto" w:before="234"/>
        <w:ind w:right="611"/>
        <w:jc w:val="center"/>
        <w:rPr>
          <w:rFonts w:ascii="Times New Roman" w:hAnsi="Times New Roman" w:cs="Times New Roman" w:eastAsia="Times New Roman" w:hint="default"/>
          <w:b w:val="0"/>
          <w:bCs w:val="0"/>
        </w:rPr>
      </w:pPr>
      <w:r>
        <w:rPr>
          <w:rFonts w:ascii="Times New Roman"/>
        </w:rPr>
        <w:t>SHENZHEN INFOTECH TECHNOLOGIES CO.,</w:t>
      </w:r>
      <w:r>
        <w:rPr>
          <w:rFonts w:ascii="Times New Roman"/>
          <w:spacing w:val="-7"/>
        </w:rPr>
        <w:t> LTD.</w:t>
      </w:r>
      <w:r>
        <w:rPr>
          <w:rFonts w:ascii="Times New Roman"/>
          <w:b w:val="0"/>
          <w:spacing w:val="-7"/>
        </w:rPr>
      </w: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6"/>
        <w:rPr>
          <w:rFonts w:ascii="Times New Roman" w:hAnsi="Times New Roman" w:cs="Times New Roman" w:eastAsia="Times New Roman" w:hint="default"/>
          <w:b/>
          <w:bCs/>
          <w:sz w:val="27"/>
          <w:szCs w:val="27"/>
        </w:rPr>
      </w:pPr>
    </w:p>
    <w:p>
      <w:pPr>
        <w:spacing w:before="0"/>
        <w:ind w:left="612" w:right="611" w:firstLine="0"/>
        <w:jc w:val="center"/>
        <w:rPr>
          <w:rFonts w:ascii="黑体" w:hAnsi="黑体" w:cs="黑体" w:eastAsia="黑体" w:hint="default"/>
          <w:sz w:val="52"/>
          <w:szCs w:val="52"/>
        </w:rPr>
      </w:pPr>
      <w:r>
        <w:rPr>
          <w:rFonts w:ascii="黑体" w:hAnsi="黑体" w:cs="黑体" w:eastAsia="黑体" w:hint="default"/>
          <w:sz w:val="52"/>
          <w:szCs w:val="52"/>
        </w:rPr>
        <w:t>2011</w:t>
      </w:r>
      <w:r>
        <w:rPr>
          <w:rFonts w:ascii="黑体" w:hAnsi="黑体" w:cs="黑体" w:eastAsia="黑体" w:hint="default"/>
          <w:spacing w:val="-134"/>
          <w:sz w:val="52"/>
          <w:szCs w:val="52"/>
        </w:rPr>
        <w:t> </w:t>
      </w:r>
      <w:r>
        <w:rPr>
          <w:rFonts w:ascii="黑体" w:hAnsi="黑体" w:cs="黑体" w:eastAsia="黑体" w:hint="default"/>
          <w:sz w:val="52"/>
          <w:szCs w:val="52"/>
        </w:rPr>
        <w:t>年年度报告</w:t>
      </w: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4"/>
        <w:rPr>
          <w:rFonts w:ascii="黑体" w:hAnsi="黑体" w:cs="黑体" w:eastAsia="黑体" w:hint="default"/>
          <w:sz w:val="60"/>
          <w:szCs w:val="60"/>
        </w:rPr>
      </w:pPr>
    </w:p>
    <w:p>
      <w:pPr>
        <w:spacing w:line="381" w:lineRule="auto" w:before="0"/>
        <w:ind w:left="3054" w:right="3050" w:firstLine="0"/>
        <w:jc w:val="center"/>
        <w:rPr>
          <w:rFonts w:ascii="黑体" w:hAnsi="黑体" w:cs="黑体" w:eastAsia="黑体" w:hint="default"/>
          <w:sz w:val="30"/>
          <w:szCs w:val="30"/>
        </w:rPr>
      </w:pPr>
      <w:r>
        <w:rPr>
          <w:rFonts w:ascii="黑体" w:hAnsi="黑体" w:cs="黑体" w:eastAsia="黑体" w:hint="default"/>
          <w:sz w:val="30"/>
          <w:szCs w:val="30"/>
        </w:rPr>
        <w:t>股票简称：银之杰 股票代码：300085</w:t>
      </w:r>
    </w:p>
    <w:p>
      <w:pPr>
        <w:spacing w:line="240" w:lineRule="auto" w:before="0"/>
        <w:rPr>
          <w:rFonts w:ascii="黑体" w:hAnsi="黑体" w:cs="黑体" w:eastAsia="黑体" w:hint="default"/>
          <w:sz w:val="30"/>
          <w:szCs w:val="30"/>
        </w:rPr>
      </w:pPr>
    </w:p>
    <w:p>
      <w:pPr>
        <w:spacing w:line="240" w:lineRule="auto" w:before="0"/>
        <w:rPr>
          <w:rFonts w:ascii="黑体" w:hAnsi="黑体" w:cs="黑体" w:eastAsia="黑体" w:hint="default"/>
          <w:sz w:val="30"/>
          <w:szCs w:val="30"/>
        </w:rPr>
      </w:pPr>
    </w:p>
    <w:p>
      <w:pPr>
        <w:spacing w:line="240" w:lineRule="auto" w:before="0"/>
        <w:rPr>
          <w:rFonts w:ascii="黑体" w:hAnsi="黑体" w:cs="黑体" w:eastAsia="黑体" w:hint="default"/>
          <w:sz w:val="30"/>
          <w:szCs w:val="30"/>
        </w:rPr>
      </w:pPr>
    </w:p>
    <w:p>
      <w:pPr>
        <w:spacing w:line="240" w:lineRule="auto" w:before="0"/>
        <w:rPr>
          <w:rFonts w:ascii="黑体" w:hAnsi="黑体" w:cs="黑体" w:eastAsia="黑体" w:hint="default"/>
          <w:sz w:val="30"/>
          <w:szCs w:val="30"/>
        </w:rPr>
      </w:pPr>
    </w:p>
    <w:p>
      <w:pPr>
        <w:spacing w:line="240" w:lineRule="auto" w:before="3"/>
        <w:rPr>
          <w:rFonts w:ascii="黑体" w:hAnsi="黑体" w:cs="黑体" w:eastAsia="黑体" w:hint="default"/>
          <w:sz w:val="27"/>
          <w:szCs w:val="27"/>
        </w:rPr>
      </w:pPr>
    </w:p>
    <w:p>
      <w:pPr>
        <w:spacing w:before="0"/>
        <w:ind w:left="613" w:right="611" w:firstLine="0"/>
        <w:jc w:val="center"/>
        <w:rPr>
          <w:rFonts w:ascii="黑体" w:hAnsi="黑体" w:cs="黑体" w:eastAsia="黑体" w:hint="default"/>
          <w:sz w:val="30"/>
          <w:szCs w:val="30"/>
        </w:rPr>
      </w:pPr>
      <w:r>
        <w:rPr>
          <w:rFonts w:ascii="黑体" w:hAnsi="黑体" w:cs="黑体" w:eastAsia="黑体" w:hint="default"/>
          <w:sz w:val="30"/>
          <w:szCs w:val="30"/>
        </w:rPr>
        <w:t>二〇一二年三月二十日</w:t>
      </w:r>
    </w:p>
    <w:p>
      <w:pPr>
        <w:spacing w:after="0"/>
        <w:jc w:val="center"/>
        <w:rPr>
          <w:rFonts w:ascii="黑体" w:hAnsi="黑体" w:cs="黑体" w:eastAsia="黑体" w:hint="default"/>
          <w:sz w:val="30"/>
          <w:szCs w:val="30"/>
        </w:rPr>
        <w:sectPr>
          <w:type w:val="continuous"/>
          <w:pgSz w:w="11910" w:h="16840"/>
          <w:pgMar w:top="1600" w:bottom="280" w:left="1680" w:right="16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before="161"/>
        <w:ind w:left="0" w:right="15" w:firstLine="0"/>
        <w:jc w:val="center"/>
        <w:rPr>
          <w:rFonts w:ascii="黑体" w:hAnsi="黑体" w:cs="黑体" w:eastAsia="黑体" w:hint="default"/>
          <w:sz w:val="32"/>
          <w:szCs w:val="32"/>
        </w:rPr>
      </w:pPr>
      <w:r>
        <w:rPr>
          <w:rFonts w:ascii="黑体" w:hAnsi="黑体" w:cs="黑体" w:eastAsia="黑体" w:hint="default"/>
          <w:b/>
          <w:bCs/>
          <w:sz w:val="32"/>
          <w:szCs w:val="32"/>
        </w:rPr>
        <w:t>重要提示</w:t>
      </w:r>
      <w:r>
        <w:rPr>
          <w:rFonts w:ascii="黑体" w:hAnsi="黑体" w:cs="黑体" w:eastAsia="黑体" w:hint="default"/>
          <w:sz w:val="32"/>
          <w:szCs w:val="32"/>
        </w:rPr>
      </w:r>
    </w:p>
    <w:p>
      <w:pPr>
        <w:spacing w:line="240" w:lineRule="auto" w:before="0"/>
        <w:rPr>
          <w:rFonts w:ascii="黑体" w:hAnsi="黑体" w:cs="黑体" w:eastAsia="黑体" w:hint="default"/>
          <w:b/>
          <w:bCs/>
          <w:sz w:val="32"/>
          <w:szCs w:val="32"/>
        </w:rPr>
      </w:pPr>
    </w:p>
    <w:p>
      <w:pPr>
        <w:pStyle w:val="BodyText"/>
        <w:spacing w:line="372" w:lineRule="auto" w:before="250"/>
        <w:ind w:right="152" w:firstLine="358"/>
        <w:jc w:val="both"/>
      </w:pPr>
      <w:r>
        <w:rPr>
          <w:spacing w:val="-4"/>
        </w:rPr>
        <w:t>本公司董事会、监事会及董事、监事、高级管理人员保证本报告所载资料不存在</w:t>
      </w:r>
      <w:r>
        <w:rPr>
          <w:w w:val="100"/>
        </w:rPr>
        <w:t> </w:t>
      </w:r>
      <w:r>
        <w:rPr/>
        <w:t>任何虚假记载、误导性陈述或者重大遗漏，并对其内容的真实性、准确性和完整性</w:t>
      </w:r>
      <w:r>
        <w:rPr>
          <w:spacing w:val="-87"/>
        </w:rPr>
        <w:t> </w:t>
      </w:r>
      <w:r>
        <w:rPr>
          <w:spacing w:val="-87"/>
        </w:rPr>
      </w:r>
      <w:r>
        <w:rPr/>
        <w:t>负个别及连带责任。</w:t>
      </w:r>
    </w:p>
    <w:p>
      <w:pPr>
        <w:pStyle w:val="BodyText"/>
        <w:spacing w:line="372" w:lineRule="auto" w:before="196"/>
        <w:ind w:right="152" w:firstLine="358"/>
        <w:jc w:val="both"/>
      </w:pPr>
      <w:r>
        <w:rPr>
          <w:spacing w:val="-4"/>
        </w:rPr>
        <w:t>本公司没有董事、监事、高级管理人员对本年度报告内容的真实性、准确性、完</w:t>
      </w:r>
      <w:r>
        <w:rPr>
          <w:w w:val="100"/>
        </w:rPr>
        <w:t> </w:t>
      </w:r>
      <w:r>
        <w:rPr/>
        <w:t>整性无法保证或存在异议。</w:t>
      </w:r>
    </w:p>
    <w:p>
      <w:pPr>
        <w:pStyle w:val="BodyText"/>
        <w:spacing w:line="352" w:lineRule="auto" w:before="196"/>
        <w:ind w:right="152" w:firstLine="358"/>
        <w:jc w:val="both"/>
      </w:pPr>
      <w:r>
        <w:rPr/>
        <w:t>公司</w:t>
      </w:r>
      <w:r>
        <w:rPr>
          <w:spacing w:val="-4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年年度报告已经公司第二届董事会第八次会议审议通过，全体董事均</w:t>
      </w:r>
      <w:r>
        <w:rPr>
          <w:w w:val="100"/>
        </w:rPr>
        <w:t> </w:t>
      </w:r>
      <w:r>
        <w:rPr/>
        <w:t>出席了本次董事会会议。</w:t>
      </w:r>
    </w:p>
    <w:p>
      <w:pPr>
        <w:spacing w:line="240" w:lineRule="auto" w:before="6"/>
        <w:rPr>
          <w:rFonts w:ascii="宋体" w:hAnsi="宋体" w:cs="宋体" w:eastAsia="宋体" w:hint="default"/>
          <w:sz w:val="16"/>
          <w:szCs w:val="16"/>
        </w:rPr>
      </w:pPr>
    </w:p>
    <w:p>
      <w:pPr>
        <w:pStyle w:val="BodyText"/>
        <w:spacing w:line="352" w:lineRule="auto"/>
        <w:ind w:right="152" w:firstLine="358"/>
        <w:jc w:val="both"/>
      </w:pPr>
      <w:r>
        <w:rPr/>
        <w:t>公司</w:t>
      </w:r>
      <w:r>
        <w:rPr>
          <w:spacing w:val="-4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年度财务报告已经深圳市鹏城会计师事务所有限公司审计并被出具了</w:t>
      </w:r>
      <w:r>
        <w:rPr>
          <w:w w:val="100"/>
        </w:rPr>
        <w:t> </w:t>
      </w:r>
      <w:r>
        <w:rPr/>
        <w:t>标准无保留意见的审计报告。</w:t>
      </w:r>
    </w:p>
    <w:p>
      <w:pPr>
        <w:spacing w:line="240" w:lineRule="auto" w:before="6"/>
        <w:rPr>
          <w:rFonts w:ascii="宋体" w:hAnsi="宋体" w:cs="宋体" w:eastAsia="宋体" w:hint="default"/>
          <w:sz w:val="16"/>
          <w:szCs w:val="16"/>
        </w:rPr>
      </w:pPr>
    </w:p>
    <w:p>
      <w:pPr>
        <w:pStyle w:val="BodyText"/>
        <w:spacing w:line="352" w:lineRule="auto"/>
        <w:ind w:right="153" w:firstLine="358"/>
        <w:jc w:val="both"/>
      </w:pPr>
      <w:r>
        <w:rPr/>
        <w:t>公司负责人陈向军、主管会计工作负责人许秋江及会计机构负责人</w:t>
      </w:r>
      <w:r>
        <w:rPr>
          <w:rFonts w:ascii="Times New Roman" w:hAnsi="Times New Roman" w:cs="Times New Roman" w:eastAsia="Times New Roman" w:hint="default"/>
        </w:rPr>
        <w:t>(</w:t>
      </w:r>
      <w:r>
        <w:rPr/>
        <w:t>会计主管人</w:t>
      </w:r>
      <w:r>
        <w:rPr>
          <w:w w:val="100"/>
        </w:rPr>
        <w:t> </w:t>
      </w:r>
      <w:r>
        <w:rPr/>
        <w:t>员</w:t>
      </w:r>
      <w:r>
        <w:rPr>
          <w:rFonts w:ascii="Times New Roman" w:hAnsi="Times New Roman" w:cs="Times New Roman" w:eastAsia="Times New Roman" w:hint="default"/>
        </w:rPr>
        <w:t>)</w:t>
      </w:r>
      <w:r>
        <w:rPr/>
        <w:t>张春雷声明：保证年度报告中财务报告的真实、完整。</w:t>
      </w:r>
    </w:p>
    <w:p>
      <w:pPr>
        <w:spacing w:after="0" w:line="352" w:lineRule="auto"/>
        <w:jc w:val="both"/>
        <w:sectPr>
          <w:headerReference w:type="default" r:id="rId6"/>
          <w:footerReference w:type="default" r:id="rId7"/>
          <w:pgSz w:w="11910" w:h="16840"/>
          <w:pgMar w:header="877" w:footer="982" w:top="1100" w:bottom="1180" w:left="1660" w:right="164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tabs>
          <w:tab w:pos="640" w:val="left" w:leader="none"/>
        </w:tabs>
        <w:spacing w:before="1"/>
        <w:ind w:left="0" w:right="14" w:firstLine="0"/>
        <w:jc w:val="center"/>
        <w:rPr>
          <w:rFonts w:ascii="黑体" w:hAnsi="黑体" w:cs="黑体" w:eastAsia="黑体" w:hint="default"/>
          <w:sz w:val="32"/>
          <w:szCs w:val="32"/>
        </w:rPr>
      </w:pPr>
      <w:r>
        <w:rPr>
          <w:rFonts w:ascii="黑体" w:hAnsi="黑体" w:cs="黑体" w:eastAsia="黑体" w:hint="default"/>
          <w:sz w:val="32"/>
          <w:szCs w:val="32"/>
        </w:rPr>
        <w:t>目</w:t>
        <w:tab/>
        <w:t>录</w:t>
      </w:r>
    </w:p>
    <w:sdt>
      <w:sdtPr>
        <w:docPartObj>
          <w:docPartGallery w:val="Table of Contents"/>
          <w:docPartUnique/>
        </w:docPartObj>
      </w:sdtPr>
      <w:sdtEndPr/>
      <w:sdtContent>
        <w:p>
          <w:pPr>
            <w:pStyle w:val="TOC1"/>
            <w:tabs>
              <w:tab w:pos="8057" w:val="right" w:leader="dot"/>
            </w:tabs>
            <w:spacing w:line="240" w:lineRule="auto" w:before="513"/>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09">
            <w:r>
              <w:rPr/>
              <w:t>第一节</w:t>
            </w:r>
            <w:r>
              <w:rPr>
                <w:spacing w:val="-2"/>
              </w:rPr>
              <w:t> </w:t>
            </w:r>
            <w:r>
              <w:rPr/>
              <w:t>公司基本情况简介</w:t>
            </w:r>
            <w:r>
              <w:rPr>
                <w:rFonts w:ascii="Times New Roman" w:hAnsi="Times New Roman" w:cs="Times New Roman" w:eastAsia="Times New Roman" w:hint="default"/>
              </w:rPr>
              <w:tab/>
              <w:t>3</w:t>
            </w:r>
          </w:hyperlink>
        </w:p>
        <w:p>
          <w:pPr>
            <w:pStyle w:val="TOC1"/>
            <w:tabs>
              <w:tab w:pos="8057" w:val="right" w:leader="dot"/>
            </w:tabs>
            <w:spacing w:line="240" w:lineRule="auto"/>
            <w:ind w:right="0"/>
            <w:jc w:val="left"/>
            <w:rPr>
              <w:rFonts w:ascii="Times New Roman" w:hAnsi="Times New Roman" w:cs="Times New Roman" w:eastAsia="Times New Roman" w:hint="default"/>
            </w:rPr>
          </w:pPr>
          <w:hyperlink w:history="true" w:anchor="_TOC_250008">
            <w:r>
              <w:rPr/>
              <w:t>第二节</w:t>
            </w:r>
            <w:r>
              <w:rPr>
                <w:spacing w:val="-2"/>
              </w:rPr>
              <w:t> </w:t>
            </w:r>
            <w:r>
              <w:rPr/>
              <w:t>会计数据和业务数据摘要</w:t>
            </w:r>
            <w:r>
              <w:rPr>
                <w:rFonts w:ascii="Times New Roman" w:hAnsi="Times New Roman" w:cs="Times New Roman" w:eastAsia="Times New Roman" w:hint="default"/>
              </w:rPr>
              <w:tab/>
              <w:t>4</w:t>
            </w:r>
          </w:hyperlink>
        </w:p>
        <w:p>
          <w:pPr>
            <w:pStyle w:val="TOC1"/>
            <w:tabs>
              <w:tab w:pos="8057" w:val="right" w:leader="dot"/>
            </w:tabs>
            <w:spacing w:line="240" w:lineRule="auto"/>
            <w:ind w:right="0"/>
            <w:jc w:val="left"/>
            <w:rPr>
              <w:rFonts w:ascii="Times New Roman" w:hAnsi="Times New Roman" w:cs="Times New Roman" w:eastAsia="Times New Roman" w:hint="default"/>
            </w:rPr>
          </w:pPr>
          <w:hyperlink w:history="true" w:anchor="_TOC_250007">
            <w:r>
              <w:rPr/>
              <w:t>第三节</w:t>
            </w:r>
            <w:r>
              <w:rPr>
                <w:spacing w:val="-1"/>
              </w:rPr>
              <w:t> </w:t>
            </w:r>
            <w:r>
              <w:rPr/>
              <w:t>董事会报告</w:t>
            </w:r>
            <w:r>
              <w:rPr>
                <w:rFonts w:ascii="Times New Roman" w:hAnsi="Times New Roman" w:cs="Times New Roman" w:eastAsia="Times New Roman" w:hint="default"/>
              </w:rPr>
              <w:tab/>
              <w:t>7</w:t>
            </w:r>
          </w:hyperlink>
        </w:p>
        <w:p>
          <w:pPr>
            <w:pStyle w:val="TOC1"/>
            <w:tabs>
              <w:tab w:pos="8057" w:val="right" w:leader="dot"/>
            </w:tabs>
            <w:spacing w:line="240" w:lineRule="auto"/>
            <w:ind w:right="0"/>
            <w:jc w:val="left"/>
            <w:rPr>
              <w:rFonts w:ascii="Times New Roman" w:hAnsi="Times New Roman" w:cs="Times New Roman" w:eastAsia="Times New Roman" w:hint="default"/>
            </w:rPr>
          </w:pPr>
          <w:hyperlink w:history="true" w:anchor="_TOC_250006">
            <w:r>
              <w:rPr/>
              <w:t>第四节</w:t>
            </w:r>
            <w:r>
              <w:rPr>
                <w:spacing w:val="-1"/>
              </w:rPr>
              <w:t> </w:t>
            </w:r>
            <w:r>
              <w:rPr/>
              <w:t>重要事项</w:t>
            </w:r>
            <w:r>
              <w:rPr>
                <w:rFonts w:ascii="Times New Roman" w:hAnsi="Times New Roman" w:cs="Times New Roman" w:eastAsia="Times New Roman" w:hint="default"/>
              </w:rPr>
              <w:tab/>
              <w:t>33</w:t>
            </w:r>
          </w:hyperlink>
        </w:p>
        <w:p>
          <w:pPr>
            <w:pStyle w:val="TOC1"/>
            <w:tabs>
              <w:tab w:pos="8057" w:val="right" w:leader="dot"/>
            </w:tabs>
            <w:spacing w:line="240" w:lineRule="auto"/>
            <w:ind w:right="0"/>
            <w:jc w:val="left"/>
            <w:rPr>
              <w:rFonts w:ascii="Times New Roman" w:hAnsi="Times New Roman" w:cs="Times New Roman" w:eastAsia="Times New Roman" w:hint="default"/>
            </w:rPr>
          </w:pPr>
          <w:hyperlink w:history="true" w:anchor="_TOC_250005">
            <w:r>
              <w:rPr/>
              <w:t>第五节</w:t>
            </w:r>
            <w:r>
              <w:rPr>
                <w:spacing w:val="-2"/>
              </w:rPr>
              <w:t> </w:t>
            </w:r>
            <w:r>
              <w:rPr/>
              <w:t>股本变动和主要股东持股情况</w:t>
            </w:r>
            <w:r>
              <w:rPr>
                <w:rFonts w:ascii="Times New Roman" w:hAnsi="Times New Roman" w:cs="Times New Roman" w:eastAsia="Times New Roman" w:hint="default"/>
              </w:rPr>
              <w:tab/>
              <w:t>38</w:t>
            </w:r>
          </w:hyperlink>
        </w:p>
        <w:p>
          <w:pPr>
            <w:pStyle w:val="TOC1"/>
            <w:tabs>
              <w:tab w:pos="8057" w:val="right" w:leader="dot"/>
            </w:tabs>
            <w:spacing w:line="240" w:lineRule="auto"/>
            <w:ind w:right="0"/>
            <w:jc w:val="left"/>
            <w:rPr>
              <w:rFonts w:ascii="Times New Roman" w:hAnsi="Times New Roman" w:cs="Times New Roman" w:eastAsia="Times New Roman" w:hint="default"/>
            </w:rPr>
          </w:pPr>
          <w:hyperlink w:history="true" w:anchor="_TOC_250004">
            <w:r>
              <w:rPr/>
              <w:t>第六节</w:t>
            </w:r>
            <w:r>
              <w:rPr>
                <w:spacing w:val="-2"/>
              </w:rPr>
              <w:t> </w:t>
            </w:r>
            <w:r>
              <w:rPr/>
              <w:t>董事、监事、高级管理人员和员工情况</w:t>
            </w:r>
            <w:r>
              <w:rPr>
                <w:rFonts w:ascii="Times New Roman" w:hAnsi="Times New Roman" w:cs="Times New Roman" w:eastAsia="Times New Roman" w:hint="default"/>
              </w:rPr>
              <w:tab/>
              <w:t>41</w:t>
            </w:r>
          </w:hyperlink>
        </w:p>
        <w:p>
          <w:pPr>
            <w:pStyle w:val="TOC1"/>
            <w:tabs>
              <w:tab w:pos="8057" w:val="right" w:leader="dot"/>
            </w:tabs>
            <w:spacing w:line="240" w:lineRule="auto"/>
            <w:ind w:right="0"/>
            <w:jc w:val="left"/>
            <w:rPr>
              <w:rFonts w:ascii="Times New Roman" w:hAnsi="Times New Roman" w:cs="Times New Roman" w:eastAsia="Times New Roman" w:hint="default"/>
            </w:rPr>
          </w:pPr>
          <w:hyperlink w:history="true" w:anchor="_TOC_250003">
            <w:r>
              <w:rPr/>
              <w:t>第七节</w:t>
            </w:r>
            <w:r>
              <w:rPr>
                <w:spacing w:val="-1"/>
              </w:rPr>
              <w:t> </w:t>
            </w:r>
            <w:r>
              <w:rPr/>
              <w:t>公司治理结构</w:t>
            </w:r>
            <w:r>
              <w:rPr>
                <w:rFonts w:ascii="Times New Roman" w:hAnsi="Times New Roman" w:cs="Times New Roman" w:eastAsia="Times New Roman" w:hint="default"/>
              </w:rPr>
              <w:tab/>
              <w:t>46</w:t>
            </w:r>
          </w:hyperlink>
        </w:p>
        <w:p>
          <w:pPr>
            <w:pStyle w:val="TOC1"/>
            <w:tabs>
              <w:tab w:pos="8057" w:val="right" w:leader="dot"/>
            </w:tabs>
            <w:spacing w:line="240" w:lineRule="auto"/>
            <w:ind w:right="0"/>
            <w:jc w:val="left"/>
            <w:rPr>
              <w:rFonts w:ascii="Times New Roman" w:hAnsi="Times New Roman" w:cs="Times New Roman" w:eastAsia="Times New Roman" w:hint="default"/>
            </w:rPr>
          </w:pPr>
          <w:hyperlink w:history="true" w:anchor="_TOC_250002">
            <w:r>
              <w:rPr/>
              <w:t>第八节</w:t>
            </w:r>
            <w:r>
              <w:rPr>
                <w:spacing w:val="-1"/>
              </w:rPr>
              <w:t> </w:t>
            </w:r>
            <w:r>
              <w:rPr/>
              <w:t>监事会报告</w:t>
            </w:r>
            <w:r>
              <w:rPr>
                <w:rFonts w:ascii="Times New Roman" w:hAnsi="Times New Roman" w:cs="Times New Roman" w:eastAsia="Times New Roman" w:hint="default"/>
              </w:rPr>
              <w:tab/>
              <w:t>54</w:t>
            </w:r>
          </w:hyperlink>
        </w:p>
        <w:p>
          <w:pPr>
            <w:pStyle w:val="TOC1"/>
            <w:tabs>
              <w:tab w:pos="8057" w:val="right" w:leader="dot"/>
            </w:tabs>
            <w:spacing w:line="240" w:lineRule="auto"/>
            <w:ind w:right="0"/>
            <w:jc w:val="left"/>
            <w:rPr>
              <w:rFonts w:ascii="Times New Roman" w:hAnsi="Times New Roman" w:cs="Times New Roman" w:eastAsia="Times New Roman" w:hint="default"/>
            </w:rPr>
          </w:pPr>
          <w:hyperlink w:history="true" w:anchor="_TOC_250001">
            <w:r>
              <w:rPr/>
              <w:t>第九节</w:t>
            </w:r>
            <w:r>
              <w:rPr>
                <w:spacing w:val="-1"/>
              </w:rPr>
              <w:t> </w:t>
            </w:r>
            <w:r>
              <w:rPr/>
              <w:t>财务报告</w:t>
            </w:r>
            <w:r>
              <w:rPr>
                <w:rFonts w:ascii="Times New Roman" w:hAnsi="Times New Roman" w:cs="Times New Roman" w:eastAsia="Times New Roman" w:hint="default"/>
              </w:rPr>
              <w:tab/>
              <w:t>56</w:t>
            </w:r>
          </w:hyperlink>
        </w:p>
        <w:p>
          <w:pPr>
            <w:pStyle w:val="TOC1"/>
            <w:tabs>
              <w:tab w:pos="8057" w:val="right" w:leader="dot"/>
            </w:tabs>
            <w:spacing w:line="240" w:lineRule="auto"/>
            <w:ind w:right="0"/>
            <w:jc w:val="left"/>
            <w:rPr>
              <w:rFonts w:ascii="Times New Roman" w:hAnsi="Times New Roman" w:cs="Times New Roman" w:eastAsia="Times New Roman" w:hint="default"/>
            </w:rPr>
          </w:pPr>
          <w:hyperlink w:history="true" w:anchor="_TOC_250000">
            <w:r>
              <w:rPr/>
              <w:t>第十节</w:t>
            </w:r>
            <w:r>
              <w:rPr>
                <w:spacing w:val="-1"/>
              </w:rPr>
              <w:t> </w:t>
            </w:r>
            <w:r>
              <w:rPr/>
              <w:t>备查文件</w:t>
            </w:r>
            <w:r>
              <w:rPr>
                <w:rFonts w:ascii="Times New Roman" w:hAnsi="Times New Roman" w:cs="Times New Roman" w:eastAsia="Times New Roman" w:hint="default"/>
              </w:rPr>
              <w:tab/>
              <w:t>122</w:t>
            </w:r>
          </w:hyperlink>
        </w:p>
        <w:p>
          <w:pPr/>
          <w:r>
            <w:fldChar w:fldCharType="end"/>
          </w:r>
        </w:p>
      </w:sdtContent>
    </w:sdt>
    <w:p>
      <w:pPr>
        <w:spacing w:after="0"/>
        <w:sectPr>
          <w:pgSz w:w="11910" w:h="16840"/>
          <w:pgMar w:header="877" w:footer="982" w:top="1100" w:bottom="1180" w:left="1660" w:right="164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11"/>
        <w:rPr>
          <w:rFonts w:ascii="Times New Roman" w:hAnsi="Times New Roman" w:cs="Times New Roman" w:eastAsia="Times New Roman" w:hint="default"/>
          <w:sz w:val="29"/>
          <w:szCs w:val="29"/>
        </w:rPr>
      </w:pPr>
    </w:p>
    <w:p>
      <w:pPr>
        <w:pStyle w:val="Heading1"/>
        <w:spacing w:line="240" w:lineRule="auto" w:before="0"/>
        <w:ind w:left="2453" w:right="0"/>
        <w:jc w:val="left"/>
      </w:pPr>
      <w:bookmarkStart w:name="_TOC_250009" w:id="1"/>
      <w:r>
        <w:rPr/>
        <w:t>第一节</w:t>
      </w:r>
      <w:r>
        <w:rPr>
          <w:spacing w:val="-6"/>
        </w:rPr>
        <w:t> </w:t>
      </w:r>
      <w:bookmarkEnd w:id="1"/>
      <w:r>
        <w:rPr/>
        <w:t>公司基本情况简介</w:t>
      </w:r>
    </w:p>
    <w:p>
      <w:pPr>
        <w:spacing w:line="240" w:lineRule="auto" w:before="0"/>
        <w:rPr>
          <w:rFonts w:ascii="黑体" w:hAnsi="黑体" w:cs="黑体" w:eastAsia="黑体" w:hint="default"/>
          <w:sz w:val="20"/>
          <w:szCs w:val="20"/>
        </w:rPr>
      </w:pPr>
    </w:p>
    <w:p>
      <w:pPr>
        <w:pStyle w:val="BodyText"/>
        <w:spacing w:line="240" w:lineRule="auto" w:before="179"/>
        <w:ind w:right="0"/>
        <w:jc w:val="left"/>
      </w:pPr>
      <w:r>
        <w:rPr/>
        <w:t>一、</w:t>
      </w:r>
      <w:r>
        <w:rPr>
          <w:spacing w:val="-34"/>
        </w:rPr>
        <w:t> </w:t>
      </w:r>
      <w:r>
        <w:rPr/>
        <w:t>公司名称</w:t>
      </w:r>
    </w:p>
    <w:p>
      <w:pPr>
        <w:pStyle w:val="BodyText"/>
        <w:spacing w:line="372" w:lineRule="auto" w:before="167"/>
        <w:ind w:left="597" w:right="0"/>
        <w:jc w:val="left"/>
      </w:pPr>
      <w:r>
        <w:rPr>
          <w:w w:val="100"/>
        </w:rPr>
        <w:t>中文名</w:t>
      </w:r>
      <w:r>
        <w:rPr>
          <w:spacing w:val="-2"/>
          <w:w w:val="100"/>
        </w:rPr>
        <w:t>称（</w:t>
      </w:r>
      <w:r>
        <w:rPr>
          <w:w w:val="100"/>
        </w:rPr>
        <w:t>简称</w:t>
      </w:r>
      <w:r>
        <w:rPr>
          <w:spacing w:val="-116"/>
          <w:w w:val="100"/>
        </w:rPr>
        <w:t>）</w:t>
      </w:r>
      <w:r>
        <w:rPr>
          <w:spacing w:val="-2"/>
          <w:w w:val="100"/>
        </w:rPr>
        <w:t>：深</w:t>
      </w:r>
      <w:r>
        <w:rPr>
          <w:w w:val="100"/>
        </w:rPr>
        <w:t>圳市银</w:t>
      </w:r>
      <w:r>
        <w:rPr>
          <w:spacing w:val="-2"/>
          <w:w w:val="100"/>
        </w:rPr>
        <w:t>之杰</w:t>
      </w:r>
      <w:r>
        <w:rPr>
          <w:w w:val="100"/>
        </w:rPr>
        <w:t>科技股</w:t>
      </w:r>
      <w:r>
        <w:rPr>
          <w:spacing w:val="-2"/>
          <w:w w:val="100"/>
        </w:rPr>
        <w:t>份有</w:t>
      </w:r>
      <w:r>
        <w:rPr>
          <w:w w:val="100"/>
        </w:rPr>
        <w:t>限公司</w:t>
      </w:r>
      <w:r>
        <w:rPr>
          <w:spacing w:val="-2"/>
          <w:w w:val="100"/>
        </w:rPr>
        <w:t>（银</w:t>
      </w:r>
      <w:r>
        <w:rPr>
          <w:w w:val="100"/>
        </w:rPr>
        <w:t>之杰）</w:t>
      </w:r>
      <w:r>
        <w:rPr>
          <w:w w:val="100"/>
        </w:rPr>
        <w:t> 英文名</w:t>
      </w:r>
      <w:r>
        <w:rPr>
          <w:spacing w:val="-2"/>
          <w:w w:val="100"/>
        </w:rPr>
        <w:t>称（</w:t>
      </w:r>
      <w:r>
        <w:rPr>
          <w:w w:val="100"/>
        </w:rPr>
        <w:t>简称</w:t>
      </w:r>
      <w:r>
        <w:rPr>
          <w:spacing w:val="-116"/>
          <w:w w:val="100"/>
        </w:rPr>
        <w:t>）</w:t>
      </w:r>
      <w:r>
        <w:rPr>
          <w:spacing w:val="-2"/>
          <w:w w:val="100"/>
        </w:rPr>
        <w:t>：</w:t>
      </w:r>
      <w:r>
        <w:rPr>
          <w:rFonts w:ascii="Times New Roman" w:hAnsi="Times New Roman" w:cs="Times New Roman" w:eastAsia="Times New Roman" w:hint="default"/>
          <w:spacing w:val="-1"/>
          <w:w w:val="100"/>
        </w:rPr>
        <w:t>Sh</w:t>
      </w:r>
      <w:r>
        <w:rPr>
          <w:rFonts w:ascii="Times New Roman" w:hAnsi="Times New Roman" w:cs="Times New Roman" w:eastAsia="Times New Roman" w:hint="default"/>
          <w:spacing w:val="-2"/>
          <w:w w:val="100"/>
        </w:rPr>
        <w:t>e</w:t>
      </w:r>
      <w:r>
        <w:rPr>
          <w:rFonts w:ascii="Times New Roman" w:hAnsi="Times New Roman" w:cs="Times New Roman" w:eastAsia="Times New Roman" w:hint="default"/>
          <w:w w:val="100"/>
        </w:rPr>
        <w:t>n</w:t>
      </w:r>
      <w:r>
        <w:rPr>
          <w:rFonts w:ascii="Times New Roman" w:hAnsi="Times New Roman" w:cs="Times New Roman" w:eastAsia="Times New Roman" w:hint="default"/>
          <w:spacing w:val="-1"/>
          <w:w w:val="100"/>
        </w:rPr>
        <w:t>zhe</w:t>
      </w:r>
      <w:r>
        <w:rPr>
          <w:rFonts w:ascii="Times New Roman" w:hAnsi="Times New Roman" w:cs="Times New Roman" w:eastAsia="Times New Roman" w:hint="default"/>
          <w:w w:val="100"/>
        </w:rPr>
        <w:t>n</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w w:val="100"/>
        </w:rPr>
        <w:t>Infot</w:t>
      </w:r>
      <w:r>
        <w:rPr>
          <w:rFonts w:ascii="Times New Roman" w:hAnsi="Times New Roman" w:cs="Times New Roman" w:eastAsia="Times New Roman" w:hint="default"/>
          <w:spacing w:val="-2"/>
          <w:w w:val="100"/>
        </w:rPr>
        <w:t>e</w:t>
      </w:r>
      <w:r>
        <w:rPr>
          <w:rFonts w:ascii="Times New Roman" w:hAnsi="Times New Roman" w:cs="Times New Roman" w:eastAsia="Times New Roman" w:hint="default"/>
          <w:spacing w:val="-1"/>
          <w:w w:val="100"/>
        </w:rPr>
        <w:t>c</w:t>
      </w:r>
      <w:r>
        <w:rPr>
          <w:rFonts w:ascii="Times New Roman" w:hAnsi="Times New Roman" w:cs="Times New Roman" w:eastAsia="Times New Roman" w:hint="default"/>
          <w:w w:val="100"/>
        </w:rPr>
        <w:t>h</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16"/>
          <w:w w:val="100"/>
        </w:rPr>
        <w:t>T</w:t>
      </w:r>
      <w:r>
        <w:rPr>
          <w:rFonts w:ascii="Times New Roman" w:hAnsi="Times New Roman" w:cs="Times New Roman" w:eastAsia="Times New Roman" w:hint="default"/>
          <w:spacing w:val="-1"/>
          <w:w w:val="100"/>
        </w:rPr>
        <w:t>echnol</w:t>
      </w:r>
      <w:r>
        <w:rPr>
          <w:rFonts w:ascii="Times New Roman" w:hAnsi="Times New Roman" w:cs="Times New Roman" w:eastAsia="Times New Roman" w:hint="default"/>
          <w:spacing w:val="-2"/>
          <w:w w:val="100"/>
        </w:rPr>
        <w:t>o</w:t>
      </w:r>
      <w:r>
        <w:rPr>
          <w:rFonts w:ascii="Times New Roman" w:hAnsi="Times New Roman" w:cs="Times New Roman" w:eastAsia="Times New Roman" w:hint="default"/>
          <w:w w:val="100"/>
        </w:rPr>
        <w:t>gies</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w w:val="100"/>
        </w:rPr>
        <w:t>Co.,Ltd</w:t>
      </w:r>
      <w:r>
        <w:rPr>
          <w:rFonts w:ascii="Times New Roman" w:hAnsi="Times New Roman" w:cs="Times New Roman" w:eastAsia="Times New Roman" w:hint="default"/>
          <w:spacing w:val="-2"/>
          <w:w w:val="100"/>
        </w:rPr>
        <w:t>.</w:t>
      </w:r>
      <w:r>
        <w:rPr>
          <w:w w:val="100"/>
        </w:rPr>
        <w:t>（</w:t>
      </w:r>
      <w:r>
        <w:rPr>
          <w:rFonts w:ascii="Times New Roman" w:hAnsi="Times New Roman" w:cs="Times New Roman" w:eastAsia="Times New Roman" w:hint="default"/>
          <w:spacing w:val="-1"/>
          <w:w w:val="100"/>
        </w:rPr>
        <w:t>INFOTEC</w:t>
      </w:r>
      <w:r>
        <w:rPr>
          <w:rFonts w:ascii="Times New Roman" w:hAnsi="Times New Roman" w:cs="Times New Roman" w:eastAsia="Times New Roman" w:hint="default"/>
          <w:w w:val="100"/>
        </w:rPr>
        <w:t>H</w:t>
      </w:r>
      <w:r>
        <w:rPr>
          <w:w w:val="100"/>
        </w:rPr>
        <w:t>）</w:t>
      </w:r>
    </w:p>
    <w:p>
      <w:pPr>
        <w:pStyle w:val="BodyText"/>
        <w:spacing w:line="372" w:lineRule="auto" w:before="9"/>
        <w:ind w:right="5838"/>
        <w:jc w:val="left"/>
      </w:pPr>
      <w:r>
        <w:rPr/>
        <w:t>二、</w:t>
      </w:r>
      <w:r>
        <w:rPr>
          <w:spacing w:val="-36"/>
        </w:rPr>
        <w:t> </w:t>
      </w:r>
      <w:r>
        <w:rPr/>
        <w:t>法定代表人：陈向军</w:t>
      </w:r>
      <w:r>
        <w:rPr>
          <w:w w:val="100"/>
        </w:rPr>
        <w:t> </w:t>
      </w:r>
      <w:r>
        <w:rPr/>
        <w:t>三、</w:t>
      </w:r>
      <w:r>
        <w:rPr>
          <w:spacing w:val="-36"/>
        </w:rPr>
        <w:t> </w:t>
      </w:r>
      <w:r>
        <w:rPr/>
        <w:t>联系人和联系方式</w:t>
      </w:r>
    </w:p>
    <w:tbl>
      <w:tblPr>
        <w:tblW w:w="0" w:type="auto"/>
        <w:jc w:val="left"/>
        <w:tblInd w:w="143" w:type="dxa"/>
        <w:tblLayout w:type="fixed"/>
        <w:tblCellMar>
          <w:top w:w="0" w:type="dxa"/>
          <w:left w:w="0" w:type="dxa"/>
          <w:bottom w:w="0" w:type="dxa"/>
          <w:right w:w="0" w:type="dxa"/>
        </w:tblCellMar>
        <w:tblLook w:val="01E0"/>
      </w:tblPr>
      <w:tblGrid>
        <w:gridCol w:w="1777"/>
        <w:gridCol w:w="3252"/>
        <w:gridCol w:w="3240"/>
      </w:tblGrid>
      <w:tr>
        <w:trPr>
          <w:trHeight w:val="508" w:hRule="exact"/>
        </w:trPr>
        <w:tc>
          <w:tcPr>
            <w:tcW w:w="17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5"/>
              <w:ind w:left="766" w:right="0"/>
              <w:jc w:val="left"/>
              <w:rPr>
                <w:rFonts w:ascii="宋体" w:hAnsi="宋体" w:cs="宋体" w:eastAsia="宋体" w:hint="default"/>
                <w:sz w:val="23"/>
                <w:szCs w:val="23"/>
              </w:rPr>
            </w:pPr>
            <w:r>
              <w:rPr>
                <w:rFonts w:ascii="宋体" w:hAnsi="宋体" w:cs="宋体" w:eastAsia="宋体" w:hint="default"/>
                <w:sz w:val="23"/>
                <w:szCs w:val="23"/>
              </w:rPr>
              <w:t>项目</w:t>
            </w:r>
          </w:p>
        </w:tc>
        <w:tc>
          <w:tcPr>
            <w:tcW w:w="32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5"/>
              <w:ind w:left="8" w:right="0"/>
              <w:jc w:val="center"/>
              <w:rPr>
                <w:rFonts w:ascii="宋体" w:hAnsi="宋体" w:cs="宋体" w:eastAsia="宋体" w:hint="default"/>
                <w:sz w:val="23"/>
                <w:szCs w:val="23"/>
              </w:rPr>
            </w:pPr>
            <w:r>
              <w:rPr>
                <w:rFonts w:ascii="宋体" w:hAnsi="宋体" w:cs="宋体" w:eastAsia="宋体" w:hint="default"/>
                <w:sz w:val="23"/>
                <w:szCs w:val="23"/>
              </w:rPr>
              <w:t>董事会秘书</w:t>
            </w:r>
          </w:p>
        </w:tc>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5"/>
              <w:ind w:right="2"/>
              <w:jc w:val="center"/>
              <w:rPr>
                <w:rFonts w:ascii="宋体" w:hAnsi="宋体" w:cs="宋体" w:eastAsia="宋体" w:hint="default"/>
                <w:sz w:val="23"/>
                <w:szCs w:val="23"/>
              </w:rPr>
            </w:pPr>
            <w:r>
              <w:rPr>
                <w:rFonts w:ascii="宋体" w:hAnsi="宋体" w:cs="宋体" w:eastAsia="宋体" w:hint="default"/>
                <w:sz w:val="23"/>
                <w:szCs w:val="23"/>
              </w:rPr>
              <w:t>证券事务代表</w:t>
            </w:r>
          </w:p>
        </w:tc>
      </w:tr>
      <w:tr>
        <w:trPr>
          <w:trHeight w:val="509" w:hRule="exact"/>
        </w:trPr>
        <w:tc>
          <w:tcPr>
            <w:tcW w:w="17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5"/>
              <w:ind w:right="1"/>
              <w:jc w:val="center"/>
              <w:rPr>
                <w:rFonts w:ascii="宋体" w:hAnsi="宋体" w:cs="宋体" w:eastAsia="宋体" w:hint="default"/>
                <w:sz w:val="23"/>
                <w:szCs w:val="23"/>
              </w:rPr>
            </w:pPr>
            <w:r>
              <w:rPr>
                <w:rFonts w:ascii="宋体" w:hAnsi="宋体" w:cs="宋体" w:eastAsia="宋体" w:hint="default"/>
                <w:sz w:val="23"/>
                <w:szCs w:val="23"/>
              </w:rPr>
              <w:t>姓名</w:t>
            </w:r>
          </w:p>
        </w:tc>
        <w:tc>
          <w:tcPr>
            <w:tcW w:w="32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5"/>
              <w:ind w:right="2"/>
              <w:jc w:val="center"/>
              <w:rPr>
                <w:rFonts w:ascii="宋体" w:hAnsi="宋体" w:cs="宋体" w:eastAsia="宋体" w:hint="default"/>
                <w:sz w:val="23"/>
                <w:szCs w:val="23"/>
              </w:rPr>
            </w:pPr>
            <w:r>
              <w:rPr>
                <w:rFonts w:ascii="宋体" w:hAnsi="宋体" w:cs="宋体" w:eastAsia="宋体" w:hint="default"/>
                <w:sz w:val="23"/>
                <w:szCs w:val="23"/>
              </w:rPr>
              <w:t>刘奕</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
              <w:jc w:val="center"/>
              <w:rPr>
                <w:rFonts w:ascii="宋体" w:hAnsi="宋体" w:cs="宋体" w:eastAsia="宋体" w:hint="default"/>
                <w:sz w:val="23"/>
                <w:szCs w:val="23"/>
              </w:rPr>
            </w:pPr>
            <w:r>
              <w:rPr>
                <w:rFonts w:ascii="宋体" w:hAnsi="宋体" w:cs="宋体" w:eastAsia="宋体" w:hint="default"/>
                <w:sz w:val="23"/>
                <w:szCs w:val="23"/>
              </w:rPr>
              <w:t>林丽</w:t>
            </w:r>
          </w:p>
        </w:tc>
      </w:tr>
      <w:tr>
        <w:trPr>
          <w:trHeight w:val="508" w:hRule="exact"/>
        </w:trPr>
        <w:tc>
          <w:tcPr>
            <w:tcW w:w="17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5"/>
              <w:ind w:left="421" w:right="0"/>
              <w:jc w:val="left"/>
              <w:rPr>
                <w:rFonts w:ascii="宋体" w:hAnsi="宋体" w:cs="宋体" w:eastAsia="宋体" w:hint="default"/>
                <w:sz w:val="23"/>
                <w:szCs w:val="23"/>
              </w:rPr>
            </w:pPr>
            <w:r>
              <w:rPr>
                <w:rFonts w:ascii="宋体" w:hAnsi="宋体" w:cs="宋体" w:eastAsia="宋体" w:hint="default"/>
                <w:sz w:val="23"/>
                <w:szCs w:val="23"/>
              </w:rPr>
              <w:t>联系地址</w:t>
            </w:r>
          </w:p>
        </w:tc>
        <w:tc>
          <w:tcPr>
            <w:tcW w:w="649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55"/>
              <w:ind w:left="955" w:right="0"/>
              <w:jc w:val="left"/>
              <w:rPr>
                <w:rFonts w:ascii="Times New Roman" w:hAnsi="Times New Roman" w:cs="Times New Roman" w:eastAsia="Times New Roman" w:hint="default"/>
                <w:sz w:val="23"/>
                <w:szCs w:val="23"/>
              </w:rPr>
            </w:pPr>
            <w:r>
              <w:rPr>
                <w:rFonts w:ascii="宋体" w:hAnsi="宋体" w:cs="宋体" w:eastAsia="宋体" w:hint="default"/>
                <w:sz w:val="23"/>
                <w:szCs w:val="23"/>
              </w:rPr>
              <w:t>深圳市福田区天安数码城天祥大厦</w:t>
            </w:r>
            <w:r>
              <w:rPr>
                <w:rFonts w:ascii="宋体" w:hAnsi="宋体" w:cs="宋体" w:eastAsia="宋体" w:hint="default"/>
                <w:spacing w:val="-61"/>
                <w:sz w:val="23"/>
                <w:szCs w:val="23"/>
              </w:rPr>
              <w:t> </w:t>
            </w:r>
            <w:r>
              <w:rPr>
                <w:rFonts w:ascii="Times New Roman" w:hAnsi="Times New Roman" w:cs="Times New Roman" w:eastAsia="Times New Roman" w:hint="default"/>
                <w:sz w:val="23"/>
                <w:szCs w:val="23"/>
              </w:rPr>
              <w:t>AB</w:t>
            </w:r>
            <w:r>
              <w:rPr>
                <w:rFonts w:ascii="Times New Roman" w:hAnsi="Times New Roman" w:cs="Times New Roman" w:eastAsia="Times New Roman" w:hint="default"/>
                <w:spacing w:val="-2"/>
                <w:sz w:val="23"/>
                <w:szCs w:val="23"/>
              </w:rPr>
              <w:t> </w:t>
            </w:r>
            <w:r>
              <w:rPr>
                <w:rFonts w:ascii="宋体" w:hAnsi="宋体" w:cs="宋体" w:eastAsia="宋体" w:hint="default"/>
                <w:sz w:val="23"/>
                <w:szCs w:val="23"/>
              </w:rPr>
              <w:t>座</w:t>
            </w:r>
            <w:r>
              <w:rPr>
                <w:rFonts w:ascii="宋体" w:hAnsi="宋体" w:cs="宋体" w:eastAsia="宋体" w:hint="default"/>
                <w:spacing w:val="-60"/>
                <w:sz w:val="23"/>
                <w:szCs w:val="23"/>
              </w:rPr>
              <w:t> </w:t>
            </w:r>
            <w:r>
              <w:rPr>
                <w:rFonts w:ascii="Times New Roman" w:hAnsi="Times New Roman" w:cs="Times New Roman" w:eastAsia="Times New Roman" w:hint="default"/>
                <w:sz w:val="23"/>
                <w:szCs w:val="23"/>
              </w:rPr>
              <w:t>5B2</w:t>
            </w:r>
          </w:p>
        </w:tc>
      </w:tr>
      <w:tr>
        <w:trPr>
          <w:trHeight w:val="508" w:hRule="exact"/>
        </w:trPr>
        <w:tc>
          <w:tcPr>
            <w:tcW w:w="17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5"/>
              <w:ind w:right="1"/>
              <w:jc w:val="center"/>
              <w:rPr>
                <w:rFonts w:ascii="宋体" w:hAnsi="宋体" w:cs="宋体" w:eastAsia="宋体" w:hint="default"/>
                <w:sz w:val="23"/>
                <w:szCs w:val="23"/>
              </w:rPr>
            </w:pPr>
            <w:r>
              <w:rPr>
                <w:rFonts w:ascii="宋体" w:hAnsi="宋体" w:cs="宋体" w:eastAsia="宋体" w:hint="default"/>
                <w:sz w:val="23"/>
                <w:szCs w:val="23"/>
              </w:rPr>
              <w:t>电话</w:t>
            </w:r>
          </w:p>
        </w:tc>
        <w:tc>
          <w:tcPr>
            <w:tcW w:w="32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7"/>
              <w:ind w:right="2"/>
              <w:jc w:val="center"/>
              <w:rPr>
                <w:rFonts w:ascii="Times New Roman" w:hAnsi="Times New Roman" w:cs="Times New Roman" w:eastAsia="Times New Roman" w:hint="default"/>
                <w:sz w:val="23"/>
                <w:szCs w:val="23"/>
              </w:rPr>
            </w:pPr>
            <w:r>
              <w:rPr>
                <w:rFonts w:ascii="Times New Roman"/>
                <w:sz w:val="23"/>
              </w:rPr>
              <w:t>0755-83562960</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3"/>
              <w:jc w:val="center"/>
              <w:rPr>
                <w:rFonts w:ascii="Times New Roman" w:hAnsi="Times New Roman" w:cs="Times New Roman" w:eastAsia="Times New Roman" w:hint="default"/>
                <w:sz w:val="23"/>
                <w:szCs w:val="23"/>
              </w:rPr>
            </w:pPr>
            <w:r>
              <w:rPr>
                <w:rFonts w:ascii="Times New Roman"/>
                <w:sz w:val="23"/>
              </w:rPr>
              <w:t>0755-83575427</w:t>
            </w:r>
          </w:p>
        </w:tc>
      </w:tr>
      <w:tr>
        <w:trPr>
          <w:trHeight w:val="509" w:hRule="exact"/>
        </w:trPr>
        <w:tc>
          <w:tcPr>
            <w:tcW w:w="17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5"/>
              <w:ind w:right="1"/>
              <w:jc w:val="center"/>
              <w:rPr>
                <w:rFonts w:ascii="宋体" w:hAnsi="宋体" w:cs="宋体" w:eastAsia="宋体" w:hint="default"/>
                <w:sz w:val="23"/>
                <w:szCs w:val="23"/>
              </w:rPr>
            </w:pPr>
            <w:r>
              <w:rPr>
                <w:rFonts w:ascii="宋体" w:hAnsi="宋体" w:cs="宋体" w:eastAsia="宋体" w:hint="default"/>
                <w:sz w:val="23"/>
                <w:szCs w:val="23"/>
              </w:rPr>
              <w:t>传真</w:t>
            </w:r>
          </w:p>
        </w:tc>
        <w:tc>
          <w:tcPr>
            <w:tcW w:w="649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7"/>
              <w:ind w:right="2"/>
              <w:jc w:val="center"/>
              <w:rPr>
                <w:rFonts w:ascii="Times New Roman" w:hAnsi="Times New Roman" w:cs="Times New Roman" w:eastAsia="Times New Roman" w:hint="default"/>
                <w:sz w:val="23"/>
                <w:szCs w:val="23"/>
              </w:rPr>
            </w:pPr>
            <w:r>
              <w:rPr>
                <w:rFonts w:ascii="Times New Roman"/>
                <w:sz w:val="23"/>
              </w:rPr>
              <w:t>0755-83562955</w:t>
            </w:r>
          </w:p>
        </w:tc>
      </w:tr>
      <w:tr>
        <w:trPr>
          <w:trHeight w:val="508" w:hRule="exact"/>
        </w:trPr>
        <w:tc>
          <w:tcPr>
            <w:tcW w:w="17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5"/>
              <w:ind w:left="421" w:right="0"/>
              <w:jc w:val="left"/>
              <w:rPr>
                <w:rFonts w:ascii="宋体" w:hAnsi="宋体" w:cs="宋体" w:eastAsia="宋体" w:hint="default"/>
                <w:sz w:val="23"/>
                <w:szCs w:val="23"/>
              </w:rPr>
            </w:pPr>
            <w:r>
              <w:rPr>
                <w:rFonts w:ascii="宋体" w:hAnsi="宋体" w:cs="宋体" w:eastAsia="宋体" w:hint="default"/>
                <w:sz w:val="23"/>
                <w:szCs w:val="23"/>
              </w:rPr>
              <w:t>电子信箱</w:t>
            </w:r>
          </w:p>
        </w:tc>
        <w:tc>
          <w:tcPr>
            <w:tcW w:w="32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7"/>
              <w:ind w:right="1"/>
              <w:jc w:val="center"/>
              <w:rPr>
                <w:rFonts w:ascii="Times New Roman" w:hAnsi="Times New Roman" w:cs="Times New Roman" w:eastAsia="Times New Roman" w:hint="default"/>
                <w:sz w:val="23"/>
                <w:szCs w:val="23"/>
              </w:rPr>
            </w:pPr>
            <w:hyperlink r:id="rId8">
              <w:r>
                <w:rPr>
                  <w:rFonts w:ascii="Times New Roman"/>
                  <w:sz w:val="23"/>
                </w:rPr>
                <w:t>liuyi@yinzhijie.com</w:t>
              </w:r>
            </w:hyperlink>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
              <w:jc w:val="center"/>
              <w:rPr>
                <w:rFonts w:ascii="Times New Roman" w:hAnsi="Times New Roman" w:cs="Times New Roman" w:eastAsia="Times New Roman" w:hint="default"/>
                <w:sz w:val="23"/>
                <w:szCs w:val="23"/>
              </w:rPr>
            </w:pPr>
            <w:hyperlink r:id="rId9">
              <w:r>
                <w:rPr>
                  <w:rFonts w:ascii="Times New Roman"/>
                  <w:sz w:val="23"/>
                </w:rPr>
                <w:t>linli@yinzhijie.com</w:t>
              </w:r>
            </w:hyperlink>
          </w:p>
        </w:tc>
      </w:tr>
    </w:tbl>
    <w:p>
      <w:pPr>
        <w:spacing w:line="240" w:lineRule="auto" w:before="10"/>
        <w:rPr>
          <w:rFonts w:ascii="宋体" w:hAnsi="宋体" w:cs="宋体" w:eastAsia="宋体" w:hint="default"/>
          <w:sz w:val="12"/>
          <w:szCs w:val="12"/>
        </w:rPr>
      </w:pPr>
    </w:p>
    <w:p>
      <w:pPr>
        <w:pStyle w:val="BodyText"/>
        <w:spacing w:line="360" w:lineRule="auto" w:before="29"/>
        <w:ind w:left="597" w:right="2293" w:hanging="460"/>
        <w:jc w:val="left"/>
        <w:rPr>
          <w:rFonts w:ascii="Times New Roman" w:hAnsi="Times New Roman" w:cs="Times New Roman" w:eastAsia="Times New Roman" w:hint="default"/>
        </w:rPr>
      </w:pPr>
      <w:r>
        <w:rPr/>
        <w:t>四、</w:t>
      </w:r>
      <w:r>
        <w:rPr>
          <w:spacing w:val="-36"/>
        </w:rPr>
        <w:t> </w:t>
      </w:r>
      <w:r>
        <w:rPr/>
        <w:t>注册和办公地址</w:t>
      </w:r>
      <w:r>
        <w:rPr>
          <w:w w:val="100"/>
        </w:rPr>
        <w:t> </w:t>
      </w:r>
      <w:r>
        <w:rPr/>
        <w:t>注册地址：深圳市福田区天安数码城天祥大厦</w:t>
      </w:r>
      <w:r>
        <w:rPr>
          <w:spacing w:val="-62"/>
        </w:rPr>
        <w:t> </w:t>
      </w:r>
      <w:r>
        <w:rPr>
          <w:rFonts w:ascii="Times New Roman" w:hAnsi="Times New Roman" w:cs="Times New Roman" w:eastAsia="Times New Roman" w:hint="default"/>
        </w:rPr>
        <w:t>AB</w:t>
      </w:r>
      <w:r>
        <w:rPr>
          <w:rFonts w:ascii="Times New Roman" w:hAnsi="Times New Roman" w:cs="Times New Roman" w:eastAsia="Times New Roman" w:hint="default"/>
          <w:spacing w:val="-3"/>
        </w:rPr>
        <w:t> </w:t>
      </w:r>
      <w:r>
        <w:rPr/>
        <w:t>座</w:t>
      </w:r>
      <w:r>
        <w:rPr>
          <w:spacing w:val="-61"/>
        </w:rPr>
        <w:t> </w:t>
      </w:r>
      <w:r>
        <w:rPr>
          <w:rFonts w:ascii="Times New Roman" w:hAnsi="Times New Roman" w:cs="Times New Roman" w:eastAsia="Times New Roman" w:hint="default"/>
        </w:rPr>
        <w:t>5B2</w:t>
      </w:r>
      <w:r>
        <w:rPr>
          <w:rFonts w:ascii="Times New Roman" w:hAnsi="Times New Roman" w:cs="Times New Roman" w:eastAsia="Times New Roman" w:hint="default"/>
          <w:spacing w:val="-1"/>
          <w:w w:val="100"/>
        </w:rPr>
        <w:t> </w:t>
      </w:r>
      <w:r>
        <w:rPr/>
        <w:t>办公地址：深圳市福田区天安数码城天祥大厦</w:t>
      </w:r>
      <w:r>
        <w:rPr>
          <w:spacing w:val="-62"/>
        </w:rPr>
        <w:t> </w:t>
      </w:r>
      <w:r>
        <w:rPr>
          <w:rFonts w:ascii="Times New Roman" w:hAnsi="Times New Roman" w:cs="Times New Roman" w:eastAsia="Times New Roman" w:hint="default"/>
        </w:rPr>
        <w:t>AB</w:t>
      </w:r>
      <w:r>
        <w:rPr>
          <w:rFonts w:ascii="Times New Roman" w:hAnsi="Times New Roman" w:cs="Times New Roman" w:eastAsia="Times New Roman" w:hint="default"/>
          <w:spacing w:val="-3"/>
        </w:rPr>
        <w:t> </w:t>
      </w:r>
      <w:r>
        <w:rPr/>
        <w:t>座</w:t>
      </w:r>
      <w:r>
        <w:rPr>
          <w:spacing w:val="-61"/>
        </w:rPr>
        <w:t> </w:t>
      </w:r>
      <w:r>
        <w:rPr>
          <w:rFonts w:ascii="Times New Roman" w:hAnsi="Times New Roman" w:cs="Times New Roman" w:eastAsia="Times New Roman" w:hint="default"/>
        </w:rPr>
        <w:t>5B2</w:t>
      </w:r>
      <w:r>
        <w:rPr>
          <w:rFonts w:ascii="Times New Roman" w:hAnsi="Times New Roman" w:cs="Times New Roman" w:eastAsia="Times New Roman" w:hint="default"/>
          <w:spacing w:val="-1"/>
          <w:w w:val="100"/>
        </w:rPr>
        <w:t> </w:t>
      </w:r>
      <w:r>
        <w:rPr/>
        <w:t>邮政编码：</w:t>
      </w:r>
      <w:r>
        <w:rPr>
          <w:rFonts w:ascii="Times New Roman" w:hAnsi="Times New Roman" w:cs="Times New Roman" w:eastAsia="Times New Roman" w:hint="default"/>
        </w:rPr>
        <w:t>518048</w:t>
      </w:r>
    </w:p>
    <w:p>
      <w:pPr>
        <w:pStyle w:val="BodyText"/>
        <w:spacing w:line="352" w:lineRule="auto" w:before="22"/>
        <w:ind w:left="597" w:right="4817"/>
        <w:jc w:val="left"/>
        <w:rPr>
          <w:rFonts w:ascii="Times New Roman" w:hAnsi="Times New Roman" w:cs="Times New Roman" w:eastAsia="Times New Roman" w:hint="default"/>
        </w:rPr>
      </w:pPr>
      <w:r>
        <w:rPr>
          <w:spacing w:val="-2"/>
        </w:rPr>
        <w:t>互联网网址：</w:t>
      </w:r>
      <w:hyperlink r:id="rId10">
        <w:r>
          <w:rPr>
            <w:rFonts w:ascii="Times New Roman" w:hAnsi="Times New Roman" w:cs="Times New Roman" w:eastAsia="Times New Roman" w:hint="default"/>
            <w:spacing w:val="-2"/>
          </w:rPr>
          <w:t>www.yinzhijie.com</w:t>
        </w:r>
      </w:hyperlink>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电子信箱：</w:t>
      </w:r>
      <w:hyperlink r:id="rId11">
        <w:r>
          <w:rPr>
            <w:rFonts w:ascii="Times New Roman" w:hAnsi="Times New Roman" w:cs="Times New Roman" w:eastAsia="Times New Roman" w:hint="default"/>
          </w:rPr>
          <w:t>invest@yinzhijie.com</w:t>
        </w:r>
      </w:hyperlink>
    </w:p>
    <w:p>
      <w:pPr>
        <w:pStyle w:val="BodyText"/>
        <w:spacing w:line="362" w:lineRule="auto" w:before="30"/>
        <w:ind w:left="597" w:right="0" w:hanging="460"/>
        <w:jc w:val="left"/>
      </w:pPr>
      <w:r>
        <w:rPr>
          <w:w w:val="100"/>
        </w:rPr>
        <w:t>五、</w:t>
      </w:r>
      <w:r>
        <w:rPr>
          <w:spacing w:val="-36"/>
          <w:w w:val="100"/>
        </w:rPr>
        <w:t> </w:t>
      </w:r>
      <w:r>
        <w:rPr>
          <w:spacing w:val="-8"/>
          <w:w w:val="100"/>
        </w:rPr>
        <w:t>公司选定的信息披露报纸：《证券时报》</w:t>
      </w:r>
      <w:r>
        <w:rPr>
          <w:spacing w:val="-100"/>
          <w:w w:val="100"/>
        </w:rPr>
        <w:t> </w:t>
      </w:r>
      <w:r>
        <w:rPr>
          <w:spacing w:val="-100"/>
          <w:w w:val="100"/>
        </w:rPr>
      </w:r>
      <w:r>
        <w:rPr>
          <w:spacing w:val="-2"/>
        </w:rPr>
        <w:t>登载年度报告的网站网址：巨潮资讯网，</w:t>
      </w:r>
      <w:hyperlink r:id="rId12">
        <w:r>
          <w:rPr>
            <w:rFonts w:ascii="Times New Roman" w:hAnsi="Times New Roman" w:cs="Times New Roman" w:eastAsia="Times New Roman" w:hint="default"/>
            <w:spacing w:val="-2"/>
          </w:rPr>
          <w:t>www.cninfo.com.cn</w:t>
        </w:r>
      </w:hyperlink>
      <w:r>
        <w:rPr>
          <w:rFonts w:ascii="Times New Roman" w:hAnsi="Times New Roman" w:cs="Times New Roman" w:eastAsia="Times New Roman" w:hint="default"/>
          <w:spacing w:val="-1"/>
          <w:w w:val="100"/>
        </w:rPr>
        <w:t> </w:t>
      </w:r>
      <w:r>
        <w:rPr/>
        <w:t>公司年度报告备置地点：公司董事会办公室</w:t>
      </w:r>
    </w:p>
    <w:p>
      <w:pPr>
        <w:pStyle w:val="BodyText"/>
        <w:spacing w:line="372" w:lineRule="auto" w:before="49"/>
        <w:ind w:left="597" w:right="2293" w:hanging="460"/>
        <w:jc w:val="left"/>
      </w:pPr>
      <w:r>
        <w:rPr/>
        <w:t>六、</w:t>
      </w:r>
      <w:r>
        <w:rPr>
          <w:spacing w:val="-40"/>
        </w:rPr>
        <w:t> </w:t>
      </w:r>
      <w:r>
        <w:rPr/>
        <w:t>公司股票上市交易所：深圳证券交易所</w:t>
      </w:r>
      <w:r>
        <w:rPr>
          <w:w w:val="100"/>
        </w:rPr>
        <w:t> </w:t>
      </w:r>
      <w:r>
        <w:rPr/>
        <w:t>股票简称：银之杰</w:t>
      </w:r>
    </w:p>
    <w:p>
      <w:pPr>
        <w:pStyle w:val="BodyText"/>
        <w:spacing w:line="240" w:lineRule="auto" w:before="40"/>
        <w:ind w:left="597" w:right="0"/>
        <w:jc w:val="left"/>
        <w:rPr>
          <w:rFonts w:ascii="Times New Roman" w:hAnsi="Times New Roman" w:cs="Times New Roman" w:eastAsia="Times New Roman" w:hint="default"/>
        </w:rPr>
      </w:pPr>
      <w:r>
        <w:rPr/>
        <w:t>股票代码：</w:t>
      </w:r>
      <w:r>
        <w:rPr>
          <w:rFonts w:ascii="Times New Roman" w:hAnsi="Times New Roman" w:cs="Times New Roman" w:eastAsia="Times New Roman" w:hint="default"/>
        </w:rPr>
        <w:t>300085</w:t>
      </w:r>
    </w:p>
    <w:p>
      <w:pPr>
        <w:pStyle w:val="BodyText"/>
        <w:spacing w:line="240" w:lineRule="auto" w:before="149"/>
        <w:ind w:right="0"/>
        <w:jc w:val="left"/>
      </w:pPr>
      <w:r>
        <w:rPr/>
        <w:t>七、</w:t>
      </w:r>
      <w:r>
        <w:rPr>
          <w:spacing w:val="-42"/>
        </w:rPr>
        <w:t> </w:t>
      </w:r>
      <w:r>
        <w:rPr/>
        <w:t>持续督导机构：第一创业摩根大通证券有限责任公司</w:t>
      </w:r>
    </w:p>
    <w:p>
      <w:pPr>
        <w:spacing w:after="0" w:line="240" w:lineRule="auto"/>
        <w:jc w:val="left"/>
        <w:sectPr>
          <w:pgSz w:w="11910" w:h="16840"/>
          <w:pgMar w:header="877" w:footer="982" w:top="1100" w:bottom="1180" w:left="166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1"/>
        <w:spacing w:line="240" w:lineRule="auto"/>
        <w:ind w:left="2133" w:right="0"/>
        <w:jc w:val="left"/>
      </w:pPr>
      <w:bookmarkStart w:name="_TOC_250008" w:id="2"/>
      <w:r>
        <w:rPr/>
        <w:t>第二节</w:t>
      </w:r>
      <w:r>
        <w:rPr>
          <w:spacing w:val="-8"/>
        </w:rPr>
        <w:t> </w:t>
      </w:r>
      <w:bookmarkEnd w:id="2"/>
      <w:r>
        <w:rPr/>
        <w:t>会计数据和业务数据摘要</w:t>
      </w:r>
    </w:p>
    <w:p>
      <w:pPr>
        <w:spacing w:line="240" w:lineRule="auto" w:before="9"/>
        <w:rPr>
          <w:rFonts w:ascii="黑体" w:hAnsi="黑体" w:cs="黑体" w:eastAsia="黑体" w:hint="default"/>
          <w:sz w:val="33"/>
          <w:szCs w:val="33"/>
        </w:rPr>
      </w:pPr>
    </w:p>
    <w:p>
      <w:pPr>
        <w:pStyle w:val="Heading5"/>
        <w:spacing w:line="240" w:lineRule="auto"/>
        <w:ind w:left="297" w:right="0"/>
        <w:jc w:val="left"/>
        <w:rPr>
          <w:b w:val="0"/>
          <w:bCs w:val="0"/>
        </w:rPr>
      </w:pPr>
      <w:r>
        <w:rPr/>
        <w:t>一、</w:t>
      </w:r>
      <w:r>
        <w:rPr>
          <w:spacing w:val="-39"/>
        </w:rPr>
        <w:t> </w:t>
      </w:r>
      <w:r>
        <w:rPr/>
        <w:t>主要会计数据</w:t>
      </w:r>
      <w:r>
        <w:rPr>
          <w:b w:val="0"/>
          <w:bCs w:val="0"/>
        </w:rPr>
      </w:r>
    </w:p>
    <w:p>
      <w:pPr>
        <w:spacing w:line="240" w:lineRule="auto" w:before="1"/>
        <w:rPr>
          <w:rFonts w:ascii="宋体" w:hAnsi="宋体" w:cs="宋体" w:eastAsia="宋体" w:hint="default"/>
          <w:b/>
          <w:bCs/>
          <w:sz w:val="9"/>
          <w:szCs w:val="9"/>
        </w:rPr>
      </w:pPr>
    </w:p>
    <w:tbl>
      <w:tblPr>
        <w:tblW w:w="0" w:type="auto"/>
        <w:jc w:val="left"/>
        <w:tblInd w:w="112" w:type="dxa"/>
        <w:tblLayout w:type="fixed"/>
        <w:tblCellMar>
          <w:top w:w="0" w:type="dxa"/>
          <w:left w:w="0" w:type="dxa"/>
          <w:bottom w:w="0" w:type="dxa"/>
          <w:right w:w="0" w:type="dxa"/>
        </w:tblCellMar>
        <w:tblLook w:val="01E0"/>
      </w:tblPr>
      <w:tblGrid>
        <w:gridCol w:w="1968"/>
        <w:gridCol w:w="1812"/>
        <w:gridCol w:w="1800"/>
        <w:gridCol w:w="1440"/>
        <w:gridCol w:w="1800"/>
      </w:tblGrid>
      <w:tr>
        <w:trPr>
          <w:trHeight w:val="161" w:hRule="exact"/>
        </w:trPr>
        <w:tc>
          <w:tcPr>
            <w:tcW w:w="1968"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2" w:type="dxa"/>
            <w:tcBorders>
              <w:top w:val="single" w:sz="4" w:space="0" w:color="000000"/>
              <w:left w:val="single" w:sz="4" w:space="0" w:color="000000"/>
              <w:bottom w:val="nil" w:sz="6" w:space="0" w:color="auto"/>
              <w:right w:val="single" w:sz="4" w:space="0" w:color="000000"/>
            </w:tcBorders>
            <w:shd w:val="clear" w:color="auto" w:fill="DCDCDC"/>
          </w:tcPr>
          <w:p>
            <w:pPr/>
          </w:p>
        </w:tc>
        <w:tc>
          <w:tcPr>
            <w:tcW w:w="180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188" w:right="0"/>
              <w:jc w:val="left"/>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40" w:lineRule="auto" w:before="37"/>
              <w:ind w:left="188"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180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968" w:type="dxa"/>
            <w:tcBorders>
              <w:top w:val="nil" w:sz="6" w:space="0" w:color="auto"/>
              <w:left w:val="single" w:sz="4" w:space="0" w:color="000000"/>
              <w:bottom w:val="nil" w:sz="6" w:space="0" w:color="auto"/>
              <w:right w:val="single" w:sz="4" w:space="0" w:color="000000"/>
            </w:tcBorders>
            <w:shd w:val="clear" w:color="auto" w:fill="DCDCDC"/>
          </w:tcPr>
          <w:p>
            <w:pPr/>
          </w:p>
        </w:tc>
        <w:tc>
          <w:tcPr>
            <w:tcW w:w="181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5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5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40" w:type="dxa"/>
            <w:vMerge/>
            <w:tcBorders>
              <w:left w:val="single" w:sz="4" w:space="0" w:color="000000"/>
              <w:right w:val="single" w:sz="4" w:space="0" w:color="000000"/>
            </w:tcBorders>
            <w:shd w:val="clear" w:color="auto" w:fill="DCDCDC"/>
          </w:tcPr>
          <w:p>
            <w:pPr/>
          </w:p>
        </w:tc>
        <w:tc>
          <w:tcPr>
            <w:tcW w:w="18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5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161" w:hRule="exact"/>
        </w:trPr>
        <w:tc>
          <w:tcPr>
            <w:tcW w:w="1968"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2" w:type="dxa"/>
            <w:tcBorders>
              <w:top w:val="nil" w:sz="6" w:space="0" w:color="auto"/>
              <w:left w:val="single" w:sz="4" w:space="0" w:color="000000"/>
              <w:bottom w:val="single" w:sz="4" w:space="0" w:color="000000"/>
              <w:right w:val="single" w:sz="4" w:space="0" w:color="000000"/>
            </w:tcBorders>
            <w:shd w:val="clear" w:color="auto" w:fill="DCDCDC"/>
          </w:tcPr>
          <w:p>
            <w:pPr/>
          </w:p>
        </w:tc>
        <w:tc>
          <w:tcPr>
            <w:tcW w:w="180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80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3" w:hRule="exact"/>
        </w:trPr>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营业总收入（元）</w:t>
            </w:r>
          </w:p>
        </w:tc>
        <w:tc>
          <w:tcPr>
            <w:tcW w:w="18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96,394,485.33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92,142,327.74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4.61%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75,147,752.56</w:t>
            </w:r>
          </w:p>
        </w:tc>
      </w:tr>
      <w:tr>
        <w:trPr>
          <w:trHeight w:val="322" w:hRule="exact"/>
        </w:trPr>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8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16,735,078.60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27,848,653.19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-39.91%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23,896,769.70</w:t>
            </w:r>
          </w:p>
        </w:tc>
      </w:tr>
      <w:tr>
        <w:trPr>
          <w:trHeight w:val="322" w:hRule="exact"/>
        </w:trPr>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利润总额（元）</w:t>
            </w:r>
          </w:p>
        </w:tc>
        <w:tc>
          <w:tcPr>
            <w:tcW w:w="18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23,167,872.38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35,093,990.49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-33.98%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30,580,179.44</w:t>
            </w:r>
          </w:p>
        </w:tc>
      </w:tr>
      <w:tr>
        <w:trPr>
          <w:trHeight w:val="635" w:hRule="exact"/>
        </w:trPr>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w:t>
            </w:r>
            <w:r>
              <w:rPr>
                <w:rFonts w:ascii="宋体" w:hAnsi="宋体" w:cs="宋体" w:eastAsia="宋体" w:hint="default"/>
                <w:sz w:val="21"/>
                <w:szCs w:val="21"/>
              </w:rPr>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的净利润（元）</w:t>
            </w:r>
          </w:p>
        </w:tc>
        <w:tc>
          <w:tcPr>
            <w:tcW w:w="18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20,830,897.90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33,973,521.32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-38.68%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29,274,493.30</w:t>
            </w:r>
          </w:p>
        </w:tc>
      </w:tr>
      <w:tr>
        <w:trPr>
          <w:trHeight w:val="946" w:hRule="exact"/>
        </w:trPr>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w:t>
            </w:r>
            <w:r>
              <w:rPr>
                <w:rFonts w:ascii="宋体" w:hAnsi="宋体" w:cs="宋体" w:eastAsia="宋体" w:hint="default"/>
                <w:sz w:val="21"/>
                <w:szCs w:val="21"/>
              </w:rPr>
            </w:r>
          </w:p>
          <w:p>
            <w:pPr>
              <w:pStyle w:val="TableParagraph"/>
              <w:spacing w:line="273" w:lineRule="auto" w:before="37"/>
              <w:ind w:left="21" w:right="3"/>
              <w:jc w:val="left"/>
              <w:rPr>
                <w:rFonts w:ascii="宋体" w:hAnsi="宋体" w:cs="宋体" w:eastAsia="宋体" w:hint="default"/>
                <w:sz w:val="21"/>
                <w:szCs w:val="21"/>
              </w:rPr>
            </w:pPr>
            <w:r>
              <w:rPr>
                <w:rFonts w:ascii="宋体" w:hAnsi="宋体" w:cs="宋体" w:eastAsia="宋体" w:hint="default"/>
                <w:spacing w:val="3"/>
                <w:sz w:val="21"/>
                <w:szCs w:val="21"/>
              </w:rPr>
              <w:t>的扣除非经常性损益</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的净利润（元）</w:t>
            </w:r>
          </w:p>
        </w:tc>
        <w:tc>
          <w:tcPr>
            <w:tcW w:w="18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18,849,181.33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30,549,420.49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-38.30%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27,665,563.30</w:t>
            </w:r>
          </w:p>
        </w:tc>
      </w:tr>
      <w:tr>
        <w:trPr>
          <w:trHeight w:val="634" w:hRule="exact"/>
        </w:trPr>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经营活动产生的现金</w:t>
            </w:r>
            <w:r>
              <w:rPr>
                <w:rFonts w:ascii="宋体" w:hAnsi="宋体" w:cs="宋体" w:eastAsia="宋体" w:hint="default"/>
                <w:sz w:val="21"/>
                <w:szCs w:val="21"/>
              </w:rPr>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流量净额（元）</w:t>
            </w:r>
          </w:p>
        </w:tc>
        <w:tc>
          <w:tcPr>
            <w:tcW w:w="18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4,984,417.65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19,093,710.87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-73.89%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19,923,255.14</w:t>
            </w:r>
          </w:p>
        </w:tc>
      </w:tr>
      <w:tr>
        <w:trPr>
          <w:trHeight w:val="161" w:hRule="exact"/>
        </w:trPr>
        <w:tc>
          <w:tcPr>
            <w:tcW w:w="1968"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2" w:type="dxa"/>
            <w:tcBorders>
              <w:top w:val="single" w:sz="4" w:space="0" w:color="000000"/>
              <w:left w:val="single" w:sz="4" w:space="0" w:color="000000"/>
              <w:bottom w:val="nil" w:sz="6" w:space="0" w:color="auto"/>
              <w:right w:val="single" w:sz="4" w:space="0" w:color="000000"/>
            </w:tcBorders>
            <w:shd w:val="clear" w:color="auto" w:fill="DCDCDC"/>
          </w:tcPr>
          <w:p>
            <w:pPr/>
          </w:p>
        </w:tc>
        <w:tc>
          <w:tcPr>
            <w:tcW w:w="180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82" w:right="0"/>
              <w:jc w:val="left"/>
              <w:rPr>
                <w:rFonts w:ascii="宋体" w:hAnsi="宋体" w:cs="宋体" w:eastAsia="宋体" w:hint="default"/>
                <w:sz w:val="21"/>
                <w:szCs w:val="21"/>
              </w:rPr>
            </w:pPr>
            <w:r>
              <w:rPr>
                <w:rFonts w:ascii="宋体" w:hAnsi="宋体" w:cs="宋体" w:eastAsia="宋体" w:hint="default"/>
                <w:sz w:val="21"/>
                <w:szCs w:val="21"/>
              </w:rPr>
              <w:t>本年末比上年</w:t>
            </w:r>
          </w:p>
          <w:p>
            <w:pPr>
              <w:pStyle w:val="TableParagraph"/>
              <w:spacing w:line="240" w:lineRule="auto" w:before="37"/>
              <w:ind w:left="82" w:right="0"/>
              <w:jc w:val="left"/>
              <w:rPr>
                <w:rFonts w:ascii="宋体" w:hAnsi="宋体" w:cs="宋体" w:eastAsia="宋体" w:hint="default"/>
                <w:sz w:val="21"/>
                <w:szCs w:val="21"/>
              </w:rPr>
            </w:pPr>
            <w:r>
              <w:rPr>
                <w:rFonts w:ascii="宋体" w:hAnsi="宋体" w:cs="宋体" w:eastAsia="宋体" w:hint="default"/>
                <w:sz w:val="21"/>
                <w:szCs w:val="21"/>
              </w:rPr>
              <w:t>末增减（％）</w:t>
            </w:r>
          </w:p>
        </w:tc>
        <w:tc>
          <w:tcPr>
            <w:tcW w:w="180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968" w:type="dxa"/>
            <w:tcBorders>
              <w:top w:val="nil" w:sz="6" w:space="0" w:color="auto"/>
              <w:left w:val="single" w:sz="4" w:space="0" w:color="000000"/>
              <w:bottom w:val="nil" w:sz="6" w:space="0" w:color="auto"/>
              <w:right w:val="single" w:sz="4" w:space="0" w:color="000000"/>
            </w:tcBorders>
            <w:shd w:val="clear" w:color="auto" w:fill="DCDCDC"/>
          </w:tcPr>
          <w:p>
            <w:pPr/>
          </w:p>
        </w:tc>
        <w:tc>
          <w:tcPr>
            <w:tcW w:w="181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left="461"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w:t>
            </w:r>
          </w:p>
        </w:tc>
        <w:tc>
          <w:tcPr>
            <w:tcW w:w="18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440" w:type="dxa"/>
            <w:vMerge/>
            <w:tcBorders>
              <w:left w:val="single" w:sz="4" w:space="0" w:color="000000"/>
              <w:right w:val="single" w:sz="4" w:space="0" w:color="000000"/>
            </w:tcBorders>
            <w:shd w:val="clear" w:color="auto" w:fill="DCDCDC"/>
          </w:tcPr>
          <w:p>
            <w:pPr/>
          </w:p>
        </w:tc>
        <w:tc>
          <w:tcPr>
            <w:tcW w:w="18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61" w:hRule="exact"/>
        </w:trPr>
        <w:tc>
          <w:tcPr>
            <w:tcW w:w="1968"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2" w:type="dxa"/>
            <w:tcBorders>
              <w:top w:val="nil" w:sz="6" w:space="0" w:color="auto"/>
              <w:left w:val="single" w:sz="4" w:space="0" w:color="000000"/>
              <w:bottom w:val="single" w:sz="4" w:space="0" w:color="000000"/>
              <w:right w:val="single" w:sz="4" w:space="0" w:color="000000"/>
            </w:tcBorders>
            <w:shd w:val="clear" w:color="auto" w:fill="DCDCDC"/>
          </w:tcPr>
          <w:p>
            <w:pPr/>
          </w:p>
        </w:tc>
        <w:tc>
          <w:tcPr>
            <w:tcW w:w="180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80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8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530,295,506.22</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541,026,412.47</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-1.98%</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5"/>
              <w:jc w:val="right"/>
              <w:rPr>
                <w:rFonts w:ascii="Times New Roman" w:hAnsi="Times New Roman" w:cs="Times New Roman" w:eastAsia="Times New Roman" w:hint="default"/>
                <w:sz w:val="21"/>
                <w:szCs w:val="21"/>
              </w:rPr>
            </w:pPr>
            <w:r>
              <w:rPr>
                <w:rFonts w:ascii="Times New Roman"/>
                <w:spacing w:val="-1"/>
                <w:sz w:val="21"/>
              </w:rPr>
              <w:t>133,320,144.84</w:t>
            </w:r>
            <w:r>
              <w:rPr>
                <w:rFonts w:ascii="Times New Roman"/>
                <w:sz w:val="21"/>
              </w:rPr>
            </w:r>
          </w:p>
        </w:tc>
      </w:tr>
      <w:tr>
        <w:trPr>
          <w:trHeight w:val="322" w:hRule="exact"/>
        </w:trPr>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负债总额（元）</w:t>
            </w:r>
          </w:p>
        </w:tc>
        <w:tc>
          <w:tcPr>
            <w:tcW w:w="18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14,613,992.74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10,175,796.89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43.62%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25,393,790.54</w:t>
            </w:r>
          </w:p>
        </w:tc>
      </w:tr>
      <w:tr>
        <w:trPr>
          <w:trHeight w:val="635" w:hRule="exact"/>
        </w:trPr>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w:t>
            </w:r>
            <w:r>
              <w:rPr>
                <w:rFonts w:ascii="宋体" w:hAnsi="宋体" w:cs="宋体" w:eastAsia="宋体" w:hint="default"/>
                <w:sz w:val="21"/>
                <w:szCs w:val="21"/>
              </w:rPr>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的所有者权益（元）</w:t>
            </w:r>
          </w:p>
        </w:tc>
        <w:tc>
          <w:tcPr>
            <w:tcW w:w="18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515,681,513.48</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530,850,615.58</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-2.86%</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107,926,354.30</w:t>
            </w:r>
            <w:r>
              <w:rPr>
                <w:rFonts w:ascii="Times New Roman"/>
                <w:sz w:val="21"/>
              </w:rPr>
            </w:r>
          </w:p>
        </w:tc>
      </w:tr>
      <w:tr>
        <w:trPr>
          <w:trHeight w:val="322" w:hRule="exact"/>
        </w:trPr>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总股本（股）</w:t>
            </w:r>
          </w:p>
        </w:tc>
        <w:tc>
          <w:tcPr>
            <w:tcW w:w="18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120,000,000.00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60,000,000.00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45,000,000.00</w:t>
            </w:r>
          </w:p>
        </w:tc>
      </w:tr>
    </w:tbl>
    <w:p>
      <w:pPr>
        <w:spacing w:line="240" w:lineRule="auto" w:before="4"/>
        <w:rPr>
          <w:rFonts w:ascii="宋体" w:hAnsi="宋体" w:cs="宋体" w:eastAsia="宋体" w:hint="default"/>
          <w:b/>
          <w:bCs/>
          <w:sz w:val="25"/>
          <w:szCs w:val="25"/>
        </w:rPr>
      </w:pPr>
    </w:p>
    <w:p>
      <w:pPr>
        <w:pStyle w:val="Heading5"/>
        <w:spacing w:line="240" w:lineRule="auto" w:before="29"/>
        <w:ind w:left="297" w:right="0"/>
        <w:jc w:val="left"/>
        <w:rPr>
          <w:b w:val="0"/>
          <w:bCs w:val="0"/>
        </w:rPr>
      </w:pPr>
      <w:r>
        <w:rPr/>
        <w:t>二、</w:t>
      </w:r>
      <w:r>
        <w:rPr>
          <w:spacing w:val="-39"/>
        </w:rPr>
        <w:t> </w:t>
      </w:r>
      <w:r>
        <w:rPr/>
        <w:t>主要财务指标</w:t>
      </w:r>
      <w:r>
        <w:rPr>
          <w:b w:val="0"/>
          <w:bCs w:val="0"/>
        </w:rPr>
      </w:r>
    </w:p>
    <w:p>
      <w:pPr>
        <w:spacing w:line="240" w:lineRule="auto" w:before="1"/>
        <w:rPr>
          <w:rFonts w:ascii="宋体" w:hAnsi="宋体" w:cs="宋体" w:eastAsia="宋体" w:hint="default"/>
          <w:b/>
          <w:bCs/>
          <w:sz w:val="9"/>
          <w:szCs w:val="9"/>
        </w:rPr>
      </w:pPr>
    </w:p>
    <w:tbl>
      <w:tblPr>
        <w:tblW w:w="0" w:type="auto"/>
        <w:jc w:val="left"/>
        <w:tblInd w:w="123" w:type="dxa"/>
        <w:tblLayout w:type="fixed"/>
        <w:tblCellMar>
          <w:top w:w="0" w:type="dxa"/>
          <w:left w:w="0" w:type="dxa"/>
          <w:bottom w:w="0" w:type="dxa"/>
          <w:right w:w="0" w:type="dxa"/>
        </w:tblCellMar>
        <w:tblLook w:val="01E0"/>
      </w:tblPr>
      <w:tblGrid>
        <w:gridCol w:w="2497"/>
        <w:gridCol w:w="1632"/>
        <w:gridCol w:w="1620"/>
        <w:gridCol w:w="1440"/>
        <w:gridCol w:w="1620"/>
      </w:tblGrid>
      <w:tr>
        <w:trPr>
          <w:trHeight w:val="161" w:hRule="exact"/>
        </w:trPr>
        <w:tc>
          <w:tcPr>
            <w:tcW w:w="2497" w:type="dxa"/>
            <w:tcBorders>
              <w:top w:val="single" w:sz="4" w:space="0" w:color="000000"/>
              <w:left w:val="single" w:sz="4" w:space="0" w:color="000000"/>
              <w:bottom w:val="nil" w:sz="6" w:space="0" w:color="auto"/>
              <w:right w:val="single" w:sz="4" w:space="0" w:color="000000"/>
            </w:tcBorders>
            <w:shd w:val="clear" w:color="auto" w:fill="DCDCDC"/>
          </w:tcPr>
          <w:p>
            <w:pPr/>
          </w:p>
        </w:tc>
        <w:tc>
          <w:tcPr>
            <w:tcW w:w="1632"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188" w:right="0"/>
              <w:jc w:val="left"/>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40" w:lineRule="auto" w:before="37"/>
              <w:ind w:left="188"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2497" w:type="dxa"/>
            <w:tcBorders>
              <w:top w:val="nil" w:sz="6" w:space="0" w:color="auto"/>
              <w:left w:val="single" w:sz="4" w:space="0" w:color="000000"/>
              <w:bottom w:val="nil" w:sz="6" w:space="0" w:color="auto"/>
              <w:right w:val="single" w:sz="4" w:space="0" w:color="000000"/>
            </w:tcBorders>
            <w:shd w:val="clear" w:color="auto" w:fill="DCDCDC"/>
          </w:tcPr>
          <w:p>
            <w:pPr/>
          </w:p>
        </w:tc>
        <w:tc>
          <w:tcPr>
            <w:tcW w:w="163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left="4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left="4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40" w:type="dxa"/>
            <w:vMerge/>
            <w:tcBorders>
              <w:left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left="4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161" w:hRule="exact"/>
        </w:trPr>
        <w:tc>
          <w:tcPr>
            <w:tcW w:w="2497" w:type="dxa"/>
            <w:tcBorders>
              <w:top w:val="nil" w:sz="6" w:space="0" w:color="auto"/>
              <w:left w:val="single" w:sz="4" w:space="0" w:color="000000"/>
              <w:bottom w:val="single" w:sz="4" w:space="0" w:color="000000"/>
              <w:right w:val="single" w:sz="4" w:space="0" w:color="000000"/>
            </w:tcBorders>
            <w:shd w:val="clear" w:color="auto" w:fill="DCDCDC"/>
          </w:tcPr>
          <w:p>
            <w:pPr/>
          </w:p>
        </w:tc>
        <w:tc>
          <w:tcPr>
            <w:tcW w:w="1632"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0.1736</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0.3161</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-45.08%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0.3253</w:t>
            </w:r>
            <w:r>
              <w:rPr>
                <w:rFonts w:ascii="Times New Roman"/>
                <w:sz w:val="21"/>
              </w:rPr>
            </w:r>
          </w:p>
        </w:tc>
      </w:tr>
      <w:tr>
        <w:trPr>
          <w:trHeight w:val="322"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0.1736</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0.3161</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-45.08%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0.3253</w:t>
            </w:r>
            <w:r>
              <w:rPr>
                <w:rFonts w:ascii="Times New Roman"/>
                <w:sz w:val="21"/>
              </w:rPr>
            </w:r>
          </w:p>
        </w:tc>
      </w:tr>
      <w:tr>
        <w:trPr>
          <w:trHeight w:val="635"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扣除非经常性损益后的基</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0.1571</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0.2842</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-44.72%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0.3074</w:t>
            </w:r>
            <w:r>
              <w:rPr>
                <w:rFonts w:ascii="Times New Roman"/>
                <w:sz w:val="21"/>
              </w:rPr>
            </w:r>
          </w:p>
        </w:tc>
      </w:tr>
      <w:tr>
        <w:trPr>
          <w:trHeight w:val="634"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3.98%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9.66%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21"/>
                <w:szCs w:val="21"/>
              </w:rPr>
            </w:pPr>
            <w:r>
              <w:rPr>
                <w:rFonts w:ascii="Times New Roman" w:hAnsi="Times New Roman" w:cs="Times New Roman" w:eastAsia="Times New Roman" w:hint="default"/>
                <w:sz w:val="21"/>
                <w:szCs w:val="21"/>
              </w:rPr>
              <w:t>-5.68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百分点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31.38%</w:t>
            </w:r>
          </w:p>
        </w:tc>
      </w:tr>
      <w:tr>
        <w:trPr>
          <w:trHeight w:val="634"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9"/>
              <w:jc w:val="left"/>
              <w:rPr>
                <w:rFonts w:ascii="宋体" w:hAnsi="宋体" w:cs="宋体" w:eastAsia="宋体" w:hint="default"/>
                <w:sz w:val="21"/>
                <w:szCs w:val="21"/>
              </w:rPr>
            </w:pPr>
            <w:r>
              <w:rPr>
                <w:rFonts w:ascii="宋体" w:hAnsi="宋体" w:cs="宋体" w:eastAsia="宋体" w:hint="default"/>
                <w:sz w:val="21"/>
                <w:szCs w:val="21"/>
              </w:rPr>
              <w:t>扣除非经常性损益后的加</w:t>
            </w:r>
          </w:p>
          <w:p>
            <w:pPr>
              <w:pStyle w:val="TableParagraph"/>
              <w:spacing w:line="240" w:lineRule="auto" w:before="37"/>
              <w:ind w:left="10" w:right="-9"/>
              <w:jc w:val="left"/>
              <w:rPr>
                <w:rFonts w:ascii="宋体" w:hAnsi="宋体" w:cs="宋体" w:eastAsia="宋体" w:hint="default"/>
                <w:sz w:val="21"/>
                <w:szCs w:val="21"/>
              </w:rPr>
            </w:pPr>
            <w:r>
              <w:rPr>
                <w:rFonts w:ascii="宋体" w:hAnsi="宋体" w:cs="宋体" w:eastAsia="宋体" w:hint="default"/>
                <w:sz w:val="21"/>
                <w:szCs w:val="21"/>
              </w:rPr>
              <w:t>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8.68%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21"/>
                <w:szCs w:val="21"/>
              </w:rPr>
            </w:pPr>
            <w:r>
              <w:rPr>
                <w:rFonts w:ascii="Times New Roman" w:hAnsi="Times New Roman" w:cs="Times New Roman" w:eastAsia="Times New Roman" w:hint="default"/>
                <w:sz w:val="21"/>
                <w:szCs w:val="21"/>
              </w:rPr>
              <w:t>-5.08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百分点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29.66%</w:t>
            </w:r>
          </w:p>
        </w:tc>
      </w:tr>
      <w:tr>
        <w:trPr>
          <w:trHeight w:val="635"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每股经营活动产生的现金</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0.0415</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0.3182</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-86.96%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0.4427</w:t>
            </w:r>
            <w:r>
              <w:rPr>
                <w:rFonts w:ascii="Times New Roman"/>
                <w:sz w:val="21"/>
              </w:rPr>
            </w:r>
          </w:p>
        </w:tc>
      </w:tr>
      <w:tr>
        <w:trPr>
          <w:trHeight w:val="161" w:hRule="exact"/>
        </w:trPr>
        <w:tc>
          <w:tcPr>
            <w:tcW w:w="2497" w:type="dxa"/>
            <w:tcBorders>
              <w:top w:val="single" w:sz="4" w:space="0" w:color="000000"/>
              <w:left w:val="single" w:sz="4" w:space="0" w:color="000000"/>
              <w:bottom w:val="nil" w:sz="6" w:space="0" w:color="auto"/>
              <w:right w:val="single" w:sz="4" w:space="0" w:color="000000"/>
            </w:tcBorders>
            <w:shd w:val="clear" w:color="auto" w:fill="DCDCDC"/>
          </w:tcPr>
          <w:p>
            <w:pPr/>
          </w:p>
        </w:tc>
        <w:tc>
          <w:tcPr>
            <w:tcW w:w="1632"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82" w:right="0"/>
              <w:jc w:val="left"/>
              <w:rPr>
                <w:rFonts w:ascii="宋体" w:hAnsi="宋体" w:cs="宋体" w:eastAsia="宋体" w:hint="default"/>
                <w:sz w:val="21"/>
                <w:szCs w:val="21"/>
              </w:rPr>
            </w:pPr>
            <w:r>
              <w:rPr>
                <w:rFonts w:ascii="宋体" w:hAnsi="宋体" w:cs="宋体" w:eastAsia="宋体" w:hint="default"/>
                <w:sz w:val="21"/>
                <w:szCs w:val="21"/>
              </w:rPr>
              <w:t>本年末比上年</w:t>
            </w:r>
          </w:p>
          <w:p>
            <w:pPr>
              <w:pStyle w:val="TableParagraph"/>
              <w:spacing w:line="240" w:lineRule="auto" w:before="37"/>
              <w:ind w:left="82" w:right="0"/>
              <w:jc w:val="left"/>
              <w:rPr>
                <w:rFonts w:ascii="宋体" w:hAnsi="宋体" w:cs="宋体" w:eastAsia="宋体" w:hint="default"/>
                <w:sz w:val="21"/>
                <w:szCs w:val="21"/>
              </w:rPr>
            </w:pPr>
            <w:r>
              <w:rPr>
                <w:rFonts w:ascii="宋体" w:hAnsi="宋体" w:cs="宋体" w:eastAsia="宋体" w:hint="default"/>
                <w:sz w:val="21"/>
                <w:szCs w:val="21"/>
              </w:rPr>
              <w:t>末增减（％）</w:t>
            </w: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2497" w:type="dxa"/>
            <w:tcBorders>
              <w:top w:val="nil" w:sz="6" w:space="0" w:color="auto"/>
              <w:left w:val="single" w:sz="4" w:space="0" w:color="000000"/>
              <w:bottom w:val="nil" w:sz="6" w:space="0" w:color="auto"/>
              <w:right w:val="single" w:sz="4" w:space="0" w:color="000000"/>
            </w:tcBorders>
            <w:shd w:val="clear" w:color="auto" w:fill="DCDCDC"/>
          </w:tcPr>
          <w:p>
            <w:pPr/>
          </w:p>
        </w:tc>
        <w:tc>
          <w:tcPr>
            <w:tcW w:w="163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371"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w:t>
            </w: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35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440" w:type="dxa"/>
            <w:vMerge/>
            <w:tcBorders>
              <w:left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35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61" w:hRule="exact"/>
        </w:trPr>
        <w:tc>
          <w:tcPr>
            <w:tcW w:w="2497" w:type="dxa"/>
            <w:tcBorders>
              <w:top w:val="nil" w:sz="6" w:space="0" w:color="auto"/>
              <w:left w:val="single" w:sz="4" w:space="0" w:color="000000"/>
              <w:bottom w:val="single" w:sz="4" w:space="0" w:color="000000"/>
              <w:right w:val="single" w:sz="4" w:space="0" w:color="000000"/>
            </w:tcBorders>
            <w:shd w:val="clear" w:color="auto" w:fill="DCDCDC"/>
          </w:tcPr>
          <w:p>
            <w:pPr/>
          </w:p>
        </w:tc>
        <w:tc>
          <w:tcPr>
            <w:tcW w:w="1632"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3"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归属于上市公司股东的每</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4.2973</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8.8475</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-51.43%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2.3984</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500" w:right="1340"/>
        </w:sectPr>
      </w:pPr>
    </w:p>
    <w:p>
      <w:pPr>
        <w:spacing w:line="240" w:lineRule="auto" w:before="6"/>
        <w:rPr>
          <w:rFonts w:ascii="宋体" w:hAnsi="宋体" w:cs="宋体" w:eastAsia="宋体" w:hint="default"/>
          <w:b/>
          <w:bCs/>
          <w:sz w:val="24"/>
          <w:szCs w:val="24"/>
        </w:rPr>
      </w:pPr>
    </w:p>
    <w:tbl>
      <w:tblPr>
        <w:tblW w:w="0" w:type="auto"/>
        <w:jc w:val="left"/>
        <w:tblInd w:w="123" w:type="dxa"/>
        <w:tblLayout w:type="fixed"/>
        <w:tblCellMar>
          <w:top w:w="0" w:type="dxa"/>
          <w:left w:w="0" w:type="dxa"/>
          <w:bottom w:w="0" w:type="dxa"/>
          <w:right w:w="0" w:type="dxa"/>
        </w:tblCellMar>
        <w:tblLook w:val="01E0"/>
      </w:tblPr>
      <w:tblGrid>
        <w:gridCol w:w="2509"/>
        <w:gridCol w:w="1620"/>
        <w:gridCol w:w="1620"/>
        <w:gridCol w:w="1440"/>
        <w:gridCol w:w="1620"/>
      </w:tblGrid>
      <w:tr>
        <w:trPr>
          <w:trHeight w:val="322" w:hRule="exact"/>
        </w:trPr>
        <w:tc>
          <w:tcPr>
            <w:tcW w:w="25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宋体" w:hAnsi="宋体" w:cs="宋体" w:eastAsia="宋体" w:hint="default"/>
                <w:sz w:val="21"/>
                <w:szCs w:val="21"/>
              </w:rPr>
              <w:t>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41" w:right="0"/>
              <w:jc w:val="left"/>
              <w:rPr>
                <w:rFonts w:ascii="Times New Roman" w:hAnsi="Times New Roman" w:cs="Times New Roman" w:eastAsia="Times New Roman" w:hint="default"/>
                <w:sz w:val="21"/>
                <w:szCs w:val="21"/>
              </w:rPr>
            </w:pPr>
            <w:r>
              <w:rPr>
                <w:rFonts w:ascii="Times New Roman"/>
                <w:sz w:val="21"/>
              </w:rPr>
              <w:t>2.76%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41" w:right="0"/>
              <w:jc w:val="left"/>
              <w:rPr>
                <w:rFonts w:ascii="Times New Roman" w:hAnsi="Times New Roman" w:cs="Times New Roman" w:eastAsia="Times New Roman" w:hint="default"/>
                <w:sz w:val="21"/>
                <w:szCs w:val="21"/>
              </w:rPr>
            </w:pPr>
            <w:r>
              <w:rPr>
                <w:rFonts w:ascii="Times New Roman"/>
                <w:sz w:val="21"/>
              </w:rPr>
              <w:t>1.88%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+0.88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百分点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37" w:right="0"/>
              <w:jc w:val="left"/>
              <w:rPr>
                <w:rFonts w:ascii="Times New Roman" w:hAnsi="Times New Roman" w:cs="Times New Roman" w:eastAsia="Times New Roman" w:hint="default"/>
                <w:sz w:val="21"/>
                <w:szCs w:val="21"/>
              </w:rPr>
            </w:pPr>
            <w:r>
              <w:rPr>
                <w:rFonts w:ascii="Times New Roman"/>
                <w:sz w:val="21"/>
              </w:rPr>
              <w:t>19.05%</w:t>
            </w:r>
          </w:p>
        </w:tc>
      </w:tr>
    </w:tbl>
    <w:p>
      <w:pPr>
        <w:spacing w:line="240" w:lineRule="auto" w:before="4"/>
        <w:rPr>
          <w:rFonts w:ascii="宋体" w:hAnsi="宋体" w:cs="宋体" w:eastAsia="宋体" w:hint="default"/>
          <w:b/>
          <w:bCs/>
          <w:sz w:val="19"/>
          <w:szCs w:val="19"/>
        </w:rPr>
      </w:pPr>
    </w:p>
    <w:p>
      <w:pPr>
        <w:pStyle w:val="BodyText"/>
        <w:spacing w:line="315" w:lineRule="exact" w:before="29"/>
        <w:ind w:left="297" w:right="0"/>
        <w:jc w:val="left"/>
      </w:pP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rFonts w:ascii="Times New Roman" w:hAnsi="Times New Roman" w:cs="Times New Roman" w:eastAsia="Times New Roman" w:hint="default"/>
          <w:spacing w:val="14"/>
        </w:rPr>
        <w:t> </w:t>
      </w:r>
      <w:r>
        <w:rPr>
          <w:w w:val="100"/>
        </w:rPr>
        <w:t>归属于</w:t>
      </w:r>
      <w:r>
        <w:rPr>
          <w:spacing w:val="-2"/>
          <w:w w:val="100"/>
        </w:rPr>
        <w:t>上市</w:t>
      </w:r>
      <w:r>
        <w:rPr>
          <w:w w:val="100"/>
        </w:rPr>
        <w:t>公司股</w:t>
      </w:r>
      <w:r>
        <w:rPr>
          <w:spacing w:val="-2"/>
          <w:w w:val="100"/>
        </w:rPr>
        <w:t>东的</w:t>
      </w:r>
      <w:r>
        <w:rPr>
          <w:w w:val="100"/>
        </w:rPr>
        <w:t>每股净</w:t>
      </w:r>
      <w:r>
        <w:rPr>
          <w:spacing w:val="-2"/>
          <w:w w:val="100"/>
        </w:rPr>
        <w:t>资产</w:t>
      </w:r>
      <w:r>
        <w:rPr>
          <w:spacing w:val="-99"/>
          <w:w w:val="100"/>
        </w:rPr>
        <w:t>、</w:t>
      </w:r>
      <w:r>
        <w:rPr>
          <w:w w:val="100"/>
        </w:rPr>
        <w:t>每股经</w:t>
      </w:r>
      <w:r>
        <w:rPr>
          <w:spacing w:val="-2"/>
          <w:w w:val="100"/>
        </w:rPr>
        <w:t>营</w:t>
      </w:r>
      <w:r>
        <w:rPr>
          <w:w w:val="100"/>
        </w:rPr>
        <w:t>活动产</w:t>
      </w:r>
      <w:r>
        <w:rPr>
          <w:spacing w:val="-2"/>
          <w:w w:val="100"/>
        </w:rPr>
        <w:t>生的</w:t>
      </w:r>
      <w:r>
        <w:rPr>
          <w:w w:val="100"/>
        </w:rPr>
        <w:t>现金流</w:t>
      </w:r>
      <w:r>
        <w:rPr>
          <w:spacing w:val="-2"/>
          <w:w w:val="100"/>
        </w:rPr>
        <w:t>量净</w:t>
      </w:r>
      <w:r>
        <w:rPr>
          <w:w w:val="100"/>
        </w:rPr>
        <w:t>额按照中国</w:t>
      </w:r>
    </w:p>
    <w:p>
      <w:pPr>
        <w:pStyle w:val="BodyText"/>
        <w:spacing w:line="312" w:lineRule="exact" w:before="16"/>
        <w:ind w:left="657" w:right="452" w:hanging="1"/>
        <w:jc w:val="both"/>
      </w:pPr>
      <w:r>
        <w:rPr/>
        <w:t>证监会《公开发行证券的公司信息披露内容与格式准则第</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创业板上市</w:t>
      </w:r>
      <w:r>
        <w:rPr>
          <w:w w:val="100"/>
        </w:rPr>
        <w:t> </w:t>
      </w:r>
      <w:r>
        <w:rPr>
          <w:spacing w:val="-4"/>
        </w:rPr>
        <w:t>公司年度报告的内容与格式》规定的公式计算；净资产收益率、每股收益的计算</w:t>
      </w:r>
      <w:r>
        <w:rPr>
          <w:spacing w:val="-83"/>
        </w:rPr>
        <w:t> </w:t>
      </w:r>
      <w:r>
        <w:rPr>
          <w:spacing w:val="-83"/>
        </w:rPr>
      </w:r>
      <w:r>
        <w:rPr>
          <w:spacing w:val="-6"/>
          <w:w w:val="100"/>
        </w:rPr>
        <w:t>参照《公开发行证券的公司信息披露编报规则第</w:t>
      </w:r>
      <w:r>
        <w:rPr>
          <w:spacing w:val="-51"/>
          <w:w w:val="100"/>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7"/>
          <w:w w:val="100"/>
        </w:rPr>
        <w:t> </w:t>
      </w:r>
      <w:r>
        <w:rPr>
          <w:spacing w:val="-1"/>
          <w:w w:val="100"/>
        </w:rPr>
        <w:t>号</w:t>
      </w:r>
      <w:r>
        <w:rPr>
          <w:rFonts w:ascii="Times New Roman" w:hAnsi="Times New Roman" w:cs="Times New Roman" w:eastAsia="Times New Roman" w:hint="default"/>
          <w:spacing w:val="-1"/>
          <w:w w:val="100"/>
        </w:rPr>
        <w:t>——</w:t>
      </w:r>
      <w:r>
        <w:rPr>
          <w:spacing w:val="-1"/>
          <w:w w:val="100"/>
        </w:rPr>
        <w:t>净资产收益率和每股收</w:t>
      </w:r>
      <w:r>
        <w:rPr>
          <w:w w:val="100"/>
        </w:rPr>
        <w:t> </w:t>
      </w:r>
      <w:r>
        <w:rPr/>
        <w:t>益的计算及披露》执行。</w:t>
      </w:r>
    </w:p>
    <w:p>
      <w:pPr>
        <w:spacing w:line="240" w:lineRule="auto" w:before="6"/>
        <w:rPr>
          <w:rFonts w:ascii="宋体" w:hAnsi="宋体" w:cs="宋体" w:eastAsia="宋体" w:hint="default"/>
          <w:sz w:val="16"/>
          <w:szCs w:val="16"/>
        </w:rPr>
      </w:pPr>
    </w:p>
    <w:p>
      <w:pPr>
        <w:pStyle w:val="BodyText"/>
        <w:spacing w:line="240" w:lineRule="auto"/>
        <w:ind w:left="297"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6"/>
        </w:rPr>
        <w:t> </w:t>
      </w:r>
      <w:r>
        <w:rPr/>
        <w:t>基本每股收益和稀释每股收益的计算过程如下：</w:t>
      </w:r>
    </w:p>
    <w:p>
      <w:pPr>
        <w:spacing w:line="240" w:lineRule="auto" w:before="9"/>
        <w:rPr>
          <w:rFonts w:ascii="宋体" w:hAnsi="宋体" w:cs="宋体" w:eastAsia="宋体"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5400"/>
        <w:gridCol w:w="1440"/>
        <w:gridCol w:w="1800"/>
      </w:tblGrid>
      <w:tr>
        <w:trPr>
          <w:trHeight w:val="32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计算过程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56"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r>
      <w:tr>
        <w:trPr>
          <w:trHeight w:val="323"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center"/>
              <w:rPr>
                <w:rFonts w:ascii="Times New Roman" w:hAnsi="Times New Roman" w:cs="Times New Roman" w:eastAsia="Times New Roman" w:hint="default"/>
                <w:sz w:val="21"/>
                <w:szCs w:val="21"/>
              </w:rPr>
            </w:pPr>
            <w:r>
              <w:rPr>
                <w:rFonts w:ascii="Times New Roman"/>
                <w:sz w:val="21"/>
              </w:rPr>
              <w:t>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20,830,897.90</w:t>
            </w:r>
          </w:p>
        </w:tc>
      </w:tr>
      <w:tr>
        <w:trPr>
          <w:trHeight w:val="32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归属于公司普通股股东的非经常性损益（元）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center"/>
              <w:rPr>
                <w:rFonts w:ascii="Times New Roman" w:hAnsi="Times New Roman" w:cs="Times New Roman" w:eastAsia="Times New Roman" w:hint="default"/>
                <w:sz w:val="21"/>
                <w:szCs w:val="21"/>
              </w:rPr>
            </w:pPr>
            <w:r>
              <w:rPr>
                <w:rFonts w:ascii="Times New Roman"/>
                <w:sz w:val="21"/>
              </w:rPr>
              <w:t>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1,981,716.57</w:t>
            </w:r>
          </w:p>
        </w:tc>
      </w:tr>
      <w:tr>
        <w:trPr>
          <w:trHeight w:val="32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扣除非经常性损益后归属于普通股股东的净利润（元）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center"/>
              <w:rPr>
                <w:rFonts w:ascii="Times New Roman" w:hAnsi="Times New Roman" w:cs="Times New Roman" w:eastAsia="Times New Roman" w:hint="default"/>
                <w:sz w:val="21"/>
                <w:szCs w:val="21"/>
              </w:rPr>
            </w:pPr>
            <w:r>
              <w:rPr>
                <w:rFonts w:ascii="Times New Roman"/>
                <w:sz w:val="21"/>
              </w:rPr>
              <w:t>3=1-2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18,849,181.33</w:t>
            </w:r>
          </w:p>
        </w:tc>
      </w:tr>
      <w:tr>
        <w:trPr>
          <w:trHeight w:val="323"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期初股份总数（股）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center"/>
              <w:rPr>
                <w:rFonts w:ascii="Times New Roman" w:hAnsi="Times New Roman" w:cs="Times New Roman" w:eastAsia="Times New Roman" w:hint="default"/>
                <w:sz w:val="21"/>
                <w:szCs w:val="21"/>
              </w:rPr>
            </w:pPr>
            <w:r>
              <w:rPr>
                <w:rFonts w:ascii="Times New Roman"/>
                <w:sz w:val="21"/>
              </w:rPr>
              <w:t>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60,000,000.00</w:t>
            </w:r>
          </w:p>
        </w:tc>
      </w:tr>
      <w:tr>
        <w:trPr>
          <w:trHeight w:val="32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因公积金转增股本或股票股利分配等增加股份数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center"/>
              <w:rPr>
                <w:rFonts w:ascii="Times New Roman" w:hAnsi="Times New Roman" w:cs="Times New Roman" w:eastAsia="Times New Roman" w:hint="default"/>
                <w:sz w:val="21"/>
                <w:szCs w:val="21"/>
              </w:rPr>
            </w:pPr>
            <w:r>
              <w:rPr>
                <w:rFonts w:ascii="Times New Roman"/>
                <w:sz w:val="21"/>
              </w:rPr>
              <w:t>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60,000,000.00</w:t>
            </w:r>
          </w:p>
        </w:tc>
      </w:tr>
      <w:tr>
        <w:trPr>
          <w:trHeight w:val="32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报告期因发行新股或债转股等增加股份数（股）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center"/>
              <w:rPr>
                <w:rFonts w:ascii="Times New Roman" w:hAnsi="Times New Roman" w:cs="Times New Roman" w:eastAsia="Times New Roman" w:hint="default"/>
                <w:sz w:val="21"/>
                <w:szCs w:val="21"/>
              </w:rPr>
            </w:pPr>
            <w:r>
              <w:rPr>
                <w:rFonts w:ascii="Times New Roman"/>
                <w:sz w:val="21"/>
              </w:rPr>
              <w:t>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w:t>
            </w:r>
          </w:p>
        </w:tc>
      </w:tr>
      <w:tr>
        <w:trPr>
          <w:trHeight w:val="323"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增加股份次月起至报告期期末的累计月数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center"/>
              <w:rPr>
                <w:rFonts w:ascii="Times New Roman" w:hAnsi="Times New Roman" w:cs="Times New Roman" w:eastAsia="Times New Roman" w:hint="default"/>
                <w:sz w:val="21"/>
                <w:szCs w:val="21"/>
              </w:rPr>
            </w:pPr>
            <w:r>
              <w:rPr>
                <w:rFonts w:ascii="Times New Roman"/>
                <w:sz w:val="21"/>
              </w:rPr>
              <w:t>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w:t>
            </w:r>
          </w:p>
        </w:tc>
      </w:tr>
      <w:tr>
        <w:trPr>
          <w:trHeight w:val="32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center"/>
              <w:rPr>
                <w:rFonts w:ascii="Times New Roman" w:hAnsi="Times New Roman" w:cs="Times New Roman" w:eastAsia="Times New Roman" w:hint="default"/>
                <w:sz w:val="21"/>
                <w:szCs w:val="21"/>
              </w:rPr>
            </w:pPr>
            <w:r>
              <w:rPr>
                <w:rFonts w:ascii="Times New Roman"/>
                <w:sz w:val="21"/>
              </w:rPr>
              <w:t>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12</w:t>
            </w:r>
          </w:p>
        </w:tc>
      </w:tr>
      <w:tr>
        <w:trPr>
          <w:trHeight w:val="32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9=4+5+6×7/8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120,000,000.00</w:t>
            </w:r>
          </w:p>
        </w:tc>
      </w:tr>
      <w:tr>
        <w:trPr>
          <w:trHeight w:val="323"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center"/>
              <w:rPr>
                <w:rFonts w:ascii="Times New Roman" w:hAnsi="Times New Roman" w:cs="Times New Roman" w:eastAsia="Times New Roman" w:hint="default"/>
                <w:sz w:val="21"/>
                <w:szCs w:val="21"/>
              </w:rPr>
            </w:pPr>
            <w:r>
              <w:rPr>
                <w:rFonts w:ascii="Times New Roman"/>
                <w:sz w:val="21"/>
              </w:rPr>
              <w:t>10=1/9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0.1736</w:t>
            </w:r>
          </w:p>
        </w:tc>
      </w:tr>
      <w:tr>
        <w:trPr>
          <w:trHeight w:val="63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扣除非经常性损益后归属于公司普通股股东的基本每股</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3"/>
              <w:jc w:val="center"/>
              <w:rPr>
                <w:rFonts w:ascii="Times New Roman" w:hAnsi="Times New Roman" w:cs="Times New Roman" w:eastAsia="Times New Roman" w:hint="default"/>
                <w:sz w:val="21"/>
                <w:szCs w:val="21"/>
              </w:rPr>
            </w:pPr>
            <w:r>
              <w:rPr>
                <w:rFonts w:ascii="Times New Roman"/>
                <w:sz w:val="21"/>
              </w:rPr>
              <w:t>11=3/9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0.1571</w:t>
            </w:r>
            <w:r>
              <w:rPr>
                <w:rFonts w:ascii="Times New Roman"/>
                <w:sz w:val="21"/>
              </w:rPr>
            </w:r>
          </w:p>
        </w:tc>
      </w:tr>
      <w:tr>
        <w:trPr>
          <w:trHeight w:val="32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center"/>
              <w:rPr>
                <w:rFonts w:ascii="Times New Roman" w:hAnsi="Times New Roman" w:cs="Times New Roman" w:eastAsia="Times New Roman" w:hint="default"/>
                <w:sz w:val="21"/>
                <w:szCs w:val="21"/>
              </w:rPr>
            </w:pPr>
            <w:r>
              <w:rPr>
                <w:rFonts w:ascii="Times New Roman"/>
                <w:sz w:val="21"/>
              </w:rPr>
              <w:t>12=10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0.1736</w:t>
            </w:r>
          </w:p>
        </w:tc>
      </w:tr>
      <w:tr>
        <w:trPr>
          <w:trHeight w:val="635"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扣除非经常性损益后归属于公司普通股股东的稀释每股</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3"/>
              <w:jc w:val="center"/>
              <w:rPr>
                <w:rFonts w:ascii="Times New Roman" w:hAnsi="Times New Roman" w:cs="Times New Roman" w:eastAsia="Times New Roman" w:hint="default"/>
                <w:sz w:val="21"/>
                <w:szCs w:val="21"/>
              </w:rPr>
            </w:pPr>
            <w:r>
              <w:rPr>
                <w:rFonts w:ascii="Times New Roman"/>
                <w:sz w:val="21"/>
              </w:rPr>
              <w:t>13=11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0.1571</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352" w:lineRule="auto" w:before="29"/>
        <w:ind w:left="655" w:right="0" w:hanging="358"/>
        <w:jc w:val="left"/>
      </w:pPr>
      <w:r>
        <w:rPr>
          <w:rFonts w:ascii="Times New Roman" w:hAnsi="Times New Roman" w:cs="Times New Roman" w:eastAsia="Times New Roman" w:hint="default"/>
          <w:w w:val="100"/>
        </w:rPr>
        <w:t>3.</w:t>
      </w:r>
      <w:r>
        <w:rPr>
          <w:rFonts w:ascii="Times New Roman" w:hAnsi="Times New Roman" w:cs="Times New Roman" w:eastAsia="Times New Roman" w:hint="default"/>
          <w:spacing w:val="31"/>
          <w:w w:val="100"/>
        </w:rPr>
        <w:t> </w:t>
      </w:r>
      <w:r>
        <w:rPr>
          <w:spacing w:val="-4"/>
          <w:w w:val="100"/>
        </w:rPr>
        <w:t>加权平均净资产收益率、扣除非经常性损益后加权平均净资产收益率的计算过程</w:t>
      </w:r>
      <w:r>
        <w:rPr>
          <w:w w:val="100"/>
        </w:rPr>
        <w:t> </w:t>
      </w:r>
      <w:r>
        <w:rPr/>
        <w:t>如下：</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5636"/>
        <w:gridCol w:w="1440"/>
        <w:gridCol w:w="1564"/>
      </w:tblGrid>
      <w:tr>
        <w:trPr>
          <w:trHeight w:val="322" w:hRule="exact"/>
        </w:trPr>
        <w:tc>
          <w:tcPr>
            <w:tcW w:w="56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计算过程</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39"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r>
      <w:tr>
        <w:trPr>
          <w:trHeight w:val="323" w:hRule="exact"/>
        </w:trPr>
        <w:tc>
          <w:tcPr>
            <w:tcW w:w="56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center"/>
              <w:rPr>
                <w:rFonts w:ascii="Times New Roman" w:hAnsi="Times New Roman" w:cs="Times New Roman" w:eastAsia="Times New Roman" w:hint="default"/>
                <w:sz w:val="18"/>
                <w:szCs w:val="18"/>
              </w:rPr>
            </w:pPr>
            <w:r>
              <w:rPr>
                <w:rFonts w:ascii="Times New Roman"/>
                <w:sz w:val="18"/>
              </w:rPr>
              <w:t>1</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20,830,897.90</w:t>
            </w:r>
          </w:p>
        </w:tc>
      </w:tr>
      <w:tr>
        <w:trPr>
          <w:trHeight w:val="438" w:hRule="exact"/>
        </w:trPr>
        <w:tc>
          <w:tcPr>
            <w:tcW w:w="5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归属于公司普通股股东的非经常性损益（元）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83"/>
              <w:jc w:val="center"/>
              <w:rPr>
                <w:rFonts w:ascii="Times New Roman" w:hAnsi="Times New Roman" w:cs="Times New Roman" w:eastAsia="Times New Roman" w:hint="default"/>
                <w:sz w:val="18"/>
                <w:szCs w:val="18"/>
              </w:rPr>
            </w:pPr>
            <w:r>
              <w:rPr>
                <w:rFonts w:ascii="Times New Roman"/>
                <w:sz w:val="18"/>
              </w:rPr>
              <w:t>2</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1,981,716.57</w:t>
            </w:r>
          </w:p>
        </w:tc>
      </w:tr>
      <w:tr>
        <w:trPr>
          <w:trHeight w:val="322" w:hRule="exact"/>
        </w:trPr>
        <w:tc>
          <w:tcPr>
            <w:tcW w:w="56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扣除非经常性损益后归属于普通股股东的净利润（元）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2"/>
              <w:jc w:val="center"/>
              <w:rPr>
                <w:rFonts w:ascii="Times New Roman" w:hAnsi="Times New Roman" w:cs="Times New Roman" w:eastAsia="Times New Roman" w:hint="default"/>
                <w:sz w:val="18"/>
                <w:szCs w:val="18"/>
              </w:rPr>
            </w:pPr>
            <w:r>
              <w:rPr>
                <w:rFonts w:ascii="Times New Roman"/>
                <w:sz w:val="18"/>
              </w:rPr>
              <w:t>3=1-2</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18,849,181.33</w:t>
            </w:r>
          </w:p>
        </w:tc>
      </w:tr>
      <w:tr>
        <w:trPr>
          <w:trHeight w:val="322" w:hRule="exact"/>
        </w:trPr>
        <w:tc>
          <w:tcPr>
            <w:tcW w:w="56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归属于公司普通股东的期初净资产总额（元）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center"/>
              <w:rPr>
                <w:rFonts w:ascii="Times New Roman" w:hAnsi="Times New Roman" w:cs="Times New Roman" w:eastAsia="Times New Roman" w:hint="default"/>
                <w:sz w:val="18"/>
                <w:szCs w:val="18"/>
              </w:rPr>
            </w:pPr>
            <w:r>
              <w:rPr>
                <w:rFonts w:ascii="Times New Roman"/>
                <w:sz w:val="18"/>
              </w:rPr>
              <w:t>4</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530,850,615.58</w:t>
            </w:r>
          </w:p>
        </w:tc>
      </w:tr>
      <w:tr>
        <w:trPr>
          <w:trHeight w:val="323" w:hRule="exact"/>
        </w:trPr>
        <w:tc>
          <w:tcPr>
            <w:tcW w:w="56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回购或现金分红等减少的、归属于公司普通股股东的净资产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center"/>
              <w:rPr>
                <w:rFonts w:ascii="Times New Roman" w:hAnsi="Times New Roman" w:cs="Times New Roman" w:eastAsia="Times New Roman" w:hint="default"/>
                <w:sz w:val="18"/>
                <w:szCs w:val="18"/>
              </w:rPr>
            </w:pPr>
            <w:r>
              <w:rPr>
                <w:rFonts w:ascii="Times New Roman"/>
                <w:sz w:val="18"/>
              </w:rPr>
              <w:t>5</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36,000,000.00</w:t>
            </w:r>
          </w:p>
        </w:tc>
      </w:tr>
      <w:tr>
        <w:trPr>
          <w:trHeight w:val="322" w:hRule="exact"/>
        </w:trPr>
        <w:tc>
          <w:tcPr>
            <w:tcW w:w="56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减少净资产次月起至报告期期末的累计月数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center"/>
              <w:rPr>
                <w:rFonts w:ascii="Times New Roman" w:hAnsi="Times New Roman" w:cs="Times New Roman" w:eastAsia="Times New Roman" w:hint="default"/>
                <w:sz w:val="18"/>
                <w:szCs w:val="18"/>
              </w:rPr>
            </w:pPr>
            <w:r>
              <w:rPr>
                <w:rFonts w:ascii="Times New Roman"/>
                <w:sz w:val="18"/>
              </w:rPr>
              <w:t>6</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6</w:t>
            </w:r>
          </w:p>
        </w:tc>
      </w:tr>
      <w:tr>
        <w:trPr>
          <w:trHeight w:val="322" w:hRule="exact"/>
        </w:trPr>
        <w:tc>
          <w:tcPr>
            <w:tcW w:w="56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center"/>
              <w:rPr>
                <w:rFonts w:ascii="Times New Roman" w:hAnsi="Times New Roman" w:cs="Times New Roman" w:eastAsia="Times New Roman" w:hint="default"/>
                <w:sz w:val="18"/>
                <w:szCs w:val="18"/>
              </w:rPr>
            </w:pPr>
            <w:r>
              <w:rPr>
                <w:rFonts w:ascii="Times New Roman"/>
                <w:sz w:val="18"/>
              </w:rPr>
              <w:t>7</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12</w:t>
            </w:r>
          </w:p>
        </w:tc>
      </w:tr>
      <w:tr>
        <w:trPr>
          <w:trHeight w:val="323" w:hRule="exact"/>
        </w:trPr>
        <w:tc>
          <w:tcPr>
            <w:tcW w:w="56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8=1/2+4</w:t>
            </w:r>
            <w:r>
              <w:rPr>
                <w:rFonts w:ascii="宋体" w:hAnsi="宋体" w:cs="宋体" w:eastAsia="宋体" w:hint="default"/>
                <w:sz w:val="18"/>
                <w:szCs w:val="18"/>
              </w:rPr>
              <w:t>－</w:t>
            </w:r>
            <w:r>
              <w:rPr>
                <w:rFonts w:ascii="Times New Roman" w:hAnsi="Times New Roman" w:cs="Times New Roman" w:eastAsia="Times New Roman" w:hint="default"/>
                <w:sz w:val="18"/>
                <w:szCs w:val="18"/>
              </w:rPr>
              <w:t>5*6/7</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523,266,064.53</w:t>
            </w:r>
          </w:p>
        </w:tc>
      </w:tr>
      <w:tr>
        <w:trPr>
          <w:trHeight w:val="322" w:hRule="exact"/>
        </w:trPr>
        <w:tc>
          <w:tcPr>
            <w:tcW w:w="56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2"/>
              <w:jc w:val="center"/>
              <w:rPr>
                <w:rFonts w:ascii="Times New Roman" w:hAnsi="Times New Roman" w:cs="Times New Roman" w:eastAsia="Times New Roman" w:hint="default"/>
                <w:sz w:val="18"/>
                <w:szCs w:val="18"/>
              </w:rPr>
            </w:pPr>
            <w:r>
              <w:rPr>
                <w:rFonts w:ascii="Times New Roman"/>
                <w:sz w:val="18"/>
              </w:rPr>
              <w:t>9=1/8</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3.98%</w:t>
            </w:r>
          </w:p>
        </w:tc>
      </w:tr>
      <w:tr>
        <w:trPr>
          <w:trHeight w:val="323" w:hRule="exact"/>
        </w:trPr>
        <w:tc>
          <w:tcPr>
            <w:tcW w:w="56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扣除非经常性损加权平均净资产收益率</w:t>
            </w:r>
            <w:r>
              <w:rPr>
                <w:rFonts w:ascii="Times New Roman" w:hAnsi="Times New Roman" w:cs="Times New Roman" w:eastAsia="Times New Roman"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center"/>
              <w:rPr>
                <w:rFonts w:ascii="Times New Roman" w:hAnsi="Times New Roman" w:cs="Times New Roman" w:eastAsia="Times New Roman" w:hint="default"/>
                <w:sz w:val="18"/>
                <w:szCs w:val="18"/>
              </w:rPr>
            </w:pPr>
            <w:r>
              <w:rPr>
                <w:rFonts w:ascii="Times New Roman"/>
                <w:sz w:val="18"/>
              </w:rPr>
              <w:t>10=3/8</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3.60%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500" w:right="1340"/>
        </w:sectPr>
      </w:pPr>
    </w:p>
    <w:p>
      <w:pPr>
        <w:spacing w:line="240" w:lineRule="auto" w:before="12"/>
        <w:rPr>
          <w:rFonts w:ascii="宋体" w:hAnsi="宋体" w:cs="宋体" w:eastAsia="宋体" w:hint="default"/>
          <w:sz w:val="25"/>
          <w:szCs w:val="25"/>
        </w:rPr>
      </w:pPr>
    </w:p>
    <w:p>
      <w:pPr>
        <w:pStyle w:val="Heading5"/>
        <w:spacing w:line="240" w:lineRule="auto" w:before="29"/>
        <w:ind w:left="477" w:right="0"/>
        <w:jc w:val="left"/>
        <w:rPr>
          <w:b w:val="0"/>
          <w:bCs w:val="0"/>
        </w:rPr>
      </w:pPr>
      <w:r>
        <w:rPr/>
        <w:t>三、</w:t>
      </w:r>
      <w:r>
        <w:rPr>
          <w:spacing w:val="-39"/>
        </w:rPr>
        <w:t> </w:t>
      </w:r>
      <w:r>
        <w:rPr/>
        <w:t>非经常性损益项目</w:t>
      </w:r>
      <w:r>
        <w:rPr>
          <w:b w:val="0"/>
          <w:bCs w:val="0"/>
        </w:rPr>
      </w:r>
    </w:p>
    <w:p>
      <w:pPr>
        <w:spacing w:before="104"/>
        <w:ind w:left="0" w:right="572"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6"/>
        <w:rPr>
          <w:rFonts w:ascii="宋体" w:hAnsi="宋体" w:cs="宋体" w:eastAsia="宋体" w:hint="default"/>
          <w:sz w:val="16"/>
          <w:szCs w:val="16"/>
        </w:rPr>
      </w:pPr>
    </w:p>
    <w:tbl>
      <w:tblPr>
        <w:tblW w:w="0" w:type="auto"/>
        <w:jc w:val="left"/>
        <w:tblInd w:w="112" w:type="dxa"/>
        <w:tblLayout w:type="fixed"/>
        <w:tblCellMar>
          <w:top w:w="0" w:type="dxa"/>
          <w:left w:w="0" w:type="dxa"/>
          <w:bottom w:w="0" w:type="dxa"/>
          <w:right w:w="0" w:type="dxa"/>
        </w:tblCellMar>
        <w:tblLook w:val="01E0"/>
      </w:tblPr>
      <w:tblGrid>
        <w:gridCol w:w="4500"/>
        <w:gridCol w:w="1260"/>
        <w:gridCol w:w="900"/>
        <w:gridCol w:w="1260"/>
        <w:gridCol w:w="1198"/>
      </w:tblGrid>
      <w:tr>
        <w:trPr>
          <w:trHeight w:val="336" w:hRule="exact"/>
        </w:trPr>
        <w:tc>
          <w:tcPr>
            <w:tcW w:w="45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7" w:lineRule="exact"/>
              <w:ind w:left="1405"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7" w:lineRule="exact"/>
              <w:ind w:left="28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7" w:lineRule="exact"/>
              <w:ind w:left="235"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7" w:lineRule="exact"/>
              <w:ind w:left="28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7" w:lineRule="exact"/>
              <w:ind w:left="25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356"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right"/>
              <w:rPr>
                <w:rFonts w:ascii="Times New Roman" w:hAnsi="Times New Roman" w:cs="Times New Roman" w:eastAsia="Times New Roman" w:hint="default"/>
                <w:sz w:val="21"/>
                <w:szCs w:val="21"/>
              </w:rPr>
            </w:pPr>
            <w:r>
              <w:rPr>
                <w:rFonts w:ascii="Times New Roman"/>
                <w:spacing w:val="-1"/>
                <w:sz w:val="21"/>
              </w:rPr>
              <w:t>542.14</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right"/>
              <w:rPr>
                <w:rFonts w:ascii="宋体" w:hAnsi="宋体" w:cs="宋体" w:eastAsia="宋体" w:hint="default"/>
                <w:sz w:val="21"/>
                <w:szCs w:val="21"/>
              </w:rPr>
            </w:pPr>
            <w:r>
              <w:rPr>
                <w:rFonts w:ascii="宋体"/>
                <w:sz w:val="21"/>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right"/>
              <w:rPr>
                <w:rFonts w:ascii="宋体" w:hAnsi="宋体" w:cs="宋体" w:eastAsia="宋体" w:hint="default"/>
                <w:sz w:val="21"/>
                <w:szCs w:val="21"/>
              </w:rPr>
            </w:pPr>
            <w:r>
              <w:rPr>
                <w:rFonts w:ascii="宋体"/>
                <w:sz w:val="21"/>
              </w:rPr>
              <w:t>-</w:t>
            </w:r>
          </w:p>
        </w:tc>
      </w:tr>
      <w:tr>
        <w:trPr>
          <w:trHeight w:val="316" w:hRule="exact"/>
        </w:trPr>
        <w:tc>
          <w:tcPr>
            <w:tcW w:w="450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2"/>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计入当期损益的政府补助，但与公司正常经营业</w:t>
            </w:r>
          </w:p>
        </w:tc>
        <w:tc>
          <w:tcPr>
            <w:tcW w:w="1260" w:type="dxa"/>
            <w:tcBorders>
              <w:top w:val="single" w:sz="4" w:space="0" w:color="000000"/>
              <w:left w:val="single" w:sz="4" w:space="0" w:color="000000"/>
              <w:bottom w:val="nil" w:sz="6" w:space="0" w:color="auto"/>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r>
      <w:tr>
        <w:trPr>
          <w:trHeight w:val="318" w:hRule="exact"/>
        </w:trPr>
        <w:tc>
          <w:tcPr>
            <w:tcW w:w="450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
              <w:jc w:val="left"/>
              <w:rPr>
                <w:rFonts w:ascii="宋体" w:hAnsi="宋体" w:cs="宋体" w:eastAsia="宋体" w:hint="default"/>
                <w:sz w:val="21"/>
                <w:szCs w:val="21"/>
              </w:rPr>
            </w:pPr>
            <w:r>
              <w:rPr>
                <w:rFonts w:ascii="宋体" w:hAnsi="宋体" w:cs="宋体" w:eastAsia="宋体" w:hint="default"/>
                <w:spacing w:val="3"/>
                <w:sz w:val="21"/>
                <w:szCs w:val="21"/>
              </w:rPr>
              <w:t>务密切相关，符合国家政策规定、按照一定标准</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2"/>
              <w:jc w:val="right"/>
              <w:rPr>
                <w:rFonts w:ascii="Times New Roman" w:hAnsi="Times New Roman" w:cs="Times New Roman" w:eastAsia="Times New Roman" w:hint="default"/>
                <w:sz w:val="21"/>
                <w:szCs w:val="21"/>
              </w:rPr>
            </w:pPr>
            <w:r>
              <w:rPr>
                <w:rFonts w:ascii="Times New Roman"/>
                <w:spacing w:val="-1"/>
                <w:sz w:val="21"/>
              </w:rPr>
              <w:t>2,350,845.00</w:t>
            </w:r>
          </w:p>
        </w:tc>
        <w:tc>
          <w:tcPr>
            <w:tcW w:w="900"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2"/>
              <w:jc w:val="right"/>
              <w:rPr>
                <w:rFonts w:ascii="Times New Roman" w:hAnsi="Times New Roman" w:cs="Times New Roman" w:eastAsia="Times New Roman" w:hint="default"/>
                <w:sz w:val="21"/>
                <w:szCs w:val="21"/>
              </w:rPr>
            </w:pPr>
            <w:r>
              <w:rPr>
                <w:rFonts w:ascii="Times New Roman"/>
                <w:spacing w:val="-1"/>
                <w:sz w:val="21"/>
              </w:rPr>
              <w:t>3,800,600.00</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pacing w:val="-1"/>
                <w:sz w:val="21"/>
              </w:rPr>
              <w:t>1,787,700.00</w:t>
            </w:r>
          </w:p>
        </w:tc>
      </w:tr>
      <w:tr>
        <w:trPr>
          <w:trHeight w:val="313" w:hRule="exact"/>
        </w:trPr>
        <w:tc>
          <w:tcPr>
            <w:tcW w:w="4500"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定额或定量持续享受的政府补助除外</w:t>
            </w:r>
          </w:p>
        </w:tc>
        <w:tc>
          <w:tcPr>
            <w:tcW w:w="1260" w:type="dxa"/>
            <w:tcBorders>
              <w:top w:val="nil" w:sz="6" w:space="0" w:color="auto"/>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r>
      <w:tr>
        <w:trPr>
          <w:trHeight w:val="349"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1"/>
                <w:szCs w:val="21"/>
              </w:rPr>
            </w:pPr>
            <w:r>
              <w:rPr>
                <w:rFonts w:ascii="Times New Roman"/>
                <w:spacing w:val="-1"/>
                <w:sz w:val="21"/>
              </w:rPr>
              <w:t>-20,000.00</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1"/>
                <w:szCs w:val="21"/>
              </w:rPr>
            </w:pPr>
            <w:r>
              <w:rPr>
                <w:rFonts w:ascii="Times New Roman"/>
                <w:spacing w:val="-1"/>
                <w:sz w:val="21"/>
              </w:rPr>
              <w:t>3,923.15</w:t>
            </w:r>
            <w:r>
              <w:rPr>
                <w:rFonts w:ascii="Times New Roman"/>
                <w:sz w:val="21"/>
              </w:rPr>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1"/>
                <w:szCs w:val="21"/>
              </w:rPr>
            </w:pPr>
            <w:r>
              <w:rPr>
                <w:rFonts w:ascii="Times New Roman"/>
                <w:spacing w:val="-1"/>
                <w:sz w:val="21"/>
              </w:rPr>
              <w:t>-349,670.57</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1"/>
                <w:szCs w:val="21"/>
              </w:rPr>
            </w:pPr>
            <w:r>
              <w:rPr>
                <w:rFonts w:ascii="Times New Roman"/>
                <w:spacing w:val="-1"/>
                <w:sz w:val="21"/>
              </w:rPr>
              <w:t>-380,422.32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1"/>
                <w:szCs w:val="21"/>
              </w:rPr>
            </w:pPr>
            <w:r>
              <w:rPr>
                <w:rFonts w:ascii="Times New Roman"/>
                <w:spacing w:val="-1"/>
                <w:sz w:val="21"/>
              </w:rPr>
              <w:t>-178,770.00</w:t>
            </w:r>
          </w:p>
        </w:tc>
      </w:tr>
      <w:tr>
        <w:trPr>
          <w:trHeight w:val="425" w:hRule="exact"/>
        </w:trPr>
        <w:tc>
          <w:tcPr>
            <w:tcW w:w="45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
              <w:jc w:val="right"/>
              <w:rPr>
                <w:rFonts w:ascii="Times New Roman" w:hAnsi="Times New Roman" w:cs="Times New Roman" w:eastAsia="Times New Roman" w:hint="default"/>
                <w:sz w:val="21"/>
                <w:szCs w:val="21"/>
              </w:rPr>
            </w:pPr>
            <w:r>
              <w:rPr>
                <w:rFonts w:ascii="Times New Roman"/>
                <w:spacing w:val="-1"/>
                <w:sz w:val="21"/>
              </w:rPr>
              <w:t>1,981,716.57</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
              <w:jc w:val="right"/>
              <w:rPr>
                <w:rFonts w:ascii="Times New Roman" w:hAnsi="Times New Roman" w:cs="Times New Roman" w:eastAsia="Times New Roman" w:hint="default"/>
                <w:sz w:val="21"/>
                <w:szCs w:val="21"/>
              </w:rPr>
            </w:pPr>
            <w:r>
              <w:rPr>
                <w:rFonts w:ascii="Times New Roman"/>
                <w:spacing w:val="-1"/>
                <w:sz w:val="21"/>
              </w:rPr>
              <w:t>3,424,100.83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Times New Roman" w:hAnsi="Times New Roman" w:cs="Times New Roman" w:eastAsia="Times New Roman" w:hint="default"/>
                <w:sz w:val="21"/>
                <w:szCs w:val="21"/>
              </w:rPr>
            </w:pPr>
            <w:r>
              <w:rPr>
                <w:rFonts w:ascii="Times New Roman"/>
                <w:spacing w:val="-1"/>
                <w:sz w:val="21"/>
              </w:rPr>
              <w:t>1,608,930.00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32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1"/>
        <w:spacing w:line="240" w:lineRule="auto"/>
        <w:ind w:right="14"/>
        <w:jc w:val="center"/>
      </w:pPr>
      <w:bookmarkStart w:name="_TOC_250007" w:id="3"/>
      <w:r>
        <w:rPr/>
        <w:t>第三节</w:t>
      </w:r>
      <w:r>
        <w:rPr>
          <w:spacing w:val="-4"/>
        </w:rPr>
        <w:t> </w:t>
      </w:r>
      <w:bookmarkEnd w:id="3"/>
      <w:r>
        <w:rPr/>
        <w:t>董事会报告</w:t>
      </w:r>
    </w:p>
    <w:p>
      <w:pPr>
        <w:spacing w:line="240" w:lineRule="auto" w:before="9"/>
        <w:rPr>
          <w:rFonts w:ascii="黑体" w:hAnsi="黑体" w:cs="黑体" w:eastAsia="黑体" w:hint="default"/>
          <w:sz w:val="33"/>
          <w:szCs w:val="33"/>
        </w:rPr>
      </w:pPr>
    </w:p>
    <w:p>
      <w:pPr>
        <w:pStyle w:val="Heading5"/>
        <w:spacing w:line="240" w:lineRule="auto"/>
        <w:ind w:right="0"/>
        <w:jc w:val="left"/>
        <w:rPr>
          <w:b w:val="0"/>
          <w:bCs w:val="0"/>
        </w:rPr>
      </w:pPr>
      <w:r>
        <w:rPr/>
        <w:t>一、</w:t>
      </w:r>
      <w:r>
        <w:rPr>
          <w:spacing w:val="-39"/>
        </w:rPr>
        <w:t> </w:t>
      </w:r>
      <w:r>
        <w:rPr/>
        <w:t>报告期内公司经营情况回顾</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0"/>
        <w:jc w:val="left"/>
      </w:pPr>
      <w:r>
        <w:rPr/>
        <w:t>（一）</w:t>
      </w:r>
      <w:r>
        <w:rPr>
          <w:spacing w:val="-88"/>
        </w:rPr>
        <w:t> </w:t>
      </w:r>
      <w:r>
        <w:rPr/>
        <w:t>报告期内总体经营情况</w:t>
      </w:r>
    </w:p>
    <w:p>
      <w:pPr>
        <w:pStyle w:val="BodyText"/>
        <w:spacing w:line="367" w:lineRule="auto" w:before="167"/>
        <w:ind w:right="152" w:firstLine="459"/>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7"/>
        </w:rPr>
        <w:t> </w:t>
      </w:r>
      <w:r>
        <w:rPr/>
        <w:t>年，公司坚持既定发展战略，按照年度经营计划，着力于技术创新和新产</w:t>
      </w:r>
      <w:r>
        <w:rPr>
          <w:w w:val="100"/>
        </w:rPr>
        <w:t> </w:t>
      </w:r>
      <w:r>
        <w:rPr/>
        <w:t>品开发，在行业竞争日趋激烈的市场环境下，积极进取确保和扩大市场份额，经过</w:t>
      </w:r>
      <w:r>
        <w:rPr>
          <w:spacing w:val="-87"/>
        </w:rPr>
        <w:t> </w:t>
      </w:r>
      <w:r>
        <w:rPr>
          <w:spacing w:val="-87"/>
        </w:rPr>
      </w:r>
      <w:r>
        <w:rPr/>
        <w:t>管理层和全体员工的共同努力，公司产品线和业务领域得到进一步拓宽，市场份额</w:t>
      </w:r>
      <w:r>
        <w:rPr>
          <w:spacing w:val="-87"/>
        </w:rPr>
        <w:t> </w:t>
      </w:r>
      <w:r>
        <w:rPr>
          <w:spacing w:val="-87"/>
        </w:rPr>
      </w:r>
      <w:r>
        <w:rPr/>
        <w:t>继续扩大，管理结构得到优化，为公司长远向好发展奠定了更坚实的基础。</w:t>
      </w:r>
    </w:p>
    <w:p>
      <w:pPr>
        <w:pStyle w:val="BodyText"/>
        <w:spacing w:line="352" w:lineRule="auto" w:before="45"/>
        <w:ind w:right="152" w:firstLine="459"/>
        <w:jc w:val="both"/>
      </w:pPr>
      <w:r>
        <w:rPr/>
        <w:t>报告期内，公司营业收入为</w:t>
      </w:r>
      <w:r>
        <w:rPr>
          <w:spacing w:val="-56"/>
        </w:rPr>
        <w:t> </w:t>
      </w:r>
      <w:r>
        <w:rPr>
          <w:rFonts w:ascii="Times New Roman" w:hAnsi="Times New Roman" w:cs="Times New Roman" w:eastAsia="Times New Roman" w:hint="default"/>
        </w:rPr>
        <w:t>96,394,485.33</w:t>
      </w:r>
      <w:r>
        <w:rPr>
          <w:rFonts w:ascii="Times New Roman" w:hAnsi="Times New Roman" w:cs="Times New Roman" w:eastAsia="Times New Roman" w:hint="default"/>
          <w:spacing w:val="1"/>
        </w:rPr>
        <w:t> </w:t>
      </w:r>
      <w:r>
        <w:rPr/>
        <w:t>元，较上年同期增长</w:t>
      </w:r>
      <w:r>
        <w:rPr>
          <w:spacing w:val="-55"/>
        </w:rPr>
        <w:t> </w:t>
      </w:r>
      <w:r>
        <w:rPr>
          <w:rFonts w:ascii="Times New Roman" w:hAnsi="Times New Roman" w:cs="Times New Roman" w:eastAsia="Times New Roman" w:hint="default"/>
        </w:rPr>
        <w:t>4.61%</w:t>
      </w:r>
      <w:r>
        <w:rPr/>
        <w:t>；实现营</w:t>
      </w:r>
      <w:r>
        <w:rPr>
          <w:w w:val="100"/>
        </w:rPr>
        <w:t> </w:t>
      </w:r>
      <w:r>
        <w:rPr/>
        <w:t>业利润</w:t>
      </w:r>
      <w:r>
        <w:rPr>
          <w:spacing w:val="-48"/>
        </w:rPr>
        <w:t> </w:t>
      </w:r>
      <w:r>
        <w:rPr>
          <w:rFonts w:ascii="Times New Roman" w:hAnsi="Times New Roman" w:cs="Times New Roman" w:eastAsia="Times New Roman" w:hint="default"/>
        </w:rPr>
        <w:t>16,735,078.60</w:t>
      </w:r>
      <w:r>
        <w:rPr>
          <w:rFonts w:ascii="Times New Roman" w:hAnsi="Times New Roman" w:cs="Times New Roman" w:eastAsia="Times New Roman" w:hint="default"/>
          <w:spacing w:val="11"/>
        </w:rPr>
        <w:t> </w:t>
      </w:r>
      <w:r>
        <w:rPr/>
        <w:t>元，较上年同期下降</w:t>
      </w:r>
      <w:r>
        <w:rPr>
          <w:spacing w:val="-48"/>
        </w:rPr>
        <w:t> </w:t>
      </w:r>
      <w:r>
        <w:rPr>
          <w:rFonts w:ascii="Times New Roman" w:hAnsi="Times New Roman" w:cs="Times New Roman" w:eastAsia="Times New Roman" w:hint="default"/>
        </w:rPr>
        <w:t>39.91%</w:t>
      </w:r>
      <w:r>
        <w:rPr/>
        <w:t>；净利润</w:t>
      </w:r>
      <w:r>
        <w:rPr>
          <w:spacing w:val="-46"/>
        </w:rPr>
        <w:t> </w:t>
      </w:r>
      <w:r>
        <w:rPr>
          <w:rFonts w:ascii="Times New Roman" w:hAnsi="Times New Roman" w:cs="Times New Roman" w:eastAsia="Times New Roman" w:hint="default"/>
        </w:rPr>
        <w:t>20,830,897.90</w:t>
      </w:r>
      <w:r>
        <w:rPr>
          <w:rFonts w:ascii="Times New Roman" w:hAnsi="Times New Roman" w:cs="Times New Roman" w:eastAsia="Times New Roman" w:hint="default"/>
          <w:spacing w:val="11"/>
        </w:rPr>
        <w:t> </w:t>
      </w:r>
      <w:r>
        <w:rPr/>
        <w:t>元，较上</w:t>
      </w:r>
      <w:r>
        <w:rPr>
          <w:spacing w:val="-2"/>
          <w:w w:val="100"/>
        </w:rPr>
        <w:t> </w:t>
      </w:r>
      <w:r>
        <w:rPr/>
        <w:t>年同期下降</w:t>
      </w:r>
      <w:r>
        <w:rPr>
          <w:spacing w:val="-58"/>
        </w:rPr>
        <w:t> </w:t>
      </w:r>
      <w:r>
        <w:rPr>
          <w:rFonts w:ascii="Times New Roman" w:hAnsi="Times New Roman" w:cs="Times New Roman" w:eastAsia="Times New Roman" w:hint="default"/>
        </w:rPr>
        <w:t>38.68%</w:t>
      </w:r>
      <w:r>
        <w:rPr/>
        <w:t>。</w:t>
      </w:r>
    </w:p>
    <w:p>
      <w:pPr>
        <w:pStyle w:val="BodyText"/>
        <w:spacing w:line="369" w:lineRule="auto" w:before="30"/>
        <w:ind w:right="152" w:firstLine="459"/>
        <w:jc w:val="both"/>
      </w:pPr>
      <w:r>
        <w:rPr/>
        <w:t>主营业务收入方面，公司传统软件产品和定制软件开发业务由于市场和产品周</w:t>
      </w:r>
      <w:r>
        <w:rPr>
          <w:w w:val="100"/>
        </w:rPr>
        <w:t> </w:t>
      </w:r>
      <w:r>
        <w:rPr/>
        <w:t>期的原因有所下滑，公司正致力于通过技术改进和升级换代提高传统优势产品的市</w:t>
      </w:r>
      <w:r>
        <w:rPr>
          <w:spacing w:val="-87"/>
        </w:rPr>
        <w:t> </w:t>
      </w:r>
      <w:r>
        <w:rPr>
          <w:spacing w:val="-87"/>
        </w:rPr>
      </w:r>
      <w:r>
        <w:rPr/>
        <w:t>场竞争力，继续扩大传统优势产品的业务收入；远程影像授权平台等金融专用设备</w:t>
      </w:r>
      <w:r>
        <w:rPr>
          <w:spacing w:val="-87"/>
        </w:rPr>
        <w:t> </w:t>
      </w:r>
      <w:r>
        <w:rPr>
          <w:spacing w:val="-87"/>
        </w:rPr>
      </w:r>
      <w:r>
        <w:rPr/>
        <w:t>在市场推广和重点客户开拓方面均取得了良好的成绩，销售收入与上年度同期相比</w:t>
      </w:r>
      <w:r>
        <w:rPr>
          <w:spacing w:val="-87"/>
        </w:rPr>
        <w:t> </w:t>
      </w:r>
      <w:r>
        <w:rPr>
          <w:spacing w:val="-87"/>
        </w:rPr>
      </w:r>
      <w:r>
        <w:rPr/>
        <w:t>实现了大幅的增长。在市场开拓方面，报告期内公司实现了产品在中国银行系统的</w:t>
      </w:r>
      <w:r>
        <w:rPr>
          <w:spacing w:val="-87"/>
        </w:rPr>
        <w:t> </w:t>
      </w:r>
      <w:r>
        <w:rPr>
          <w:spacing w:val="-87"/>
        </w:rPr>
      </w:r>
      <w:r>
        <w:rPr/>
        <w:t>应用，并新增了中国农业银行的</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家省级分行、浙商银行、广东华兴银行、东营市</w:t>
      </w:r>
      <w:r>
        <w:rPr>
          <w:w w:val="100"/>
        </w:rPr>
        <w:t> </w:t>
      </w:r>
      <w:r>
        <w:rPr/>
        <w:t>商业银行、贵州省农村信用社等一批银行客户。</w:t>
      </w:r>
    </w:p>
    <w:p>
      <w:pPr>
        <w:pStyle w:val="BodyText"/>
        <w:spacing w:line="372" w:lineRule="auto" w:before="43"/>
        <w:ind w:right="152" w:firstLine="459"/>
        <w:jc w:val="both"/>
      </w:pPr>
      <w:r>
        <w:rPr/>
        <w:t>营业利润及净利润下降的主要原因是：报告期内，随着公司围绕银行业的支付</w:t>
      </w:r>
      <w:r>
        <w:rPr>
          <w:w w:val="100"/>
        </w:rPr>
        <w:t> </w:t>
      </w:r>
      <w:r>
        <w:rPr/>
        <w:t>结算、风险防控和业务流程再造领域的产品线进一步拓宽，公司面临的行业竞争也</w:t>
      </w:r>
      <w:r>
        <w:rPr>
          <w:spacing w:val="-87"/>
        </w:rPr>
        <w:t> </w:t>
      </w:r>
      <w:r>
        <w:rPr>
          <w:spacing w:val="-87"/>
        </w:rPr>
      </w:r>
      <w:r>
        <w:rPr/>
        <w:t>日趋激烈，公司以确保和扩大市场份额为主要目标，产品销售价格出现一定下降，</w:t>
      </w:r>
      <w:r>
        <w:rPr>
          <w:spacing w:val="-87"/>
        </w:rPr>
        <w:t> </w:t>
      </w:r>
      <w:r>
        <w:rPr>
          <w:spacing w:val="-87"/>
        </w:rPr>
      </w:r>
      <w:r>
        <w:rPr/>
        <w:t>对综合毛利率产生影响。同时，报告期内公司处于新产品研发和市场推广时期，多</w:t>
      </w:r>
      <w:r>
        <w:rPr>
          <w:spacing w:val="-87"/>
        </w:rPr>
        <w:t> </w:t>
      </w:r>
      <w:r>
        <w:rPr>
          <w:spacing w:val="-87"/>
        </w:rPr>
      </w:r>
      <w:r>
        <w:rPr>
          <w:spacing w:val="-3"/>
        </w:rPr>
        <w:t>项新产品研发计划在报告期内正常进行，预计将在</w:t>
      </w:r>
      <w:r>
        <w:rPr>
          <w:spacing w:val="-44"/>
        </w:rPr>
        <w:t> </w:t>
      </w:r>
      <w:r>
        <w:rPr/>
        <w:t>2012</w:t>
      </w:r>
      <w:r>
        <w:rPr>
          <w:spacing w:val="-45"/>
        </w:rPr>
        <w:t> </w:t>
      </w:r>
      <w:r>
        <w:rPr>
          <w:spacing w:val="-5"/>
        </w:rPr>
        <w:t>年度陆续产生销售收入，由</w:t>
      </w:r>
      <w:r>
        <w:rPr>
          <w:spacing w:val="-110"/>
        </w:rPr>
        <w:t> </w:t>
      </w:r>
      <w:r>
        <w:rPr>
          <w:spacing w:val="-110"/>
        </w:rPr>
      </w:r>
      <w:r>
        <w:rPr/>
        <w:t>于新产品研发的人员和相关投入增加，以及市场推广力度加大，报告期内销售费用</w:t>
      </w:r>
      <w:r>
        <w:rPr>
          <w:spacing w:val="-87"/>
        </w:rPr>
        <w:t> </w:t>
      </w:r>
      <w:r>
        <w:rPr>
          <w:spacing w:val="-87"/>
        </w:rPr>
      </w:r>
      <w:r>
        <w:rPr/>
        <w:t>和管理费用较上年度有较大幅度的增加。</w:t>
      </w:r>
    </w:p>
    <w:p>
      <w:pPr>
        <w:pStyle w:val="BodyText"/>
        <w:spacing w:line="372" w:lineRule="auto" w:before="40"/>
        <w:ind w:right="152" w:firstLine="459"/>
        <w:jc w:val="both"/>
      </w:pPr>
      <w:r>
        <w:rPr/>
        <w:t>报告期内，公司主营业务继续专注于金融信息化行业，致力于为银行等金融行</w:t>
      </w:r>
      <w:r>
        <w:rPr>
          <w:w w:val="100"/>
        </w:rPr>
        <w:t> </w:t>
      </w:r>
      <w:r>
        <w:rPr/>
        <w:t>业客户提供与支付结算、风险防控、业务流程再造、自助服务等业务相关的软件产</w:t>
      </w:r>
      <w:r>
        <w:rPr>
          <w:spacing w:val="-87"/>
        </w:rPr>
        <w:t> </w:t>
      </w:r>
      <w:r>
        <w:rPr>
          <w:spacing w:val="-87"/>
        </w:rPr>
      </w:r>
      <w:r>
        <w:rPr/>
        <w:t>品、软件开发、金融专用设备、技术服务并提供相应的系统集成。按照公司战略发</w:t>
      </w:r>
    </w:p>
    <w:p>
      <w:pPr>
        <w:spacing w:after="0" w:line="372" w:lineRule="auto"/>
        <w:jc w:val="both"/>
        <w:sectPr>
          <w:pgSz w:w="11910" w:h="16840"/>
          <w:pgMar w:header="877" w:footer="982" w:top="1100" w:bottom="1180" w:left="1660" w:right="1640"/>
        </w:sectPr>
      </w:pPr>
    </w:p>
    <w:p>
      <w:pPr>
        <w:spacing w:line="240" w:lineRule="auto" w:before="12"/>
        <w:rPr>
          <w:rFonts w:ascii="宋体" w:hAnsi="宋体" w:cs="宋体" w:eastAsia="宋体" w:hint="default"/>
          <w:sz w:val="25"/>
          <w:szCs w:val="25"/>
        </w:rPr>
      </w:pPr>
    </w:p>
    <w:p>
      <w:pPr>
        <w:pStyle w:val="BodyText"/>
        <w:spacing w:line="372" w:lineRule="auto" w:before="29"/>
        <w:ind w:right="115"/>
        <w:jc w:val="left"/>
      </w:pPr>
      <w:r>
        <w:rPr>
          <w:spacing w:val="-3"/>
        </w:rPr>
        <w:t>展规划和公司本年度经营计划，报告期内公司在推进传统优势产品如电脑验印系统、</w:t>
      </w:r>
      <w:r>
        <w:rPr>
          <w:spacing w:val="-98"/>
        </w:rPr>
        <w:t> </w:t>
      </w:r>
      <w:r>
        <w:rPr>
          <w:spacing w:val="-98"/>
        </w:rPr>
      </w:r>
      <w:r>
        <w:rPr/>
        <w:t>票据影像处理软件、银企对账系统、远程影像授权系统等的销售工作的同时，重点</w:t>
      </w:r>
      <w:r>
        <w:rPr>
          <w:spacing w:val="-87"/>
        </w:rPr>
        <w:t> </w:t>
      </w:r>
      <w:r>
        <w:rPr>
          <w:spacing w:val="-87"/>
        </w:rPr>
      </w:r>
      <w:r>
        <w:rPr/>
        <w:t>加强了新产品的开发，努力拓宽产品线，开拓新的金融信息化业务领域。目前公司</w:t>
      </w:r>
      <w:r>
        <w:rPr>
          <w:spacing w:val="-87"/>
        </w:rPr>
        <w:t> </w:t>
      </w:r>
      <w:r>
        <w:rPr>
          <w:spacing w:val="-87"/>
        </w:rPr>
      </w:r>
      <w:r>
        <w:rPr/>
        <w:t>新产品开发计划、市场推广计划等重要经营计划进展顺利，多功能影像采集平台、</w:t>
      </w:r>
      <w:r>
        <w:rPr>
          <w:spacing w:val="-87"/>
        </w:rPr>
        <w:t> </w:t>
      </w:r>
      <w:r>
        <w:rPr>
          <w:spacing w:val="-87"/>
        </w:rPr>
      </w:r>
      <w:r>
        <w:rPr/>
        <w:t>印章智能管理系统、自助回单打印系统等一批新产品相继开发完成，将为公司业务</w:t>
      </w:r>
      <w:r>
        <w:rPr>
          <w:spacing w:val="-87"/>
        </w:rPr>
        <w:t> </w:t>
      </w:r>
      <w:r>
        <w:rPr>
          <w:spacing w:val="-87"/>
        </w:rPr>
      </w:r>
      <w:r>
        <w:rPr/>
        <w:t>提供新的业绩增长点。</w:t>
      </w:r>
    </w:p>
    <w:p>
      <w:pPr>
        <w:pStyle w:val="BodyText"/>
        <w:spacing w:line="372" w:lineRule="auto" w:before="40"/>
        <w:ind w:right="232" w:firstLine="459"/>
        <w:jc w:val="both"/>
      </w:pPr>
      <w:r>
        <w:rPr/>
        <w:t>随着国内银行业在提高信息化经营管理水平，特别是在业务流程再造领域的高</w:t>
      </w:r>
      <w:r>
        <w:rPr>
          <w:w w:val="100"/>
        </w:rPr>
        <w:t> </w:t>
      </w:r>
      <w:r>
        <w:rPr/>
        <w:t>度关注与投入，基于影像技术的银行应用软件产品、金融专用设备以及相关服务的</w:t>
      </w:r>
      <w:r>
        <w:rPr>
          <w:spacing w:val="-87"/>
        </w:rPr>
        <w:t> </w:t>
      </w:r>
      <w:r>
        <w:rPr>
          <w:spacing w:val="-87"/>
        </w:rPr>
      </w:r>
      <w:r>
        <w:rPr/>
        <w:t>市场前景和需求总量在未来几年内将保持较快发展。在市场环境提供了良好机遇的</w:t>
      </w:r>
      <w:r>
        <w:rPr>
          <w:spacing w:val="-87"/>
        </w:rPr>
        <w:t> </w:t>
      </w:r>
      <w:r>
        <w:rPr>
          <w:spacing w:val="-87"/>
        </w:rPr>
      </w:r>
      <w:r>
        <w:rPr/>
        <w:t>同时，公司认为在该行业领域的业务发展也存在银行用户业务需求复杂多变、产品</w:t>
      </w:r>
      <w:r>
        <w:rPr>
          <w:spacing w:val="-87"/>
        </w:rPr>
        <w:t> </w:t>
      </w:r>
      <w:r>
        <w:rPr>
          <w:spacing w:val="-87"/>
        </w:rPr>
      </w:r>
      <w:r>
        <w:rPr/>
        <w:t>技术方案需不断改进和完善、以及市场竞争加剧等挑战和风险。</w:t>
      </w:r>
    </w:p>
    <w:p>
      <w:pPr>
        <w:pStyle w:val="BodyText"/>
        <w:spacing w:line="372" w:lineRule="auto" w:before="40"/>
        <w:ind w:right="232" w:firstLine="459"/>
        <w:jc w:val="both"/>
      </w:pPr>
      <w:r>
        <w:rPr/>
        <w:t>针对企业经营面临的挑战和风险，公司将坚持自主创新，研发具有领先性的技</w:t>
      </w:r>
      <w:r>
        <w:rPr>
          <w:w w:val="100"/>
        </w:rPr>
        <w:t> </w:t>
      </w:r>
      <w:r>
        <w:rPr/>
        <w:t>术、产品解决方案，同时通过进一步加强项目管理体系、绩效管理体系等方面的建</w:t>
      </w:r>
      <w:r>
        <w:rPr>
          <w:spacing w:val="-87"/>
        </w:rPr>
        <w:t> </w:t>
      </w:r>
      <w:r>
        <w:rPr>
          <w:spacing w:val="-87"/>
        </w:rPr>
      </w:r>
      <w:r>
        <w:rPr/>
        <w:t>设，提升公司内部组织效率，继续沿着充分发挥现有产品潜力、大力开发新产品、</w:t>
      </w:r>
      <w:r>
        <w:rPr>
          <w:spacing w:val="-87"/>
        </w:rPr>
        <w:t> </w:t>
      </w:r>
      <w:r>
        <w:rPr>
          <w:spacing w:val="-87"/>
        </w:rPr>
      </w:r>
      <w:r>
        <w:rPr/>
        <w:t>努力开拓新业务领域的既定经营战略，努力成为推动行业发展的开拓者和领导者，</w:t>
      </w:r>
      <w:r>
        <w:rPr>
          <w:spacing w:val="-87"/>
        </w:rPr>
        <w:t> </w:t>
      </w:r>
      <w:r>
        <w:rPr>
          <w:spacing w:val="-87"/>
        </w:rPr>
      </w:r>
      <w:r>
        <w:rPr/>
        <w:t>实现公司整体业务规模和产业升级，从而提升公司核心竞争能力，提高公司效益，</w:t>
      </w:r>
      <w:r>
        <w:rPr>
          <w:spacing w:val="-87"/>
        </w:rPr>
        <w:t> </w:t>
      </w:r>
      <w:r>
        <w:rPr>
          <w:spacing w:val="-87"/>
        </w:rPr>
      </w:r>
      <w:r>
        <w:rPr/>
        <w:t>为股东及利益相关者创造更大的价值。</w:t>
      </w:r>
    </w:p>
    <w:p>
      <w:pPr>
        <w:pStyle w:val="BodyText"/>
        <w:spacing w:line="372" w:lineRule="auto" w:before="196"/>
        <w:ind w:right="232" w:firstLine="459"/>
        <w:jc w:val="both"/>
      </w:pPr>
      <w:r>
        <w:rPr/>
        <w:t>上市以来，公司竞争优势、品牌影响力得到进一步提升。在此基础上，公司一</w:t>
      </w:r>
      <w:r>
        <w:rPr>
          <w:w w:val="100"/>
        </w:rPr>
        <w:t> </w:t>
      </w:r>
      <w:r>
        <w:rPr/>
        <w:t>方面积极完善各项规章制度，进一步规范公司治理结构，努力提升管理水平，稳步</w:t>
      </w:r>
      <w:r>
        <w:rPr>
          <w:spacing w:val="-87"/>
        </w:rPr>
        <w:t> </w:t>
      </w:r>
      <w:r>
        <w:rPr>
          <w:spacing w:val="-87"/>
        </w:rPr>
      </w:r>
      <w:r>
        <w:rPr/>
        <w:t>实施经营计划；另一方面积极规划更长远的战略目标，加大新产品开发力度，积极</w:t>
      </w:r>
      <w:r>
        <w:rPr>
          <w:spacing w:val="-87"/>
        </w:rPr>
        <w:t> </w:t>
      </w:r>
      <w:r>
        <w:rPr>
          <w:spacing w:val="-87"/>
        </w:rPr>
      </w:r>
      <w:r>
        <w:rPr/>
        <w:t>推进收购兼并和产业链整合的战略，加速吸纳高素质的技术、营销和管理人才，确</w:t>
      </w:r>
      <w:r>
        <w:rPr>
          <w:spacing w:val="-87"/>
        </w:rPr>
        <w:t> </w:t>
      </w:r>
      <w:r>
        <w:rPr>
          <w:spacing w:val="-87"/>
        </w:rPr>
      </w:r>
      <w:r>
        <w:rPr/>
        <w:t>保银之杰实现持续、健康、快速与和谐发展。</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8"/>
          <w:szCs w:val="28"/>
        </w:rPr>
      </w:pPr>
    </w:p>
    <w:p>
      <w:pPr>
        <w:pStyle w:val="BodyText"/>
        <w:spacing w:line="372" w:lineRule="auto"/>
        <w:ind w:left="597" w:right="115" w:hanging="460"/>
        <w:jc w:val="left"/>
      </w:pPr>
      <w:r>
        <w:rPr/>
        <w:t>（二）</w:t>
      </w:r>
      <w:r>
        <w:rPr>
          <w:spacing w:val="-87"/>
        </w:rPr>
        <w:t> </w:t>
      </w:r>
      <w:r>
        <w:rPr/>
        <w:t>主营业务及其经营状况</w:t>
      </w:r>
      <w:r>
        <w:rPr>
          <w:w w:val="100"/>
        </w:rPr>
        <w:t> </w:t>
      </w:r>
      <w:r>
        <w:rPr/>
        <w:t>公司主营业务：为银行等金融行业客户提供与支付结算、风险防控、业务流程</w:t>
      </w:r>
    </w:p>
    <w:p>
      <w:pPr>
        <w:pStyle w:val="BodyText"/>
        <w:spacing w:line="372" w:lineRule="auto" w:before="40"/>
        <w:ind w:right="115"/>
        <w:jc w:val="left"/>
      </w:pPr>
      <w:r>
        <w:rPr/>
        <w:t>再造、自助服务等业务相关的软件产品、软件开发、金融专用设备、技术服务并提</w:t>
      </w:r>
      <w:r>
        <w:rPr>
          <w:spacing w:val="-87"/>
        </w:rPr>
        <w:t> </w:t>
      </w:r>
      <w:r>
        <w:rPr>
          <w:spacing w:val="-87"/>
        </w:rPr>
      </w:r>
      <w:r>
        <w:rPr/>
        <w:t>供相应的系统集成。</w:t>
      </w:r>
    </w:p>
    <w:p>
      <w:pPr>
        <w:pStyle w:val="BodyText"/>
        <w:spacing w:line="240" w:lineRule="auto" w:before="196"/>
        <w:ind w:left="597" w:right="115"/>
        <w:jc w:val="left"/>
      </w:pPr>
      <w:r>
        <w:rPr>
          <w:rFonts w:ascii="Times New Roman" w:hAnsi="Times New Roman" w:cs="Times New Roman" w:eastAsia="Times New Roman" w:hint="default"/>
        </w:rPr>
        <w:t>1</w:t>
      </w:r>
      <w:r>
        <w:rPr/>
        <w:t>．主营业务分产品或服务情况表</w:t>
      </w:r>
    </w:p>
    <w:p>
      <w:pPr>
        <w:spacing w:after="0" w:line="240" w:lineRule="auto"/>
        <w:jc w:val="left"/>
        <w:sectPr>
          <w:pgSz w:w="11910" w:h="16840"/>
          <w:pgMar w:header="877" w:footer="982" w:top="1100" w:bottom="1180" w:left="1660" w:right="1560"/>
        </w:sectPr>
      </w:pPr>
    </w:p>
    <w:p>
      <w:pPr>
        <w:spacing w:line="240" w:lineRule="auto" w:before="12"/>
        <w:rPr>
          <w:rFonts w:ascii="宋体" w:hAnsi="宋体" w:cs="宋体" w:eastAsia="宋体" w:hint="default"/>
          <w:sz w:val="25"/>
          <w:szCs w:val="25"/>
        </w:rPr>
      </w:pPr>
    </w:p>
    <w:p>
      <w:pPr>
        <w:pStyle w:val="BodyText"/>
        <w:spacing w:line="240" w:lineRule="auto" w:before="29"/>
        <w:ind w:left="0" w:right="151"/>
        <w:jc w:val="right"/>
      </w:pPr>
      <w:r>
        <w:rPr>
          <w:spacing w:val="-1"/>
        </w:rPr>
        <w:t>单位：万元</w:t>
      </w:r>
    </w:p>
    <w:p>
      <w:pPr>
        <w:spacing w:line="240" w:lineRule="auto" w:before="1"/>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1440"/>
        <w:gridCol w:w="1080"/>
        <w:gridCol w:w="1080"/>
        <w:gridCol w:w="900"/>
        <w:gridCol w:w="1260"/>
        <w:gridCol w:w="1260"/>
        <w:gridCol w:w="1260"/>
      </w:tblGrid>
      <w:tr>
        <w:trPr>
          <w:trHeight w:val="946" w:hRule="exact"/>
        </w:trPr>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82" w:right="0"/>
              <w:jc w:val="left"/>
              <w:rPr>
                <w:rFonts w:ascii="宋体" w:hAnsi="宋体" w:cs="宋体" w:eastAsia="宋体" w:hint="default"/>
                <w:sz w:val="21"/>
                <w:szCs w:val="21"/>
              </w:rPr>
            </w:pPr>
            <w:r>
              <w:rPr>
                <w:rFonts w:ascii="宋体" w:hAnsi="宋体" w:cs="宋体" w:eastAsia="宋体" w:hint="default"/>
                <w:sz w:val="21"/>
                <w:szCs w:val="21"/>
              </w:rPr>
              <w:t>分产品或服务</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8"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3" w:lineRule="auto" w:before="37"/>
              <w:ind w:left="98" w:right="101"/>
              <w:jc w:val="center"/>
              <w:rPr>
                <w:rFonts w:ascii="宋体" w:hAnsi="宋体" w:cs="宋体" w:eastAsia="宋体" w:hint="default"/>
                <w:sz w:val="21"/>
                <w:szCs w:val="21"/>
              </w:rPr>
            </w:pPr>
            <w:r>
              <w:rPr>
                <w:rFonts w:ascii="宋体" w:hAnsi="宋体" w:cs="宋体" w:eastAsia="宋体" w:hint="default"/>
                <w:sz w:val="21"/>
                <w:szCs w:val="21"/>
              </w:rPr>
              <w:t>比上年同期 增减</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3" w:lineRule="auto" w:before="37"/>
              <w:ind w:left="98" w:right="101"/>
              <w:jc w:val="center"/>
              <w:rPr>
                <w:rFonts w:ascii="宋体" w:hAnsi="宋体" w:cs="宋体" w:eastAsia="宋体" w:hint="default"/>
                <w:sz w:val="21"/>
                <w:szCs w:val="21"/>
              </w:rPr>
            </w:pPr>
            <w:r>
              <w:rPr>
                <w:rFonts w:ascii="宋体" w:hAnsi="宋体" w:cs="宋体" w:eastAsia="宋体" w:hint="default"/>
                <w:sz w:val="21"/>
                <w:szCs w:val="21"/>
              </w:rPr>
              <w:t>比上年同期 增减</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41"/>
              <w:ind w:left="98" w:right="101"/>
              <w:jc w:val="left"/>
              <w:rPr>
                <w:rFonts w:ascii="宋体" w:hAnsi="宋体" w:cs="宋体" w:eastAsia="宋体" w:hint="default"/>
                <w:sz w:val="21"/>
                <w:szCs w:val="21"/>
              </w:rPr>
            </w:pPr>
            <w:r>
              <w:rPr>
                <w:rFonts w:ascii="宋体" w:hAnsi="宋体" w:cs="宋体" w:eastAsia="宋体" w:hint="default"/>
                <w:sz w:val="21"/>
                <w:szCs w:val="21"/>
              </w:rPr>
              <w:t>毛利率比上 年同期增减</w:t>
            </w:r>
          </w:p>
        </w:tc>
      </w:tr>
      <w:tr>
        <w:trPr>
          <w:trHeight w:val="38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21"/>
                <w:szCs w:val="21"/>
              </w:rPr>
            </w:pPr>
            <w:r>
              <w:rPr>
                <w:rFonts w:ascii="宋体" w:hAnsi="宋体" w:cs="宋体" w:eastAsia="宋体" w:hint="default"/>
                <w:sz w:val="21"/>
                <w:szCs w:val="21"/>
              </w:rPr>
              <w:t>软件产品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Times New Roman" w:hAnsi="Times New Roman" w:cs="Times New Roman" w:eastAsia="Times New Roman" w:hint="default"/>
                <w:sz w:val="21"/>
                <w:szCs w:val="21"/>
              </w:rPr>
            </w:pPr>
            <w:r>
              <w:rPr>
                <w:rFonts w:ascii="Times New Roman"/>
                <w:spacing w:val="-1"/>
                <w:sz w:val="21"/>
              </w:rPr>
              <w:t>4,232.30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Times New Roman" w:hAnsi="Times New Roman" w:cs="Times New Roman" w:eastAsia="Times New Roman" w:hint="default"/>
                <w:sz w:val="21"/>
                <w:szCs w:val="21"/>
              </w:rPr>
            </w:pPr>
            <w:r>
              <w:rPr>
                <w:rFonts w:ascii="Times New Roman"/>
                <w:spacing w:val="-1"/>
                <w:sz w:val="21"/>
              </w:rPr>
              <w:t>1,104.03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2"/>
              <w:jc w:val="right"/>
              <w:rPr>
                <w:rFonts w:ascii="Times New Roman" w:hAnsi="Times New Roman" w:cs="Times New Roman" w:eastAsia="Times New Roman" w:hint="default"/>
                <w:sz w:val="21"/>
                <w:szCs w:val="21"/>
              </w:rPr>
            </w:pPr>
            <w:r>
              <w:rPr>
                <w:rFonts w:ascii="Times New Roman"/>
                <w:spacing w:val="-1"/>
                <w:sz w:val="21"/>
              </w:rPr>
              <w:t>73.91%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Times New Roman" w:hAnsi="Times New Roman" w:cs="Times New Roman" w:eastAsia="Times New Roman" w:hint="default"/>
                <w:sz w:val="21"/>
                <w:szCs w:val="21"/>
              </w:rPr>
            </w:pPr>
            <w:r>
              <w:rPr>
                <w:rFonts w:ascii="Times New Roman"/>
                <w:spacing w:val="-1"/>
                <w:sz w:val="21"/>
              </w:rPr>
              <w:t>-18.99%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4"/>
              <w:jc w:val="right"/>
              <w:rPr>
                <w:rFonts w:ascii="Times New Roman" w:hAnsi="Times New Roman" w:cs="Times New Roman" w:eastAsia="Times New Roman" w:hint="default"/>
                <w:sz w:val="21"/>
                <w:szCs w:val="21"/>
              </w:rPr>
            </w:pPr>
            <w:r>
              <w:rPr>
                <w:rFonts w:ascii="Times New Roman"/>
                <w:spacing w:val="-1"/>
                <w:sz w:val="21"/>
              </w:rPr>
              <w:t>-1.09%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宋体" w:hAnsi="宋体" w:cs="宋体" w:eastAsia="宋体" w:hint="default"/>
                <w:sz w:val="21"/>
                <w:szCs w:val="21"/>
              </w:rPr>
            </w:pPr>
            <w:r>
              <w:rPr>
                <w:rFonts w:ascii="Times New Roman" w:hAnsi="Times New Roman" w:cs="Times New Roman" w:eastAsia="Times New Roman" w:hint="default"/>
                <w:sz w:val="21"/>
                <w:szCs w:val="21"/>
              </w:rPr>
              <w:t>-4.72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百分点</w:t>
            </w:r>
          </w:p>
        </w:tc>
      </w:tr>
      <w:tr>
        <w:trPr>
          <w:trHeight w:val="38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21"/>
                <w:szCs w:val="21"/>
              </w:rPr>
            </w:pPr>
            <w:r>
              <w:rPr>
                <w:rFonts w:ascii="宋体" w:hAnsi="宋体" w:cs="宋体" w:eastAsia="宋体" w:hint="default"/>
                <w:sz w:val="21"/>
                <w:szCs w:val="21"/>
              </w:rPr>
              <w:t>定制软件开发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Times New Roman" w:hAnsi="Times New Roman" w:cs="Times New Roman" w:eastAsia="Times New Roman" w:hint="default"/>
                <w:sz w:val="21"/>
                <w:szCs w:val="21"/>
              </w:rPr>
            </w:pPr>
            <w:r>
              <w:rPr>
                <w:rFonts w:ascii="Times New Roman"/>
                <w:spacing w:val="-1"/>
                <w:sz w:val="21"/>
              </w:rPr>
              <w:t>1,262.00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Times New Roman" w:hAnsi="Times New Roman" w:cs="Times New Roman" w:eastAsia="Times New Roman" w:hint="default"/>
                <w:sz w:val="21"/>
                <w:szCs w:val="21"/>
              </w:rPr>
            </w:pPr>
            <w:r>
              <w:rPr>
                <w:rFonts w:ascii="Times New Roman"/>
                <w:spacing w:val="-1"/>
                <w:sz w:val="21"/>
              </w:rPr>
              <w:t>332.71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2"/>
              <w:jc w:val="right"/>
              <w:rPr>
                <w:rFonts w:ascii="Times New Roman" w:hAnsi="Times New Roman" w:cs="Times New Roman" w:eastAsia="Times New Roman" w:hint="default"/>
                <w:sz w:val="21"/>
                <w:szCs w:val="21"/>
              </w:rPr>
            </w:pPr>
            <w:r>
              <w:rPr>
                <w:rFonts w:ascii="Times New Roman"/>
                <w:spacing w:val="-1"/>
                <w:sz w:val="21"/>
              </w:rPr>
              <w:t>73.64%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Times New Roman" w:hAnsi="Times New Roman" w:cs="Times New Roman" w:eastAsia="Times New Roman" w:hint="default"/>
                <w:sz w:val="21"/>
                <w:szCs w:val="21"/>
              </w:rPr>
            </w:pPr>
            <w:r>
              <w:rPr>
                <w:rFonts w:ascii="Times New Roman"/>
                <w:spacing w:val="-1"/>
                <w:sz w:val="21"/>
              </w:rPr>
              <w:t>-20.29%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Times New Roman" w:hAnsi="Times New Roman" w:cs="Times New Roman" w:eastAsia="Times New Roman" w:hint="default"/>
                <w:sz w:val="21"/>
                <w:szCs w:val="21"/>
              </w:rPr>
            </w:pPr>
            <w:r>
              <w:rPr>
                <w:rFonts w:ascii="Times New Roman"/>
                <w:spacing w:val="-1"/>
                <w:sz w:val="21"/>
              </w:rPr>
              <w:t>-25.06%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宋体" w:hAnsi="宋体" w:cs="宋体" w:eastAsia="宋体" w:hint="default"/>
                <w:sz w:val="21"/>
                <w:szCs w:val="21"/>
              </w:rPr>
            </w:pPr>
            <w:r>
              <w:rPr>
                <w:rFonts w:ascii="Times New Roman" w:hAnsi="Times New Roman" w:cs="Times New Roman" w:eastAsia="Times New Roman" w:hint="default"/>
                <w:sz w:val="21"/>
                <w:szCs w:val="21"/>
              </w:rPr>
              <w:t>1.68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百分点</w:t>
            </w:r>
          </w:p>
        </w:tc>
      </w:tr>
      <w:tr>
        <w:trPr>
          <w:trHeight w:val="38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21"/>
                <w:szCs w:val="21"/>
              </w:rPr>
            </w:pPr>
            <w:r>
              <w:rPr>
                <w:rFonts w:ascii="宋体" w:hAnsi="宋体" w:cs="宋体" w:eastAsia="宋体" w:hint="default"/>
                <w:sz w:val="21"/>
                <w:szCs w:val="21"/>
              </w:rPr>
              <w:t>金融专用设备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4"/>
              <w:jc w:val="right"/>
              <w:rPr>
                <w:rFonts w:ascii="Times New Roman" w:hAnsi="Times New Roman" w:cs="Times New Roman" w:eastAsia="Times New Roman" w:hint="default"/>
                <w:sz w:val="21"/>
                <w:szCs w:val="21"/>
              </w:rPr>
            </w:pPr>
            <w:r>
              <w:rPr>
                <w:rFonts w:ascii="Times New Roman"/>
                <w:spacing w:val="-1"/>
                <w:sz w:val="21"/>
              </w:rPr>
              <w:t>2,678.84</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4"/>
              <w:jc w:val="right"/>
              <w:rPr>
                <w:rFonts w:ascii="Times New Roman" w:hAnsi="Times New Roman" w:cs="Times New Roman" w:eastAsia="Times New Roman" w:hint="default"/>
                <w:sz w:val="21"/>
                <w:szCs w:val="21"/>
              </w:rPr>
            </w:pPr>
            <w:r>
              <w:rPr>
                <w:rFonts w:ascii="Times New Roman"/>
                <w:spacing w:val="-1"/>
                <w:sz w:val="21"/>
              </w:rPr>
              <w:t>1,948.67</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2"/>
              <w:jc w:val="right"/>
              <w:rPr>
                <w:rFonts w:ascii="Times New Roman" w:hAnsi="Times New Roman" w:cs="Times New Roman" w:eastAsia="Times New Roman" w:hint="default"/>
                <w:sz w:val="21"/>
                <w:szCs w:val="21"/>
              </w:rPr>
            </w:pPr>
            <w:r>
              <w:rPr>
                <w:rFonts w:ascii="Times New Roman"/>
                <w:spacing w:val="-1"/>
                <w:sz w:val="21"/>
              </w:rPr>
              <w:t>27.26%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Times New Roman" w:hAnsi="Times New Roman" w:cs="Times New Roman" w:eastAsia="Times New Roman" w:hint="default"/>
                <w:sz w:val="21"/>
                <w:szCs w:val="21"/>
              </w:rPr>
            </w:pPr>
            <w:r>
              <w:rPr>
                <w:rFonts w:ascii="Times New Roman"/>
                <w:sz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Times New Roman" w:hAnsi="Times New Roman" w:cs="Times New Roman" w:eastAsia="Times New Roman" w:hint="default"/>
                <w:sz w:val="21"/>
                <w:szCs w:val="21"/>
              </w:rPr>
            </w:pPr>
            <w:r>
              <w:rPr>
                <w:rFonts w:ascii="Times New Roman"/>
                <w:sz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Times New Roman" w:hAnsi="Times New Roman" w:cs="Times New Roman" w:eastAsia="Times New Roman" w:hint="default"/>
                <w:sz w:val="21"/>
                <w:szCs w:val="21"/>
              </w:rPr>
            </w:pPr>
            <w:r>
              <w:rPr>
                <w:rFonts w:ascii="Times New Roman"/>
                <w:sz w:val="21"/>
              </w:rPr>
              <w:t>-</w:t>
            </w:r>
          </w:p>
        </w:tc>
      </w:tr>
      <w:tr>
        <w:trPr>
          <w:trHeight w:val="38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Times New Roman" w:hAnsi="Times New Roman" w:cs="Times New Roman" w:eastAsia="Times New Roman" w:hint="default"/>
                <w:sz w:val="21"/>
                <w:szCs w:val="21"/>
              </w:rPr>
            </w:pPr>
            <w:r>
              <w:rPr>
                <w:rFonts w:ascii="Times New Roman"/>
                <w:spacing w:val="-1"/>
                <w:sz w:val="21"/>
              </w:rPr>
              <w:t>510.27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Times New Roman" w:hAnsi="Times New Roman" w:cs="Times New Roman" w:eastAsia="Times New Roman" w:hint="default"/>
                <w:sz w:val="21"/>
                <w:szCs w:val="21"/>
              </w:rPr>
            </w:pPr>
            <w:r>
              <w:rPr>
                <w:rFonts w:ascii="Times New Roman"/>
                <w:spacing w:val="-1"/>
                <w:sz w:val="21"/>
              </w:rPr>
              <w:t>406.04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2"/>
              <w:jc w:val="right"/>
              <w:rPr>
                <w:rFonts w:ascii="Times New Roman" w:hAnsi="Times New Roman" w:cs="Times New Roman" w:eastAsia="Times New Roman" w:hint="default"/>
                <w:sz w:val="21"/>
                <w:szCs w:val="21"/>
              </w:rPr>
            </w:pPr>
            <w:r>
              <w:rPr>
                <w:rFonts w:ascii="Times New Roman"/>
                <w:spacing w:val="-1"/>
                <w:sz w:val="21"/>
              </w:rPr>
              <w:t>20.43%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Times New Roman" w:hAnsi="Times New Roman" w:cs="Times New Roman" w:eastAsia="Times New Roman" w:hint="default"/>
                <w:sz w:val="21"/>
                <w:szCs w:val="21"/>
              </w:rPr>
            </w:pPr>
            <w:r>
              <w:rPr>
                <w:rFonts w:ascii="Times New Roman"/>
                <w:spacing w:val="-1"/>
                <w:sz w:val="21"/>
              </w:rPr>
              <w:t>-63.87%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Times New Roman" w:hAnsi="Times New Roman" w:cs="Times New Roman" w:eastAsia="Times New Roman" w:hint="default"/>
                <w:sz w:val="21"/>
                <w:szCs w:val="21"/>
              </w:rPr>
            </w:pPr>
            <w:r>
              <w:rPr>
                <w:rFonts w:ascii="Times New Roman"/>
                <w:spacing w:val="-1"/>
                <w:sz w:val="21"/>
              </w:rPr>
              <w:t>-66.84%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宋体" w:hAnsi="宋体" w:cs="宋体" w:eastAsia="宋体" w:hint="default"/>
                <w:sz w:val="21"/>
                <w:szCs w:val="21"/>
              </w:rPr>
            </w:pPr>
            <w:r>
              <w:rPr>
                <w:rFonts w:ascii="Times New Roman" w:hAnsi="Times New Roman" w:cs="Times New Roman" w:eastAsia="Times New Roman" w:hint="default"/>
                <w:sz w:val="21"/>
                <w:szCs w:val="21"/>
              </w:rPr>
              <w:t>7.14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百分点</w:t>
            </w:r>
          </w:p>
        </w:tc>
      </w:tr>
      <w:tr>
        <w:trPr>
          <w:trHeight w:val="38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4"/>
              <w:jc w:val="right"/>
              <w:rPr>
                <w:rFonts w:ascii="Times New Roman" w:hAnsi="Times New Roman" w:cs="Times New Roman" w:eastAsia="Times New Roman" w:hint="default"/>
                <w:sz w:val="21"/>
                <w:szCs w:val="21"/>
              </w:rPr>
            </w:pPr>
            <w:r>
              <w:rPr>
                <w:rFonts w:ascii="Times New Roman"/>
                <w:spacing w:val="-1"/>
                <w:sz w:val="21"/>
              </w:rPr>
              <w:t>762.94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4"/>
              <w:jc w:val="right"/>
              <w:rPr>
                <w:rFonts w:ascii="Times New Roman" w:hAnsi="Times New Roman" w:cs="Times New Roman" w:eastAsia="Times New Roman" w:hint="default"/>
                <w:sz w:val="21"/>
                <w:szCs w:val="21"/>
              </w:rPr>
            </w:pPr>
            <w:r>
              <w:rPr>
                <w:rFonts w:ascii="Times New Roman"/>
                <w:spacing w:val="-1"/>
                <w:sz w:val="21"/>
              </w:rPr>
              <w:t>392.21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2"/>
              <w:jc w:val="right"/>
              <w:rPr>
                <w:rFonts w:ascii="Times New Roman" w:hAnsi="Times New Roman" w:cs="Times New Roman" w:eastAsia="Times New Roman" w:hint="default"/>
                <w:sz w:val="21"/>
                <w:szCs w:val="21"/>
              </w:rPr>
            </w:pPr>
            <w:r>
              <w:rPr>
                <w:rFonts w:ascii="Times New Roman"/>
                <w:spacing w:val="-1"/>
                <w:sz w:val="21"/>
              </w:rPr>
              <w:t>48.59%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Times New Roman" w:hAnsi="Times New Roman" w:cs="Times New Roman" w:eastAsia="Times New Roman" w:hint="default"/>
                <w:sz w:val="21"/>
                <w:szCs w:val="21"/>
              </w:rPr>
            </w:pPr>
            <w:r>
              <w:rPr>
                <w:rFonts w:ascii="Times New Roman"/>
                <w:spacing w:val="-1"/>
                <w:sz w:val="21"/>
              </w:rPr>
              <w:t>-5.18%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Times New Roman" w:hAnsi="Times New Roman" w:cs="Times New Roman" w:eastAsia="Times New Roman" w:hint="default"/>
                <w:sz w:val="21"/>
                <w:szCs w:val="21"/>
              </w:rPr>
            </w:pPr>
            <w:r>
              <w:rPr>
                <w:rFonts w:ascii="Times New Roman"/>
                <w:spacing w:val="-1"/>
                <w:sz w:val="21"/>
              </w:rPr>
              <w:t>8.16%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宋体" w:hAnsi="宋体" w:cs="宋体" w:eastAsia="宋体" w:hint="default"/>
                <w:sz w:val="21"/>
                <w:szCs w:val="21"/>
              </w:rPr>
            </w:pPr>
            <w:r>
              <w:rPr>
                <w:rFonts w:ascii="Times New Roman" w:hAnsi="Times New Roman" w:cs="Times New Roman" w:eastAsia="Times New Roman" w:hint="default"/>
                <w:sz w:val="21"/>
                <w:szCs w:val="21"/>
              </w:rPr>
              <w:t>-6.34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百分点</w:t>
            </w:r>
          </w:p>
        </w:tc>
      </w:tr>
      <w:tr>
        <w:trPr>
          <w:trHeight w:val="38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21"/>
                <w:szCs w:val="21"/>
              </w:rPr>
            </w:pPr>
            <w:r>
              <w:rPr>
                <w:rFonts w:ascii="Times New Roman"/>
                <w:spacing w:val="-1"/>
                <w:sz w:val="21"/>
              </w:rPr>
              <w:t>9,446.35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21"/>
                <w:szCs w:val="21"/>
              </w:rPr>
            </w:pPr>
            <w:r>
              <w:rPr>
                <w:rFonts w:ascii="Times New Roman"/>
                <w:spacing w:val="-1"/>
                <w:sz w:val="21"/>
              </w:rPr>
              <w:t>4,183.66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21"/>
                <w:szCs w:val="21"/>
              </w:rPr>
            </w:pPr>
            <w:r>
              <w:rPr>
                <w:rFonts w:ascii="Times New Roman"/>
                <w:spacing w:val="-1"/>
                <w:sz w:val="21"/>
              </w:rPr>
              <w:t>55.71%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pacing w:val="-1"/>
                <w:sz w:val="21"/>
              </w:rPr>
              <w:t>4.68%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21"/>
                <w:szCs w:val="21"/>
              </w:rPr>
            </w:pPr>
            <w:r>
              <w:rPr>
                <w:rFonts w:ascii="Times New Roman"/>
                <w:spacing w:val="-1"/>
                <w:sz w:val="21"/>
              </w:rPr>
              <w:t>32.93%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宋体" w:hAnsi="宋体" w:cs="宋体" w:eastAsia="宋体" w:hint="default"/>
                <w:sz w:val="21"/>
                <w:szCs w:val="21"/>
              </w:rPr>
            </w:pPr>
            <w:r>
              <w:rPr>
                <w:rFonts w:ascii="Times New Roman" w:hAnsi="Times New Roman" w:cs="Times New Roman" w:eastAsia="Times New Roman" w:hint="default"/>
                <w:sz w:val="21"/>
                <w:szCs w:val="21"/>
              </w:rPr>
              <w:t>-9.41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百分点</w:t>
            </w:r>
          </w:p>
        </w:tc>
      </w:tr>
    </w:tbl>
    <w:p>
      <w:pPr>
        <w:spacing w:line="240" w:lineRule="auto" w:before="5"/>
        <w:rPr>
          <w:rFonts w:ascii="宋体" w:hAnsi="宋体" w:cs="宋体" w:eastAsia="宋体" w:hint="default"/>
          <w:sz w:val="13"/>
          <w:szCs w:val="13"/>
        </w:rPr>
      </w:pPr>
    </w:p>
    <w:p>
      <w:pPr>
        <w:pStyle w:val="BodyText"/>
        <w:spacing w:line="367" w:lineRule="auto" w:before="29"/>
        <w:ind w:right="152" w:firstLine="459"/>
        <w:jc w:val="both"/>
      </w:pPr>
      <w:r>
        <w:rPr/>
        <w:t>软件产品收入较上年同期下降，主要是公司传统产品处于技术改进和升级换代</w:t>
      </w:r>
      <w:r>
        <w:rPr>
          <w:w w:val="100"/>
        </w:rPr>
        <w:t> </w:t>
      </w:r>
      <w:r>
        <w:rPr>
          <w:spacing w:val="-4"/>
        </w:rPr>
        <w:t>时期，功能和技术改进型软件产品正在开发过程之中，在</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年度尚未实现销售收</w:t>
      </w:r>
      <w:r>
        <w:rPr>
          <w:spacing w:val="-113"/>
        </w:rPr>
        <w:t> </w:t>
      </w:r>
      <w:r>
        <w:rPr>
          <w:spacing w:val="-113"/>
        </w:rPr>
      </w:r>
      <w:r>
        <w:rPr/>
        <w:t>入，造成软件产品收入有所下滑。公司正致力于加快软件新产品的开发进度，通过</w:t>
      </w:r>
      <w:r>
        <w:rPr>
          <w:spacing w:val="-87"/>
        </w:rPr>
        <w:t> </w:t>
      </w:r>
      <w:r>
        <w:rPr>
          <w:spacing w:val="-87"/>
        </w:rPr>
      </w:r>
      <w:r>
        <w:rPr/>
        <w:t>提高软件产品市场竞争力，继续扩大传统优势产品的业务收入。</w:t>
      </w:r>
    </w:p>
    <w:p>
      <w:pPr>
        <w:pStyle w:val="BodyText"/>
        <w:spacing w:line="372" w:lineRule="auto" w:before="45"/>
        <w:ind w:right="152" w:firstLine="459"/>
        <w:jc w:val="both"/>
      </w:pPr>
      <w:r>
        <w:rPr/>
        <w:t>定制软件开发收入较上年同期下降，主要是因为公司加强了软件标准化的技术</w:t>
      </w:r>
      <w:r>
        <w:rPr>
          <w:w w:val="100"/>
        </w:rPr>
        <w:t> </w:t>
      </w:r>
      <w:r>
        <w:rPr/>
        <w:t>改进，软件产品的通用性进一步提高，从而客户定制性开发需求及相应收入有所降</w:t>
      </w:r>
      <w:r>
        <w:rPr>
          <w:spacing w:val="-87"/>
        </w:rPr>
        <w:t> </w:t>
      </w:r>
      <w:r>
        <w:rPr>
          <w:spacing w:val="-87"/>
        </w:rPr>
      </w:r>
      <w:r>
        <w:rPr/>
        <w:t>低的原因。</w:t>
      </w:r>
    </w:p>
    <w:p>
      <w:pPr>
        <w:pStyle w:val="BodyText"/>
        <w:spacing w:line="372" w:lineRule="auto" w:before="40"/>
        <w:ind w:right="152" w:firstLine="459"/>
        <w:jc w:val="both"/>
      </w:pPr>
      <w:r>
        <w:rPr/>
        <w:t>系统集成收入较上年同期降低，是由于客户要求代为采购的第三方产品较去年</w:t>
      </w:r>
      <w:r>
        <w:rPr>
          <w:w w:val="100"/>
        </w:rPr>
        <w:t> </w:t>
      </w:r>
      <w:r>
        <w:rPr/>
        <w:t>同期有较大幅度降低的原因。本公司系统集成是应银行客户的要求，代银行客户采</w:t>
      </w:r>
      <w:r>
        <w:rPr>
          <w:spacing w:val="-87"/>
        </w:rPr>
        <w:t> </w:t>
      </w:r>
      <w:r>
        <w:rPr>
          <w:spacing w:val="-87"/>
        </w:rPr>
      </w:r>
      <w:r>
        <w:rPr/>
        <w:t>购与影像应用相关的第三方产品，并提供相应的集成服务的业务，在公司收入构成</w:t>
      </w:r>
      <w:r>
        <w:rPr>
          <w:spacing w:val="-87"/>
        </w:rPr>
        <w:t> </w:t>
      </w:r>
      <w:r>
        <w:rPr>
          <w:spacing w:val="-87"/>
        </w:rPr>
      </w:r>
      <w:r>
        <w:rPr/>
        <w:t>中占比较低，非本公司核心业务，其收入在一定幅度的波动属正常情况。</w:t>
      </w:r>
    </w:p>
    <w:p>
      <w:pPr>
        <w:spacing w:line="240" w:lineRule="auto" w:before="9"/>
        <w:rPr>
          <w:rFonts w:ascii="宋体" w:hAnsi="宋体" w:cs="宋体" w:eastAsia="宋体" w:hint="default"/>
          <w:sz w:val="24"/>
          <w:szCs w:val="24"/>
        </w:rPr>
      </w:pPr>
    </w:p>
    <w:p>
      <w:pPr>
        <w:pStyle w:val="BodyText"/>
        <w:spacing w:line="240" w:lineRule="auto" w:before="29"/>
        <w:ind w:left="597" w:right="0"/>
        <w:jc w:val="left"/>
      </w:pPr>
      <w:r>
        <w:rPr>
          <w:rFonts w:ascii="Times New Roman" w:hAnsi="Times New Roman" w:cs="Times New Roman" w:eastAsia="Times New Roman" w:hint="default"/>
        </w:rPr>
        <w:t>2</w:t>
      </w:r>
      <w:r>
        <w:rPr/>
        <w:t>．主营业务分地区情况表</w:t>
      </w:r>
    </w:p>
    <w:p>
      <w:pPr>
        <w:pStyle w:val="BodyText"/>
        <w:spacing w:line="240" w:lineRule="auto" w:before="71"/>
        <w:ind w:left="0" w:right="151"/>
        <w:jc w:val="right"/>
      </w:pPr>
      <w:r>
        <w:rPr>
          <w:spacing w:val="-1"/>
        </w:rPr>
        <w:t>单位：万元</w:t>
      </w:r>
    </w:p>
    <w:p>
      <w:pPr>
        <w:spacing w:line="240" w:lineRule="auto" w:before="10"/>
        <w:rPr>
          <w:rFonts w:ascii="宋体" w:hAnsi="宋体" w:cs="宋体" w:eastAsia="宋体" w:hint="default"/>
          <w:sz w:val="7"/>
          <w:szCs w:val="7"/>
        </w:rPr>
      </w:pPr>
    </w:p>
    <w:tbl>
      <w:tblPr>
        <w:tblW w:w="0" w:type="auto"/>
        <w:jc w:val="left"/>
        <w:tblInd w:w="132" w:type="dxa"/>
        <w:tblLayout w:type="fixed"/>
        <w:tblCellMar>
          <w:top w:w="0" w:type="dxa"/>
          <w:left w:w="0" w:type="dxa"/>
          <w:bottom w:w="0" w:type="dxa"/>
          <w:right w:w="0" w:type="dxa"/>
        </w:tblCellMar>
        <w:tblLook w:val="01E0"/>
      </w:tblPr>
      <w:tblGrid>
        <w:gridCol w:w="1620"/>
        <w:gridCol w:w="2160"/>
        <w:gridCol w:w="2160"/>
        <w:gridCol w:w="2340"/>
      </w:tblGrid>
      <w:tr>
        <w:trPr>
          <w:trHeight w:val="384" w:hRule="exact"/>
        </w:trPr>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right="2"/>
              <w:jc w:val="center"/>
              <w:rPr>
                <w:rFonts w:ascii="宋体" w:hAnsi="宋体" w:cs="宋体" w:eastAsia="宋体" w:hint="default"/>
                <w:sz w:val="21"/>
                <w:szCs w:val="21"/>
              </w:rPr>
            </w:pPr>
            <w:r>
              <w:rPr>
                <w:rFonts w:ascii="宋体" w:hAnsi="宋体" w:cs="宋体" w:eastAsia="宋体" w:hint="default"/>
                <w:sz w:val="21"/>
                <w:szCs w:val="21"/>
              </w:rPr>
              <w:t>地区</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44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21" w:right="0"/>
              <w:jc w:val="left"/>
              <w:rPr>
                <w:rFonts w:ascii="Times New Roman" w:hAnsi="Times New Roman" w:cs="Times New Roman" w:eastAsia="Times New Roman" w:hint="default"/>
                <w:sz w:val="21"/>
                <w:szCs w:val="21"/>
              </w:rPr>
            </w:pPr>
            <w:r>
              <w:rPr>
                <w:rFonts w:ascii="宋体" w:hAnsi="宋体" w:cs="宋体" w:eastAsia="宋体" w:hint="default"/>
                <w:spacing w:val="-7"/>
                <w:sz w:val="21"/>
                <w:szCs w:val="21"/>
              </w:rPr>
              <w:t>主营业务收入占比（</w:t>
            </w:r>
            <w:r>
              <w:rPr>
                <w:rFonts w:ascii="Times New Roman" w:hAnsi="Times New Roman" w:cs="Times New Roman" w:eastAsia="Times New Roman" w:hint="default"/>
                <w:spacing w:val="-7"/>
                <w:sz w:val="21"/>
                <w:szCs w:val="21"/>
              </w:rPr>
              <w:t>%</w:t>
            </w:r>
          </w:p>
        </w:tc>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14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5"/>
                <w:sz w:val="21"/>
                <w:szCs w:val="21"/>
              </w:rPr>
              <w:t> </w:t>
            </w:r>
            <w:r>
              <w:rPr>
                <w:rFonts w:ascii="宋体" w:hAnsi="宋体" w:cs="宋体" w:eastAsia="宋体" w:hint="default"/>
                <w:sz w:val="21"/>
                <w:szCs w:val="21"/>
              </w:rPr>
              <w:t>较上年同期增减（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8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8"/>
                <w:szCs w:val="18"/>
              </w:rPr>
            </w:pPr>
            <w:r>
              <w:rPr>
                <w:rFonts w:ascii="宋体" w:hAnsi="宋体" w:cs="宋体" w:eastAsia="宋体" w:hint="default"/>
                <w:sz w:val="21"/>
                <w:szCs w:val="21"/>
              </w:rPr>
              <w:t>北方地区</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21"/>
                <w:szCs w:val="21"/>
              </w:rPr>
            </w:pPr>
            <w:r>
              <w:rPr>
                <w:rFonts w:ascii="Times New Roman"/>
                <w:spacing w:val="-1"/>
                <w:sz w:val="21"/>
              </w:rPr>
              <w:t>2,258.62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21"/>
                <w:szCs w:val="21"/>
              </w:rPr>
            </w:pPr>
            <w:r>
              <w:rPr>
                <w:rFonts w:ascii="Times New Roman"/>
                <w:spacing w:val="-1"/>
                <w:sz w:val="21"/>
              </w:rPr>
              <w:t>23.91%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21"/>
                <w:szCs w:val="21"/>
              </w:rPr>
            </w:pPr>
            <w:r>
              <w:rPr>
                <w:rFonts w:ascii="Times New Roman"/>
                <w:spacing w:val="-1"/>
                <w:sz w:val="21"/>
              </w:rPr>
              <w:t>88.01%</w:t>
            </w:r>
          </w:p>
        </w:tc>
      </w:tr>
      <w:tr>
        <w:trPr>
          <w:trHeight w:val="32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3,520.66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37.27%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18.90%</w:t>
            </w:r>
          </w:p>
        </w:tc>
      </w:tr>
      <w:tr>
        <w:trPr>
          <w:trHeight w:val="38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21"/>
                <w:szCs w:val="21"/>
              </w:rPr>
            </w:pPr>
            <w:r>
              <w:rPr>
                <w:rFonts w:ascii="Times New Roman"/>
                <w:spacing w:val="-1"/>
                <w:sz w:val="21"/>
              </w:rPr>
              <w:t>1,524.64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pacing w:val="-1"/>
                <w:sz w:val="21"/>
              </w:rPr>
              <w:t>16.14%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21"/>
                <w:szCs w:val="21"/>
              </w:rPr>
            </w:pPr>
            <w:r>
              <w:rPr>
                <w:rFonts w:ascii="Times New Roman"/>
                <w:spacing w:val="-1"/>
                <w:sz w:val="21"/>
              </w:rPr>
              <w:t>-38.61%</w:t>
            </w:r>
          </w:p>
        </w:tc>
      </w:tr>
      <w:tr>
        <w:trPr>
          <w:trHeight w:val="38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21"/>
                <w:szCs w:val="21"/>
              </w:rPr>
            </w:pPr>
            <w:r>
              <w:rPr>
                <w:rFonts w:ascii="Times New Roman"/>
                <w:spacing w:val="-1"/>
                <w:sz w:val="21"/>
              </w:rPr>
              <w:t>1,047.60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pacing w:val="-1"/>
                <w:sz w:val="21"/>
              </w:rPr>
              <w:t>11.09%</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21"/>
                <w:szCs w:val="21"/>
              </w:rPr>
            </w:pPr>
            <w:r>
              <w:rPr>
                <w:rFonts w:ascii="Times New Roman"/>
                <w:spacing w:val="-1"/>
                <w:sz w:val="21"/>
              </w:rPr>
              <w:t>-22.48%</w:t>
            </w:r>
          </w:p>
        </w:tc>
      </w:tr>
      <w:tr>
        <w:trPr>
          <w:trHeight w:val="38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21"/>
                <w:szCs w:val="21"/>
              </w:rPr>
            </w:pPr>
            <w:r>
              <w:rPr>
                <w:rFonts w:ascii="Times New Roman"/>
                <w:spacing w:val="-1"/>
                <w:sz w:val="21"/>
              </w:rPr>
              <w:t>1,094.83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21"/>
                <w:szCs w:val="21"/>
              </w:rPr>
            </w:pPr>
            <w:r>
              <w:rPr>
                <w:rFonts w:ascii="Times New Roman"/>
                <w:spacing w:val="-1"/>
                <w:sz w:val="21"/>
              </w:rPr>
              <w:t>11.59%</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21"/>
                <w:szCs w:val="21"/>
              </w:rPr>
            </w:pPr>
            <w:r>
              <w:rPr>
                <w:rFonts w:ascii="Times New Roman"/>
                <w:spacing w:val="-1"/>
                <w:sz w:val="21"/>
              </w:rPr>
              <w:t>6.60%</w:t>
            </w:r>
          </w:p>
        </w:tc>
      </w:tr>
      <w:tr>
        <w:trPr>
          <w:trHeight w:val="38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21"/>
                <w:szCs w:val="21"/>
              </w:rPr>
            </w:pPr>
            <w:r>
              <w:rPr>
                <w:rFonts w:ascii="Times New Roman"/>
                <w:spacing w:val="-1"/>
                <w:sz w:val="21"/>
              </w:rPr>
              <w:t>9,446.35</w:t>
            </w:r>
            <w:r>
              <w:rPr>
                <w:rFonts w:ascii="Times New Roman"/>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21"/>
                <w:szCs w:val="21"/>
              </w:rPr>
            </w:pPr>
            <w:r>
              <w:rPr>
                <w:rFonts w:ascii="Times New Roman"/>
                <w:spacing w:val="-1"/>
                <w:sz w:val="21"/>
              </w:rPr>
              <w:t>100.00%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21"/>
                <w:szCs w:val="21"/>
              </w:rPr>
            </w:pPr>
            <w:r>
              <w:rPr>
                <w:rFonts w:ascii="Times New Roman"/>
                <w:spacing w:val="-1"/>
                <w:sz w:val="21"/>
              </w:rPr>
              <w:t>4.68%</w:t>
            </w:r>
          </w:p>
        </w:tc>
      </w:tr>
    </w:tbl>
    <w:p>
      <w:pPr>
        <w:spacing w:before="63"/>
        <w:ind w:left="574"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：北方地区具体包括了华北、东北和西北地区。</w:t>
      </w:r>
    </w:p>
    <w:p>
      <w:pPr>
        <w:spacing w:after="0"/>
        <w:jc w:val="left"/>
        <w:rPr>
          <w:rFonts w:ascii="宋体" w:hAnsi="宋体" w:cs="宋体" w:eastAsia="宋体" w:hint="default"/>
          <w:sz w:val="21"/>
          <w:szCs w:val="21"/>
        </w:rPr>
        <w:sectPr>
          <w:pgSz w:w="11910" w:h="16840"/>
          <w:pgMar w:header="877" w:footer="982" w:top="1100" w:bottom="1180" w:left="1660" w:right="1640"/>
        </w:sect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580" w:right="1520"/>
        </w:sectPr>
      </w:pPr>
    </w:p>
    <w:p>
      <w:pPr>
        <w:pStyle w:val="BodyText"/>
        <w:spacing w:line="352" w:lineRule="auto" w:before="29"/>
        <w:ind w:left="677" w:right="-2"/>
        <w:jc w:val="left"/>
      </w:pPr>
      <w:r>
        <w:rPr>
          <w:rFonts w:ascii="Times New Roman" w:hAnsi="Times New Roman" w:cs="Times New Roman" w:eastAsia="Times New Roman" w:hint="default"/>
        </w:rPr>
        <w:t>3</w:t>
      </w:r>
      <w:r>
        <w:rPr/>
        <w:t>．前五名客户情况</w:t>
      </w:r>
      <w:r>
        <w:rPr>
          <w:w w:val="100"/>
        </w:rPr>
        <w:t> </w:t>
      </w:r>
      <w:r>
        <w:rPr>
          <w:spacing w:val="-1"/>
        </w:rPr>
        <w:t>报告期内，公司的前五名客户情况如下：</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3"/>
          <w:szCs w:val="23"/>
        </w:rPr>
      </w:pPr>
    </w:p>
    <w:p>
      <w:pPr>
        <w:pStyle w:val="BodyText"/>
        <w:spacing w:line="240" w:lineRule="auto"/>
        <w:ind w:left="677" w:right="0"/>
        <w:jc w:val="left"/>
      </w:pPr>
      <w:r>
        <w:rPr/>
        <w:t>单位：元</w:t>
      </w:r>
    </w:p>
    <w:p>
      <w:pPr>
        <w:spacing w:after="0" w:line="240" w:lineRule="auto"/>
        <w:jc w:val="left"/>
        <w:sectPr>
          <w:type w:val="continuous"/>
          <w:pgSz w:w="11910" w:h="16840"/>
          <w:pgMar w:top="1600" w:bottom="280" w:left="1580" w:right="1520"/>
          <w:cols w:num="2" w:equalWidth="0">
            <w:col w:w="4818" w:space="2114"/>
            <w:col w:w="1878"/>
          </w:cols>
        </w:sectPr>
      </w:pPr>
    </w:p>
    <w:p>
      <w:pPr>
        <w:spacing w:line="240" w:lineRule="auto" w:before="12"/>
        <w:rPr>
          <w:rFonts w:ascii="宋体" w:hAnsi="宋体" w:cs="宋体" w:eastAsia="宋体" w:hint="default"/>
          <w:sz w:val="7"/>
          <w:szCs w:val="7"/>
        </w:rPr>
      </w:pPr>
    </w:p>
    <w:tbl>
      <w:tblPr>
        <w:tblW w:w="0" w:type="auto"/>
        <w:jc w:val="left"/>
        <w:tblInd w:w="223" w:type="dxa"/>
        <w:tblLayout w:type="fixed"/>
        <w:tblCellMar>
          <w:top w:w="0" w:type="dxa"/>
          <w:left w:w="0" w:type="dxa"/>
          <w:bottom w:w="0" w:type="dxa"/>
          <w:right w:w="0" w:type="dxa"/>
        </w:tblCellMar>
        <w:tblLook w:val="01E0"/>
      </w:tblPr>
      <w:tblGrid>
        <w:gridCol w:w="3577"/>
        <w:gridCol w:w="1452"/>
        <w:gridCol w:w="1339"/>
        <w:gridCol w:w="1901"/>
      </w:tblGrid>
      <w:tr>
        <w:trPr>
          <w:trHeight w:val="312" w:hRule="exact"/>
        </w:trPr>
        <w:tc>
          <w:tcPr>
            <w:tcW w:w="357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5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1" w:lineRule="exact"/>
              <w:ind w:left="387"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33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1" w:lineRule="exact"/>
              <w:ind w:left="3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0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3" w:lineRule="exact"/>
              <w:ind w:left="209"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r>
      <w:tr>
        <w:trPr>
          <w:trHeight w:val="420" w:hRule="exact"/>
        </w:trPr>
        <w:tc>
          <w:tcPr>
            <w:tcW w:w="357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2"/>
              <w:ind w:left="10" w:right="0"/>
              <w:jc w:val="left"/>
              <w:rPr>
                <w:rFonts w:ascii="宋体" w:hAnsi="宋体" w:cs="宋体" w:eastAsia="宋体" w:hint="default"/>
                <w:sz w:val="21"/>
                <w:szCs w:val="21"/>
              </w:rPr>
            </w:pPr>
            <w:r>
              <w:rPr>
                <w:rFonts w:ascii="宋体" w:hAnsi="宋体" w:cs="宋体" w:eastAsia="宋体" w:hint="default"/>
                <w:sz w:val="21"/>
                <w:szCs w:val="21"/>
              </w:rPr>
              <w:t>前五名客户合计销售额</w:t>
            </w:r>
          </w:p>
        </w:tc>
        <w:tc>
          <w:tcPr>
            <w:tcW w:w="1452" w:type="dxa"/>
            <w:tcBorders>
              <w:top w:val="single" w:sz="16" w:space="0" w:color="E6E6E6"/>
              <w:left w:val="single" w:sz="13" w:space="0" w:color="E6E6E6"/>
              <w:bottom w:val="single" w:sz="4" w:space="0" w:color="000000"/>
              <w:right w:val="single" w:sz="4" w:space="0" w:color="000000"/>
            </w:tcBorders>
          </w:tcPr>
          <w:p>
            <w:pPr>
              <w:pStyle w:val="TableParagraph"/>
              <w:spacing w:line="240" w:lineRule="auto" w:before="117"/>
              <w:ind w:right="22"/>
              <w:jc w:val="right"/>
              <w:rPr>
                <w:rFonts w:ascii="Times New Roman" w:hAnsi="Times New Roman" w:cs="Times New Roman" w:eastAsia="Times New Roman" w:hint="default"/>
                <w:sz w:val="21"/>
                <w:szCs w:val="21"/>
              </w:rPr>
            </w:pPr>
            <w:r>
              <w:rPr>
                <w:rFonts w:ascii="Times New Roman"/>
                <w:spacing w:val="-1"/>
                <w:sz w:val="21"/>
              </w:rPr>
              <w:t>23,597,990.39</w:t>
            </w:r>
          </w:p>
        </w:tc>
        <w:tc>
          <w:tcPr>
            <w:tcW w:w="1339" w:type="dxa"/>
            <w:tcBorders>
              <w:top w:val="single" w:sz="16" w:space="0" w:color="E6E6E6"/>
              <w:left w:val="single" w:sz="4" w:space="0" w:color="000000"/>
              <w:bottom w:val="single" w:sz="4" w:space="0" w:color="000000"/>
              <w:right w:val="single" w:sz="4" w:space="0" w:color="000000"/>
            </w:tcBorders>
          </w:tcPr>
          <w:p>
            <w:pPr>
              <w:pStyle w:val="TableParagraph"/>
              <w:spacing w:line="240" w:lineRule="auto" w:before="117"/>
              <w:ind w:right="22"/>
              <w:jc w:val="right"/>
              <w:rPr>
                <w:rFonts w:ascii="Times New Roman" w:hAnsi="Times New Roman" w:cs="Times New Roman" w:eastAsia="Times New Roman" w:hint="default"/>
                <w:sz w:val="21"/>
                <w:szCs w:val="21"/>
              </w:rPr>
            </w:pPr>
            <w:r>
              <w:rPr>
                <w:rFonts w:ascii="Times New Roman"/>
                <w:spacing w:val="-1"/>
                <w:sz w:val="21"/>
              </w:rPr>
              <w:t>19,558,625.41</w:t>
            </w:r>
          </w:p>
        </w:tc>
        <w:tc>
          <w:tcPr>
            <w:tcW w:w="1901" w:type="dxa"/>
            <w:tcBorders>
              <w:top w:val="single" w:sz="30" w:space="0" w:color="E6E6E6"/>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21"/>
                <w:szCs w:val="21"/>
              </w:rPr>
            </w:pPr>
            <w:r>
              <w:rPr>
                <w:rFonts w:ascii="Times New Roman"/>
                <w:spacing w:val="-1"/>
                <w:sz w:val="21"/>
              </w:rPr>
              <w:t>20.65%</w:t>
            </w:r>
          </w:p>
        </w:tc>
      </w:tr>
      <w:tr>
        <w:trPr>
          <w:trHeight w:val="384" w:hRule="exact"/>
        </w:trPr>
        <w:tc>
          <w:tcPr>
            <w:tcW w:w="357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10" w:right="0"/>
              <w:jc w:val="left"/>
              <w:rPr>
                <w:rFonts w:ascii="宋体" w:hAnsi="宋体" w:cs="宋体" w:eastAsia="宋体" w:hint="default"/>
                <w:sz w:val="21"/>
                <w:szCs w:val="21"/>
              </w:rPr>
            </w:pPr>
            <w:r>
              <w:rPr>
                <w:rFonts w:ascii="宋体" w:hAnsi="宋体" w:cs="宋体" w:eastAsia="宋体" w:hint="default"/>
                <w:sz w:val="21"/>
                <w:szCs w:val="21"/>
              </w:rPr>
              <w:t>占年度销售总金额的比例（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52" w:type="dxa"/>
            <w:tcBorders>
              <w:top w:val="single" w:sz="4" w:space="0" w:color="000000"/>
              <w:left w:val="single" w:sz="13" w:space="0" w:color="E6E6E6"/>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21"/>
                <w:szCs w:val="21"/>
              </w:rPr>
            </w:pPr>
            <w:r>
              <w:rPr>
                <w:rFonts w:ascii="Times New Roman"/>
                <w:spacing w:val="-1"/>
                <w:sz w:val="21"/>
              </w:rPr>
              <w:t>24.98%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21"/>
                <w:szCs w:val="21"/>
              </w:rPr>
            </w:pPr>
            <w:r>
              <w:rPr>
                <w:rFonts w:ascii="Times New Roman"/>
                <w:spacing w:val="-1"/>
                <w:sz w:val="21"/>
              </w:rPr>
              <w:t>21.23%</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+3.75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百分点</w:t>
            </w:r>
          </w:p>
        </w:tc>
      </w:tr>
      <w:tr>
        <w:trPr>
          <w:trHeight w:val="384" w:hRule="exact"/>
        </w:trPr>
        <w:tc>
          <w:tcPr>
            <w:tcW w:w="357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10" w:right="0"/>
              <w:jc w:val="left"/>
              <w:rPr>
                <w:rFonts w:ascii="宋体" w:hAnsi="宋体" w:cs="宋体" w:eastAsia="宋体" w:hint="default"/>
                <w:sz w:val="21"/>
                <w:szCs w:val="21"/>
              </w:rPr>
            </w:pPr>
            <w:r>
              <w:rPr>
                <w:rFonts w:ascii="宋体" w:hAnsi="宋体" w:cs="宋体" w:eastAsia="宋体" w:hint="default"/>
                <w:sz w:val="21"/>
                <w:szCs w:val="21"/>
              </w:rPr>
              <w:t>前五名客户合计应收帐款余额</w:t>
            </w:r>
          </w:p>
        </w:tc>
        <w:tc>
          <w:tcPr>
            <w:tcW w:w="1452" w:type="dxa"/>
            <w:tcBorders>
              <w:top w:val="single" w:sz="4" w:space="0" w:color="000000"/>
              <w:left w:val="single" w:sz="13" w:space="0" w:color="E6E6E6"/>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pacing w:val="-1"/>
                <w:sz w:val="21"/>
              </w:rPr>
              <w:t>8,448,026.00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pacing w:val="-1"/>
                <w:sz w:val="21"/>
              </w:rPr>
              <w:t>9,436,336.00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21"/>
                <w:szCs w:val="21"/>
              </w:rPr>
            </w:pPr>
            <w:r>
              <w:rPr>
                <w:rFonts w:ascii="Times New Roman"/>
                <w:spacing w:val="-1"/>
                <w:sz w:val="21"/>
              </w:rPr>
              <w:t>-10.47%</w:t>
            </w:r>
          </w:p>
        </w:tc>
      </w:tr>
      <w:tr>
        <w:trPr>
          <w:trHeight w:val="384" w:hRule="exact"/>
        </w:trPr>
        <w:tc>
          <w:tcPr>
            <w:tcW w:w="357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10" w:right="0"/>
              <w:jc w:val="left"/>
              <w:rPr>
                <w:rFonts w:ascii="宋体" w:hAnsi="宋体" w:cs="宋体" w:eastAsia="宋体" w:hint="default"/>
                <w:sz w:val="21"/>
                <w:szCs w:val="21"/>
              </w:rPr>
            </w:pPr>
            <w:r>
              <w:rPr>
                <w:rFonts w:ascii="宋体" w:hAnsi="宋体" w:cs="宋体" w:eastAsia="宋体" w:hint="default"/>
                <w:sz w:val="21"/>
                <w:szCs w:val="21"/>
              </w:rPr>
              <w:t>占公司应收帐款总余额的比例（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52" w:type="dxa"/>
            <w:tcBorders>
              <w:top w:val="single" w:sz="4" w:space="0" w:color="000000"/>
              <w:left w:val="single" w:sz="13" w:space="0" w:color="E6E6E6"/>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pacing w:val="-1"/>
                <w:sz w:val="21"/>
              </w:rPr>
              <w:t>12.40%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pacing w:val="-1"/>
                <w:sz w:val="21"/>
              </w:rPr>
              <w:t>18.09%</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-5.69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百分点</w:t>
            </w:r>
          </w:p>
        </w:tc>
      </w:tr>
    </w:tbl>
    <w:p>
      <w:pPr>
        <w:spacing w:line="240" w:lineRule="auto" w:before="5"/>
        <w:rPr>
          <w:rFonts w:ascii="宋体" w:hAnsi="宋体" w:cs="宋体" w:eastAsia="宋体" w:hint="default"/>
          <w:sz w:val="13"/>
          <w:szCs w:val="13"/>
        </w:rPr>
      </w:pPr>
    </w:p>
    <w:p>
      <w:pPr>
        <w:pStyle w:val="BodyText"/>
        <w:spacing w:line="352" w:lineRule="auto" w:before="29"/>
        <w:ind w:left="217" w:right="260" w:firstLine="459"/>
        <w:jc w:val="left"/>
      </w:pPr>
      <w:r>
        <w:rPr/>
        <w:t>报告期内，公司前五名客户的合计销售额占公司总销售额的</w:t>
      </w:r>
      <w:r>
        <w:rPr>
          <w:spacing w:val="-73"/>
        </w:rPr>
        <w:t> </w:t>
      </w:r>
      <w:r>
        <w:rPr>
          <w:rFonts w:ascii="Times New Roman" w:hAnsi="Times New Roman" w:cs="Times New Roman" w:eastAsia="Times New Roman" w:hint="default"/>
          <w:spacing w:val="-3"/>
        </w:rPr>
        <w:t>24.98%</w:t>
      </w:r>
      <w:r>
        <w:rPr>
          <w:spacing w:val="-3"/>
        </w:rPr>
        <w:t>，较上年同</w:t>
      </w:r>
      <w:r>
        <w:rPr>
          <w:w w:val="100"/>
        </w:rPr>
        <w:t> </w:t>
      </w:r>
      <w:r>
        <w:rPr/>
        <w:t>期本数据上升了</w:t>
      </w:r>
      <w:r>
        <w:rPr>
          <w:spacing w:val="-63"/>
        </w:rPr>
        <w:t> </w:t>
      </w:r>
      <w:r>
        <w:rPr>
          <w:rFonts w:ascii="Times New Roman" w:hAnsi="Times New Roman" w:cs="Times New Roman" w:eastAsia="Times New Roman" w:hint="default"/>
        </w:rPr>
        <w:t>3.75</w:t>
      </w:r>
      <w:r>
        <w:rPr>
          <w:rFonts w:ascii="Times New Roman" w:hAnsi="Times New Roman" w:cs="Times New Roman" w:eastAsia="Times New Roman" w:hint="default"/>
          <w:spacing w:val="-7"/>
        </w:rPr>
        <w:t> </w:t>
      </w:r>
      <w:r>
        <w:rPr/>
        <w:t>个百分点。公司业务不存在对单一客户严重依赖的情况。</w:t>
      </w: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600" w:bottom="280" w:left="1580" w:right="1520"/>
        </w:sectPr>
      </w:pPr>
    </w:p>
    <w:p>
      <w:pPr>
        <w:pStyle w:val="BodyText"/>
        <w:spacing w:line="352" w:lineRule="auto" w:before="29"/>
        <w:ind w:left="677" w:right="-1"/>
        <w:jc w:val="left"/>
      </w:pPr>
      <w:r>
        <w:rPr>
          <w:rFonts w:ascii="Times New Roman" w:hAnsi="Times New Roman" w:cs="Times New Roman" w:eastAsia="Times New Roman" w:hint="default"/>
        </w:rPr>
        <w:t>4</w:t>
      </w:r>
      <w:r>
        <w:rPr/>
        <w:t>．前五名供应商情况</w:t>
      </w:r>
      <w:r>
        <w:rPr>
          <w:w w:val="100"/>
        </w:rPr>
        <w:t> </w:t>
      </w:r>
      <w:r>
        <w:rPr>
          <w:spacing w:val="-1"/>
        </w:rPr>
        <w:t>报告期内，公司的前五名供应商情况如下：</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3"/>
          <w:szCs w:val="23"/>
        </w:rPr>
      </w:pPr>
    </w:p>
    <w:p>
      <w:pPr>
        <w:pStyle w:val="BodyText"/>
        <w:spacing w:line="240" w:lineRule="auto"/>
        <w:ind w:left="677" w:right="0"/>
        <w:jc w:val="left"/>
      </w:pPr>
      <w:r>
        <w:rPr/>
        <w:t>单位：元</w:t>
      </w:r>
    </w:p>
    <w:p>
      <w:pPr>
        <w:spacing w:after="0" w:line="240" w:lineRule="auto"/>
        <w:jc w:val="left"/>
        <w:sectPr>
          <w:type w:val="continuous"/>
          <w:pgSz w:w="11910" w:h="16840"/>
          <w:pgMar w:top="1600" w:bottom="280" w:left="1580" w:right="1520"/>
          <w:cols w:num="2" w:equalWidth="0">
            <w:col w:w="5048" w:space="1883"/>
            <w:col w:w="1879"/>
          </w:cols>
        </w:sectPr>
      </w:pPr>
    </w:p>
    <w:p>
      <w:pPr>
        <w:spacing w:line="240" w:lineRule="auto" w:before="12"/>
        <w:rPr>
          <w:rFonts w:ascii="宋体" w:hAnsi="宋体" w:cs="宋体" w:eastAsia="宋体" w:hint="default"/>
          <w:sz w:val="7"/>
          <w:szCs w:val="7"/>
        </w:rPr>
      </w:pPr>
    </w:p>
    <w:tbl>
      <w:tblPr>
        <w:tblW w:w="0" w:type="auto"/>
        <w:jc w:val="left"/>
        <w:tblInd w:w="223" w:type="dxa"/>
        <w:tblLayout w:type="fixed"/>
        <w:tblCellMar>
          <w:top w:w="0" w:type="dxa"/>
          <w:left w:w="0" w:type="dxa"/>
          <w:bottom w:w="0" w:type="dxa"/>
          <w:right w:w="0" w:type="dxa"/>
        </w:tblCellMar>
        <w:tblLook w:val="01E0"/>
      </w:tblPr>
      <w:tblGrid>
        <w:gridCol w:w="3577"/>
        <w:gridCol w:w="1452"/>
        <w:gridCol w:w="1339"/>
        <w:gridCol w:w="1901"/>
      </w:tblGrid>
      <w:tr>
        <w:trPr>
          <w:trHeight w:val="312" w:hRule="exact"/>
        </w:trPr>
        <w:tc>
          <w:tcPr>
            <w:tcW w:w="357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5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1" w:lineRule="exact"/>
              <w:ind w:left="387"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33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1" w:lineRule="exact"/>
              <w:ind w:left="3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0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3" w:lineRule="exact"/>
              <w:ind w:left="209"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r>
      <w:tr>
        <w:trPr>
          <w:trHeight w:val="420" w:hRule="exact"/>
        </w:trPr>
        <w:tc>
          <w:tcPr>
            <w:tcW w:w="357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2"/>
              <w:ind w:left="10"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w:t>
            </w:r>
          </w:p>
        </w:tc>
        <w:tc>
          <w:tcPr>
            <w:tcW w:w="1452" w:type="dxa"/>
            <w:tcBorders>
              <w:top w:val="single" w:sz="16" w:space="0" w:color="E6E6E6"/>
              <w:left w:val="single" w:sz="13" w:space="0" w:color="E6E6E6"/>
              <w:bottom w:val="single" w:sz="4" w:space="0" w:color="000000"/>
              <w:right w:val="single" w:sz="4" w:space="0" w:color="000000"/>
            </w:tcBorders>
          </w:tcPr>
          <w:p>
            <w:pPr>
              <w:pStyle w:val="TableParagraph"/>
              <w:spacing w:line="240" w:lineRule="auto" w:before="117"/>
              <w:ind w:right="22"/>
              <w:jc w:val="right"/>
              <w:rPr>
                <w:rFonts w:ascii="Times New Roman" w:hAnsi="Times New Roman" w:cs="Times New Roman" w:eastAsia="Times New Roman" w:hint="default"/>
                <w:sz w:val="21"/>
                <w:szCs w:val="21"/>
              </w:rPr>
            </w:pPr>
            <w:r>
              <w:rPr>
                <w:rFonts w:ascii="Times New Roman"/>
                <w:spacing w:val="-1"/>
                <w:sz w:val="21"/>
              </w:rPr>
              <w:t>28,109,838.71</w:t>
            </w:r>
          </w:p>
        </w:tc>
        <w:tc>
          <w:tcPr>
            <w:tcW w:w="1339" w:type="dxa"/>
            <w:tcBorders>
              <w:top w:val="single" w:sz="16" w:space="0" w:color="E6E6E6"/>
              <w:left w:val="single" w:sz="4" w:space="0" w:color="000000"/>
              <w:bottom w:val="single" w:sz="4" w:space="0" w:color="000000"/>
              <w:right w:val="single" w:sz="4" w:space="0" w:color="000000"/>
            </w:tcBorders>
          </w:tcPr>
          <w:p>
            <w:pPr>
              <w:pStyle w:val="TableParagraph"/>
              <w:spacing w:line="240" w:lineRule="auto" w:before="117"/>
              <w:ind w:right="22"/>
              <w:jc w:val="right"/>
              <w:rPr>
                <w:rFonts w:ascii="Times New Roman" w:hAnsi="Times New Roman" w:cs="Times New Roman" w:eastAsia="Times New Roman" w:hint="default"/>
                <w:sz w:val="21"/>
                <w:szCs w:val="21"/>
              </w:rPr>
            </w:pPr>
            <w:r>
              <w:rPr>
                <w:rFonts w:ascii="Times New Roman"/>
                <w:spacing w:val="-1"/>
                <w:sz w:val="21"/>
              </w:rPr>
              <w:t>14,409,237.64</w:t>
            </w:r>
          </w:p>
        </w:tc>
        <w:tc>
          <w:tcPr>
            <w:tcW w:w="1901" w:type="dxa"/>
            <w:tcBorders>
              <w:top w:val="single" w:sz="30" w:space="0" w:color="E6E6E6"/>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21"/>
                <w:szCs w:val="21"/>
              </w:rPr>
            </w:pPr>
            <w:r>
              <w:rPr>
                <w:rFonts w:ascii="Times New Roman"/>
                <w:spacing w:val="-1"/>
                <w:sz w:val="21"/>
              </w:rPr>
              <w:t>95.08%</w:t>
            </w:r>
          </w:p>
        </w:tc>
      </w:tr>
      <w:tr>
        <w:trPr>
          <w:trHeight w:val="384" w:hRule="exact"/>
        </w:trPr>
        <w:tc>
          <w:tcPr>
            <w:tcW w:w="357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10" w:right="0"/>
              <w:jc w:val="left"/>
              <w:rPr>
                <w:rFonts w:ascii="宋体" w:hAnsi="宋体" w:cs="宋体" w:eastAsia="宋体" w:hint="default"/>
                <w:sz w:val="21"/>
                <w:szCs w:val="21"/>
              </w:rPr>
            </w:pPr>
            <w:r>
              <w:rPr>
                <w:rFonts w:ascii="宋体" w:hAnsi="宋体" w:cs="宋体" w:eastAsia="宋体" w:hint="default"/>
                <w:sz w:val="21"/>
                <w:szCs w:val="21"/>
              </w:rPr>
              <w:t>占年度总采购金额的比例（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52" w:type="dxa"/>
            <w:tcBorders>
              <w:top w:val="single" w:sz="4" w:space="0" w:color="000000"/>
              <w:left w:val="single" w:sz="13" w:space="0" w:color="E6E6E6"/>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pacing w:val="-1"/>
                <w:sz w:val="21"/>
              </w:rPr>
              <w:t>51.00%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pacing w:val="-1"/>
                <w:sz w:val="21"/>
              </w:rPr>
              <w:t>82.49%</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-31.49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百分点</w:t>
            </w:r>
          </w:p>
        </w:tc>
      </w:tr>
      <w:tr>
        <w:trPr>
          <w:trHeight w:val="384" w:hRule="exact"/>
        </w:trPr>
        <w:tc>
          <w:tcPr>
            <w:tcW w:w="357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10" w:right="0"/>
              <w:jc w:val="left"/>
              <w:rPr>
                <w:rFonts w:ascii="宋体" w:hAnsi="宋体" w:cs="宋体" w:eastAsia="宋体" w:hint="default"/>
                <w:sz w:val="21"/>
                <w:szCs w:val="21"/>
              </w:rPr>
            </w:pPr>
            <w:r>
              <w:rPr>
                <w:rFonts w:ascii="宋体" w:hAnsi="宋体" w:cs="宋体" w:eastAsia="宋体" w:hint="default"/>
                <w:sz w:val="21"/>
                <w:szCs w:val="21"/>
              </w:rPr>
              <w:t>前五名供应商合计应付账款余额</w:t>
            </w:r>
          </w:p>
        </w:tc>
        <w:tc>
          <w:tcPr>
            <w:tcW w:w="1452" w:type="dxa"/>
            <w:tcBorders>
              <w:top w:val="single" w:sz="4" w:space="0" w:color="000000"/>
              <w:left w:val="single" w:sz="13" w:space="0" w:color="E6E6E6"/>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pacing w:val="-1"/>
                <w:sz w:val="21"/>
              </w:rPr>
              <w:t>6,127,872.10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pacing w:val="-1"/>
                <w:sz w:val="21"/>
              </w:rPr>
              <w:t>9,436,336.00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21"/>
                <w:szCs w:val="21"/>
              </w:rPr>
            </w:pPr>
            <w:r>
              <w:rPr>
                <w:rFonts w:ascii="Times New Roman"/>
                <w:spacing w:val="-1"/>
                <w:sz w:val="21"/>
              </w:rPr>
              <w:t>-35.06%</w:t>
            </w:r>
          </w:p>
        </w:tc>
      </w:tr>
      <w:tr>
        <w:trPr>
          <w:trHeight w:val="384" w:hRule="exact"/>
        </w:trPr>
        <w:tc>
          <w:tcPr>
            <w:tcW w:w="357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10" w:right="0"/>
              <w:jc w:val="left"/>
              <w:rPr>
                <w:rFonts w:ascii="宋体" w:hAnsi="宋体" w:cs="宋体" w:eastAsia="宋体" w:hint="default"/>
                <w:sz w:val="21"/>
                <w:szCs w:val="21"/>
              </w:rPr>
            </w:pPr>
            <w:r>
              <w:rPr>
                <w:rFonts w:ascii="宋体" w:hAnsi="宋体" w:cs="宋体" w:eastAsia="宋体" w:hint="default"/>
                <w:sz w:val="21"/>
                <w:szCs w:val="21"/>
              </w:rPr>
              <w:t>占年度应付账款总余额的比例（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52" w:type="dxa"/>
            <w:tcBorders>
              <w:top w:val="single" w:sz="4" w:space="0" w:color="000000"/>
              <w:left w:val="single" w:sz="13" w:space="0" w:color="E6E6E6"/>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pacing w:val="-1"/>
                <w:sz w:val="21"/>
              </w:rPr>
              <w:t>80.28%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pacing w:val="-1"/>
                <w:sz w:val="21"/>
              </w:rPr>
              <w:t>89.29%</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-9.01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百分点</w:t>
            </w:r>
          </w:p>
        </w:tc>
      </w:tr>
    </w:tbl>
    <w:p>
      <w:pPr>
        <w:spacing w:line="240" w:lineRule="auto" w:before="5"/>
        <w:rPr>
          <w:rFonts w:ascii="宋体" w:hAnsi="宋体" w:cs="宋体" w:eastAsia="宋体" w:hint="default"/>
          <w:sz w:val="13"/>
          <w:szCs w:val="13"/>
        </w:rPr>
      </w:pPr>
    </w:p>
    <w:p>
      <w:pPr>
        <w:pStyle w:val="BodyText"/>
        <w:spacing w:line="357" w:lineRule="auto" w:before="29"/>
        <w:ind w:left="217" w:right="270" w:firstLine="459"/>
        <w:jc w:val="both"/>
      </w:pPr>
      <w:r>
        <w:rPr/>
        <w:t>本年前五名供应商合计采购金额占公司年度总采购金额的</w:t>
      </w:r>
      <w:r>
        <w:rPr>
          <w:spacing w:val="-63"/>
        </w:rPr>
        <w:t> </w:t>
      </w:r>
      <w:r>
        <w:rPr>
          <w:rFonts w:ascii="Times New Roman" w:hAnsi="Times New Roman" w:cs="Times New Roman" w:eastAsia="Times New Roman" w:hint="default"/>
          <w:spacing w:val="-4"/>
        </w:rPr>
        <w:t>51.00%</w:t>
      </w:r>
      <w:r>
        <w:rPr>
          <w:spacing w:val="-4"/>
        </w:rPr>
        <w:t>，不存在向单</w:t>
      </w:r>
      <w:r>
        <w:rPr>
          <w:w w:val="100"/>
        </w:rPr>
        <w:t> </w:t>
      </w:r>
      <w:r>
        <w:rPr/>
        <w:t>一供应商采购比例超过</w:t>
      </w:r>
      <w:r>
        <w:rPr>
          <w:spacing w:val="-54"/>
        </w:rPr>
        <w:t> </w:t>
      </w:r>
      <w:r>
        <w:rPr>
          <w:rFonts w:ascii="Times New Roman" w:hAnsi="Times New Roman" w:cs="Times New Roman" w:eastAsia="Times New Roman" w:hint="default"/>
        </w:rPr>
        <w:t>30%</w:t>
      </w:r>
      <w:r>
        <w:rPr/>
        <w:t>的情况。公司董事、监事、高级管理人员、核心技术人</w:t>
      </w:r>
      <w:r>
        <w:rPr>
          <w:w w:val="100"/>
        </w:rPr>
        <w:t> </w:t>
      </w:r>
      <w:r>
        <w:rPr/>
        <w:t>员及持有公司</w:t>
      </w:r>
      <w:r>
        <w:rPr>
          <w:spacing w:val="-44"/>
        </w:rPr>
        <w:t> </w:t>
      </w:r>
      <w:r>
        <w:rPr>
          <w:rFonts w:ascii="Times New Roman" w:hAnsi="Times New Roman" w:cs="Times New Roman" w:eastAsia="Times New Roman" w:hint="default"/>
          <w:spacing w:val="-3"/>
        </w:rPr>
        <w:t>5%</w:t>
      </w:r>
      <w:r>
        <w:rPr>
          <w:spacing w:val="-3"/>
        </w:rPr>
        <w:t>以上股份的股东在公司前五名供应商中未占有任何权益。公司</w:t>
      </w:r>
      <w:r>
        <w:rPr>
          <w:spacing w:val="-3"/>
          <w:sz w:val="21"/>
          <w:szCs w:val="21"/>
        </w:rPr>
        <w:t>报告</w:t>
      </w:r>
      <w:r>
        <w:rPr>
          <w:spacing w:val="-100"/>
          <w:sz w:val="21"/>
          <w:szCs w:val="21"/>
        </w:rPr>
        <w:t> </w:t>
      </w:r>
      <w:r>
        <w:rPr>
          <w:spacing w:val="-100"/>
          <w:sz w:val="21"/>
          <w:szCs w:val="21"/>
        </w:rPr>
      </w:r>
      <w:r>
        <w:rPr>
          <w:sz w:val="21"/>
          <w:szCs w:val="21"/>
        </w:rPr>
        <w:t>期内采购金额大幅增长是</w:t>
      </w:r>
      <w:r>
        <w:rPr/>
        <w:t>由于本公司金融专用设备产品的销售收入较上年度大幅增长</w:t>
      </w:r>
      <w:r>
        <w:rPr>
          <w:spacing w:val="-93"/>
        </w:rPr>
        <w:t> </w:t>
      </w:r>
      <w:r>
        <w:rPr>
          <w:spacing w:val="-93"/>
        </w:rPr>
      </w:r>
      <w:r>
        <w:rPr/>
        <w:t>的原因。</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600" w:bottom="280" w:left="1580" w:right="1520"/>
        </w:sectPr>
      </w:pPr>
    </w:p>
    <w:p>
      <w:pPr>
        <w:pStyle w:val="BodyText"/>
        <w:spacing w:line="240" w:lineRule="auto" w:before="29"/>
        <w:ind w:left="217" w:right="-12"/>
        <w:jc w:val="left"/>
      </w:pPr>
      <w:r>
        <w:rPr/>
        <w:t>（三）</w:t>
      </w:r>
      <w:r>
        <w:rPr>
          <w:spacing w:val="-94"/>
        </w:rPr>
        <w:t> </w:t>
      </w:r>
      <w:r>
        <w:rPr/>
        <w:t>报告期内主要财务数据变动情况及影响因素分析</w:t>
      </w:r>
    </w:p>
    <w:p>
      <w:pPr>
        <w:pStyle w:val="BodyText"/>
        <w:spacing w:line="240" w:lineRule="auto" w:before="167"/>
        <w:ind w:left="677" w:right="-12"/>
        <w:jc w:val="left"/>
      </w:pPr>
      <w:r>
        <w:rPr>
          <w:rFonts w:ascii="Times New Roman" w:hAnsi="Times New Roman" w:cs="Times New Roman" w:eastAsia="Times New Roman" w:hint="default"/>
        </w:rPr>
        <w:t>1</w:t>
      </w:r>
      <w:r>
        <w:rPr/>
        <w:t>．资产、负债和权益变动情况分析</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3"/>
          <w:szCs w:val="23"/>
        </w:rPr>
      </w:pPr>
    </w:p>
    <w:p>
      <w:pPr>
        <w:pStyle w:val="BodyText"/>
        <w:spacing w:line="240" w:lineRule="auto"/>
        <w:ind w:left="217" w:right="0"/>
        <w:jc w:val="left"/>
      </w:pPr>
      <w:r>
        <w:rPr/>
        <w:t>单位：元</w:t>
      </w:r>
    </w:p>
    <w:p>
      <w:pPr>
        <w:spacing w:after="0" w:line="240" w:lineRule="auto"/>
        <w:jc w:val="left"/>
        <w:sectPr>
          <w:type w:val="continuous"/>
          <w:pgSz w:w="11910" w:h="16840"/>
          <w:pgMar w:top="1600" w:bottom="280" w:left="1580" w:right="1520"/>
          <w:cols w:num="2" w:equalWidth="0">
            <w:col w:w="5767" w:space="1624"/>
            <w:col w:w="1419"/>
          </w:cols>
        </w:sectPr>
      </w:pPr>
    </w:p>
    <w:p>
      <w:pPr>
        <w:spacing w:line="240" w:lineRule="auto" w:before="12"/>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2808"/>
        <w:gridCol w:w="2160"/>
        <w:gridCol w:w="1980"/>
        <w:gridCol w:w="1620"/>
      </w:tblGrid>
      <w:tr>
        <w:trPr>
          <w:trHeight w:val="478"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left="655" w:right="0"/>
              <w:jc w:val="left"/>
              <w:rPr>
                <w:rFonts w:ascii="宋体" w:hAnsi="宋体" w:cs="宋体" w:eastAsia="宋体" w:hint="default"/>
                <w:sz w:val="21"/>
                <w:szCs w:val="21"/>
              </w:rPr>
            </w:pPr>
            <w:r>
              <w:rPr>
                <w:rFonts w:ascii="宋体" w:hAnsi="宋体" w:cs="宋体" w:eastAsia="宋体" w:hint="default"/>
                <w:sz w:val="21"/>
                <w:szCs w:val="21"/>
              </w:rPr>
              <w:t>报告期末</w:t>
            </w:r>
          </w:p>
        </w:tc>
        <w:tc>
          <w:tcPr>
            <w:tcW w:w="19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left="565" w:right="0"/>
              <w:jc w:val="left"/>
              <w:rPr>
                <w:rFonts w:ascii="宋体" w:hAnsi="宋体" w:cs="宋体" w:eastAsia="宋体" w:hint="default"/>
                <w:sz w:val="21"/>
                <w:szCs w:val="21"/>
              </w:rPr>
            </w:pPr>
            <w:r>
              <w:rPr>
                <w:rFonts w:ascii="宋体" w:hAnsi="宋体" w:cs="宋体" w:eastAsia="宋体" w:hint="default"/>
                <w:sz w:val="21"/>
                <w:szCs w:val="21"/>
              </w:rPr>
              <w:t>上年期末</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left="385"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21"/>
                <w:szCs w:val="21"/>
              </w:rPr>
            </w:pPr>
            <w:r>
              <w:rPr>
                <w:rFonts w:ascii="Times New Roman"/>
                <w:spacing w:val="-1"/>
                <w:sz w:val="21"/>
              </w:rPr>
              <w:t>530,295,506.22</w:t>
            </w:r>
            <w:r>
              <w:rPr>
                <w:rFonts w:ascii="Times New Roman"/>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541,026,412.47</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21"/>
                <w:szCs w:val="21"/>
              </w:rPr>
            </w:pPr>
            <w:r>
              <w:rPr>
                <w:rFonts w:ascii="Times New Roman"/>
                <w:spacing w:val="-1"/>
                <w:sz w:val="21"/>
              </w:rPr>
              <w:t>-1.98%</w:t>
            </w:r>
            <w:r>
              <w:rPr>
                <w:rFonts w:ascii="Times New Roman"/>
                <w:sz w:val="21"/>
              </w:rPr>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right="1013"/>
              <w:jc w:val="right"/>
              <w:rPr>
                <w:rFonts w:ascii="宋体" w:hAnsi="宋体" w:cs="宋体" w:eastAsia="宋体" w:hint="default"/>
                <w:sz w:val="21"/>
                <w:szCs w:val="21"/>
              </w:rPr>
            </w:pPr>
            <w:r>
              <w:rPr>
                <w:rFonts w:ascii="宋体" w:hAnsi="宋体" w:cs="宋体" w:eastAsia="宋体" w:hint="default"/>
                <w:sz w:val="21"/>
                <w:szCs w:val="21"/>
              </w:rPr>
              <w:t>其中：货币资金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21"/>
                <w:szCs w:val="21"/>
              </w:rPr>
            </w:pPr>
            <w:r>
              <w:rPr>
                <w:rFonts w:ascii="Times New Roman"/>
                <w:spacing w:val="-1"/>
                <w:sz w:val="21"/>
              </w:rPr>
              <w:t>387,791,510.52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21"/>
                <w:szCs w:val="21"/>
              </w:rPr>
            </w:pPr>
            <w:r>
              <w:rPr>
                <w:rFonts w:ascii="Times New Roman"/>
                <w:spacing w:val="-1"/>
                <w:sz w:val="21"/>
              </w:rPr>
              <w:t>433,006,815.47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-10.44%</w:t>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right="1013"/>
              <w:jc w:val="right"/>
              <w:rPr>
                <w:rFonts w:ascii="宋体" w:hAnsi="宋体" w:cs="宋体" w:eastAsia="宋体" w:hint="default"/>
                <w:sz w:val="21"/>
                <w:szCs w:val="21"/>
              </w:rPr>
            </w:pPr>
            <w:r>
              <w:rPr>
                <w:rFonts w:ascii="宋体" w:hAnsi="宋体" w:cs="宋体" w:eastAsia="宋体" w:hint="default"/>
                <w:sz w:val="21"/>
                <w:szCs w:val="21"/>
              </w:rPr>
              <w:t>应收账款</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pacing w:val="-1"/>
                <w:sz w:val="21"/>
              </w:rPr>
              <w:t>62,570,964.60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pacing w:val="-1"/>
                <w:sz w:val="21"/>
              </w:rPr>
              <w:t>47,621,649.64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31.39%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580" w:right="1520"/>
        </w:sectPr>
      </w:pPr>
    </w:p>
    <w:p>
      <w:pPr>
        <w:spacing w:line="240" w:lineRule="auto" w:before="6"/>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2808"/>
        <w:gridCol w:w="2160"/>
        <w:gridCol w:w="1980"/>
        <w:gridCol w:w="1620"/>
      </w:tblGrid>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right="490"/>
              <w:jc w:val="center"/>
              <w:rPr>
                <w:rFonts w:ascii="宋体" w:hAnsi="宋体" w:cs="宋体" w:eastAsia="宋体" w:hint="default"/>
                <w:sz w:val="21"/>
                <w:szCs w:val="21"/>
              </w:rPr>
            </w:pPr>
            <w:r>
              <w:rPr>
                <w:rFonts w:ascii="宋体" w:hAnsi="宋体" w:cs="宋体" w:eastAsia="宋体" w:hint="default"/>
                <w:sz w:val="21"/>
                <w:szCs w:val="21"/>
              </w:rPr>
              <w:t>存货</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4,406,444.93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1,247,558.79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253.21%</w:t>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94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pacing w:val="-1"/>
                <w:sz w:val="21"/>
              </w:rPr>
              <w:t>10,114,895.33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5,523,941.56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2"/>
                <w:sz w:val="21"/>
              </w:rPr>
              <w:t>83.11%</w:t>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94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z w:val="21"/>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z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z w:val="21"/>
              </w:rPr>
              <w:t>-</w:t>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94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pacing w:val="-1"/>
                <w:sz w:val="21"/>
              </w:rPr>
              <w:t>45,178,783.11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46,336,627.59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pacing w:val="-1"/>
                <w:sz w:val="21"/>
              </w:rPr>
              <w:t>-2.50%</w:t>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right="7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5,167,420.79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3,861,610.85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33.82%</w:t>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right="70"/>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z w:val="21"/>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z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z w:val="21"/>
              </w:rPr>
              <w:t>-</w:t>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94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pacing w:val="-1"/>
                <w:sz w:val="21"/>
              </w:rPr>
              <w:t>15,065,486.94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3,428,208.57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339.46%</w:t>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总负债</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pacing w:val="-1"/>
                <w:sz w:val="21"/>
              </w:rPr>
              <w:t>14,613,992.74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pacing w:val="-1"/>
                <w:sz w:val="21"/>
              </w:rPr>
              <w:t>10,175,796.89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43.62%</w:t>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313" w:right="0"/>
              <w:jc w:val="left"/>
              <w:rPr>
                <w:rFonts w:ascii="宋体" w:hAnsi="宋体" w:cs="宋体" w:eastAsia="宋体" w:hint="default"/>
                <w:sz w:val="21"/>
                <w:szCs w:val="21"/>
              </w:rPr>
            </w:pPr>
            <w:r>
              <w:rPr>
                <w:rFonts w:ascii="宋体" w:hAnsi="宋体" w:cs="宋体" w:eastAsia="宋体" w:hint="default"/>
                <w:sz w:val="21"/>
                <w:szCs w:val="21"/>
              </w:rPr>
              <w:t>其中：流动负债</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pacing w:val="-1"/>
                <w:sz w:val="21"/>
              </w:rPr>
              <w:t>14,613,992.74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pacing w:val="-1"/>
                <w:sz w:val="21"/>
              </w:rPr>
              <w:t>10,175,796.89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43.62%</w:t>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right="70"/>
              <w:jc w:val="center"/>
              <w:rPr>
                <w:rFonts w:ascii="宋体" w:hAnsi="宋体" w:cs="宋体" w:eastAsia="宋体" w:hint="default"/>
                <w:sz w:val="21"/>
                <w:szCs w:val="21"/>
              </w:rPr>
            </w:pPr>
            <w:r>
              <w:rPr>
                <w:rFonts w:ascii="宋体" w:hAnsi="宋体" w:cs="宋体" w:eastAsia="宋体" w:hint="default"/>
                <w:sz w:val="21"/>
                <w:szCs w:val="21"/>
              </w:rPr>
              <w:t>长期借款</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z w:val="21"/>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z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z w:val="21"/>
              </w:rPr>
              <w:t>-</w:t>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股东权益</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21"/>
                <w:szCs w:val="21"/>
              </w:rPr>
            </w:pPr>
            <w:r>
              <w:rPr>
                <w:rFonts w:ascii="Times New Roman"/>
                <w:spacing w:val="-1"/>
                <w:sz w:val="21"/>
              </w:rPr>
              <w:t>515,681,513.48</w:t>
            </w:r>
            <w:r>
              <w:rPr>
                <w:rFonts w:ascii="Times New Roman"/>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530,850,615.58</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21"/>
                <w:szCs w:val="21"/>
              </w:rPr>
            </w:pPr>
            <w:r>
              <w:rPr>
                <w:rFonts w:ascii="Times New Roman"/>
                <w:spacing w:val="-1"/>
                <w:sz w:val="21"/>
              </w:rPr>
              <w:t>-2.86%</w:t>
            </w:r>
            <w:r>
              <w:rPr>
                <w:rFonts w:ascii="Times New Roman"/>
                <w:sz w:val="21"/>
              </w:rPr>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313" w:right="0"/>
              <w:jc w:val="left"/>
              <w:rPr>
                <w:rFonts w:ascii="宋体" w:hAnsi="宋体" w:cs="宋体" w:eastAsia="宋体" w:hint="default"/>
                <w:sz w:val="21"/>
                <w:szCs w:val="21"/>
              </w:rPr>
            </w:pPr>
            <w:r>
              <w:rPr>
                <w:rFonts w:ascii="宋体" w:hAnsi="宋体" w:cs="宋体" w:eastAsia="宋体" w:hint="default"/>
                <w:sz w:val="21"/>
                <w:szCs w:val="21"/>
              </w:rPr>
              <w:t>其中：实收资本（股本）</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120,000,000.00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pacing w:val="-1"/>
                <w:sz w:val="21"/>
              </w:rPr>
              <w:t>60,000,000.00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right="7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21"/>
                <w:szCs w:val="21"/>
              </w:rPr>
            </w:pPr>
            <w:r>
              <w:rPr>
                <w:rFonts w:ascii="Times New Roman"/>
                <w:spacing w:val="-1"/>
                <w:sz w:val="21"/>
              </w:rPr>
              <w:t>313,975,300.21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21"/>
                <w:szCs w:val="21"/>
              </w:rPr>
            </w:pPr>
            <w:r>
              <w:rPr>
                <w:rFonts w:ascii="Times New Roman"/>
                <w:spacing w:val="-1"/>
                <w:sz w:val="21"/>
              </w:rPr>
              <w:t>373,975,300.21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-16.04%</w:t>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right="7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pacing w:val="-1"/>
                <w:sz w:val="21"/>
              </w:rPr>
              <w:t>12,979,061.84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pacing w:val="-1"/>
                <w:sz w:val="21"/>
              </w:rPr>
              <w:t>10,843,670.67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19.69%</w:t>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94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pacing w:val="-1"/>
                <w:sz w:val="21"/>
              </w:rPr>
              <w:t>68,727,151.43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pacing w:val="-1"/>
                <w:sz w:val="21"/>
              </w:rPr>
              <w:t>86,031,644.70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pacing w:val="-2"/>
                <w:sz w:val="21"/>
              </w:rPr>
              <w:t>-20.11%</w:t>
            </w:r>
          </w:p>
        </w:tc>
      </w:tr>
    </w:tbl>
    <w:p>
      <w:pPr>
        <w:spacing w:line="240" w:lineRule="auto" w:before="5"/>
        <w:rPr>
          <w:rFonts w:ascii="宋体" w:hAnsi="宋体" w:cs="宋体" w:eastAsia="宋体" w:hint="default"/>
          <w:sz w:val="13"/>
          <w:szCs w:val="13"/>
        </w:rPr>
      </w:pPr>
    </w:p>
    <w:p>
      <w:pPr>
        <w:pStyle w:val="BodyText"/>
        <w:spacing w:line="364" w:lineRule="auto" w:before="29"/>
        <w:ind w:left="217" w:right="152" w:firstLine="459"/>
        <w:jc w:val="left"/>
      </w:pPr>
      <w:r>
        <w:rPr>
          <w:spacing w:val="-8"/>
        </w:rPr>
        <w:t>报告期末，公司总资产为 </w:t>
      </w:r>
      <w:r>
        <w:rPr>
          <w:rFonts w:ascii="Times New Roman" w:hAnsi="Times New Roman" w:cs="Times New Roman" w:eastAsia="Times New Roman" w:hint="default"/>
        </w:rPr>
        <w:t>530,295,506.22 </w:t>
      </w:r>
      <w:r>
        <w:rPr>
          <w:spacing w:val="-11"/>
        </w:rPr>
        <w:t>元，较年初减少</w:t>
      </w:r>
      <w:r>
        <w:rPr>
          <w:spacing w:val="-92"/>
        </w:rPr>
        <w:t> </w:t>
      </w:r>
      <w:r>
        <w:rPr>
          <w:rFonts w:ascii="Times New Roman" w:hAnsi="Times New Roman" w:cs="Times New Roman" w:eastAsia="Times New Roman" w:hint="default"/>
          <w:spacing w:val="-6"/>
        </w:rPr>
        <w:t>1.98%</w:t>
      </w:r>
      <w:r>
        <w:rPr>
          <w:spacing w:val="-6"/>
        </w:rPr>
        <w:t>，其中应收账款、</w:t>
      </w:r>
      <w:r>
        <w:rPr>
          <w:w w:val="100"/>
        </w:rPr>
        <w:t> </w:t>
      </w:r>
      <w:r>
        <w:rPr/>
        <w:t>存货、固定资产的变动幅度较大，分别增加</w:t>
      </w:r>
      <w:r>
        <w:rPr>
          <w:spacing w:val="-67"/>
        </w:rPr>
        <w:t> </w:t>
      </w:r>
      <w:r>
        <w:rPr>
          <w:rFonts w:ascii="Times New Roman" w:hAnsi="Times New Roman" w:cs="Times New Roman" w:eastAsia="Times New Roman" w:hint="default"/>
        </w:rPr>
        <w:t>31.39%</w:t>
      </w:r>
      <w:r>
        <w:rPr/>
        <w:t>、</w:t>
      </w:r>
      <w:r>
        <w:rPr>
          <w:rFonts w:ascii="Times New Roman" w:hAnsi="Times New Roman" w:cs="Times New Roman" w:eastAsia="Times New Roman" w:hint="default"/>
        </w:rPr>
        <w:t>253.21%</w:t>
      </w:r>
      <w:r>
        <w:rPr/>
        <w:t>和</w:t>
      </w:r>
      <w:r>
        <w:rPr>
          <w:spacing w:val="-67"/>
        </w:rPr>
        <w:t> </w:t>
      </w:r>
      <w:r>
        <w:rPr>
          <w:rFonts w:ascii="Times New Roman" w:hAnsi="Times New Roman" w:cs="Times New Roman" w:eastAsia="Times New Roman" w:hint="default"/>
        </w:rPr>
        <w:t>33.82%</w:t>
      </w:r>
      <w:r>
        <w:rPr/>
        <w:t>。应收账款</w:t>
      </w:r>
      <w:r>
        <w:rPr>
          <w:w w:val="100"/>
        </w:rPr>
        <w:t> </w:t>
      </w:r>
      <w:r>
        <w:rPr/>
        <w:t>较上年度期末增大，除公司销售收入增长的原因以外，还因为报告期内公司个别大</w:t>
      </w:r>
      <w:r>
        <w:rPr>
          <w:spacing w:val="-87"/>
        </w:rPr>
        <w:t> </w:t>
      </w:r>
      <w:r>
        <w:rPr>
          <w:spacing w:val="-87"/>
        </w:rPr>
      </w:r>
      <w:r>
        <w:rPr/>
        <w:t>额合同客户采取分行实施、总行付款的结算方式，应收账款回收周期较长的原因。</w:t>
      </w:r>
      <w:r>
        <w:rPr>
          <w:spacing w:val="-87"/>
        </w:rPr>
        <w:t> </w:t>
      </w:r>
      <w:r>
        <w:rPr>
          <w:spacing w:val="-87"/>
        </w:rPr>
      </w:r>
      <w:r>
        <w:rPr/>
        <w:t>存货较上年度期末大幅增加，主要是随着公司金融专用设备类业务较快发展，公司</w:t>
      </w:r>
      <w:r>
        <w:rPr>
          <w:spacing w:val="-87"/>
        </w:rPr>
        <w:t> </w:t>
      </w:r>
      <w:r>
        <w:rPr>
          <w:spacing w:val="-87"/>
        </w:rPr>
      </w:r>
      <w:r>
        <w:rPr>
          <w:spacing w:val="-3"/>
        </w:rPr>
        <w:t>此类产品的原材料及产成品的库存周转大幅增加所致。固定资产较上年度期末增大，</w:t>
      </w:r>
      <w:r>
        <w:rPr>
          <w:spacing w:val="-98"/>
        </w:rPr>
        <w:t> </w:t>
      </w:r>
      <w:r>
        <w:rPr>
          <w:spacing w:val="-98"/>
        </w:rPr>
      </w:r>
      <w:r>
        <w:rPr/>
        <w:t>除公司随员工人数增加办公设备资产增加的原因以外，还因为公司用于生产金融专</w:t>
      </w:r>
      <w:r>
        <w:rPr>
          <w:spacing w:val="-87"/>
        </w:rPr>
        <w:t> </w:t>
      </w:r>
      <w:r>
        <w:rPr>
          <w:spacing w:val="-87"/>
        </w:rPr>
      </w:r>
      <w:r>
        <w:rPr>
          <w:spacing w:val="-6"/>
        </w:rPr>
        <w:t>用设备产品的模具等生产设备的投入增加造成的。此外，其他流动资产增加</w:t>
      </w:r>
      <w:r>
        <w:rPr>
          <w:spacing w:val="-38"/>
        </w:rPr>
        <w:t> </w:t>
      </w:r>
      <w:r>
        <w:rPr>
          <w:rFonts w:ascii="Times New Roman" w:hAnsi="Times New Roman" w:cs="Times New Roman" w:eastAsia="Times New Roman" w:hint="default"/>
        </w:rPr>
        <w:t>83.11%</w:t>
      </w:r>
      <w:r>
        <w:rPr/>
        <w:t>，</w:t>
      </w:r>
      <w:r>
        <w:rPr>
          <w:spacing w:val="-108"/>
        </w:rPr>
        <w:t> </w:t>
      </w:r>
      <w:r>
        <w:rPr/>
        <w:t>主要是公司为保障金融专用设备产品的有效供应向供应商的预付货款增加，以及公</w:t>
      </w:r>
      <w:r>
        <w:rPr>
          <w:spacing w:val="-87"/>
        </w:rPr>
        <w:t> </w:t>
      </w:r>
      <w:r>
        <w:rPr>
          <w:spacing w:val="-87"/>
        </w:rPr>
      </w:r>
      <w:r>
        <w:rPr/>
        <w:t>司各分支办事机构租赁押金、员工备用金等其他应收款增加的原因；其他非流动资</w:t>
      </w:r>
      <w:r>
        <w:rPr>
          <w:spacing w:val="-87"/>
        </w:rPr>
        <w:t> </w:t>
      </w:r>
      <w:r>
        <w:rPr>
          <w:spacing w:val="-87"/>
        </w:rPr>
      </w:r>
      <w:r>
        <w:rPr/>
        <w:t>产增加 </w:t>
      </w:r>
      <w:r>
        <w:rPr>
          <w:rFonts w:ascii="Times New Roman" w:hAnsi="Times New Roman" w:cs="Times New Roman" w:eastAsia="Times New Roman" w:hint="default"/>
        </w:rPr>
        <w:t>339.46%</w:t>
      </w:r>
      <w:r>
        <w:rPr/>
        <w:t>，主要是公司研发项目资本化支出增加，研发项目资本化支出转化</w:t>
      </w:r>
      <w:r>
        <w:rPr>
          <w:spacing w:val="-103"/>
        </w:rPr>
        <w:t> </w:t>
      </w:r>
      <w:r>
        <w:rPr/>
        <w:t>形成的无形资产增加，以及可抵扣的企业所得税暂时性差异等原因造成的。</w:t>
      </w:r>
    </w:p>
    <w:p>
      <w:pPr>
        <w:pStyle w:val="BodyText"/>
        <w:spacing w:line="352" w:lineRule="auto" w:before="47"/>
        <w:ind w:left="217" w:right="267" w:firstLine="459"/>
        <w:jc w:val="left"/>
      </w:pPr>
      <w:r>
        <w:rPr>
          <w:spacing w:val="-4"/>
        </w:rPr>
        <w:t>报告期末，公司总负债为</w:t>
      </w:r>
      <w:r>
        <w:rPr>
          <w:spacing w:val="-53"/>
        </w:rPr>
        <w:t> </w:t>
      </w:r>
      <w:r>
        <w:rPr>
          <w:rFonts w:ascii="Times New Roman" w:hAnsi="Times New Roman" w:cs="Times New Roman" w:eastAsia="Times New Roman" w:hint="default"/>
        </w:rPr>
        <w:t>14,613,992.74</w:t>
      </w:r>
      <w:r>
        <w:rPr>
          <w:rFonts w:ascii="Times New Roman" w:hAnsi="Times New Roman" w:cs="Times New Roman" w:eastAsia="Times New Roman" w:hint="default"/>
          <w:spacing w:val="5"/>
        </w:rPr>
        <w:t> </w:t>
      </w:r>
      <w:r>
        <w:rPr>
          <w:spacing w:val="-6"/>
        </w:rPr>
        <w:t>元，较年初增加</w:t>
      </w:r>
      <w:r>
        <w:rPr>
          <w:spacing w:val="-55"/>
        </w:rPr>
        <w:t> </w:t>
      </w:r>
      <w:r>
        <w:rPr>
          <w:rFonts w:ascii="Times New Roman" w:hAnsi="Times New Roman" w:cs="Times New Roman" w:eastAsia="Times New Roman" w:hint="default"/>
          <w:spacing w:val="-3"/>
        </w:rPr>
        <w:t>43.62%</w:t>
      </w:r>
      <w:r>
        <w:rPr>
          <w:spacing w:val="-3"/>
        </w:rPr>
        <w:t>，主要是公司采</w:t>
      </w:r>
      <w:r>
        <w:rPr>
          <w:w w:val="100"/>
        </w:rPr>
        <w:t> </w:t>
      </w:r>
      <w:r>
        <w:rPr/>
        <w:t>购材料款尚未结算支付造成应付账款增加，以及期末应交税费增加的原因。</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0"/>
          <w:szCs w:val="30"/>
        </w:rPr>
      </w:pPr>
    </w:p>
    <w:p>
      <w:pPr>
        <w:pStyle w:val="BodyText"/>
        <w:spacing w:line="240" w:lineRule="auto"/>
        <w:ind w:left="677" w:right="260"/>
        <w:jc w:val="left"/>
      </w:pPr>
      <w:r>
        <w:rPr>
          <w:rFonts w:ascii="Times New Roman" w:hAnsi="Times New Roman" w:cs="Times New Roman" w:eastAsia="Times New Roman" w:hint="default"/>
        </w:rPr>
        <w:t>2</w:t>
      </w:r>
      <w:r>
        <w:rPr/>
        <w:t>．期间费用变动情况分析</w:t>
      </w:r>
    </w:p>
    <w:p>
      <w:pPr>
        <w:spacing w:after="0" w:line="240" w:lineRule="auto"/>
        <w:jc w:val="left"/>
        <w:sectPr>
          <w:pgSz w:w="11910" w:h="16840"/>
          <w:pgMar w:header="877" w:footer="982" w:top="1100" w:bottom="1180" w:left="1580" w:right="1520"/>
        </w:sectPr>
      </w:pPr>
    </w:p>
    <w:p>
      <w:pPr>
        <w:spacing w:line="240" w:lineRule="auto" w:before="12"/>
        <w:rPr>
          <w:rFonts w:ascii="宋体" w:hAnsi="宋体" w:cs="宋体" w:eastAsia="宋体" w:hint="default"/>
          <w:sz w:val="25"/>
          <w:szCs w:val="25"/>
        </w:rPr>
      </w:pPr>
    </w:p>
    <w:p>
      <w:pPr>
        <w:pStyle w:val="BodyText"/>
        <w:spacing w:line="240" w:lineRule="auto" w:before="29"/>
        <w:ind w:left="0" w:right="452"/>
        <w:jc w:val="right"/>
      </w:pPr>
      <w:r>
        <w:rPr/>
        <w:t>单位：元</w:t>
      </w:r>
    </w:p>
    <w:p>
      <w:pPr>
        <w:spacing w:line="240" w:lineRule="auto" w:before="1"/>
        <w:rPr>
          <w:rFonts w:ascii="宋体" w:hAnsi="宋体" w:cs="宋体" w:eastAsia="宋体" w:hint="default"/>
          <w:sz w:val="9"/>
          <w:szCs w:val="9"/>
        </w:rPr>
      </w:pPr>
    </w:p>
    <w:tbl>
      <w:tblPr>
        <w:tblW w:w="0" w:type="auto"/>
        <w:jc w:val="left"/>
        <w:tblInd w:w="364" w:type="dxa"/>
        <w:tblLayout w:type="fixed"/>
        <w:tblCellMar>
          <w:top w:w="0" w:type="dxa"/>
          <w:left w:w="0" w:type="dxa"/>
          <w:bottom w:w="0" w:type="dxa"/>
          <w:right w:w="0" w:type="dxa"/>
        </w:tblCellMar>
        <w:tblLook w:val="01E0"/>
      </w:tblPr>
      <w:tblGrid>
        <w:gridCol w:w="1548"/>
        <w:gridCol w:w="1800"/>
        <w:gridCol w:w="1620"/>
        <w:gridCol w:w="1800"/>
        <w:gridCol w:w="1800"/>
      </w:tblGrid>
      <w:tr>
        <w:trPr>
          <w:trHeight w:val="633" w:hRule="exact"/>
        </w:trPr>
        <w:tc>
          <w:tcPr>
            <w:tcW w:w="15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1"/>
              <w:ind w:left="556"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6" w:lineRule="exact"/>
              <w:ind w:right="1"/>
              <w:jc w:val="center"/>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年营业</w:t>
            </w:r>
          </w:p>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收入的比例</w:t>
            </w:r>
          </w:p>
        </w:tc>
        <w:tc>
          <w:tcPr>
            <w:tcW w:w="18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1"/>
              <w:ind w:left="5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1"/>
              <w:ind w:left="475"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384" w:hRule="exact"/>
        </w:trPr>
        <w:tc>
          <w:tcPr>
            <w:tcW w:w="15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9" w:right="0"/>
              <w:jc w:val="left"/>
              <w:rPr>
                <w:rFonts w:ascii="Times New Roman" w:hAnsi="Times New Roman" w:cs="Times New Roman" w:eastAsia="Times New Roman" w:hint="default"/>
                <w:sz w:val="21"/>
                <w:szCs w:val="21"/>
              </w:rPr>
            </w:pPr>
            <w:r>
              <w:rPr>
                <w:rFonts w:ascii="Times New Roman"/>
                <w:sz w:val="21"/>
              </w:rPr>
              <w:t>21,680,265.51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22.49%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pacing w:val="-1"/>
                <w:sz w:val="21"/>
              </w:rPr>
              <w:t>12,721,557.86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70.42%</w:t>
            </w:r>
          </w:p>
        </w:tc>
      </w:tr>
      <w:tr>
        <w:trPr>
          <w:trHeight w:val="384" w:hRule="exact"/>
        </w:trPr>
        <w:tc>
          <w:tcPr>
            <w:tcW w:w="15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9" w:right="0"/>
              <w:jc w:val="left"/>
              <w:rPr>
                <w:rFonts w:ascii="Times New Roman" w:hAnsi="Times New Roman" w:cs="Times New Roman" w:eastAsia="Times New Roman" w:hint="default"/>
                <w:sz w:val="21"/>
                <w:szCs w:val="21"/>
              </w:rPr>
            </w:pPr>
            <w:r>
              <w:rPr>
                <w:rFonts w:ascii="Times New Roman"/>
                <w:sz w:val="21"/>
              </w:rPr>
              <w:t>21,642,753.51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22.45%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pacing w:val="-1"/>
                <w:sz w:val="21"/>
              </w:rPr>
              <w:t>18,454,038.35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17.28%</w:t>
            </w:r>
          </w:p>
        </w:tc>
      </w:tr>
      <w:tr>
        <w:trPr>
          <w:trHeight w:val="384" w:hRule="exact"/>
        </w:trPr>
        <w:tc>
          <w:tcPr>
            <w:tcW w:w="15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21"/>
                <w:szCs w:val="21"/>
              </w:rPr>
            </w:pPr>
            <w:r>
              <w:rPr>
                <w:rFonts w:ascii="Times New Roman"/>
                <w:sz w:val="21"/>
              </w:rPr>
              <w:t>-9,118,083.48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pacing w:val="-1"/>
                <w:sz w:val="21"/>
              </w:rPr>
              <w:t>-9.46%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-3,208,671.11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pacing w:val="-1"/>
                <w:sz w:val="21"/>
              </w:rPr>
              <w:t>-184.17%</w:t>
            </w:r>
          </w:p>
        </w:tc>
      </w:tr>
      <w:tr>
        <w:trPr>
          <w:trHeight w:val="385" w:hRule="exact"/>
        </w:trPr>
        <w:tc>
          <w:tcPr>
            <w:tcW w:w="15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84" w:right="0"/>
              <w:jc w:val="left"/>
              <w:rPr>
                <w:rFonts w:ascii="Times New Roman" w:hAnsi="Times New Roman" w:cs="Times New Roman" w:eastAsia="Times New Roman" w:hint="default"/>
                <w:sz w:val="21"/>
                <w:szCs w:val="21"/>
              </w:rPr>
            </w:pPr>
            <w:r>
              <w:rPr>
                <w:rFonts w:ascii="Times New Roman"/>
                <w:sz w:val="21"/>
              </w:rPr>
              <w:t>2,336,974.48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2.42%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1,120,469.17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108.57%</w:t>
            </w:r>
          </w:p>
        </w:tc>
      </w:tr>
    </w:tbl>
    <w:p>
      <w:pPr>
        <w:spacing w:line="240" w:lineRule="auto" w:before="5"/>
        <w:rPr>
          <w:rFonts w:ascii="宋体" w:hAnsi="宋体" w:cs="宋体" w:eastAsia="宋体" w:hint="default"/>
          <w:sz w:val="13"/>
          <w:szCs w:val="13"/>
        </w:rPr>
      </w:pPr>
    </w:p>
    <w:p>
      <w:pPr>
        <w:pStyle w:val="BodyText"/>
        <w:spacing w:line="360" w:lineRule="auto" w:before="29"/>
        <w:ind w:left="477" w:right="452" w:firstLine="459"/>
        <w:jc w:val="both"/>
      </w:pPr>
      <w:r>
        <w:rPr>
          <w:spacing w:val="-2"/>
        </w:rPr>
        <w:t>报告期内，销售费用与上年同比增长</w:t>
      </w:r>
      <w:r>
        <w:rPr>
          <w:spacing w:val="-41"/>
        </w:rPr>
        <w:t> </w:t>
      </w:r>
      <w:r>
        <w:rPr>
          <w:rFonts w:ascii="Times New Roman" w:hAnsi="Times New Roman" w:cs="Times New Roman" w:eastAsia="Times New Roman" w:hint="default"/>
          <w:spacing w:val="-2"/>
        </w:rPr>
        <w:t>70.42%</w:t>
      </w:r>
      <w:r>
        <w:rPr>
          <w:spacing w:val="-2"/>
        </w:rPr>
        <w:t>，主要是因为销售人员薪酬福利水</w:t>
      </w:r>
      <w:r>
        <w:rPr>
          <w:w w:val="100"/>
        </w:rPr>
        <w:t> </w:t>
      </w:r>
      <w:r>
        <w:rPr/>
        <w:t>平的提高，以及为配合新产品的开发和市场推广计划，公司加大市场开拓的力度，</w:t>
      </w:r>
      <w:r>
        <w:rPr>
          <w:spacing w:val="-87"/>
        </w:rPr>
        <w:t> </w:t>
      </w:r>
      <w:r>
        <w:rPr>
          <w:spacing w:val="-87"/>
        </w:rPr>
      </w:r>
      <w:r>
        <w:rPr/>
        <w:t>造成报告期内销售费用较大幅的增加。管理费用与上年同比增长</w:t>
      </w:r>
      <w:r>
        <w:rPr>
          <w:spacing w:val="-75"/>
        </w:rPr>
        <w:t> </w:t>
      </w:r>
      <w:r>
        <w:rPr>
          <w:rFonts w:ascii="Times New Roman" w:hAnsi="Times New Roman" w:cs="Times New Roman" w:eastAsia="Times New Roman" w:hint="default"/>
          <w:spacing w:val="-3"/>
        </w:rPr>
        <w:t>17.28%</w:t>
      </w:r>
      <w:r>
        <w:rPr>
          <w:spacing w:val="-3"/>
        </w:rPr>
        <w:t>，主要是因</w:t>
      </w:r>
      <w:r>
        <w:rPr>
          <w:w w:val="100"/>
        </w:rPr>
        <w:t> </w:t>
      </w:r>
      <w:r>
        <w:rPr/>
        <w:t>为公司业务规模的扩大，员工薪酬水平及薪酬福利总额增加，以及办公场地扩大、</w:t>
      </w:r>
      <w:r>
        <w:rPr>
          <w:spacing w:val="-87"/>
        </w:rPr>
        <w:t> </w:t>
      </w:r>
      <w:r>
        <w:rPr>
          <w:spacing w:val="-87"/>
        </w:rPr>
      </w:r>
      <w:r>
        <w:rPr/>
        <w:t>加大管理投入等因素造成管理费用同比有较大幅度的增加。财务费用较上年同期末</w:t>
      </w:r>
      <w:r>
        <w:rPr>
          <w:spacing w:val="-87"/>
        </w:rPr>
        <w:t> </w:t>
      </w:r>
      <w:r>
        <w:rPr>
          <w:spacing w:val="-87"/>
        </w:rPr>
      </w:r>
      <w:r>
        <w:rPr/>
        <w:t>减少</w:t>
      </w:r>
      <w:r>
        <w:rPr>
          <w:spacing w:val="11"/>
        </w:rPr>
        <w:t> </w:t>
      </w:r>
      <w:r>
        <w:rPr>
          <w:rFonts w:ascii="Times New Roman" w:hAnsi="Times New Roman" w:cs="Times New Roman" w:eastAsia="Times New Roman" w:hint="default"/>
        </w:rPr>
        <w:t>184.17%</w:t>
      </w:r>
      <w:r>
        <w:rPr/>
        <w:t>，主要是公司本报告期募集资金所产生的利息收入较上年度大幅增加</w:t>
      </w:r>
      <w:r>
        <w:rPr>
          <w:w w:val="100"/>
        </w:rPr>
        <w:t> </w:t>
      </w:r>
      <w:r>
        <w:rPr/>
        <w:t>所致。所得税费用增加主要</w:t>
      </w:r>
      <w:r>
        <w:rPr>
          <w:spacing w:val="11"/>
        </w:rPr>
        <w:t> </w:t>
      </w:r>
      <w:r>
        <w:rPr>
          <w:rFonts w:ascii="Times New Roman" w:hAnsi="Times New Roman" w:cs="Times New Roman" w:eastAsia="Times New Roman" w:hint="default"/>
        </w:rPr>
        <w:t>108.57%</w:t>
      </w:r>
      <w:r>
        <w:rPr/>
        <w:t>，除应纳税所得额增加的原因以外，还因为公</w:t>
      </w:r>
      <w:r>
        <w:rPr>
          <w:w w:val="100"/>
        </w:rPr>
        <w:t> </w:t>
      </w:r>
      <w:r>
        <w:rPr/>
        <w:t>司</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spacing w:val="-3"/>
        </w:rPr>
        <w:t>年度获得国家规划布局内重点软件企业认定，适用</w:t>
      </w:r>
      <w:r>
        <w:rPr>
          <w:spacing w:val="-51"/>
        </w:rPr>
        <w:t> </w:t>
      </w:r>
      <w:r>
        <w:rPr>
          <w:rFonts w:ascii="Times New Roman" w:hAnsi="Times New Roman" w:cs="Times New Roman" w:eastAsia="Times New Roman" w:hint="default"/>
          <w:spacing w:val="-5"/>
        </w:rPr>
        <w:t>10%</w:t>
      </w:r>
      <w:r>
        <w:rPr>
          <w:spacing w:val="-5"/>
        </w:rPr>
        <w:t>企业所得税率；</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55"/>
        </w:rPr>
        <w:t> </w:t>
      </w:r>
      <w:r>
        <w:rPr>
          <w:rFonts w:ascii="Times New Roman" w:hAnsi="Times New Roman" w:cs="Times New Roman" w:eastAsia="Times New Roman" w:hint="default"/>
          <w:spacing w:val="-55"/>
        </w:rPr>
      </w:r>
      <w:r>
        <w:rPr/>
        <w:t>年度本项认定由于政策原因延迟开展，公司按照国家高新技术企业适用</w:t>
      </w:r>
      <w:r>
        <w:rPr>
          <w:spacing w:val="-54"/>
        </w:rPr>
        <w:t> </w:t>
      </w:r>
      <w:r>
        <w:rPr>
          <w:rFonts w:ascii="Times New Roman" w:hAnsi="Times New Roman" w:cs="Times New Roman" w:eastAsia="Times New Roman" w:hint="default"/>
        </w:rPr>
        <w:t>15%</w:t>
      </w:r>
      <w:r>
        <w:rPr/>
        <w:t>企业所</w:t>
      </w:r>
      <w:r>
        <w:rPr>
          <w:w w:val="100"/>
        </w:rPr>
        <w:t> </w:t>
      </w:r>
      <w:r>
        <w:rPr/>
        <w:t>得税率计征所得税费用造成的。</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7"/>
          <w:szCs w:val="17"/>
        </w:rPr>
      </w:pPr>
    </w:p>
    <w:p>
      <w:pPr>
        <w:pStyle w:val="BodyText"/>
        <w:spacing w:line="240" w:lineRule="auto"/>
        <w:ind w:left="477" w:right="0"/>
        <w:jc w:val="left"/>
      </w:pPr>
      <w:r>
        <w:rPr/>
        <w:t>（四）</w:t>
      </w:r>
      <w:r>
        <w:rPr>
          <w:spacing w:val="-87"/>
        </w:rPr>
        <w:t> </w:t>
      </w:r>
      <w:r>
        <w:rPr/>
        <w:t>公司无形资产情况</w:t>
      </w:r>
    </w:p>
    <w:p>
      <w:pPr>
        <w:pStyle w:val="BodyText"/>
        <w:spacing w:line="240" w:lineRule="auto" w:before="167"/>
        <w:ind w:left="897" w:right="0"/>
        <w:jc w:val="left"/>
      </w:pPr>
      <w:r>
        <w:rPr>
          <w:rFonts w:ascii="Times New Roman" w:hAnsi="Times New Roman" w:cs="Times New Roman" w:eastAsia="Times New Roman" w:hint="default"/>
        </w:rPr>
        <w:t>1</w:t>
      </w:r>
      <w:r>
        <w:rPr/>
        <w:t>．账面无形资产</w:t>
      </w:r>
    </w:p>
    <w:p>
      <w:pPr>
        <w:pStyle w:val="BodyText"/>
        <w:spacing w:line="352" w:lineRule="auto" w:before="149"/>
        <w:ind w:left="477" w:right="0" w:firstLine="459"/>
        <w:jc w:val="left"/>
      </w:pPr>
      <w:r>
        <w:rPr>
          <w:spacing w:val="19"/>
        </w:rPr>
        <w:t>截止报告期末，公司账面无形资产为 </w:t>
      </w:r>
      <w:r>
        <w:rPr>
          <w:rFonts w:ascii="Times New Roman" w:hAnsi="Times New Roman" w:cs="Times New Roman" w:eastAsia="Times New Roman" w:hint="default"/>
        </w:rPr>
        <w:t>521,758.47</w:t>
      </w:r>
      <w:r>
        <w:rPr>
          <w:rFonts w:ascii="Times New Roman" w:hAnsi="Times New Roman" w:cs="Times New Roman" w:eastAsia="Times New Roman" w:hint="default"/>
          <w:spacing w:val="56"/>
        </w:rPr>
        <w:t> </w:t>
      </w:r>
      <w:r>
        <w:rPr>
          <w:spacing w:val="19"/>
        </w:rPr>
        <w:t>元，较之上年期末增加</w:t>
      </w:r>
      <w:r>
        <w:rPr>
          <w:w w:val="100"/>
        </w:rPr>
        <w:t> </w:t>
      </w:r>
      <w:r>
        <w:rPr>
          <w:rFonts w:ascii="Times New Roman" w:hAnsi="Times New Roman" w:cs="Times New Roman" w:eastAsia="Times New Roman" w:hint="default"/>
          <w:spacing w:val="-4"/>
        </w:rPr>
        <w:t>1395.73%</w:t>
      </w:r>
      <w:r>
        <w:rPr>
          <w:spacing w:val="-4"/>
        </w:rPr>
        <w:t>，主要是研发项目资本化支出转化形成的无形资产，以及公司软件著作权、</w:t>
      </w:r>
      <w:r>
        <w:rPr>
          <w:spacing w:val="-63"/>
        </w:rPr>
        <w:t> </w:t>
      </w:r>
      <w:r>
        <w:rPr>
          <w:spacing w:val="-63"/>
        </w:rPr>
      </w:r>
      <w:r>
        <w:rPr/>
        <w:t>专利权申请程序中的费用开支。</w:t>
      </w:r>
    </w:p>
    <w:p>
      <w:pPr>
        <w:pStyle w:val="BodyText"/>
        <w:spacing w:line="240" w:lineRule="auto" w:before="59"/>
        <w:ind w:left="897" w:right="0"/>
        <w:jc w:val="left"/>
      </w:pPr>
      <w:r>
        <w:rPr>
          <w:rFonts w:ascii="Times New Roman" w:hAnsi="Times New Roman" w:cs="Times New Roman" w:eastAsia="Times New Roman" w:hint="default"/>
        </w:rPr>
        <w:t>2</w:t>
      </w:r>
      <w:r>
        <w:rPr/>
        <w:t>．软件著作权</w:t>
      </w:r>
    </w:p>
    <w:p>
      <w:pPr>
        <w:pStyle w:val="BodyText"/>
        <w:spacing w:line="240" w:lineRule="auto" w:before="149"/>
        <w:ind w:left="937" w:right="0"/>
        <w:jc w:val="left"/>
      </w:pPr>
      <w:r>
        <w:rPr>
          <w:spacing w:val="-3"/>
        </w:rPr>
        <w:t>报告期内，公司新增软件著作权</w:t>
      </w:r>
      <w:r>
        <w:rPr>
          <w:spacing w:val="-5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spacing w:val="-6"/>
        </w:rPr>
        <w:t>项。截至</w:t>
      </w:r>
      <w:r>
        <w:rPr>
          <w:spacing w:val="-56"/>
        </w:rPr>
        <w:t> </w:t>
      </w: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9"/>
        </w:rPr>
        <w:t> </w:t>
      </w:r>
      <w:r>
        <w:rPr/>
        <w:t>年</w:t>
      </w:r>
      <w:r>
        <w:rPr>
          <w:spacing w:val="-56"/>
        </w:rPr>
        <w:t> </w:t>
      </w:r>
      <w:r>
        <w:rPr>
          <w:rFonts w:ascii="Times New Roman" w:hAnsi="Times New Roman" w:cs="Times New Roman" w:eastAsia="Times New Roman" w:hint="default"/>
        </w:rPr>
        <w:t>12 </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4"/>
        </w:rPr>
        <w:t>日，公司及其子</w:t>
      </w:r>
    </w:p>
    <w:p>
      <w:pPr>
        <w:pStyle w:val="BodyText"/>
        <w:spacing w:line="240" w:lineRule="auto" w:before="149"/>
        <w:ind w:left="477" w:right="0"/>
        <w:jc w:val="left"/>
      </w:pPr>
      <w:r>
        <w:rPr/>
        <w:t>公司共拥有软件著作权</w:t>
      </w:r>
      <w:r>
        <w:rPr>
          <w:spacing w:val="-61"/>
        </w:rPr>
        <w:t> </w:t>
      </w:r>
      <w:r>
        <w:rPr>
          <w:rFonts w:ascii="Times New Roman" w:hAnsi="Times New Roman" w:cs="Times New Roman" w:eastAsia="Times New Roman" w:hint="default"/>
        </w:rPr>
        <w:t>32</w:t>
      </w:r>
      <w:r>
        <w:rPr>
          <w:rFonts w:ascii="Times New Roman" w:hAnsi="Times New Roman" w:cs="Times New Roman" w:eastAsia="Times New Roman" w:hint="default"/>
          <w:spacing w:val="-2"/>
        </w:rPr>
        <w:t> </w:t>
      </w:r>
      <w:r>
        <w:rPr/>
        <w:t>项，具体情况如下：</w:t>
      </w:r>
    </w:p>
    <w:p>
      <w:pPr>
        <w:spacing w:line="240" w:lineRule="auto" w:before="9"/>
        <w:rPr>
          <w:rFonts w:ascii="宋体" w:hAnsi="宋体" w:cs="宋体" w:eastAsia="宋体"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720"/>
        <w:gridCol w:w="4140"/>
        <w:gridCol w:w="1620"/>
        <w:gridCol w:w="1440"/>
        <w:gridCol w:w="1080"/>
      </w:tblGrid>
      <w:tr>
        <w:trPr>
          <w:trHeight w:val="322" w:hRule="exact"/>
        </w:trPr>
        <w:tc>
          <w:tcPr>
            <w:tcW w:w="7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41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422"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名</w:t>
              <w:tab/>
            </w:r>
            <w:r>
              <w:rPr>
                <w:rFonts w:ascii="宋体" w:hAnsi="宋体" w:cs="宋体" w:eastAsia="宋体" w:hint="default"/>
                <w:b/>
                <w:bCs/>
                <w:sz w:val="21"/>
                <w:szCs w:val="21"/>
              </w:rPr>
              <w:t>称</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488" w:right="0"/>
              <w:jc w:val="left"/>
              <w:rPr>
                <w:rFonts w:ascii="宋体" w:hAnsi="宋体" w:cs="宋体" w:eastAsia="宋体" w:hint="default"/>
                <w:sz w:val="21"/>
                <w:szCs w:val="21"/>
              </w:rPr>
            </w:pPr>
            <w:r>
              <w:rPr>
                <w:rFonts w:ascii="宋体" w:hAnsi="宋体" w:cs="宋体" w:eastAsia="宋体" w:hint="default"/>
                <w:b/>
                <w:bCs/>
                <w:sz w:val="21"/>
                <w:szCs w:val="21"/>
              </w:rPr>
              <w:t>登记号</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292" w:right="0"/>
              <w:jc w:val="left"/>
              <w:rPr>
                <w:rFonts w:ascii="宋体" w:hAnsi="宋体" w:cs="宋体" w:eastAsia="宋体" w:hint="default"/>
                <w:sz w:val="21"/>
                <w:szCs w:val="21"/>
              </w:rPr>
            </w:pPr>
            <w:r>
              <w:rPr>
                <w:rFonts w:ascii="宋体" w:hAnsi="宋体" w:cs="宋体" w:eastAsia="宋体" w:hint="default"/>
                <w:b/>
                <w:bCs/>
                <w:sz w:val="21"/>
                <w:szCs w:val="21"/>
              </w:rPr>
              <w:t>发证时间</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权利期限</w:t>
            </w:r>
            <w:r>
              <w:rPr>
                <w:rFonts w:ascii="宋体" w:hAnsi="宋体" w:cs="宋体" w:eastAsia="宋体" w:hint="default"/>
                <w:sz w:val="21"/>
                <w:szCs w:val="21"/>
              </w:rPr>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1</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银行通存通兑电脑核印系统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2008SR07697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2000-7-6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44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2</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银行批量批票据电脑核印系统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2008SR07894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2001-8-9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3</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银之杰票据文档影像管理系统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2008SR07892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2001-9-27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bl>
    <w:p>
      <w:pPr>
        <w:spacing w:after="0" w:line="240" w:lineRule="auto"/>
        <w:jc w:val="center"/>
        <w:rPr>
          <w:rFonts w:ascii="宋体" w:hAnsi="宋体" w:cs="宋体" w:eastAsia="宋体" w:hint="default"/>
          <w:sz w:val="21"/>
          <w:szCs w:val="21"/>
        </w:rPr>
        <w:sectPr>
          <w:pgSz w:w="11910" w:h="16840"/>
          <w:pgMar w:header="877" w:footer="982" w:top="1100" w:bottom="1180" w:left="1320" w:right="1340"/>
        </w:sectPr>
      </w:pPr>
    </w:p>
    <w:p>
      <w:pPr>
        <w:spacing w:line="240" w:lineRule="auto" w:before="6"/>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720"/>
        <w:gridCol w:w="4140"/>
        <w:gridCol w:w="1620"/>
        <w:gridCol w:w="1440"/>
        <w:gridCol w:w="1080"/>
      </w:tblGrid>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2" w:right="0"/>
              <w:jc w:val="left"/>
              <w:rPr>
                <w:rFonts w:ascii="Times New Roman" w:hAnsi="Times New Roman" w:cs="Times New Roman" w:eastAsia="Times New Roman" w:hint="default"/>
                <w:sz w:val="21"/>
                <w:szCs w:val="21"/>
              </w:rPr>
            </w:pPr>
            <w:r>
              <w:rPr>
                <w:rFonts w:ascii="Times New Roman"/>
                <w:sz w:val="21"/>
              </w:rPr>
              <w:t>4</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银之杰银行回单商函处理系统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2008SR07893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2001-9-27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96"/>
              <w:jc w:val="righ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2" w:right="0"/>
              <w:jc w:val="left"/>
              <w:rPr>
                <w:rFonts w:ascii="Times New Roman" w:hAnsi="Times New Roman" w:cs="Times New Roman" w:eastAsia="Times New Roman" w:hint="default"/>
                <w:sz w:val="21"/>
                <w:szCs w:val="21"/>
              </w:rPr>
            </w:pPr>
            <w:r>
              <w:rPr>
                <w:rFonts w:ascii="Times New Roman"/>
                <w:sz w:val="21"/>
              </w:rPr>
              <w:t>5</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银之杰扫描仪版电脑验印系统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2008SR07890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2004-9-27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96"/>
              <w:jc w:val="righ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2" w:right="0"/>
              <w:jc w:val="left"/>
              <w:rPr>
                <w:rFonts w:ascii="Times New Roman" w:hAnsi="Times New Roman" w:cs="Times New Roman" w:eastAsia="Times New Roman" w:hint="default"/>
                <w:sz w:val="21"/>
                <w:szCs w:val="21"/>
              </w:rPr>
            </w:pPr>
            <w:r>
              <w:rPr>
                <w:rFonts w:ascii="Times New Roman"/>
                <w:sz w:val="21"/>
              </w:rPr>
              <w:t>6</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票据提回集中结算自动处理系统</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V3.0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2008SR07889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2004-9-27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96"/>
              <w:jc w:val="righ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2" w:right="0"/>
              <w:jc w:val="left"/>
              <w:rPr>
                <w:rFonts w:ascii="Times New Roman" w:hAnsi="Times New Roman" w:cs="Times New Roman" w:eastAsia="Times New Roman" w:hint="default"/>
                <w:sz w:val="21"/>
                <w:szCs w:val="21"/>
              </w:rPr>
            </w:pPr>
            <w:r>
              <w:rPr>
                <w:rFonts w:ascii="Times New Roman"/>
                <w:sz w:val="21"/>
              </w:rPr>
              <w:t>7</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银之杰银行对帐中心系统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2008SR07895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2004-10-10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96"/>
              <w:jc w:val="righ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44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2" w:right="0"/>
              <w:jc w:val="left"/>
              <w:rPr>
                <w:rFonts w:ascii="Times New Roman" w:hAnsi="Times New Roman" w:cs="Times New Roman" w:eastAsia="Times New Roman" w:hint="default"/>
                <w:sz w:val="21"/>
                <w:szCs w:val="21"/>
              </w:rPr>
            </w:pPr>
            <w:r>
              <w:rPr>
                <w:rFonts w:ascii="Times New Roman"/>
                <w:sz w:val="21"/>
              </w:rPr>
              <w:t>8</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商业银行票据影像交换业务处理软件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2008SR07885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2007-4-13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96"/>
              <w:jc w:val="righ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2" w:right="0"/>
              <w:jc w:val="left"/>
              <w:rPr>
                <w:rFonts w:ascii="Times New Roman" w:hAnsi="Times New Roman" w:cs="Times New Roman" w:eastAsia="Times New Roman" w:hint="default"/>
                <w:sz w:val="21"/>
                <w:szCs w:val="21"/>
              </w:rPr>
            </w:pPr>
            <w:r>
              <w:rPr>
                <w:rFonts w:ascii="Times New Roman"/>
                <w:sz w:val="21"/>
              </w:rPr>
              <w:t>9</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X-Flow </w:t>
            </w:r>
            <w:r>
              <w:rPr>
                <w:rFonts w:ascii="宋体" w:hAnsi="宋体" w:cs="宋体" w:eastAsia="宋体" w:hint="default"/>
                <w:sz w:val="21"/>
                <w:szCs w:val="21"/>
              </w:rPr>
              <w:t>工作流平台软件</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2008SR07886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2007-4-13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96"/>
              <w:jc w:val="righ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10</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X-Storage </w:t>
            </w:r>
            <w:r>
              <w:rPr>
                <w:rFonts w:ascii="宋体" w:hAnsi="宋体" w:cs="宋体" w:eastAsia="宋体" w:hint="default"/>
                <w:sz w:val="21"/>
                <w:szCs w:val="21"/>
              </w:rPr>
              <w:t>海量存储管理软件</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2008SR07888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2007-4-13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96"/>
              <w:jc w:val="righ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11</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票据影像信息发布平台软件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2008SR07887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2007-4-13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96"/>
              <w:jc w:val="righ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12</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任务负载均衡管理平台软件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2008SR07891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2007-4-13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96"/>
              <w:jc w:val="righ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13</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交换提入票据影像业务处理软件</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V2.0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2008SR06209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2008-3-24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96"/>
              <w:jc w:val="righ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14</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交换提出票据影像业务处理软件</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V2.0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2008SR06210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2008-3-24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96"/>
              <w:jc w:val="righ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15</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银行票据版面要素识别软件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2008SR29592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2008-11-21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96"/>
              <w:jc w:val="righ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16</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印鉴识别算法软件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2008SR37198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2008-12-25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96"/>
              <w:jc w:val="righ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17</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数字监控录像软件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2009SR08532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2009-3-4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96"/>
              <w:jc w:val="righ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18</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票据图像处理平台软件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2009SR08531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2009-3-4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96"/>
              <w:jc w:val="righ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19</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商业银行远程授权管理系统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2009SR25708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2009-7-1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96"/>
              <w:jc w:val="righ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44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20</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远程授权影像处理软件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2009SR058912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2009-12-18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96"/>
              <w:jc w:val="righ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21</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银之杰印章管理软件</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2010SR003408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2010-1-20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96"/>
              <w:jc w:val="righ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22</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银之杰印章智能控制管理系统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2011SR023771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2011-4-27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96"/>
              <w:jc w:val="righ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23</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银之杰回单自助管理系统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2011SR023773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2011-4-27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96"/>
              <w:jc w:val="righ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24</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印鉴识别算法软件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2011SR078821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2011-11-1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96"/>
              <w:jc w:val="righ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25</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远程授权影像处理软件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2011SR078946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2011-11-1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96"/>
              <w:jc w:val="righ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44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26</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票据图像处理平台软件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2011SR078824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2011-11-1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96"/>
              <w:jc w:val="righ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27</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印控机管理系统客户端软件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2011SR087927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2011-11-28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96"/>
              <w:jc w:val="righ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28</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回单自助打印系统终端软件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2011SR087925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2011-11-28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96"/>
              <w:jc w:val="righ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29</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回单自助打印系统柜员管理软件</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2011SR103026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2011-12-29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96"/>
              <w:jc w:val="righ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30</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印控机管理系统管理端软件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2011SR103027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2011-12-29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96"/>
              <w:jc w:val="righ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31</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回单自助打印系统底层控制软件</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2011SR103028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2011-12-29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96"/>
              <w:jc w:val="righ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32</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回单自助打印系统数据管理软件</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2011SR104344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2011-12-31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96"/>
              <w:jc w:val="righ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bl>
    <w:p>
      <w:pPr>
        <w:spacing w:line="240" w:lineRule="auto" w:before="1"/>
        <w:rPr>
          <w:rFonts w:ascii="宋体" w:hAnsi="宋体" w:cs="宋体" w:eastAsia="宋体" w:hint="default"/>
          <w:sz w:val="14"/>
          <w:szCs w:val="14"/>
        </w:rPr>
      </w:pPr>
    </w:p>
    <w:p>
      <w:pPr>
        <w:spacing w:before="35"/>
        <w:ind w:left="897" w:right="0" w:firstLine="0"/>
        <w:jc w:val="left"/>
        <w:rPr>
          <w:rFonts w:ascii="宋体" w:hAnsi="宋体" w:cs="宋体" w:eastAsia="宋体" w:hint="default"/>
          <w:sz w:val="21"/>
          <w:szCs w:val="21"/>
        </w:rPr>
      </w:pPr>
      <w:r>
        <w:rPr>
          <w:rFonts w:ascii="宋体" w:hAnsi="宋体" w:cs="宋体" w:eastAsia="宋体" w:hint="default"/>
          <w:sz w:val="21"/>
          <w:szCs w:val="21"/>
        </w:rPr>
        <w:t>注：上表中第</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16-18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项、第</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项及第</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24-26</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项为公司全资子公司深圳市银之杰软件技</w:t>
      </w:r>
    </w:p>
    <w:p>
      <w:pPr>
        <w:spacing w:before="177"/>
        <w:ind w:left="477" w:right="0" w:firstLine="0"/>
        <w:jc w:val="left"/>
        <w:rPr>
          <w:rFonts w:ascii="宋体" w:hAnsi="宋体" w:cs="宋体" w:eastAsia="宋体" w:hint="default"/>
          <w:sz w:val="21"/>
          <w:szCs w:val="21"/>
        </w:rPr>
      </w:pPr>
      <w:r>
        <w:rPr>
          <w:rFonts w:ascii="宋体" w:hAnsi="宋体" w:cs="宋体" w:eastAsia="宋体" w:hint="default"/>
          <w:sz w:val="21"/>
          <w:szCs w:val="21"/>
        </w:rPr>
        <w:t>术有限公司拥有，第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27-32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项为公司全资子公司深圳市银之杰技术开发有限公司拥有。</w:t>
      </w:r>
    </w:p>
    <w:p>
      <w:pPr>
        <w:spacing w:after="0"/>
        <w:jc w:val="left"/>
        <w:rPr>
          <w:rFonts w:ascii="宋体" w:hAnsi="宋体" w:cs="宋体" w:eastAsia="宋体" w:hint="default"/>
          <w:sz w:val="21"/>
          <w:szCs w:val="21"/>
        </w:rPr>
        <w:sectPr>
          <w:pgSz w:w="11910" w:h="16840"/>
          <w:pgMar w:header="877" w:footer="982" w:top="1100" w:bottom="1180" w:left="1320" w:right="1340"/>
        </w:sectPr>
      </w:pPr>
    </w:p>
    <w:p>
      <w:pPr>
        <w:spacing w:line="240" w:lineRule="auto" w:before="12"/>
        <w:rPr>
          <w:rFonts w:ascii="宋体" w:hAnsi="宋体" w:cs="宋体" w:eastAsia="宋体" w:hint="default"/>
          <w:sz w:val="25"/>
          <w:szCs w:val="25"/>
        </w:rPr>
      </w:pPr>
    </w:p>
    <w:p>
      <w:pPr>
        <w:pStyle w:val="BodyText"/>
        <w:spacing w:line="240" w:lineRule="auto" w:before="29"/>
        <w:ind w:left="897" w:right="626"/>
        <w:jc w:val="left"/>
      </w:pPr>
      <w:r>
        <w:rPr>
          <w:rFonts w:ascii="Times New Roman" w:hAnsi="Times New Roman" w:cs="Times New Roman" w:eastAsia="Times New Roman" w:hint="default"/>
          <w:spacing w:val="3"/>
        </w:rPr>
        <w:t>3</w:t>
      </w:r>
      <w:r>
        <w:rPr>
          <w:spacing w:val="3"/>
        </w:rPr>
        <w:t>．专利</w:t>
      </w:r>
    </w:p>
    <w:p>
      <w:pPr>
        <w:pStyle w:val="BodyText"/>
        <w:spacing w:line="352" w:lineRule="auto" w:before="149"/>
        <w:ind w:left="477" w:right="626" w:firstLine="459"/>
        <w:jc w:val="left"/>
      </w:pPr>
      <w:r>
        <w:rPr>
          <w:spacing w:val="-4"/>
        </w:rPr>
        <w:t>截至报告期末，公司已取得专利授权</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spacing w:val="-11"/>
        </w:rPr>
        <w:t>项，另有</w:t>
      </w:r>
      <w:r>
        <w:rPr>
          <w:spacing w:val="-54"/>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项专利正在申请并获得国家</w:t>
      </w:r>
      <w:r>
        <w:rPr>
          <w:w w:val="100"/>
        </w:rPr>
        <w:t> </w:t>
      </w:r>
      <w:r>
        <w:rPr/>
        <w:t>知识产权局受理，具体情况如下：</w:t>
      </w:r>
    </w:p>
    <w:p>
      <w:pPr>
        <w:pStyle w:val="BodyText"/>
        <w:spacing w:line="240" w:lineRule="auto" w:before="59"/>
        <w:ind w:left="937" w:right="626"/>
        <w:jc w:val="left"/>
      </w:pPr>
      <w:r>
        <w:rPr/>
        <w:t>（</w:t>
      </w:r>
      <w:r>
        <w:rPr>
          <w:rFonts w:ascii="Times New Roman" w:hAnsi="Times New Roman" w:cs="Times New Roman" w:eastAsia="Times New Roman" w:hint="default"/>
        </w:rPr>
        <w:t>1</w:t>
      </w:r>
      <w:r>
        <w:rPr/>
        <w:t>）已取得的专利</w:t>
      </w:r>
    </w:p>
    <w:p>
      <w:pPr>
        <w:spacing w:line="240" w:lineRule="auto" w:before="9"/>
        <w:rPr>
          <w:rFonts w:ascii="宋体" w:hAnsi="宋体" w:cs="宋体" w:eastAsia="宋体"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720"/>
        <w:gridCol w:w="2160"/>
        <w:gridCol w:w="1080"/>
        <w:gridCol w:w="1980"/>
        <w:gridCol w:w="1260"/>
        <w:gridCol w:w="1150"/>
        <w:gridCol w:w="830"/>
      </w:tblGrid>
      <w:tr>
        <w:trPr>
          <w:trHeight w:val="758" w:hRule="exact"/>
        </w:trPr>
        <w:tc>
          <w:tcPr>
            <w:tcW w:w="7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1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
              <w:ind w:right="0"/>
              <w:jc w:val="left"/>
              <w:rPr>
                <w:rFonts w:ascii="宋体" w:hAnsi="宋体" w:cs="宋体" w:eastAsia="宋体" w:hint="default"/>
                <w:sz w:val="15"/>
                <w:szCs w:val="15"/>
              </w:rPr>
            </w:pPr>
          </w:p>
          <w:p>
            <w:pPr>
              <w:pStyle w:val="TableParagraph"/>
              <w:tabs>
                <w:tab w:pos="422" w:val="left" w:leader="none"/>
              </w:tabs>
              <w:spacing w:line="240" w:lineRule="auto"/>
              <w:ind w:right="1"/>
              <w:jc w:val="center"/>
              <w:rPr>
                <w:rFonts w:ascii="宋体" w:hAnsi="宋体" w:cs="宋体" w:eastAsia="宋体" w:hint="default"/>
                <w:sz w:val="21"/>
                <w:szCs w:val="21"/>
              </w:rPr>
            </w:pPr>
            <w:r>
              <w:rPr>
                <w:rFonts w:ascii="宋体" w:hAnsi="宋体" w:cs="宋体" w:eastAsia="宋体" w:hint="default"/>
                <w:b/>
                <w:bCs/>
                <w:w w:val="95"/>
                <w:sz w:val="21"/>
                <w:szCs w:val="21"/>
              </w:rPr>
              <w:t>名</w:t>
              <w:tab/>
            </w:r>
            <w:r>
              <w:rPr>
                <w:rFonts w:ascii="宋体" w:hAnsi="宋体" w:cs="宋体" w:eastAsia="宋体" w:hint="default"/>
                <w:b/>
                <w:bCs/>
                <w:sz w:val="21"/>
                <w:szCs w:val="21"/>
              </w:rPr>
              <w:t>称</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专利类型</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专利号</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0"/>
              <w:jc w:val="right"/>
              <w:rPr>
                <w:rFonts w:ascii="宋体" w:hAnsi="宋体" w:cs="宋体" w:eastAsia="宋体" w:hint="default"/>
                <w:sz w:val="21"/>
                <w:szCs w:val="21"/>
              </w:rPr>
            </w:pPr>
            <w:r>
              <w:rPr>
                <w:rFonts w:ascii="宋体" w:hAnsi="宋体" w:cs="宋体" w:eastAsia="宋体" w:hint="default"/>
                <w:b/>
                <w:bCs/>
                <w:sz w:val="21"/>
                <w:szCs w:val="21"/>
              </w:rPr>
              <w:t>发证时间</w:t>
            </w:r>
            <w:r>
              <w:rPr>
                <w:rFonts w:ascii="宋体" w:hAnsi="宋体" w:cs="宋体" w:eastAsia="宋体" w:hint="default"/>
                <w:sz w:val="21"/>
                <w:szCs w:val="21"/>
              </w:rPr>
            </w:r>
          </w:p>
        </w:tc>
        <w:tc>
          <w:tcPr>
            <w:tcW w:w="115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8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3" w:lineRule="auto" w:before="47"/>
              <w:ind w:left="197" w:right="197" w:firstLine="1"/>
              <w:jc w:val="left"/>
              <w:rPr>
                <w:rFonts w:ascii="宋体" w:hAnsi="宋体" w:cs="宋体" w:eastAsia="宋体" w:hint="default"/>
                <w:sz w:val="21"/>
                <w:szCs w:val="21"/>
              </w:rPr>
            </w:pPr>
            <w:r>
              <w:rPr>
                <w:rFonts w:ascii="宋体" w:hAnsi="宋体" w:cs="宋体" w:eastAsia="宋体" w:hint="default"/>
                <w:b/>
                <w:bCs/>
                <w:sz w:val="21"/>
                <w:szCs w:val="21"/>
              </w:rPr>
              <w:t>权利</w:t>
            </w:r>
            <w:r>
              <w:rPr>
                <w:rFonts w:ascii="宋体" w:hAnsi="宋体" w:cs="宋体" w:eastAsia="宋体" w:hint="default"/>
                <w:b/>
                <w:bCs/>
                <w:spacing w:val="1"/>
                <w:w w:val="99"/>
                <w:sz w:val="21"/>
                <w:szCs w:val="21"/>
              </w:rPr>
              <w:t> </w:t>
            </w:r>
            <w:r>
              <w:rPr>
                <w:rFonts w:ascii="宋体" w:hAnsi="宋体" w:cs="宋体" w:eastAsia="宋体" w:hint="default"/>
                <w:b/>
                <w:bCs/>
                <w:sz w:val="21"/>
                <w:szCs w:val="21"/>
              </w:rPr>
              <w:t>期限</w:t>
            </w:r>
            <w:r>
              <w:rPr>
                <w:rFonts w:ascii="宋体" w:hAnsi="宋体" w:cs="宋体" w:eastAsia="宋体" w:hint="default"/>
                <w:sz w:val="21"/>
                <w:szCs w:val="21"/>
              </w:rPr>
            </w:r>
          </w:p>
        </w:tc>
      </w:tr>
      <w:tr>
        <w:trPr>
          <w:trHeight w:val="44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21"/>
                <w:szCs w:val="21"/>
              </w:rPr>
            </w:pPr>
            <w:r>
              <w:rPr>
                <w:rFonts w:ascii="Times New Roman"/>
                <w:sz w:val="21"/>
              </w:rPr>
              <w:t>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电脑验印系统平台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center"/>
              <w:rPr>
                <w:rFonts w:ascii="宋体" w:hAnsi="宋体" w:cs="宋体" w:eastAsia="宋体" w:hint="default"/>
                <w:sz w:val="21"/>
                <w:szCs w:val="21"/>
              </w:rPr>
            </w:pPr>
            <w:r>
              <w:rPr>
                <w:rFonts w:ascii="宋体" w:hAnsi="宋体" w:cs="宋体" w:eastAsia="宋体" w:hint="default"/>
                <w:sz w:val="21"/>
                <w:szCs w:val="21"/>
              </w:rPr>
              <w:t>外观设计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center"/>
              <w:rPr>
                <w:rFonts w:ascii="Times New Roman" w:hAnsi="Times New Roman" w:cs="Times New Roman" w:eastAsia="Times New Roman" w:hint="default"/>
                <w:sz w:val="21"/>
                <w:szCs w:val="21"/>
              </w:rPr>
            </w:pPr>
            <w:r>
              <w:rPr>
                <w:rFonts w:ascii="Times New Roman"/>
                <w:sz w:val="21"/>
              </w:rPr>
              <w:t>ZL200530063438.6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70"/>
              <w:jc w:val="right"/>
              <w:rPr>
                <w:rFonts w:ascii="Times New Roman" w:hAnsi="Times New Roman" w:cs="Times New Roman" w:eastAsia="Times New Roman" w:hint="default"/>
                <w:sz w:val="21"/>
                <w:szCs w:val="21"/>
              </w:rPr>
            </w:pPr>
            <w:r>
              <w:rPr>
                <w:rFonts w:ascii="Times New Roman"/>
                <w:spacing w:val="-1"/>
                <w:sz w:val="21"/>
              </w:rPr>
              <w:t>2006-2-22</w:t>
            </w:r>
            <w:r>
              <w:rPr>
                <w:rFonts w:ascii="Times New Roman"/>
                <w:sz w:val="21"/>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年</w:t>
            </w:r>
          </w:p>
        </w:tc>
      </w:tr>
      <w:tr>
        <w:trPr>
          <w:trHeight w:val="758"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7"/>
              <w:ind w:left="103" w:right="155"/>
              <w:jc w:val="left"/>
              <w:rPr>
                <w:rFonts w:ascii="宋体" w:hAnsi="宋体" w:cs="宋体" w:eastAsia="宋体" w:hint="default"/>
                <w:sz w:val="21"/>
                <w:szCs w:val="21"/>
              </w:rPr>
            </w:pPr>
            <w:r>
              <w:rPr>
                <w:rFonts w:ascii="宋体" w:hAnsi="宋体" w:cs="宋体" w:eastAsia="宋体" w:hint="default"/>
                <w:sz w:val="21"/>
                <w:szCs w:val="21"/>
              </w:rPr>
              <w:t>银行业印鉴图像采集 平台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89"/>
              <w:jc w:val="center"/>
              <w:rPr>
                <w:rFonts w:ascii="Times New Roman" w:hAnsi="Times New Roman" w:cs="Times New Roman" w:eastAsia="Times New Roman" w:hint="default"/>
                <w:sz w:val="21"/>
                <w:szCs w:val="21"/>
              </w:rPr>
            </w:pPr>
            <w:r>
              <w:rPr>
                <w:rFonts w:ascii="Times New Roman"/>
                <w:sz w:val="21"/>
              </w:rPr>
              <w:t>ZL200720120545.1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70"/>
              <w:jc w:val="right"/>
              <w:rPr>
                <w:rFonts w:ascii="Times New Roman" w:hAnsi="Times New Roman" w:cs="Times New Roman" w:eastAsia="Times New Roman" w:hint="default"/>
                <w:sz w:val="21"/>
                <w:szCs w:val="21"/>
              </w:rPr>
            </w:pPr>
            <w:r>
              <w:rPr>
                <w:rFonts w:ascii="Times New Roman"/>
                <w:spacing w:val="-1"/>
                <w:sz w:val="21"/>
              </w:rPr>
              <w:t>2008-5-21</w:t>
            </w:r>
            <w:r>
              <w:rPr>
                <w:rFonts w:ascii="Times New Roman"/>
                <w:sz w:val="21"/>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年</w:t>
            </w:r>
          </w:p>
        </w:tc>
      </w:tr>
      <w:tr>
        <w:trPr>
          <w:trHeight w:val="758"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7"/>
              <w:ind w:left="103" w:right="155"/>
              <w:jc w:val="left"/>
              <w:rPr>
                <w:rFonts w:ascii="宋体" w:hAnsi="宋体" w:cs="宋体" w:eastAsia="宋体" w:hint="default"/>
                <w:sz w:val="21"/>
                <w:szCs w:val="21"/>
              </w:rPr>
            </w:pPr>
            <w:r>
              <w:rPr>
                <w:rFonts w:ascii="宋体" w:hAnsi="宋体" w:cs="宋体" w:eastAsia="宋体" w:hint="default"/>
                <w:sz w:val="21"/>
                <w:szCs w:val="21"/>
              </w:rPr>
              <w:t>商业银行远程授权管 理系统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89"/>
              <w:jc w:val="center"/>
              <w:rPr>
                <w:rFonts w:ascii="Times New Roman" w:hAnsi="Times New Roman" w:cs="Times New Roman" w:eastAsia="Times New Roman" w:hint="default"/>
                <w:sz w:val="21"/>
                <w:szCs w:val="21"/>
              </w:rPr>
            </w:pPr>
            <w:r>
              <w:rPr>
                <w:rFonts w:ascii="Times New Roman"/>
                <w:sz w:val="21"/>
              </w:rPr>
              <w:t>ZL200920307709.0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70"/>
              <w:jc w:val="right"/>
              <w:rPr>
                <w:rFonts w:ascii="Times New Roman" w:hAnsi="Times New Roman" w:cs="Times New Roman" w:eastAsia="Times New Roman" w:hint="default"/>
                <w:sz w:val="21"/>
                <w:szCs w:val="21"/>
              </w:rPr>
            </w:pPr>
            <w:r>
              <w:rPr>
                <w:rFonts w:ascii="Times New Roman"/>
                <w:spacing w:val="-1"/>
                <w:sz w:val="21"/>
              </w:rPr>
              <w:t>2010-5-19</w:t>
            </w:r>
            <w:r>
              <w:rPr>
                <w:rFonts w:ascii="Times New Roman"/>
                <w:sz w:val="21"/>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年</w:t>
            </w:r>
          </w:p>
        </w:tc>
      </w:tr>
      <w:tr>
        <w:trPr>
          <w:trHeight w:val="757"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47"/>
              <w:ind w:left="103" w:right="155"/>
              <w:jc w:val="left"/>
              <w:rPr>
                <w:rFonts w:ascii="宋体" w:hAnsi="宋体" w:cs="宋体" w:eastAsia="宋体" w:hint="default"/>
                <w:sz w:val="21"/>
                <w:szCs w:val="21"/>
              </w:rPr>
            </w:pPr>
            <w:r>
              <w:rPr>
                <w:rFonts w:ascii="宋体" w:hAnsi="宋体" w:cs="宋体" w:eastAsia="宋体" w:hint="default"/>
                <w:sz w:val="21"/>
                <w:szCs w:val="21"/>
              </w:rPr>
              <w:t>银行柜面多功能影像 采集平台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center"/>
              <w:rPr>
                <w:rFonts w:ascii="宋体" w:hAnsi="宋体" w:cs="宋体" w:eastAsia="宋体" w:hint="default"/>
                <w:sz w:val="21"/>
                <w:szCs w:val="21"/>
              </w:rPr>
            </w:pPr>
            <w:r>
              <w:rPr>
                <w:rFonts w:ascii="宋体" w:hAnsi="宋体" w:cs="宋体" w:eastAsia="宋体" w:hint="default"/>
                <w:sz w:val="21"/>
                <w:szCs w:val="21"/>
              </w:rPr>
              <w:t>外观设计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89"/>
              <w:jc w:val="center"/>
              <w:rPr>
                <w:rFonts w:ascii="Times New Roman" w:hAnsi="Times New Roman" w:cs="Times New Roman" w:eastAsia="Times New Roman" w:hint="default"/>
                <w:sz w:val="21"/>
                <w:szCs w:val="21"/>
              </w:rPr>
            </w:pPr>
            <w:r>
              <w:rPr>
                <w:rFonts w:ascii="Times New Roman"/>
                <w:sz w:val="21"/>
              </w:rPr>
              <w:t>ZL201030585838.4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70"/>
              <w:jc w:val="right"/>
              <w:rPr>
                <w:rFonts w:ascii="Times New Roman" w:hAnsi="Times New Roman" w:cs="Times New Roman" w:eastAsia="Times New Roman" w:hint="default"/>
                <w:sz w:val="21"/>
                <w:szCs w:val="21"/>
              </w:rPr>
            </w:pPr>
            <w:r>
              <w:rPr>
                <w:rFonts w:ascii="Times New Roman"/>
                <w:spacing w:val="-1"/>
                <w:sz w:val="21"/>
              </w:rPr>
              <w:t>2011-4-13</w:t>
            </w:r>
            <w:r>
              <w:rPr>
                <w:rFonts w:ascii="Times New Roman"/>
                <w:sz w:val="21"/>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年</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一种印章保持装置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1"/>
              <w:jc w:val="center"/>
              <w:rPr>
                <w:rFonts w:ascii="Times New Roman" w:hAnsi="Times New Roman" w:cs="Times New Roman" w:eastAsia="Times New Roman" w:hint="default"/>
                <w:sz w:val="21"/>
                <w:szCs w:val="21"/>
              </w:rPr>
            </w:pPr>
            <w:r>
              <w:rPr>
                <w:rFonts w:ascii="Times New Roman"/>
                <w:sz w:val="21"/>
              </w:rPr>
              <w:t>ZL201120026387.X</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70"/>
              <w:jc w:val="right"/>
              <w:rPr>
                <w:rFonts w:ascii="Times New Roman" w:hAnsi="Times New Roman" w:cs="Times New Roman" w:eastAsia="Times New Roman" w:hint="default"/>
                <w:sz w:val="21"/>
                <w:szCs w:val="21"/>
              </w:rPr>
            </w:pPr>
            <w:r>
              <w:rPr>
                <w:rFonts w:ascii="Times New Roman"/>
                <w:spacing w:val="-1"/>
                <w:sz w:val="21"/>
              </w:rPr>
              <w:t>2011-8-31</w:t>
            </w:r>
            <w:r>
              <w:rPr>
                <w:rFonts w:ascii="Times New Roman"/>
                <w:sz w:val="21"/>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年</w:t>
            </w:r>
          </w:p>
        </w:tc>
      </w:tr>
    </w:tbl>
    <w:p>
      <w:pPr>
        <w:spacing w:line="240" w:lineRule="auto" w:before="1"/>
        <w:rPr>
          <w:rFonts w:ascii="宋体" w:hAnsi="宋体" w:cs="宋体" w:eastAsia="宋体" w:hint="default"/>
          <w:sz w:val="14"/>
          <w:szCs w:val="14"/>
        </w:rPr>
      </w:pPr>
    </w:p>
    <w:p>
      <w:pPr>
        <w:spacing w:before="35"/>
        <w:ind w:left="897" w:right="626" w:firstLine="0"/>
        <w:jc w:val="left"/>
        <w:rPr>
          <w:rFonts w:ascii="宋体" w:hAnsi="宋体" w:cs="宋体" w:eastAsia="宋体" w:hint="default"/>
          <w:sz w:val="21"/>
          <w:szCs w:val="21"/>
        </w:rPr>
      </w:pPr>
      <w:r>
        <w:rPr>
          <w:rFonts w:ascii="宋体" w:hAnsi="宋体" w:cs="宋体" w:eastAsia="宋体" w:hint="default"/>
          <w:sz w:val="21"/>
          <w:szCs w:val="21"/>
        </w:rPr>
        <w:t>注：上表中的专利权均为本公司单独拥有。</w:t>
      </w:r>
    </w:p>
    <w:p>
      <w:pPr>
        <w:spacing w:line="240" w:lineRule="auto" w:before="7"/>
        <w:rPr>
          <w:rFonts w:ascii="宋体" w:hAnsi="宋体" w:cs="宋体" w:eastAsia="宋体" w:hint="default"/>
          <w:sz w:val="25"/>
          <w:szCs w:val="25"/>
        </w:rPr>
      </w:pPr>
    </w:p>
    <w:p>
      <w:pPr>
        <w:pStyle w:val="BodyText"/>
        <w:spacing w:line="240" w:lineRule="auto"/>
        <w:ind w:left="937" w:right="626"/>
        <w:jc w:val="left"/>
      </w:pPr>
      <w:r>
        <w:rPr/>
        <w:t>（</w:t>
      </w:r>
      <w:r>
        <w:rPr>
          <w:rFonts w:ascii="Times New Roman" w:hAnsi="Times New Roman" w:cs="Times New Roman" w:eastAsia="Times New Roman" w:hint="default"/>
        </w:rPr>
        <w:t>2</w:t>
      </w:r>
      <w:r>
        <w:rPr/>
        <w:t>）正在申请并获得受理的专利</w:t>
      </w:r>
    </w:p>
    <w:p>
      <w:pPr>
        <w:spacing w:line="240" w:lineRule="auto" w:before="9"/>
        <w:rPr>
          <w:rFonts w:ascii="宋体" w:hAnsi="宋体" w:cs="宋体" w:eastAsia="宋体"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720"/>
        <w:gridCol w:w="3960"/>
        <w:gridCol w:w="1260"/>
        <w:gridCol w:w="1440"/>
        <w:gridCol w:w="1800"/>
      </w:tblGrid>
      <w:tr>
        <w:trPr>
          <w:trHeight w:val="446" w:hRule="exact"/>
        </w:trPr>
        <w:tc>
          <w:tcPr>
            <w:tcW w:w="7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9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422" w:val="left" w:leader="none"/>
              </w:tabs>
              <w:spacing w:line="240" w:lineRule="auto" w:before="47"/>
              <w:ind w:right="1"/>
              <w:jc w:val="center"/>
              <w:rPr>
                <w:rFonts w:ascii="宋体" w:hAnsi="宋体" w:cs="宋体" w:eastAsia="宋体" w:hint="default"/>
                <w:sz w:val="21"/>
                <w:szCs w:val="21"/>
              </w:rPr>
            </w:pPr>
            <w:r>
              <w:rPr>
                <w:rFonts w:ascii="宋体" w:hAnsi="宋体" w:cs="宋体" w:eastAsia="宋体" w:hint="default"/>
                <w:b/>
                <w:bCs/>
                <w:w w:val="95"/>
                <w:sz w:val="21"/>
                <w:szCs w:val="21"/>
              </w:rPr>
              <w:t>名</w:t>
              <w:tab/>
            </w:r>
            <w:r>
              <w:rPr>
                <w:rFonts w:ascii="宋体" w:hAnsi="宋体" w:cs="宋体" w:eastAsia="宋体" w:hint="default"/>
                <w:b/>
                <w:bCs/>
                <w:sz w:val="21"/>
                <w:szCs w:val="21"/>
              </w:rPr>
              <w:t>称</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left="202" w:right="0"/>
              <w:jc w:val="left"/>
              <w:rPr>
                <w:rFonts w:ascii="宋体" w:hAnsi="宋体" w:cs="宋体" w:eastAsia="宋体" w:hint="default"/>
                <w:sz w:val="21"/>
                <w:szCs w:val="21"/>
              </w:rPr>
            </w:pPr>
            <w:r>
              <w:rPr>
                <w:rFonts w:ascii="宋体" w:hAnsi="宋体" w:cs="宋体" w:eastAsia="宋体" w:hint="default"/>
                <w:b/>
                <w:bCs/>
                <w:sz w:val="21"/>
                <w:szCs w:val="21"/>
              </w:rPr>
              <w:t>专利类型</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left="292" w:right="0"/>
              <w:jc w:val="left"/>
              <w:rPr>
                <w:rFonts w:ascii="宋体" w:hAnsi="宋体" w:cs="宋体" w:eastAsia="宋体" w:hint="default"/>
                <w:sz w:val="21"/>
                <w:szCs w:val="21"/>
              </w:rPr>
            </w:pPr>
            <w:r>
              <w:rPr>
                <w:rFonts w:ascii="宋体" w:hAnsi="宋体" w:cs="宋体" w:eastAsia="宋体" w:hint="default"/>
                <w:b/>
                <w:bCs/>
                <w:sz w:val="21"/>
                <w:szCs w:val="21"/>
              </w:rPr>
              <w:t>受理时间</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left="368" w:right="0"/>
              <w:jc w:val="left"/>
              <w:rPr>
                <w:rFonts w:ascii="宋体" w:hAnsi="宋体" w:cs="宋体" w:eastAsia="宋体" w:hint="default"/>
                <w:sz w:val="21"/>
                <w:szCs w:val="21"/>
              </w:rPr>
            </w:pPr>
            <w:r>
              <w:rPr>
                <w:rFonts w:ascii="宋体" w:hAnsi="宋体" w:cs="宋体" w:eastAsia="宋体" w:hint="default"/>
                <w:b/>
                <w:bCs/>
                <w:sz w:val="21"/>
                <w:szCs w:val="21"/>
              </w:rPr>
              <w:t>专利受理号</w:t>
            </w:r>
            <w:r>
              <w:rPr>
                <w:rFonts w:ascii="宋体" w:hAnsi="宋体" w:cs="宋体" w:eastAsia="宋体" w:hint="default"/>
                <w:sz w:val="21"/>
                <w:szCs w:val="21"/>
              </w:rPr>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1</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一种印章保持装置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2011-1-26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4" w:right="0"/>
              <w:jc w:val="left"/>
              <w:rPr>
                <w:rFonts w:ascii="Times New Roman" w:hAnsi="Times New Roman" w:cs="Times New Roman" w:eastAsia="Times New Roman" w:hint="default"/>
                <w:sz w:val="21"/>
                <w:szCs w:val="21"/>
              </w:rPr>
            </w:pPr>
            <w:r>
              <w:rPr>
                <w:rFonts w:ascii="Times New Roman"/>
                <w:sz w:val="21"/>
              </w:rPr>
              <w:t>201110028252.1</w:t>
            </w:r>
          </w:p>
        </w:tc>
      </w:tr>
      <w:tr>
        <w:trPr>
          <w:trHeight w:val="44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2</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一种具有防止盗用功能的印章保持装置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2011-4-22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4" w:right="0"/>
              <w:jc w:val="left"/>
              <w:rPr>
                <w:rFonts w:ascii="Times New Roman" w:hAnsi="Times New Roman" w:cs="Times New Roman" w:eastAsia="Times New Roman" w:hint="default"/>
                <w:sz w:val="21"/>
                <w:szCs w:val="21"/>
              </w:rPr>
            </w:pPr>
            <w:r>
              <w:rPr>
                <w:rFonts w:ascii="Times New Roman"/>
                <w:sz w:val="21"/>
              </w:rPr>
              <w:t>201120121361.3</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3</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一种具有防止盗用功能的印章保持装置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2011-4-22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4" w:right="0"/>
              <w:jc w:val="left"/>
              <w:rPr>
                <w:rFonts w:ascii="Times New Roman" w:hAnsi="Times New Roman" w:cs="Times New Roman" w:eastAsia="Times New Roman" w:hint="default"/>
                <w:sz w:val="21"/>
                <w:szCs w:val="21"/>
              </w:rPr>
            </w:pPr>
            <w:r>
              <w:rPr>
                <w:rFonts w:ascii="Times New Roman"/>
                <w:sz w:val="21"/>
              </w:rPr>
              <w:t>201110101841.8</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4</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一种带有自粘功能的影像采集装置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2011-6-10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4" w:right="0"/>
              <w:jc w:val="left"/>
              <w:rPr>
                <w:rFonts w:ascii="Times New Roman" w:hAnsi="Times New Roman" w:cs="Times New Roman" w:eastAsia="Times New Roman" w:hint="default"/>
                <w:sz w:val="21"/>
                <w:szCs w:val="21"/>
              </w:rPr>
            </w:pPr>
            <w:r>
              <w:rPr>
                <w:rFonts w:ascii="Times New Roman"/>
                <w:sz w:val="21"/>
              </w:rPr>
              <w:t>201120192899.3</w:t>
            </w:r>
          </w:p>
        </w:tc>
      </w:tr>
      <w:tr>
        <w:trPr>
          <w:trHeight w:val="44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5</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一种带有自粘功能的影像采集装置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2011-6-10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4" w:right="0"/>
              <w:jc w:val="left"/>
              <w:rPr>
                <w:rFonts w:ascii="Times New Roman" w:hAnsi="Times New Roman" w:cs="Times New Roman" w:eastAsia="Times New Roman" w:hint="default"/>
                <w:sz w:val="21"/>
                <w:szCs w:val="21"/>
              </w:rPr>
            </w:pPr>
            <w:r>
              <w:rPr>
                <w:rFonts w:ascii="Times New Roman"/>
                <w:sz w:val="21"/>
              </w:rPr>
              <w:t>201110154347.8</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6</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一种文件盖章装置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2011-10-26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4" w:right="0"/>
              <w:jc w:val="left"/>
              <w:rPr>
                <w:rFonts w:ascii="Times New Roman" w:hAnsi="Times New Roman" w:cs="Times New Roman" w:eastAsia="Times New Roman" w:hint="default"/>
                <w:sz w:val="21"/>
                <w:szCs w:val="21"/>
              </w:rPr>
            </w:pPr>
            <w:r>
              <w:rPr>
                <w:rFonts w:ascii="Times New Roman"/>
                <w:sz w:val="21"/>
              </w:rPr>
              <w:t>201120412845.3</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7</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一种文件盖章装置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2011-10-26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4" w:right="0"/>
              <w:jc w:val="left"/>
              <w:rPr>
                <w:rFonts w:ascii="Times New Roman" w:hAnsi="Times New Roman" w:cs="Times New Roman" w:eastAsia="Times New Roman" w:hint="default"/>
                <w:sz w:val="21"/>
                <w:szCs w:val="21"/>
              </w:rPr>
            </w:pPr>
            <w:r>
              <w:rPr>
                <w:rFonts w:ascii="Times New Roman"/>
                <w:sz w:val="21"/>
              </w:rPr>
              <w:t>201110329157.5</w:t>
            </w:r>
          </w:p>
        </w:tc>
      </w:tr>
      <w:tr>
        <w:trPr>
          <w:trHeight w:val="44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8</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资料存取装置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2011-10-26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4" w:right="0"/>
              <w:jc w:val="left"/>
              <w:rPr>
                <w:rFonts w:ascii="Times New Roman" w:hAnsi="Times New Roman" w:cs="Times New Roman" w:eastAsia="Times New Roman" w:hint="default"/>
                <w:sz w:val="21"/>
                <w:szCs w:val="21"/>
              </w:rPr>
            </w:pPr>
            <w:r>
              <w:rPr>
                <w:rFonts w:ascii="Times New Roman"/>
                <w:sz w:val="21"/>
              </w:rPr>
              <w:t>201120413003.X</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9</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资料存取装置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2011-10-26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4" w:right="0"/>
              <w:jc w:val="left"/>
              <w:rPr>
                <w:rFonts w:ascii="Times New Roman" w:hAnsi="Times New Roman" w:cs="Times New Roman" w:eastAsia="Times New Roman" w:hint="default"/>
                <w:sz w:val="21"/>
                <w:szCs w:val="21"/>
              </w:rPr>
            </w:pPr>
            <w:r>
              <w:rPr>
                <w:rFonts w:ascii="Times New Roman"/>
                <w:sz w:val="21"/>
              </w:rPr>
              <w:t>201110329353.2</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10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资料存取保管装置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2011-10-28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4" w:right="0"/>
              <w:jc w:val="left"/>
              <w:rPr>
                <w:rFonts w:ascii="Times New Roman" w:hAnsi="Times New Roman" w:cs="Times New Roman" w:eastAsia="Times New Roman" w:hint="default"/>
                <w:sz w:val="21"/>
                <w:szCs w:val="21"/>
              </w:rPr>
            </w:pPr>
            <w:r>
              <w:rPr>
                <w:rFonts w:ascii="Times New Roman"/>
                <w:sz w:val="21"/>
              </w:rPr>
              <w:t>201120416916.7</w:t>
            </w:r>
          </w:p>
        </w:tc>
      </w:tr>
      <w:tr>
        <w:trPr>
          <w:trHeight w:val="44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11</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资料存取保管装置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2011-10-28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4" w:right="0"/>
              <w:jc w:val="left"/>
              <w:rPr>
                <w:rFonts w:ascii="Times New Roman" w:hAnsi="Times New Roman" w:cs="Times New Roman" w:eastAsia="Times New Roman" w:hint="default"/>
                <w:sz w:val="21"/>
                <w:szCs w:val="21"/>
              </w:rPr>
            </w:pPr>
            <w:r>
              <w:rPr>
                <w:rFonts w:ascii="Times New Roman"/>
                <w:sz w:val="21"/>
              </w:rPr>
              <w:t>201110331973.X</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12</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一种文件管理系统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2011-11-1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4" w:right="0"/>
              <w:jc w:val="left"/>
              <w:rPr>
                <w:rFonts w:ascii="Times New Roman" w:hAnsi="Times New Roman" w:cs="Times New Roman" w:eastAsia="Times New Roman" w:hint="default"/>
                <w:sz w:val="21"/>
                <w:szCs w:val="21"/>
              </w:rPr>
            </w:pPr>
            <w:r>
              <w:rPr>
                <w:rFonts w:ascii="Times New Roman"/>
                <w:sz w:val="21"/>
              </w:rPr>
              <w:t>201120423539.X</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13</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一种文件管理系统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2011-11-1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4" w:right="0"/>
              <w:jc w:val="left"/>
              <w:rPr>
                <w:rFonts w:ascii="Times New Roman" w:hAnsi="Times New Roman" w:cs="Times New Roman" w:eastAsia="Times New Roman" w:hint="default"/>
                <w:sz w:val="21"/>
                <w:szCs w:val="21"/>
              </w:rPr>
            </w:pPr>
            <w:r>
              <w:rPr>
                <w:rFonts w:ascii="Times New Roman"/>
                <w:sz w:val="21"/>
              </w:rPr>
              <w:t>201110337503.4</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320" w:right="1160"/>
        </w:sectPr>
      </w:pPr>
    </w:p>
    <w:p>
      <w:pPr>
        <w:spacing w:line="240" w:lineRule="auto" w:before="8"/>
        <w:rPr>
          <w:rFonts w:ascii="宋体" w:hAnsi="宋体" w:cs="宋体" w:eastAsia="宋体" w:hint="default"/>
          <w:sz w:val="26"/>
          <w:szCs w:val="26"/>
        </w:rPr>
      </w:pPr>
    </w:p>
    <w:p>
      <w:pPr>
        <w:spacing w:before="35"/>
        <w:ind w:left="557" w:right="115" w:firstLine="0"/>
        <w:jc w:val="left"/>
        <w:rPr>
          <w:rFonts w:ascii="宋体" w:hAnsi="宋体" w:cs="宋体" w:eastAsia="宋体" w:hint="default"/>
          <w:sz w:val="21"/>
          <w:szCs w:val="21"/>
        </w:rPr>
      </w:pPr>
      <w:r>
        <w:rPr>
          <w:rFonts w:ascii="宋体" w:hAnsi="宋体" w:cs="宋体" w:eastAsia="宋体" w:hint="default"/>
          <w:sz w:val="21"/>
          <w:szCs w:val="21"/>
        </w:rPr>
        <w:t>注：上表中专利均为本公司自行研发并单独提出专利申请。</w:t>
      </w:r>
    </w:p>
    <w:p>
      <w:pPr>
        <w:spacing w:line="240" w:lineRule="auto" w:before="7"/>
        <w:rPr>
          <w:rFonts w:ascii="宋体" w:hAnsi="宋体" w:cs="宋体" w:eastAsia="宋体" w:hint="default"/>
          <w:sz w:val="25"/>
          <w:szCs w:val="25"/>
        </w:rPr>
      </w:pPr>
    </w:p>
    <w:p>
      <w:pPr>
        <w:pStyle w:val="BodyText"/>
        <w:spacing w:line="240" w:lineRule="auto"/>
        <w:ind w:left="557" w:right="115"/>
        <w:jc w:val="left"/>
      </w:pPr>
      <w:r>
        <w:rPr/>
        <w:pict>
          <v:shape style="position:absolute;margin-left:167.579987pt;margin-top:23.511528pt;width:105.662697pt;height:22.739998pt;mso-position-horizontal-relative:page;mso-position-vertical-relative:paragraph;z-index:-614344" type="#_x0000_t75" stroked="false">
            <v:imagedata r:id="rId13" o:title=""/>
          </v:shape>
        </w:pict>
      </w:r>
      <w:r>
        <w:rPr>
          <w:rFonts w:ascii="Times New Roman" w:hAnsi="Times New Roman" w:cs="Times New Roman" w:eastAsia="Times New Roman" w:hint="default"/>
          <w:spacing w:val="2"/>
        </w:rPr>
        <w:t>4</w:t>
      </w:r>
      <w:r>
        <w:rPr>
          <w:spacing w:val="2"/>
        </w:rPr>
        <w:t>．注册商标</w:t>
      </w:r>
    </w:p>
    <w:p>
      <w:pPr>
        <w:spacing w:line="240" w:lineRule="auto" w:before="11"/>
        <w:rPr>
          <w:rFonts w:ascii="宋体" w:hAnsi="宋体" w:cs="宋体" w:eastAsia="宋体" w:hint="default"/>
          <w:sz w:val="25"/>
          <w:szCs w:val="25"/>
        </w:rPr>
      </w:pPr>
    </w:p>
    <w:p>
      <w:pPr>
        <w:pStyle w:val="BodyText"/>
        <w:tabs>
          <w:tab w:pos="3797" w:val="left" w:leader="none"/>
        </w:tabs>
        <w:spacing w:line="350" w:lineRule="auto"/>
        <w:ind w:right="232" w:firstLine="459"/>
        <w:jc w:val="both"/>
      </w:pPr>
      <w:r>
        <w:rPr>
          <w:spacing w:val="-1"/>
        </w:rPr>
        <w:t>公司商标：</w:t>
        <w:tab/>
      </w:r>
      <w:r>
        <w:rPr>
          <w:spacing w:val="-28"/>
        </w:rPr>
        <w:t>，于</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7 </w:t>
      </w:r>
      <w:r>
        <w:rPr>
          <w:spacing w:val="-1"/>
        </w:rPr>
        <w:t>日获得国家工商行政管理总</w:t>
      </w:r>
      <w:r>
        <w:rPr>
          <w:w w:val="100"/>
        </w:rPr>
        <w:t> </w:t>
      </w:r>
      <w:r>
        <w:rPr>
          <w:spacing w:val="-3"/>
        </w:rPr>
        <w:t>局商标局发布的商标注册证书，商标授权使用范围为商品和服务第</w:t>
      </w:r>
      <w:r>
        <w:rPr>
          <w:spacing w:val="-41"/>
        </w:rPr>
        <w:t> </w:t>
      </w:r>
      <w:r>
        <w:rPr>
          <w:rFonts w:ascii="Times New Roman" w:hAnsi="Times New Roman" w:cs="Times New Roman" w:eastAsia="Times New Roman" w:hint="default"/>
        </w:rPr>
        <w:t>42</w:t>
      </w:r>
      <w:r>
        <w:rPr>
          <w:rFonts w:ascii="Times New Roman" w:hAnsi="Times New Roman" w:cs="Times New Roman" w:eastAsia="Times New Roman" w:hint="default"/>
          <w:spacing w:val="19"/>
        </w:rPr>
        <w:t> </w:t>
      </w:r>
      <w:r>
        <w:rPr>
          <w:spacing w:val="-8"/>
        </w:rPr>
        <w:t>类“计算机编</w:t>
      </w:r>
      <w:r>
        <w:rPr>
          <w:spacing w:val="-109"/>
        </w:rPr>
        <w:t> </w:t>
      </w:r>
      <w:r>
        <w:rPr>
          <w:spacing w:val="-109"/>
        </w:rPr>
      </w:r>
      <w:r>
        <w:rPr/>
        <w:t>程、计算机软件设计、计算机硬件咨询、计算机软件维护、计算机系统分析、计算</w:t>
      </w:r>
      <w:r>
        <w:rPr>
          <w:spacing w:val="-87"/>
        </w:rPr>
        <w:t> </w:t>
      </w:r>
      <w:r>
        <w:rPr>
          <w:spacing w:val="-87"/>
        </w:rPr>
      </w:r>
      <w:r>
        <w:rPr>
          <w:spacing w:val="-9"/>
          <w:w w:val="100"/>
        </w:rPr>
        <w:t>机系统设计”，注册有效期限至</w:t>
      </w:r>
      <w:r>
        <w:rPr>
          <w:spacing w:val="-59"/>
          <w:w w:val="100"/>
        </w:rPr>
        <w:t> </w:t>
      </w:r>
      <w:r>
        <w:rPr>
          <w:rFonts w:ascii="Times New Roman" w:hAnsi="Times New Roman" w:cs="Times New Roman" w:eastAsia="Times New Roman" w:hint="default"/>
          <w:spacing w:val="-1"/>
          <w:w w:val="100"/>
        </w:rPr>
        <w:t>2021</w:t>
      </w:r>
      <w:r>
        <w:rPr>
          <w:rFonts w:ascii="Times New Roman" w:hAnsi="Times New Roman" w:cs="Times New Roman" w:eastAsia="Times New Roman" w:hint="default"/>
          <w:w w:val="100"/>
        </w:rPr>
        <w:t> </w:t>
      </w:r>
      <w:r>
        <w:rPr>
          <w:w w:val="100"/>
        </w:rPr>
        <w:t>年</w:t>
      </w:r>
      <w:r>
        <w:rPr>
          <w:spacing w:val="-58"/>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2"/>
          <w:w w:val="100"/>
        </w:rPr>
        <w:t> </w:t>
      </w:r>
      <w:r>
        <w:rPr>
          <w:w w:val="100"/>
        </w:rPr>
        <w:t>月</w:t>
      </w:r>
      <w:r>
        <w:rPr>
          <w:spacing w:val="-58"/>
          <w:w w:val="100"/>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2"/>
          <w:w w:val="100"/>
        </w:rPr>
        <w:t> </w:t>
      </w:r>
      <w:r>
        <w:rPr>
          <w:w w:val="100"/>
        </w:rPr>
        <w:t>日。</w:t>
      </w:r>
    </w:p>
    <w:p>
      <w:pPr>
        <w:spacing w:line="240" w:lineRule="auto" w:before="0"/>
        <w:rPr>
          <w:rFonts w:ascii="宋体" w:hAnsi="宋体" w:cs="宋体" w:eastAsia="宋体" w:hint="default"/>
          <w:sz w:val="24"/>
          <w:szCs w:val="24"/>
        </w:rPr>
      </w:pPr>
    </w:p>
    <w:p>
      <w:pPr>
        <w:pStyle w:val="BodyText"/>
        <w:spacing w:line="367" w:lineRule="auto" w:before="186"/>
        <w:ind w:left="557" w:right="115" w:hanging="420"/>
        <w:jc w:val="left"/>
      </w:pPr>
      <w:r>
        <w:rPr/>
        <w:t>（五）</w:t>
      </w:r>
      <w:r>
        <w:rPr>
          <w:spacing w:val="-87"/>
        </w:rPr>
        <w:t> </w:t>
      </w:r>
      <w:r>
        <w:rPr/>
        <w:t>公司核心竞争能力分析</w:t>
      </w:r>
      <w:r>
        <w:rPr>
          <w:w w:val="100"/>
        </w:rPr>
        <w:t> </w:t>
      </w:r>
      <w:r>
        <w:rPr/>
        <w:t>公司核心竞争力主要体现在核心技术、市场开发、人才、行业品牌等方面。</w:t>
      </w:r>
      <w:r>
        <w:rPr>
          <w:w w:val="100"/>
        </w:rPr>
        <w:t> </w:t>
      </w:r>
      <w:r>
        <w:rPr>
          <w:rFonts w:ascii="Times New Roman" w:hAnsi="Times New Roman" w:cs="Times New Roman" w:eastAsia="Times New Roman" w:hint="default"/>
        </w:rPr>
        <w:t>1</w:t>
      </w:r>
      <w:r>
        <w:rPr/>
        <w:t>．核心技术优势</w:t>
      </w:r>
      <w:r>
        <w:rPr>
          <w:w w:val="100"/>
        </w:rPr>
        <w:t> </w:t>
      </w:r>
      <w:r>
        <w:rPr/>
        <w:t>经过公司在行业内十余年的专业化积累，公司的一批产品技术在行业内具有领</w:t>
      </w:r>
    </w:p>
    <w:p>
      <w:pPr>
        <w:pStyle w:val="BodyText"/>
        <w:spacing w:line="367" w:lineRule="auto" w:before="45"/>
        <w:ind w:right="115"/>
        <w:jc w:val="left"/>
      </w:pPr>
      <w:r>
        <w:rPr/>
        <w:t>先地位。电脑验印技术是公司的传统优势技术，这一技术优势目前仍然得到了保持</w:t>
      </w:r>
      <w:r>
        <w:rPr>
          <w:spacing w:val="-87"/>
        </w:rPr>
        <w:t> </w:t>
      </w:r>
      <w:r>
        <w:rPr>
          <w:spacing w:val="-87"/>
        </w:rPr>
      </w:r>
      <w:r>
        <w:rPr/>
        <w:t>和继续加强。同时，公司在其他新技术领域也发展较快，如影像处理技术、</w:t>
      </w:r>
      <w:r>
        <w:rPr>
          <w:rFonts w:ascii="Times New Roman" w:hAnsi="Times New Roman" w:cs="Times New Roman" w:eastAsia="Times New Roman" w:hint="default"/>
        </w:rPr>
        <w:t>OCR</w:t>
      </w:r>
      <w:r>
        <w:rPr>
          <w:rFonts w:ascii="Times New Roman" w:hAnsi="Times New Roman" w:cs="Times New Roman" w:eastAsia="Times New Roman" w:hint="default"/>
          <w:spacing w:val="-15"/>
        </w:rPr>
        <w:t> </w:t>
      </w:r>
      <w:r>
        <w:rPr/>
        <w:t>技</w:t>
      </w:r>
      <w:r>
        <w:rPr>
          <w:w w:val="100"/>
        </w:rPr>
        <w:t> </w:t>
      </w:r>
      <w:r>
        <w:rPr/>
        <w:t>术、</w:t>
      </w:r>
      <w:r>
        <w:rPr>
          <w:rFonts w:ascii="Times New Roman" w:hAnsi="Times New Roman" w:cs="Times New Roman" w:eastAsia="Times New Roman" w:hint="default"/>
        </w:rPr>
        <w:t>RCP</w:t>
      </w:r>
      <w:r>
        <w:rPr>
          <w:rFonts w:ascii="Times New Roman" w:hAnsi="Times New Roman" w:cs="Times New Roman" w:eastAsia="Times New Roman" w:hint="default"/>
          <w:spacing w:val="-4"/>
        </w:rPr>
        <w:t> </w:t>
      </w:r>
      <w:r>
        <w:rPr/>
        <w:t>技术、工作流引擎技术、内容管理技术、集成桌面技术等，在行业内具有</w:t>
      </w:r>
      <w:r>
        <w:rPr>
          <w:w w:val="100"/>
        </w:rPr>
        <w:t> </w:t>
      </w:r>
      <w:r>
        <w:rPr>
          <w:spacing w:val="-3"/>
        </w:rPr>
        <w:t>相对领先的优势。报告期内，公司行业专有硬件的技术开发能力也得到进一步加强。</w:t>
      </w:r>
      <w:r>
        <w:rPr>
          <w:spacing w:val="-97"/>
        </w:rPr>
        <w:t> </w:t>
      </w:r>
      <w:r>
        <w:rPr>
          <w:spacing w:val="-97"/>
        </w:rPr>
      </w:r>
      <w:r>
        <w:rPr/>
        <w:t>同时，公司还是金融行业关于票据影像技术标准的参与制定单位。这些核心技术的</w:t>
      </w:r>
      <w:r>
        <w:rPr>
          <w:spacing w:val="-87"/>
        </w:rPr>
        <w:t> </w:t>
      </w:r>
      <w:r>
        <w:rPr>
          <w:spacing w:val="-87"/>
        </w:rPr>
      </w:r>
      <w:r>
        <w:rPr/>
        <w:t>拥有，使得公司能够一直在行业中引领产品开发和应用的方向，保持行业先行者和</w:t>
      </w:r>
      <w:r>
        <w:rPr>
          <w:spacing w:val="-87"/>
        </w:rPr>
        <w:t> </w:t>
      </w:r>
      <w:r>
        <w:rPr>
          <w:spacing w:val="-87"/>
        </w:rPr>
      </w:r>
      <w:r>
        <w:rPr/>
        <w:t>领导者的地位。</w:t>
      </w:r>
    </w:p>
    <w:p>
      <w:pPr>
        <w:pStyle w:val="BodyText"/>
        <w:spacing w:line="352" w:lineRule="auto" w:before="45"/>
        <w:ind w:left="597" w:right="115" w:hanging="40"/>
        <w:jc w:val="left"/>
      </w:pPr>
      <w:r>
        <w:rPr>
          <w:rFonts w:ascii="Times New Roman" w:hAnsi="Times New Roman" w:cs="Times New Roman" w:eastAsia="Times New Roman" w:hint="default"/>
        </w:rPr>
        <w:t>2</w:t>
      </w:r>
      <w:r>
        <w:rPr/>
        <w:t>．市场开发优势</w:t>
      </w:r>
      <w:r>
        <w:rPr>
          <w:spacing w:val="-102"/>
        </w:rPr>
        <w:t> </w:t>
      </w:r>
      <w:r>
        <w:rPr>
          <w:spacing w:val="-102"/>
        </w:rPr>
      </w:r>
      <w:r>
        <w:rPr/>
        <w:t>公司产品和服务在金融业有广大、稳定的客户基础，在行业内有比较明显的客</w:t>
      </w:r>
    </w:p>
    <w:p>
      <w:pPr>
        <w:pStyle w:val="BodyText"/>
        <w:spacing w:line="369" w:lineRule="auto" w:before="59"/>
        <w:ind w:right="232"/>
        <w:jc w:val="both"/>
      </w:pPr>
      <w:r>
        <w:rPr/>
        <w:t>户资源优势。目前，公司客户包括中国工商银行、中国农业银行、中国银行、中国</w:t>
      </w:r>
      <w:r>
        <w:rPr>
          <w:spacing w:val="-87"/>
        </w:rPr>
        <w:t> </w:t>
      </w:r>
      <w:r>
        <w:rPr>
          <w:spacing w:val="-87"/>
        </w:rPr>
      </w:r>
      <w:r>
        <w:rPr/>
        <w:t>建设银行、深圳发展银行、上海浦东发展银行、广东发展银行、中国进出口银行、</w:t>
      </w:r>
      <w:r>
        <w:rPr>
          <w:spacing w:val="-87"/>
        </w:rPr>
        <w:t> </w:t>
      </w:r>
      <w:r>
        <w:rPr>
          <w:spacing w:val="-87"/>
        </w:rPr>
      </w:r>
      <w:r>
        <w:rPr/>
        <w:t>中国农业发展银行、各地城市商业银行、农村商业银行、农村信用社及部分外资银</w:t>
      </w:r>
      <w:r>
        <w:rPr>
          <w:spacing w:val="-87"/>
        </w:rPr>
        <w:t> </w:t>
      </w:r>
      <w:r>
        <w:rPr>
          <w:spacing w:val="-87"/>
        </w:rPr>
      </w:r>
      <w:r>
        <w:rPr>
          <w:spacing w:val="-3"/>
        </w:rPr>
        <w:t>行，涵盖了数万个银行网点，遍布国内</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spacing w:val="-4"/>
        </w:rPr>
        <w:t>个省、直辖市、自治区。报告期内，公司</w:t>
      </w:r>
      <w:r>
        <w:rPr>
          <w:spacing w:val="-111"/>
        </w:rPr>
        <w:t> </w:t>
      </w:r>
      <w:r>
        <w:rPr>
          <w:spacing w:val="-111"/>
        </w:rPr>
      </w:r>
      <w:r>
        <w:rPr/>
        <w:t>在银行系统继续开拓了一批新的优质客户，并在保险行业中取得用户突破。这些宝</w:t>
      </w:r>
      <w:r>
        <w:rPr>
          <w:spacing w:val="-87"/>
        </w:rPr>
        <w:t> </w:t>
      </w:r>
      <w:r>
        <w:rPr>
          <w:spacing w:val="-87"/>
        </w:rPr>
      </w:r>
      <w:r>
        <w:rPr/>
        <w:t>贵的客户资源是公司今后业务持续发展的坚实基础。</w:t>
      </w:r>
    </w:p>
    <w:p>
      <w:pPr>
        <w:pStyle w:val="BodyText"/>
        <w:spacing w:line="352" w:lineRule="auto" w:before="43"/>
        <w:ind w:left="597" w:right="115" w:hanging="40"/>
        <w:jc w:val="left"/>
      </w:pPr>
      <w:r>
        <w:rPr>
          <w:rFonts w:ascii="Times New Roman" w:hAnsi="Times New Roman" w:cs="Times New Roman" w:eastAsia="Times New Roman" w:hint="default"/>
          <w:spacing w:val="2"/>
        </w:rPr>
        <w:t>3</w:t>
      </w:r>
      <w:r>
        <w:rPr>
          <w:spacing w:val="2"/>
        </w:rPr>
        <w:t>．人才优势</w:t>
      </w:r>
      <w:r>
        <w:rPr>
          <w:spacing w:val="-111"/>
        </w:rPr>
        <w:t> </w:t>
      </w:r>
      <w:r>
        <w:rPr>
          <w:spacing w:val="-111"/>
        </w:rPr>
      </w:r>
      <w:r>
        <w:rPr/>
        <w:t>经过多年的发展，公司已拥有起一支适应金融信息化行业要求的技术精湛、经</w:t>
      </w:r>
    </w:p>
    <w:p>
      <w:pPr>
        <w:pStyle w:val="BodyText"/>
        <w:spacing w:line="240" w:lineRule="auto" w:before="59"/>
        <w:ind w:right="115"/>
        <w:jc w:val="left"/>
      </w:pPr>
      <w:r>
        <w:rPr/>
        <w:t>验丰富的复合型专业人才队伍。公司主要研发、技术骨干大多具有多年银行软件系</w:t>
      </w:r>
    </w:p>
    <w:p>
      <w:pPr>
        <w:spacing w:after="0" w:line="240" w:lineRule="auto"/>
        <w:jc w:val="left"/>
        <w:sectPr>
          <w:pgSz w:w="11910" w:h="16840"/>
          <w:pgMar w:header="877" w:footer="982" w:top="1100" w:bottom="1180" w:left="1660" w:right="1560"/>
        </w:sectPr>
      </w:pPr>
    </w:p>
    <w:p>
      <w:pPr>
        <w:spacing w:line="240" w:lineRule="auto" w:before="12"/>
        <w:rPr>
          <w:rFonts w:ascii="宋体" w:hAnsi="宋体" w:cs="宋体" w:eastAsia="宋体" w:hint="default"/>
          <w:sz w:val="25"/>
          <w:szCs w:val="25"/>
        </w:rPr>
      </w:pPr>
    </w:p>
    <w:p>
      <w:pPr>
        <w:pStyle w:val="BodyText"/>
        <w:spacing w:line="367" w:lineRule="auto" w:before="29"/>
        <w:ind w:left="297" w:right="392"/>
        <w:jc w:val="both"/>
      </w:pPr>
      <w:r>
        <w:rPr/>
        <w:t>统开发经验，不仅精通模式识别、图像处理、计算机软件、大型数据库等领域的专</w:t>
      </w:r>
      <w:r>
        <w:rPr>
          <w:spacing w:val="-87"/>
        </w:rPr>
        <w:t> </w:t>
      </w:r>
      <w:r>
        <w:rPr>
          <w:spacing w:val="-87"/>
        </w:rPr>
      </w:r>
      <w:r>
        <w:rPr/>
        <w:t>业技术，而且对我国银行业务流程、业务特点非常熟悉，对银行业务流程再造的发</w:t>
      </w:r>
      <w:r>
        <w:rPr>
          <w:spacing w:val="-87"/>
        </w:rPr>
        <w:t> </w:t>
      </w:r>
      <w:r>
        <w:rPr>
          <w:spacing w:val="-87"/>
        </w:rPr>
      </w:r>
      <w:r>
        <w:rPr>
          <w:spacing w:val="-3"/>
        </w:rPr>
        <w:t>展趋势有前沿的认识。此外，公司营销队伍和管理团队也具有丰富的金融</w:t>
      </w:r>
      <w:r>
        <w:rPr>
          <w:spacing w:val="-51"/>
        </w:rPr>
        <w:t> </w:t>
      </w:r>
      <w:r>
        <w:rPr>
          <w:rFonts w:ascii="Times New Roman" w:hAnsi="Times New Roman" w:cs="Times New Roman" w:eastAsia="Times New Roman" w:hint="default"/>
        </w:rPr>
        <w:t>IT</w:t>
      </w:r>
      <w:r>
        <w:rPr>
          <w:rFonts w:ascii="Times New Roman" w:hAnsi="Times New Roman" w:cs="Times New Roman" w:eastAsia="Times New Roman" w:hint="default"/>
          <w:spacing w:val="6"/>
        </w:rPr>
        <w:t> </w:t>
      </w:r>
      <w:r>
        <w:rPr/>
        <w:t>市场和</w:t>
      </w:r>
      <w:r>
        <w:rPr>
          <w:spacing w:val="-113"/>
        </w:rPr>
        <w:t> </w:t>
      </w:r>
      <w:r>
        <w:rPr>
          <w:spacing w:val="-113"/>
        </w:rPr>
      </w:r>
      <w:r>
        <w:rPr/>
        <w:t>企业管理经验。目前，公司核心人员稳定，在行业内具备富有竞争力的人才优势。</w:t>
      </w:r>
    </w:p>
    <w:p>
      <w:pPr>
        <w:pStyle w:val="BodyText"/>
        <w:spacing w:line="352" w:lineRule="auto" w:before="45"/>
        <w:ind w:left="757" w:right="127" w:hanging="40"/>
        <w:jc w:val="left"/>
      </w:pPr>
      <w:r>
        <w:rPr>
          <w:rFonts w:ascii="Times New Roman" w:hAnsi="Times New Roman" w:cs="Times New Roman" w:eastAsia="Times New Roman" w:hint="default"/>
        </w:rPr>
        <w:t>4</w:t>
      </w:r>
      <w:r>
        <w:rPr/>
        <w:t>．行业品牌优势</w:t>
      </w:r>
      <w:r>
        <w:rPr>
          <w:spacing w:val="-102"/>
        </w:rPr>
        <w:t> </w:t>
      </w:r>
      <w:r>
        <w:rPr>
          <w:spacing w:val="-102"/>
        </w:rPr>
      </w:r>
      <w:r>
        <w:rPr/>
        <w:t>公司多年以来在行业内已经具备了专业性强、服务口碑好等良好的品牌形象。</w:t>
      </w:r>
    </w:p>
    <w:p>
      <w:pPr>
        <w:pStyle w:val="BodyText"/>
        <w:spacing w:line="372" w:lineRule="auto" w:before="59"/>
        <w:ind w:left="297" w:right="393"/>
        <w:jc w:val="both"/>
      </w:pPr>
      <w:r>
        <w:rPr/>
        <w:t>公司成功上市以后，在行业内的品牌形象进一步得到大幅提升，在行业客户中有较</w:t>
      </w:r>
      <w:r>
        <w:rPr>
          <w:spacing w:val="-87"/>
        </w:rPr>
        <w:t> </w:t>
      </w:r>
      <w:r>
        <w:rPr>
          <w:spacing w:val="-87"/>
        </w:rPr>
      </w:r>
      <w:r>
        <w:rPr/>
        <w:t>高的市场认知度。随着公司募投项目客户服务中心的建设，公司将通过继续加强规</w:t>
      </w:r>
      <w:r>
        <w:rPr>
          <w:spacing w:val="-87"/>
        </w:rPr>
        <w:t> </w:t>
      </w:r>
      <w:r>
        <w:rPr>
          <w:spacing w:val="-87"/>
        </w:rPr>
      </w:r>
      <w:r>
        <w:rPr/>
        <w:t>范和优质的售后服务，不断维护和巩固这一优势，并以此促进公司今后业务的持续</w:t>
      </w:r>
      <w:r>
        <w:rPr>
          <w:spacing w:val="-87"/>
        </w:rPr>
        <w:t> </w:t>
      </w:r>
      <w:r>
        <w:rPr>
          <w:spacing w:val="-87"/>
        </w:rPr>
      </w:r>
      <w:r>
        <w:rPr/>
        <w:t>健康发展。</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spacing w:line="240" w:lineRule="auto"/>
        <w:ind w:left="297" w:right="0"/>
        <w:jc w:val="both"/>
      </w:pPr>
      <w:r>
        <w:rPr/>
        <w:t>（六）</w:t>
      </w:r>
      <w:r>
        <w:rPr>
          <w:spacing w:val="-90"/>
        </w:rPr>
        <w:t> </w:t>
      </w:r>
      <w:r>
        <w:rPr/>
        <w:t>研发支出及研发项目情况</w:t>
      </w:r>
    </w:p>
    <w:p>
      <w:pPr>
        <w:spacing w:line="240" w:lineRule="auto" w:before="7"/>
        <w:rPr>
          <w:rFonts w:ascii="宋体" w:hAnsi="宋体" w:cs="宋体" w:eastAsia="宋体" w:hint="default"/>
          <w:sz w:val="10"/>
          <w:szCs w:val="10"/>
        </w:rPr>
      </w:pPr>
    </w:p>
    <w:p>
      <w:pPr>
        <w:pStyle w:val="BodyText"/>
        <w:spacing w:line="240" w:lineRule="auto" w:before="29"/>
        <w:ind w:left="757" w:right="127"/>
        <w:jc w:val="left"/>
      </w:pPr>
      <w:r>
        <w:rPr/>
        <w:t>报告期内公司研发费用支出情况如下：</w:t>
      </w:r>
    </w:p>
    <w:p>
      <w:pPr>
        <w:pStyle w:val="BodyText"/>
        <w:spacing w:line="240" w:lineRule="auto" w:before="89"/>
        <w:ind w:left="0" w:right="392"/>
        <w:jc w:val="right"/>
      </w:pPr>
      <w:r>
        <w:rPr/>
        <w:t>单位：元</w:t>
      </w:r>
    </w:p>
    <w:p>
      <w:pPr>
        <w:spacing w:line="240" w:lineRule="auto" w:before="12"/>
        <w:rPr>
          <w:rFonts w:ascii="宋体" w:hAnsi="宋体" w:cs="宋体" w:eastAsia="宋体" w:hint="default"/>
          <w:sz w:val="7"/>
          <w:szCs w:val="7"/>
        </w:rPr>
      </w:pPr>
    </w:p>
    <w:tbl>
      <w:tblPr>
        <w:tblW w:w="0" w:type="auto"/>
        <w:jc w:val="left"/>
        <w:tblInd w:w="184" w:type="dxa"/>
        <w:tblLayout w:type="fixed"/>
        <w:tblCellMar>
          <w:top w:w="0" w:type="dxa"/>
          <w:left w:w="0" w:type="dxa"/>
          <w:bottom w:w="0" w:type="dxa"/>
          <w:right w:w="0" w:type="dxa"/>
        </w:tblCellMar>
        <w:tblLook w:val="01E0"/>
      </w:tblPr>
      <w:tblGrid>
        <w:gridCol w:w="2988"/>
        <w:gridCol w:w="2194"/>
        <w:gridCol w:w="1620"/>
        <w:gridCol w:w="1620"/>
      </w:tblGrid>
      <w:tr>
        <w:trPr>
          <w:trHeight w:val="478" w:hRule="exact"/>
        </w:trPr>
        <w:tc>
          <w:tcPr>
            <w:tcW w:w="298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9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left="4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left="385"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384"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22,728,428.80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18,984,985.99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19.72%</w:t>
            </w:r>
          </w:p>
        </w:tc>
      </w:tr>
      <w:tr>
        <w:trPr>
          <w:trHeight w:val="384"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23" w:right="0"/>
              <w:jc w:val="left"/>
              <w:rPr>
                <w:rFonts w:ascii="宋体" w:hAnsi="宋体" w:cs="宋体" w:eastAsia="宋体" w:hint="default"/>
                <w:sz w:val="21"/>
                <w:szCs w:val="21"/>
              </w:rPr>
            </w:pPr>
            <w:r>
              <w:rPr>
                <w:rFonts w:ascii="宋体" w:hAnsi="宋体" w:cs="宋体" w:eastAsia="宋体" w:hint="default"/>
                <w:sz w:val="21"/>
                <w:szCs w:val="21"/>
              </w:rPr>
              <w:t>其中：资本化开发支出</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11,159,265.68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2,061,331.41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441.36%</w:t>
            </w:r>
          </w:p>
        </w:tc>
      </w:tr>
      <w:tr>
        <w:trPr>
          <w:trHeight w:val="384"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96,394,485.33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92,142,327.74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4.61%</w:t>
            </w:r>
          </w:p>
        </w:tc>
      </w:tr>
      <w:tr>
        <w:trPr>
          <w:trHeight w:val="384"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研发费用占营业总收入比例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23.58%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20.60%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+2.98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百分点</w:t>
            </w:r>
          </w:p>
        </w:tc>
      </w:tr>
    </w:tbl>
    <w:p>
      <w:pPr>
        <w:spacing w:line="240" w:lineRule="auto" w:before="5"/>
        <w:rPr>
          <w:rFonts w:ascii="宋体" w:hAnsi="宋体" w:cs="宋体" w:eastAsia="宋体" w:hint="default"/>
          <w:sz w:val="13"/>
          <w:szCs w:val="13"/>
        </w:rPr>
      </w:pPr>
    </w:p>
    <w:p>
      <w:pPr>
        <w:pStyle w:val="BodyText"/>
        <w:spacing w:line="372" w:lineRule="auto" w:before="29"/>
        <w:ind w:left="297" w:right="127" w:firstLine="459"/>
        <w:jc w:val="left"/>
      </w:pPr>
      <w:r>
        <w:rPr>
          <w:spacing w:val="-3"/>
        </w:rPr>
        <w:t>作为高新技术产业领域的企业，公司十分重视研发投入，一方面努力做好提高、</w:t>
      </w:r>
      <w:r>
        <w:rPr>
          <w:w w:val="100"/>
        </w:rPr>
        <w:t> </w:t>
      </w:r>
      <w:r>
        <w:rPr/>
        <w:t>完善现有产品的各项技术和功能，另一方面大力开发新产品。目前公司除募集资金</w:t>
      </w:r>
      <w:r>
        <w:rPr>
          <w:spacing w:val="-87"/>
        </w:rPr>
        <w:t> </w:t>
      </w:r>
      <w:r>
        <w:rPr>
          <w:spacing w:val="-87"/>
        </w:rPr>
      </w:r>
      <w:r>
        <w:rPr/>
        <w:t>计划投资项目外，正在进行的研发项目主要包括：</w:t>
      </w:r>
    </w:p>
    <w:p>
      <w:pPr>
        <w:spacing w:line="240" w:lineRule="auto" w:before="4"/>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1970"/>
        <w:gridCol w:w="4870"/>
        <w:gridCol w:w="1933"/>
      </w:tblGrid>
      <w:tr>
        <w:trPr>
          <w:trHeight w:val="469" w:hRule="exact"/>
        </w:trPr>
        <w:tc>
          <w:tcPr>
            <w:tcW w:w="197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7"/>
              <w:ind w:left="56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487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技术目标</w:t>
            </w:r>
          </w:p>
        </w:tc>
        <w:tc>
          <w:tcPr>
            <w:tcW w:w="193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7"/>
              <w:ind w:left="541" w:right="0"/>
              <w:jc w:val="left"/>
              <w:rPr>
                <w:rFonts w:ascii="宋体" w:hAnsi="宋体" w:cs="宋体" w:eastAsia="宋体" w:hint="default"/>
                <w:sz w:val="21"/>
                <w:szCs w:val="21"/>
              </w:rPr>
            </w:pPr>
            <w:r>
              <w:rPr>
                <w:rFonts w:ascii="宋体" w:hAnsi="宋体" w:cs="宋体" w:eastAsia="宋体" w:hint="default"/>
                <w:sz w:val="21"/>
                <w:szCs w:val="21"/>
              </w:rPr>
              <w:t>业务目标</w:t>
            </w:r>
          </w:p>
        </w:tc>
      </w:tr>
      <w:tr>
        <w:trPr>
          <w:trHeight w:val="453" w:hRule="exact"/>
        </w:trPr>
        <w:tc>
          <w:tcPr>
            <w:tcW w:w="1970" w:type="dxa"/>
            <w:tcBorders>
              <w:top w:val="single" w:sz="4" w:space="0" w:color="000000"/>
              <w:left w:val="single" w:sz="4" w:space="0" w:color="000000"/>
              <w:bottom w:val="nil" w:sz="6" w:space="0" w:color="auto"/>
              <w:right w:val="single" w:sz="4" w:space="0" w:color="000000"/>
            </w:tcBorders>
          </w:tcPr>
          <w:p>
            <w:pPr/>
          </w:p>
        </w:tc>
        <w:tc>
          <w:tcPr>
            <w:tcW w:w="4870" w:type="dxa"/>
            <w:tcBorders>
              <w:top w:val="single" w:sz="4" w:space="0" w:color="000000"/>
              <w:left w:val="single" w:sz="4" w:space="0" w:color="000000"/>
              <w:bottom w:val="nil" w:sz="6" w:space="0" w:color="auto"/>
              <w:right w:val="single" w:sz="4" w:space="0" w:color="000000"/>
            </w:tcBorders>
          </w:tcPr>
          <w:p>
            <w:pPr>
              <w:pStyle w:val="TableParagraph"/>
              <w:tabs>
                <w:tab w:pos="463" w:val="left" w:leader="none"/>
              </w:tabs>
              <w:spacing w:line="240" w:lineRule="auto" w:before="1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tab/>
            </w:r>
            <w:r>
              <w:rPr>
                <w:rFonts w:ascii="宋体" w:hAnsi="宋体" w:cs="宋体" w:eastAsia="宋体" w:hint="default"/>
                <w:sz w:val="21"/>
                <w:szCs w:val="21"/>
              </w:rPr>
              <w:t>影像应用软件开发的平台级产品；</w:t>
            </w:r>
          </w:p>
        </w:tc>
        <w:tc>
          <w:tcPr>
            <w:tcW w:w="1933" w:type="dxa"/>
            <w:tcBorders>
              <w:top w:val="single" w:sz="4" w:space="0" w:color="000000"/>
              <w:left w:val="single" w:sz="4" w:space="0" w:color="000000"/>
              <w:bottom w:val="nil" w:sz="6" w:space="0" w:color="auto"/>
              <w:right w:val="single" w:sz="4" w:space="0" w:color="000000"/>
            </w:tcBorders>
          </w:tcPr>
          <w:p>
            <w:pPr/>
          </w:p>
        </w:tc>
      </w:tr>
      <w:tr>
        <w:trPr>
          <w:trHeight w:val="287" w:hRule="exact"/>
        </w:trPr>
        <w:tc>
          <w:tcPr>
            <w:tcW w:w="1970" w:type="dxa"/>
            <w:tcBorders>
              <w:top w:val="nil" w:sz="6" w:space="0" w:color="auto"/>
              <w:left w:val="single" w:sz="4" w:space="0" w:color="000000"/>
              <w:bottom w:val="nil" w:sz="6" w:space="0" w:color="auto"/>
              <w:right w:val="single" w:sz="4" w:space="0" w:color="000000"/>
            </w:tcBorders>
          </w:tcPr>
          <w:p>
            <w:pPr/>
          </w:p>
        </w:tc>
        <w:tc>
          <w:tcPr>
            <w:tcW w:w="4870" w:type="dxa"/>
            <w:tcBorders>
              <w:top w:val="nil" w:sz="6" w:space="0" w:color="auto"/>
              <w:left w:val="single" w:sz="4" w:space="0" w:color="000000"/>
              <w:bottom w:val="nil" w:sz="6" w:space="0" w:color="auto"/>
              <w:right w:val="single" w:sz="4" w:space="0" w:color="000000"/>
            </w:tcBorders>
          </w:tcPr>
          <w:p>
            <w:pPr>
              <w:pStyle w:val="TableParagraph"/>
              <w:tabs>
                <w:tab w:pos="463" w:val="left" w:leader="none"/>
              </w:tabs>
              <w:spacing w:line="26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tab/>
            </w:r>
            <w:r>
              <w:rPr>
                <w:rFonts w:ascii="宋体" w:hAnsi="宋体" w:cs="宋体" w:eastAsia="宋体" w:hint="default"/>
                <w:spacing w:val="4"/>
                <w:sz w:val="21"/>
                <w:szCs w:val="21"/>
              </w:rPr>
              <w:t>应用工作流引擎提供灵活的业务规则设计和实</w:t>
            </w:r>
            <w:r>
              <w:rPr>
                <w:rFonts w:ascii="宋体" w:hAnsi="宋体" w:cs="宋体" w:eastAsia="宋体" w:hint="default"/>
                <w:sz w:val="21"/>
                <w:szCs w:val="21"/>
              </w:rPr>
            </w:r>
          </w:p>
        </w:tc>
        <w:tc>
          <w:tcPr>
            <w:tcW w:w="1933" w:type="dxa"/>
            <w:tcBorders>
              <w:top w:val="nil" w:sz="6" w:space="0" w:color="auto"/>
              <w:left w:val="single" w:sz="4" w:space="0" w:color="000000"/>
              <w:bottom w:val="nil" w:sz="6" w:space="0" w:color="auto"/>
              <w:right w:val="single" w:sz="4" w:space="0" w:color="000000"/>
            </w:tcBorders>
          </w:tcPr>
          <w:p>
            <w:pPr/>
          </w:p>
        </w:tc>
      </w:tr>
      <w:tr>
        <w:trPr>
          <w:trHeight w:val="283" w:hRule="exact"/>
        </w:trPr>
        <w:tc>
          <w:tcPr>
            <w:tcW w:w="1970" w:type="dxa"/>
            <w:tcBorders>
              <w:top w:val="nil" w:sz="6" w:space="0" w:color="auto"/>
              <w:left w:val="single" w:sz="4" w:space="0" w:color="000000"/>
              <w:bottom w:val="nil" w:sz="6" w:space="0" w:color="auto"/>
              <w:right w:val="single" w:sz="4" w:space="0" w:color="000000"/>
            </w:tcBorders>
          </w:tcPr>
          <w:p>
            <w:pPr/>
          </w:p>
        </w:tc>
        <w:tc>
          <w:tcPr>
            <w:tcW w:w="4870"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463" w:right="0"/>
              <w:jc w:val="left"/>
              <w:rPr>
                <w:rFonts w:ascii="宋体" w:hAnsi="宋体" w:cs="宋体" w:eastAsia="宋体" w:hint="default"/>
                <w:sz w:val="21"/>
                <w:szCs w:val="21"/>
              </w:rPr>
            </w:pPr>
            <w:r>
              <w:rPr>
                <w:rFonts w:ascii="宋体" w:hAnsi="宋体" w:cs="宋体" w:eastAsia="宋体" w:hint="default"/>
                <w:sz w:val="21"/>
                <w:szCs w:val="21"/>
              </w:rPr>
              <w:t>施；</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使公司影像应用软</w:t>
            </w:r>
            <w:r>
              <w:rPr>
                <w:rFonts w:ascii="宋体" w:hAnsi="宋体" w:cs="宋体" w:eastAsia="宋体" w:hint="default"/>
                <w:sz w:val="21"/>
                <w:szCs w:val="21"/>
              </w:rPr>
            </w:r>
          </w:p>
        </w:tc>
      </w:tr>
      <w:tr>
        <w:trPr>
          <w:trHeight w:val="285" w:hRule="exact"/>
        </w:trPr>
        <w:tc>
          <w:tcPr>
            <w:tcW w:w="1970"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综合影像处理平台</w:t>
            </w:r>
          </w:p>
        </w:tc>
        <w:tc>
          <w:tcPr>
            <w:tcW w:w="4870" w:type="dxa"/>
            <w:tcBorders>
              <w:top w:val="nil" w:sz="6" w:space="0" w:color="auto"/>
              <w:left w:val="single" w:sz="4" w:space="0" w:color="000000"/>
              <w:bottom w:val="nil" w:sz="6" w:space="0" w:color="auto"/>
              <w:right w:val="single" w:sz="4" w:space="0" w:color="000000"/>
            </w:tcBorders>
          </w:tcPr>
          <w:p>
            <w:pPr>
              <w:pStyle w:val="TableParagraph"/>
              <w:tabs>
                <w:tab w:pos="463" w:val="left" w:leader="none"/>
              </w:tabs>
              <w:spacing w:line="27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tab/>
            </w:r>
            <w:r>
              <w:rPr>
                <w:rFonts w:ascii="宋体" w:hAnsi="宋体" w:cs="宋体" w:eastAsia="宋体" w:hint="default"/>
                <w:spacing w:val="4"/>
                <w:sz w:val="21"/>
                <w:szCs w:val="21"/>
              </w:rPr>
              <w:t>应用内容管理技术为非结构化数据提供归档、</w:t>
            </w:r>
            <w:r>
              <w:rPr>
                <w:rFonts w:ascii="宋体" w:hAnsi="宋体" w:cs="宋体" w:eastAsia="宋体" w:hint="default"/>
                <w:sz w:val="21"/>
                <w:szCs w:val="21"/>
              </w:rPr>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0"/>
                <w:sz w:val="21"/>
                <w:szCs w:val="21"/>
              </w:rPr>
              <w:t>件的开发</w:t>
            </w:r>
            <w:r>
              <w:rPr>
                <w:rFonts w:ascii="宋体" w:hAnsi="宋体" w:cs="宋体" w:eastAsia="宋体" w:hint="default"/>
                <w:spacing w:val="-61"/>
                <w:sz w:val="21"/>
                <w:szCs w:val="21"/>
              </w:rPr>
              <w:t> </w:t>
            </w:r>
            <w:r>
              <w:rPr>
                <w:rFonts w:ascii="宋体" w:hAnsi="宋体" w:cs="宋体" w:eastAsia="宋体" w:hint="default"/>
                <w:spacing w:val="26"/>
                <w:sz w:val="21"/>
                <w:szCs w:val="21"/>
              </w:rPr>
              <w:t>更加快</w:t>
            </w:r>
            <w:r>
              <w:rPr>
                <w:rFonts w:ascii="宋体" w:hAnsi="宋体" w:cs="宋体" w:eastAsia="宋体" w:hint="default"/>
                <w:spacing w:val="-65"/>
                <w:sz w:val="21"/>
                <w:szCs w:val="21"/>
              </w:rPr>
              <w:t> </w:t>
            </w:r>
            <w:r>
              <w:rPr>
                <w:rFonts w:ascii="宋体" w:hAnsi="宋体" w:cs="宋体" w:eastAsia="宋体" w:hint="default"/>
                <w:sz w:val="21"/>
                <w:szCs w:val="21"/>
              </w:rPr>
            </w:r>
          </w:p>
        </w:tc>
      </w:tr>
      <w:tr>
        <w:trPr>
          <w:trHeight w:val="290" w:hRule="exact"/>
        </w:trPr>
        <w:tc>
          <w:tcPr>
            <w:tcW w:w="1970" w:type="dxa"/>
            <w:tcBorders>
              <w:top w:val="nil" w:sz="6" w:space="0" w:color="auto"/>
              <w:left w:val="single" w:sz="4" w:space="0" w:color="000000"/>
              <w:bottom w:val="nil" w:sz="6" w:space="0" w:color="auto"/>
              <w:right w:val="single" w:sz="4" w:space="0" w:color="000000"/>
            </w:tcBorders>
          </w:tcPr>
          <w:p>
            <w:pPr/>
          </w:p>
        </w:tc>
        <w:tc>
          <w:tcPr>
            <w:tcW w:w="4870"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463" w:right="0"/>
              <w:jc w:val="left"/>
              <w:rPr>
                <w:rFonts w:ascii="宋体" w:hAnsi="宋体" w:cs="宋体" w:eastAsia="宋体" w:hint="default"/>
                <w:sz w:val="21"/>
                <w:szCs w:val="21"/>
              </w:rPr>
            </w:pPr>
            <w:r>
              <w:rPr>
                <w:rFonts w:ascii="宋体" w:hAnsi="宋体" w:cs="宋体" w:eastAsia="宋体" w:hint="default"/>
                <w:sz w:val="21"/>
                <w:szCs w:val="21"/>
              </w:rPr>
              <w:t>查询和备份；</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捷、高效</w:t>
            </w:r>
          </w:p>
        </w:tc>
      </w:tr>
      <w:tr>
        <w:trPr>
          <w:trHeight w:val="294" w:hRule="exact"/>
        </w:trPr>
        <w:tc>
          <w:tcPr>
            <w:tcW w:w="1970" w:type="dxa"/>
            <w:tcBorders>
              <w:top w:val="nil" w:sz="6" w:space="0" w:color="auto"/>
              <w:left w:val="single" w:sz="4" w:space="0" w:color="000000"/>
              <w:bottom w:val="nil" w:sz="6" w:space="0" w:color="auto"/>
              <w:right w:val="single" w:sz="4" w:space="0" w:color="000000"/>
            </w:tcBorders>
          </w:tcPr>
          <w:p>
            <w:pPr/>
          </w:p>
        </w:tc>
        <w:tc>
          <w:tcPr>
            <w:tcW w:w="4870" w:type="dxa"/>
            <w:tcBorders>
              <w:top w:val="nil" w:sz="6" w:space="0" w:color="auto"/>
              <w:left w:val="single" w:sz="4" w:space="0" w:color="000000"/>
              <w:bottom w:val="nil" w:sz="6" w:space="0" w:color="auto"/>
              <w:right w:val="single" w:sz="4" w:space="0" w:color="000000"/>
            </w:tcBorders>
          </w:tcPr>
          <w:p>
            <w:pPr>
              <w:pStyle w:val="TableParagraph"/>
              <w:tabs>
                <w:tab w:pos="463" w:val="left" w:leader="none"/>
              </w:tabs>
              <w:spacing w:line="273"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tab/>
            </w:r>
            <w:r>
              <w:rPr>
                <w:rFonts w:ascii="宋体" w:hAnsi="宋体" w:cs="宋体" w:eastAsia="宋体" w:hint="default"/>
                <w:spacing w:val="4"/>
                <w:sz w:val="21"/>
                <w:szCs w:val="21"/>
              </w:rPr>
              <w:t>为用户提供多样影像控件优化其业务处理模式</w:t>
            </w:r>
            <w:r>
              <w:rPr>
                <w:rFonts w:ascii="宋体" w:hAnsi="宋体" w:cs="宋体" w:eastAsia="宋体" w:hint="default"/>
                <w:sz w:val="21"/>
                <w:szCs w:val="21"/>
              </w:rPr>
            </w:r>
          </w:p>
        </w:tc>
        <w:tc>
          <w:tcPr>
            <w:tcW w:w="1933" w:type="dxa"/>
            <w:tcBorders>
              <w:top w:val="nil" w:sz="6" w:space="0" w:color="auto"/>
              <w:left w:val="single" w:sz="4" w:space="0" w:color="000000"/>
              <w:bottom w:val="nil" w:sz="6" w:space="0" w:color="auto"/>
              <w:right w:val="single" w:sz="4" w:space="0" w:color="000000"/>
            </w:tcBorders>
          </w:tcPr>
          <w:p>
            <w:pPr/>
          </w:p>
        </w:tc>
      </w:tr>
      <w:tr>
        <w:trPr>
          <w:trHeight w:val="429" w:hRule="exact"/>
        </w:trPr>
        <w:tc>
          <w:tcPr>
            <w:tcW w:w="1970" w:type="dxa"/>
            <w:tcBorders>
              <w:top w:val="nil" w:sz="6" w:space="0" w:color="auto"/>
              <w:left w:val="single" w:sz="4" w:space="0" w:color="000000"/>
              <w:bottom w:val="single" w:sz="4" w:space="0" w:color="000000"/>
              <w:right w:val="single" w:sz="4" w:space="0" w:color="000000"/>
            </w:tcBorders>
          </w:tcPr>
          <w:p>
            <w:pPr/>
          </w:p>
        </w:tc>
        <w:tc>
          <w:tcPr>
            <w:tcW w:w="4870"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460" w:right="0"/>
              <w:jc w:val="left"/>
              <w:rPr>
                <w:rFonts w:ascii="宋体" w:hAnsi="宋体" w:cs="宋体" w:eastAsia="宋体" w:hint="default"/>
                <w:sz w:val="21"/>
                <w:szCs w:val="21"/>
              </w:rPr>
            </w:pPr>
            <w:r>
              <w:rPr>
                <w:rFonts w:ascii="宋体" w:hAnsi="宋体" w:cs="宋体" w:eastAsia="宋体" w:hint="default"/>
                <w:sz w:val="21"/>
                <w:szCs w:val="21"/>
              </w:rPr>
              <w:t>和应用体验。</w:t>
            </w:r>
          </w:p>
        </w:tc>
        <w:tc>
          <w:tcPr>
            <w:tcW w:w="1933" w:type="dxa"/>
            <w:tcBorders>
              <w:top w:val="nil" w:sz="6" w:space="0" w:color="auto"/>
              <w:left w:val="single" w:sz="4" w:space="0" w:color="000000"/>
              <w:bottom w:val="single" w:sz="4" w:space="0" w:color="000000"/>
              <w:right w:val="single" w:sz="4" w:space="0" w:color="000000"/>
            </w:tcBorders>
          </w:tcPr>
          <w:p>
            <w:pPr/>
          </w:p>
        </w:tc>
      </w:tr>
      <w:tr>
        <w:trPr>
          <w:trHeight w:val="858"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影像前端系统</w:t>
            </w:r>
          </w:p>
        </w:tc>
        <w:tc>
          <w:tcPr>
            <w:tcW w:w="48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8"/>
              <w:ind w:left="460" w:right="95" w:hanging="358"/>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58"/>
                <w:sz w:val="21"/>
                <w:szCs w:val="21"/>
              </w:rPr>
              <w:t> </w:t>
            </w:r>
            <w:r>
              <w:rPr>
                <w:rFonts w:ascii="宋体" w:hAnsi="宋体" w:cs="宋体" w:eastAsia="宋体" w:hint="default"/>
                <w:spacing w:val="4"/>
                <w:sz w:val="21"/>
                <w:szCs w:val="21"/>
              </w:rPr>
              <w:t>集成影像控件实现影像的采集、展现、处理功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能，集成验印控件实现自动和人工验印功能；</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3"/>
              <w:ind w:left="103" w:right="97"/>
              <w:jc w:val="both"/>
              <w:rPr>
                <w:rFonts w:ascii="宋体" w:hAnsi="宋体" w:cs="宋体" w:eastAsia="宋体" w:hint="default"/>
                <w:sz w:val="21"/>
                <w:szCs w:val="21"/>
              </w:rPr>
            </w:pPr>
            <w:r>
              <w:rPr>
                <w:rFonts w:ascii="宋体" w:hAnsi="宋体" w:cs="宋体" w:eastAsia="宋体" w:hint="default"/>
                <w:spacing w:val="4"/>
                <w:sz w:val="21"/>
                <w:szCs w:val="21"/>
              </w:rPr>
              <w:t>提升公司流程再造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系统的适用性、集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成性；使得银行柜</w:t>
            </w:r>
            <w:r>
              <w:rPr>
                <w:rFonts w:ascii="宋体" w:hAnsi="宋体" w:cs="宋体" w:eastAsia="宋体" w:hint="default"/>
                <w:sz w:val="21"/>
                <w:szCs w:val="21"/>
              </w:rPr>
            </w:r>
          </w:p>
        </w:tc>
      </w:tr>
    </w:tbl>
    <w:p>
      <w:pPr>
        <w:spacing w:after="0" w:line="272" w:lineRule="exact"/>
        <w:jc w:val="both"/>
        <w:rPr>
          <w:rFonts w:ascii="宋体" w:hAnsi="宋体" w:cs="宋体" w:eastAsia="宋体" w:hint="default"/>
          <w:sz w:val="21"/>
          <w:szCs w:val="21"/>
        </w:rPr>
        <w:sectPr>
          <w:pgSz w:w="11910" w:h="16840"/>
          <w:pgMar w:header="877" w:footer="982" w:top="1100" w:bottom="1180" w:left="1500" w:right="1400"/>
        </w:sectPr>
      </w:pPr>
    </w:p>
    <w:p>
      <w:pPr>
        <w:spacing w:line="240" w:lineRule="auto" w:before="10"/>
        <w:rPr>
          <w:rFonts w:ascii="Times New Roman" w:hAnsi="Times New Roman" w:cs="Times New Roman" w:eastAsia="Times New Roman" w:hint="default"/>
          <w:sz w:val="27"/>
          <w:szCs w:val="27"/>
        </w:rPr>
      </w:pPr>
    </w:p>
    <w:tbl>
      <w:tblPr>
        <w:tblW w:w="0" w:type="auto"/>
        <w:jc w:val="left"/>
        <w:tblInd w:w="112" w:type="dxa"/>
        <w:tblLayout w:type="fixed"/>
        <w:tblCellMar>
          <w:top w:w="0" w:type="dxa"/>
          <w:left w:w="0" w:type="dxa"/>
          <w:bottom w:w="0" w:type="dxa"/>
          <w:right w:w="0" w:type="dxa"/>
        </w:tblCellMar>
        <w:tblLook w:val="01E0"/>
      </w:tblPr>
      <w:tblGrid>
        <w:gridCol w:w="1970"/>
        <w:gridCol w:w="4870"/>
        <w:gridCol w:w="1933"/>
      </w:tblGrid>
      <w:tr>
        <w:trPr>
          <w:trHeight w:val="983" w:hRule="exact"/>
        </w:trPr>
        <w:tc>
          <w:tcPr>
            <w:tcW w:w="1970" w:type="dxa"/>
            <w:tcBorders>
              <w:top w:val="single" w:sz="4" w:space="0" w:color="000000"/>
              <w:left w:val="single" w:sz="4" w:space="0" w:color="000000"/>
              <w:bottom w:val="single" w:sz="4" w:space="0" w:color="000000"/>
              <w:right w:val="single" w:sz="4" w:space="0" w:color="000000"/>
            </w:tcBorders>
          </w:tcPr>
          <w:p>
            <w:pPr/>
          </w:p>
        </w:tc>
        <w:tc>
          <w:tcPr>
            <w:tcW w:w="487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60" w:right="0" w:hanging="358"/>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56"/>
                <w:sz w:val="21"/>
                <w:szCs w:val="21"/>
              </w:rPr>
              <w:t> </w:t>
            </w:r>
            <w:r>
              <w:rPr>
                <w:rFonts w:ascii="宋体" w:hAnsi="宋体" w:cs="宋体" w:eastAsia="宋体" w:hint="default"/>
                <w:spacing w:val="4"/>
                <w:sz w:val="21"/>
                <w:szCs w:val="21"/>
              </w:rPr>
              <w:t>支持多种外设设备，如：读卡器、指纹仪、密</w:t>
            </w:r>
            <w:r>
              <w:rPr>
                <w:rFonts w:ascii="宋体" w:hAnsi="宋体" w:cs="宋体" w:eastAsia="宋体" w:hint="default"/>
                <w:sz w:val="21"/>
                <w:szCs w:val="21"/>
              </w:rPr>
            </w:r>
          </w:p>
          <w:p>
            <w:pPr>
              <w:pStyle w:val="TableParagraph"/>
              <w:spacing w:line="272" w:lineRule="exact" w:before="18"/>
              <w:ind w:left="460" w:right="102" w:hanging="1"/>
              <w:jc w:val="left"/>
              <w:rPr>
                <w:rFonts w:ascii="宋体" w:hAnsi="宋体" w:cs="宋体" w:eastAsia="宋体" w:hint="default"/>
                <w:sz w:val="21"/>
                <w:szCs w:val="21"/>
              </w:rPr>
            </w:pPr>
            <w:r>
              <w:rPr>
                <w:rFonts w:ascii="宋体" w:hAnsi="宋体" w:cs="宋体" w:eastAsia="宋体" w:hint="default"/>
                <w:spacing w:val="-3"/>
                <w:sz w:val="21"/>
                <w:szCs w:val="21"/>
              </w:rPr>
              <w:t>码键盘、打印机等，采用</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adpter</w:t>
            </w:r>
            <w:r>
              <w:rPr>
                <w:rFonts w:ascii="宋体" w:hAnsi="宋体" w:cs="宋体" w:eastAsia="宋体" w:hint="default"/>
                <w:spacing w:val="-3"/>
                <w:sz w:val="21"/>
                <w:szCs w:val="21"/>
              </w:rPr>
              <w:t>（适配器）方式</w:t>
            </w:r>
            <w:r>
              <w:rPr>
                <w:rFonts w:ascii="宋体" w:hAnsi="宋体" w:cs="宋体" w:eastAsia="宋体" w:hint="default"/>
                <w:sz w:val="21"/>
                <w:szCs w:val="21"/>
              </w:rPr>
              <w:t> 管理外设产品，具备多种设备的兼容性；</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面前台处理更加高</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效快捷。</w:t>
            </w:r>
          </w:p>
        </w:tc>
      </w:tr>
      <w:tr>
        <w:trPr>
          <w:trHeight w:val="1505"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73" w:lineRule="auto"/>
              <w:ind w:left="103" w:right="90"/>
              <w:jc w:val="left"/>
              <w:rPr>
                <w:rFonts w:ascii="宋体" w:hAnsi="宋体" w:cs="宋体" w:eastAsia="宋体" w:hint="default"/>
                <w:sz w:val="21"/>
                <w:szCs w:val="21"/>
              </w:rPr>
            </w:pPr>
            <w:r>
              <w:rPr>
                <w:rFonts w:ascii="宋体" w:hAnsi="宋体" w:cs="宋体" w:eastAsia="宋体" w:hint="default"/>
                <w:spacing w:val="9"/>
                <w:sz w:val="21"/>
                <w:szCs w:val="21"/>
              </w:rPr>
              <w:t>客户身份影像识别</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系统</w:t>
            </w:r>
          </w:p>
        </w:tc>
        <w:tc>
          <w:tcPr>
            <w:tcW w:w="4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能识别第二代身份证真伪；</w:t>
            </w:r>
          </w:p>
          <w:p>
            <w:pPr>
              <w:pStyle w:val="TableParagraph"/>
              <w:spacing w:line="240" w:lineRule="auto" w:before="1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能读取第二代身份证内置的射频信息和图像；</w:t>
            </w:r>
          </w:p>
          <w:p>
            <w:pPr>
              <w:pStyle w:val="TableParagraph"/>
              <w:spacing w:line="240" w:lineRule="auto" w:before="1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能拍摄客户身份证正反面图像；</w:t>
            </w:r>
          </w:p>
          <w:p>
            <w:pPr>
              <w:pStyle w:val="TableParagraph"/>
              <w:spacing w:line="240" w:lineRule="auto" w:before="1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可与身份证联网稽查系统接口联通；</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72" w:lineRule="exact"/>
              <w:ind w:left="103" w:right="97"/>
              <w:jc w:val="both"/>
              <w:rPr>
                <w:rFonts w:ascii="宋体" w:hAnsi="宋体" w:cs="宋体" w:eastAsia="宋体" w:hint="default"/>
                <w:sz w:val="21"/>
                <w:szCs w:val="21"/>
              </w:rPr>
            </w:pPr>
            <w:r>
              <w:rPr>
                <w:rFonts w:ascii="宋体" w:hAnsi="宋体" w:cs="宋体" w:eastAsia="宋体" w:hint="default"/>
                <w:spacing w:val="4"/>
                <w:sz w:val="21"/>
                <w:szCs w:val="21"/>
              </w:rPr>
              <w:t>形成符合市场应用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需求的新产品，拓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宽公司产品线</w:t>
            </w:r>
          </w:p>
        </w:tc>
      </w:tr>
      <w:tr>
        <w:trPr>
          <w:trHeight w:val="437" w:hRule="exact"/>
        </w:trPr>
        <w:tc>
          <w:tcPr>
            <w:tcW w:w="1970" w:type="dxa"/>
            <w:tcBorders>
              <w:top w:val="single" w:sz="4" w:space="0" w:color="000000"/>
              <w:left w:val="single" w:sz="4" w:space="0" w:color="000000"/>
              <w:bottom w:val="nil" w:sz="6" w:space="0" w:color="auto"/>
              <w:right w:val="single" w:sz="4" w:space="0" w:color="000000"/>
            </w:tcBorders>
          </w:tcPr>
          <w:p>
            <w:pPr/>
          </w:p>
        </w:tc>
        <w:tc>
          <w:tcPr>
            <w:tcW w:w="48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56"/>
                <w:sz w:val="21"/>
                <w:szCs w:val="21"/>
              </w:rPr>
              <w:t> </w:t>
            </w:r>
            <w:r>
              <w:rPr>
                <w:rFonts w:ascii="宋体" w:hAnsi="宋体" w:cs="宋体" w:eastAsia="宋体" w:hint="default"/>
                <w:spacing w:val="4"/>
                <w:sz w:val="21"/>
                <w:szCs w:val="21"/>
              </w:rPr>
              <w:t>通过流程作业的方式使传统作业型网点向营销</w:t>
            </w:r>
            <w:r>
              <w:rPr>
                <w:rFonts w:ascii="宋体" w:hAnsi="宋体" w:cs="宋体" w:eastAsia="宋体" w:hint="default"/>
                <w:sz w:val="21"/>
                <w:szCs w:val="21"/>
              </w:rPr>
            </w:r>
          </w:p>
        </w:tc>
        <w:tc>
          <w:tcPr>
            <w:tcW w:w="1933" w:type="dxa"/>
            <w:tcBorders>
              <w:top w:val="single" w:sz="4" w:space="0" w:color="000000"/>
              <w:left w:val="single" w:sz="4" w:space="0" w:color="000000"/>
              <w:bottom w:val="nil" w:sz="6" w:space="0" w:color="auto"/>
              <w:right w:val="single" w:sz="4" w:space="0" w:color="000000"/>
            </w:tcBorders>
          </w:tcPr>
          <w:p>
            <w:pPr/>
          </w:p>
        </w:tc>
      </w:tr>
      <w:tr>
        <w:trPr>
          <w:trHeight w:val="1423" w:hRule="exact"/>
        </w:trPr>
        <w:tc>
          <w:tcPr>
            <w:tcW w:w="19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流程银行作业系统</w:t>
            </w:r>
          </w:p>
        </w:tc>
        <w:tc>
          <w:tcPr>
            <w:tcW w:w="4870"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463" w:right="0"/>
              <w:jc w:val="left"/>
              <w:rPr>
                <w:rFonts w:ascii="宋体" w:hAnsi="宋体" w:cs="宋体" w:eastAsia="宋体" w:hint="default"/>
                <w:sz w:val="21"/>
                <w:szCs w:val="21"/>
              </w:rPr>
            </w:pPr>
            <w:r>
              <w:rPr>
                <w:rFonts w:ascii="宋体" w:hAnsi="宋体" w:cs="宋体" w:eastAsia="宋体" w:hint="default"/>
                <w:sz w:val="21"/>
                <w:szCs w:val="21"/>
              </w:rPr>
              <w:t>型网点转变；</w:t>
            </w:r>
          </w:p>
          <w:p>
            <w:pPr>
              <w:pStyle w:val="TableParagraph"/>
              <w:spacing w:line="230" w:lineRule="auto" w:before="38"/>
              <w:ind w:left="463" w:right="95" w:hanging="36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58"/>
                <w:sz w:val="21"/>
                <w:szCs w:val="21"/>
              </w:rPr>
              <w:t> </w:t>
            </w:r>
            <w:r>
              <w:rPr>
                <w:rFonts w:ascii="宋体" w:hAnsi="宋体" w:cs="宋体" w:eastAsia="宋体" w:hint="default"/>
                <w:spacing w:val="4"/>
                <w:sz w:val="21"/>
                <w:szCs w:val="21"/>
              </w:rPr>
              <w:t>采用影像处理机制，前台业务采集、上传、影</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像拆分、切片录入、组合拼装，解决网点分散</w:t>
            </w:r>
            <w:r>
              <w:rPr>
                <w:rFonts w:ascii="宋体" w:hAnsi="宋体" w:cs="宋体" w:eastAsia="宋体" w:hint="default"/>
                <w:spacing w:val="4"/>
                <w:sz w:val="21"/>
                <w:szCs w:val="21"/>
              </w:rPr>
              <w:t> </w:t>
            </w:r>
            <w:r>
              <w:rPr>
                <w:rFonts w:ascii="宋体" w:hAnsi="宋体" w:cs="宋体" w:eastAsia="宋体" w:hint="default"/>
                <w:sz w:val="21"/>
                <w:szCs w:val="21"/>
              </w:rPr>
              <w:t>处理向集中作业的转变；</w:t>
            </w:r>
          </w:p>
          <w:p>
            <w:pPr>
              <w:pStyle w:val="TableParagraph"/>
              <w:spacing w:line="240" w:lineRule="auto" w:before="3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pacing w:val="-56"/>
                <w:sz w:val="21"/>
                <w:szCs w:val="21"/>
              </w:rPr>
              <w:t> </w:t>
            </w:r>
            <w:r>
              <w:rPr>
                <w:rFonts w:ascii="宋体" w:hAnsi="宋体" w:cs="宋体" w:eastAsia="宋体" w:hint="default"/>
                <w:spacing w:val="4"/>
                <w:sz w:val="21"/>
                <w:szCs w:val="21"/>
              </w:rPr>
              <w:t>系统通过流程定义和参数配置实现业务模式的</w:t>
            </w:r>
            <w:r>
              <w:rPr>
                <w:rFonts w:ascii="宋体" w:hAnsi="宋体" w:cs="宋体" w:eastAsia="宋体" w:hint="default"/>
                <w:sz w:val="21"/>
                <w:szCs w:val="21"/>
              </w:rPr>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72" w:lineRule="exact" w:before="156"/>
              <w:ind w:left="103" w:right="97"/>
              <w:jc w:val="both"/>
              <w:rPr>
                <w:rFonts w:ascii="宋体" w:hAnsi="宋体" w:cs="宋体" w:eastAsia="宋体" w:hint="default"/>
                <w:sz w:val="21"/>
                <w:szCs w:val="21"/>
              </w:rPr>
            </w:pPr>
            <w:r>
              <w:rPr>
                <w:rFonts w:ascii="宋体" w:hAnsi="宋体" w:cs="宋体" w:eastAsia="宋体" w:hint="default"/>
                <w:spacing w:val="4"/>
                <w:sz w:val="21"/>
                <w:szCs w:val="21"/>
              </w:rPr>
              <w:t>形成符合银行现代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化发展需要的新产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品，拓宽公司产品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线</w:t>
            </w:r>
          </w:p>
        </w:tc>
      </w:tr>
      <w:tr>
        <w:trPr>
          <w:trHeight w:val="430" w:hRule="exact"/>
        </w:trPr>
        <w:tc>
          <w:tcPr>
            <w:tcW w:w="1970" w:type="dxa"/>
            <w:tcBorders>
              <w:top w:val="nil" w:sz="6" w:space="0" w:color="auto"/>
              <w:left w:val="single" w:sz="4" w:space="0" w:color="000000"/>
              <w:bottom w:val="single" w:sz="4" w:space="0" w:color="000000"/>
              <w:right w:val="single" w:sz="4" w:space="0" w:color="000000"/>
            </w:tcBorders>
          </w:tcPr>
          <w:p>
            <w:pPr/>
          </w:p>
        </w:tc>
        <w:tc>
          <w:tcPr>
            <w:tcW w:w="4870"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463" w:right="0"/>
              <w:jc w:val="left"/>
              <w:rPr>
                <w:rFonts w:ascii="宋体" w:hAnsi="宋体" w:cs="宋体" w:eastAsia="宋体" w:hint="default"/>
                <w:sz w:val="21"/>
                <w:szCs w:val="21"/>
              </w:rPr>
            </w:pPr>
            <w:r>
              <w:rPr>
                <w:rFonts w:ascii="宋体" w:hAnsi="宋体" w:cs="宋体" w:eastAsia="宋体" w:hint="default"/>
                <w:sz w:val="21"/>
                <w:szCs w:val="21"/>
              </w:rPr>
              <w:t>多样性。</w:t>
            </w:r>
          </w:p>
        </w:tc>
        <w:tc>
          <w:tcPr>
            <w:tcW w:w="1933" w:type="dxa"/>
            <w:tcBorders>
              <w:top w:val="nil" w:sz="6" w:space="0" w:color="auto"/>
              <w:left w:val="single" w:sz="4" w:space="0" w:color="000000"/>
              <w:bottom w:val="single" w:sz="4" w:space="0" w:color="000000"/>
              <w:right w:val="single" w:sz="4" w:space="0" w:color="000000"/>
            </w:tcBorders>
          </w:tcPr>
          <w:p>
            <w:pPr/>
          </w:p>
        </w:tc>
      </w:tr>
      <w:tr>
        <w:trPr>
          <w:trHeight w:val="2017"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71" w:lineRule="auto"/>
              <w:ind w:left="103" w:right="90"/>
              <w:jc w:val="left"/>
              <w:rPr>
                <w:rFonts w:ascii="宋体" w:hAnsi="宋体" w:cs="宋体" w:eastAsia="宋体" w:hint="default"/>
                <w:sz w:val="21"/>
                <w:szCs w:val="21"/>
              </w:rPr>
            </w:pPr>
            <w:r>
              <w:rPr>
                <w:rFonts w:ascii="宋体" w:hAnsi="宋体" w:cs="宋体" w:eastAsia="宋体" w:hint="default"/>
                <w:spacing w:val="9"/>
                <w:sz w:val="21"/>
                <w:szCs w:val="21"/>
              </w:rPr>
              <w:t>多功能影像采集平</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台</w:t>
            </w:r>
          </w:p>
        </w:tc>
        <w:tc>
          <w:tcPr>
            <w:tcW w:w="48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8"/>
              <w:ind w:left="460" w:right="95" w:hanging="358"/>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58"/>
                <w:sz w:val="21"/>
                <w:szCs w:val="21"/>
              </w:rPr>
              <w:t> </w:t>
            </w:r>
            <w:r>
              <w:rPr>
                <w:rFonts w:ascii="宋体" w:hAnsi="宋体" w:cs="宋体" w:eastAsia="宋体" w:hint="default"/>
                <w:spacing w:val="4"/>
                <w:sz w:val="21"/>
                <w:szCs w:val="21"/>
              </w:rPr>
              <w:t>为商业银行柜面提供适应多种应用的影像采集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设备；</w:t>
            </w:r>
          </w:p>
          <w:p>
            <w:pPr>
              <w:pStyle w:val="TableParagraph"/>
              <w:spacing w:line="272" w:lineRule="exact" w:before="31"/>
              <w:ind w:left="463" w:right="95" w:hanging="36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58"/>
                <w:sz w:val="21"/>
                <w:szCs w:val="21"/>
              </w:rPr>
              <w:t> </w:t>
            </w:r>
            <w:r>
              <w:rPr>
                <w:rFonts w:ascii="宋体" w:hAnsi="宋体" w:cs="宋体" w:eastAsia="宋体" w:hint="default"/>
                <w:spacing w:val="4"/>
                <w:sz w:val="21"/>
                <w:szCs w:val="21"/>
              </w:rPr>
              <w:t>具备电脑验印、远程影像授权、档案影像采集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等多种业务功能；</w:t>
            </w:r>
          </w:p>
          <w:p>
            <w:pPr>
              <w:pStyle w:val="TableParagraph"/>
              <w:spacing w:line="272" w:lineRule="exact" w:before="31"/>
              <w:ind w:left="460" w:right="98" w:hanging="358"/>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pacing w:val="-55"/>
                <w:sz w:val="21"/>
                <w:szCs w:val="21"/>
              </w:rPr>
              <w:t> </w:t>
            </w:r>
            <w:r>
              <w:rPr>
                <w:rFonts w:ascii="宋体" w:hAnsi="宋体" w:cs="宋体" w:eastAsia="宋体" w:hint="default"/>
                <w:sz w:val="21"/>
                <w:szCs w:val="21"/>
              </w:rPr>
              <w:t>支持票据、现金、文件、身份证、</w:t>
            </w:r>
            <w:r>
              <w:rPr>
                <w:rFonts w:ascii="Times New Roman" w:hAnsi="Times New Roman" w:cs="Times New Roman" w:eastAsia="Times New Roman" w:hint="default"/>
                <w:sz w:val="21"/>
                <w:szCs w:val="21"/>
              </w:rPr>
              <w:t>UKey</w:t>
            </w:r>
            <w:r>
              <w:rPr>
                <w:rFonts w:ascii="宋体" w:hAnsi="宋体" w:cs="宋体" w:eastAsia="宋体" w:hint="default"/>
                <w:sz w:val="21"/>
                <w:szCs w:val="21"/>
              </w:rPr>
              <w:t>、环境</w:t>
            </w:r>
            <w:r>
              <w:rPr>
                <w:rFonts w:ascii="宋体" w:hAnsi="宋体" w:cs="宋体" w:eastAsia="宋体" w:hint="default"/>
                <w:spacing w:val="-102"/>
                <w:sz w:val="21"/>
                <w:szCs w:val="21"/>
              </w:rPr>
              <w:t> </w:t>
            </w:r>
            <w:r>
              <w:rPr>
                <w:rFonts w:ascii="宋体" w:hAnsi="宋体" w:cs="宋体" w:eastAsia="宋体" w:hint="default"/>
                <w:sz w:val="21"/>
                <w:szCs w:val="21"/>
              </w:rPr>
              <w:t>等多种对象的高清影像采集。</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8"/>
              <w:ind w:left="103" w:right="61"/>
              <w:jc w:val="both"/>
              <w:rPr>
                <w:rFonts w:ascii="宋体" w:hAnsi="宋体" w:cs="宋体" w:eastAsia="宋体" w:hint="default"/>
                <w:sz w:val="21"/>
                <w:szCs w:val="21"/>
              </w:rPr>
            </w:pPr>
            <w:r>
              <w:rPr>
                <w:rFonts w:ascii="Times New Roman" w:hAnsi="Times New Roman" w:cs="Times New Roman" w:eastAsia="Times New Roman" w:hint="default"/>
                <w:spacing w:val="9"/>
                <w:sz w:val="21"/>
                <w:szCs w:val="21"/>
              </w:rPr>
              <w:t>1.</w:t>
            </w:r>
            <w:r>
              <w:rPr>
                <w:rFonts w:ascii="宋体" w:hAnsi="宋体" w:cs="宋体" w:eastAsia="宋体" w:hint="default"/>
                <w:spacing w:val="9"/>
                <w:sz w:val="21"/>
                <w:szCs w:val="21"/>
              </w:rPr>
              <w:t>成为公司一个适</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应客户柜面影像应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0"/>
                <w:sz w:val="21"/>
                <w:szCs w:val="21"/>
              </w:rPr>
              <w:t>用的多用</w:t>
            </w:r>
            <w:r>
              <w:rPr>
                <w:rFonts w:ascii="宋体" w:hAnsi="宋体" w:cs="宋体" w:eastAsia="宋体" w:hint="default"/>
                <w:spacing w:val="-63"/>
                <w:sz w:val="21"/>
                <w:szCs w:val="21"/>
              </w:rPr>
              <w:t> </w:t>
            </w:r>
            <w:r>
              <w:rPr>
                <w:rFonts w:ascii="宋体" w:hAnsi="宋体" w:cs="宋体" w:eastAsia="宋体" w:hint="default"/>
                <w:spacing w:val="26"/>
                <w:sz w:val="21"/>
                <w:szCs w:val="21"/>
              </w:rPr>
              <w:t>途新产</w:t>
            </w:r>
            <w:r>
              <w:rPr>
                <w:rFonts w:ascii="宋体" w:hAnsi="宋体" w:cs="宋体" w:eastAsia="宋体" w:hint="default"/>
                <w:spacing w:val="-65"/>
                <w:sz w:val="21"/>
                <w:szCs w:val="21"/>
              </w:rPr>
              <w:t> </w:t>
            </w:r>
            <w:r>
              <w:rPr>
                <w:rFonts w:ascii="宋体" w:hAnsi="宋体" w:cs="宋体" w:eastAsia="宋体" w:hint="default"/>
                <w:sz w:val="21"/>
                <w:szCs w:val="21"/>
              </w:rPr>
              <w:t>品；</w:t>
            </w:r>
          </w:p>
          <w:p>
            <w:pPr>
              <w:pStyle w:val="TableParagraph"/>
              <w:spacing w:line="272" w:lineRule="exact" w:before="57"/>
              <w:ind w:left="103" w:right="97"/>
              <w:jc w:val="both"/>
              <w:rPr>
                <w:rFonts w:ascii="宋体" w:hAnsi="宋体" w:cs="宋体" w:eastAsia="宋体" w:hint="default"/>
                <w:sz w:val="21"/>
                <w:szCs w:val="21"/>
              </w:rPr>
            </w:pPr>
            <w:r>
              <w:rPr>
                <w:rFonts w:ascii="Times New Roman" w:hAnsi="Times New Roman" w:cs="Times New Roman" w:eastAsia="Times New Roman" w:hint="default"/>
                <w:spacing w:val="9"/>
                <w:sz w:val="21"/>
                <w:szCs w:val="21"/>
              </w:rPr>
              <w:t>2.</w:t>
            </w:r>
            <w:r>
              <w:rPr>
                <w:rFonts w:ascii="宋体" w:hAnsi="宋体" w:cs="宋体" w:eastAsia="宋体" w:hint="default"/>
                <w:spacing w:val="9"/>
                <w:sz w:val="21"/>
                <w:szCs w:val="21"/>
              </w:rPr>
              <w:t>成为公司核心产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品验印系统的升级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换代产品。</w:t>
            </w:r>
          </w:p>
        </w:tc>
      </w:tr>
      <w:tr>
        <w:trPr>
          <w:trHeight w:val="437" w:hRule="exact"/>
        </w:trPr>
        <w:tc>
          <w:tcPr>
            <w:tcW w:w="1970" w:type="dxa"/>
            <w:tcBorders>
              <w:top w:val="single" w:sz="4" w:space="0" w:color="000000"/>
              <w:left w:val="single" w:sz="4" w:space="0" w:color="000000"/>
              <w:bottom w:val="nil" w:sz="6" w:space="0" w:color="auto"/>
              <w:right w:val="single" w:sz="4" w:space="0" w:color="000000"/>
            </w:tcBorders>
          </w:tcPr>
          <w:p>
            <w:pPr/>
          </w:p>
        </w:tc>
        <w:tc>
          <w:tcPr>
            <w:tcW w:w="48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56"/>
                <w:sz w:val="21"/>
                <w:szCs w:val="21"/>
              </w:rPr>
              <w:t> </w:t>
            </w:r>
            <w:r>
              <w:rPr>
                <w:rFonts w:ascii="宋体" w:hAnsi="宋体" w:cs="宋体" w:eastAsia="宋体" w:hint="default"/>
                <w:spacing w:val="4"/>
                <w:sz w:val="21"/>
                <w:szCs w:val="21"/>
              </w:rPr>
              <w:t>解决银行乃至其他大型组织机构中的重要印章</w:t>
            </w:r>
            <w:r>
              <w:rPr>
                <w:rFonts w:ascii="宋体" w:hAnsi="宋体" w:cs="宋体" w:eastAsia="宋体" w:hint="default"/>
                <w:sz w:val="21"/>
                <w:szCs w:val="21"/>
              </w:rPr>
            </w:r>
          </w:p>
        </w:tc>
        <w:tc>
          <w:tcPr>
            <w:tcW w:w="193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970" w:type="dxa"/>
            <w:tcBorders>
              <w:top w:val="nil" w:sz="6" w:space="0" w:color="auto"/>
              <w:left w:val="single" w:sz="4" w:space="0" w:color="000000"/>
              <w:bottom w:val="nil" w:sz="6" w:space="0" w:color="auto"/>
              <w:right w:val="single" w:sz="4" w:space="0" w:color="000000"/>
            </w:tcBorders>
          </w:tcPr>
          <w:p>
            <w:pPr/>
          </w:p>
        </w:tc>
        <w:tc>
          <w:tcPr>
            <w:tcW w:w="4870"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460" w:right="0"/>
              <w:jc w:val="left"/>
              <w:rPr>
                <w:rFonts w:ascii="宋体" w:hAnsi="宋体" w:cs="宋体" w:eastAsia="宋体" w:hint="default"/>
                <w:sz w:val="21"/>
                <w:szCs w:val="21"/>
              </w:rPr>
            </w:pPr>
            <w:r>
              <w:rPr>
                <w:rFonts w:ascii="宋体" w:hAnsi="宋体" w:cs="宋体" w:eastAsia="宋体" w:hint="default"/>
                <w:sz w:val="21"/>
                <w:szCs w:val="21"/>
              </w:rPr>
              <w:t>的远程监管问题；</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pacing w:val="4"/>
                <w:sz w:val="21"/>
                <w:szCs w:val="21"/>
              </w:rPr>
              <w:t>形成符合市场应用</w:t>
            </w:r>
            <w:r>
              <w:rPr>
                <w:rFonts w:ascii="宋体" w:hAnsi="宋体" w:cs="宋体" w:eastAsia="宋体" w:hint="default"/>
                <w:sz w:val="21"/>
                <w:szCs w:val="21"/>
              </w:rPr>
            </w:r>
          </w:p>
        </w:tc>
      </w:tr>
      <w:tr>
        <w:trPr>
          <w:trHeight w:val="280" w:hRule="exact"/>
        </w:trPr>
        <w:tc>
          <w:tcPr>
            <w:tcW w:w="1970" w:type="dxa"/>
            <w:tcBorders>
              <w:top w:val="nil" w:sz="6" w:space="0" w:color="auto"/>
              <w:left w:val="single" w:sz="4" w:space="0" w:color="000000"/>
              <w:bottom w:val="nil" w:sz="6" w:space="0" w:color="auto"/>
              <w:right w:val="single" w:sz="4" w:space="0" w:color="000000"/>
            </w:tcBorders>
          </w:tcPr>
          <w:p>
            <w:pPr>
              <w:pStyle w:val="TableParagraph"/>
              <w:spacing w:line="249" w:lineRule="exact"/>
              <w:ind w:right="72"/>
              <w:jc w:val="center"/>
              <w:rPr>
                <w:rFonts w:ascii="宋体" w:hAnsi="宋体" w:cs="宋体" w:eastAsia="宋体" w:hint="default"/>
                <w:sz w:val="21"/>
                <w:szCs w:val="21"/>
              </w:rPr>
            </w:pPr>
            <w:r>
              <w:rPr>
                <w:rFonts w:ascii="宋体" w:hAnsi="宋体" w:cs="宋体" w:eastAsia="宋体" w:hint="default"/>
                <w:sz w:val="21"/>
                <w:szCs w:val="21"/>
              </w:rPr>
              <w:t>印章智能管理系统</w:t>
            </w:r>
          </w:p>
        </w:tc>
        <w:tc>
          <w:tcPr>
            <w:tcW w:w="4870"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采用安全设备保管印章；</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需求的新产品，拓</w:t>
            </w:r>
            <w:r>
              <w:rPr>
                <w:rFonts w:ascii="宋体" w:hAnsi="宋体" w:cs="宋体" w:eastAsia="宋体" w:hint="default"/>
                <w:sz w:val="21"/>
                <w:szCs w:val="21"/>
              </w:rPr>
            </w:r>
          </w:p>
        </w:tc>
      </w:tr>
      <w:tr>
        <w:trPr>
          <w:trHeight w:val="309" w:hRule="exact"/>
        </w:trPr>
        <w:tc>
          <w:tcPr>
            <w:tcW w:w="1970" w:type="dxa"/>
            <w:tcBorders>
              <w:top w:val="nil" w:sz="6" w:space="0" w:color="auto"/>
              <w:left w:val="single" w:sz="4" w:space="0" w:color="000000"/>
              <w:bottom w:val="nil" w:sz="6" w:space="0" w:color="auto"/>
              <w:right w:val="single" w:sz="4" w:space="0" w:color="000000"/>
            </w:tcBorders>
          </w:tcPr>
          <w:p>
            <w:pPr/>
          </w:p>
        </w:tc>
        <w:tc>
          <w:tcPr>
            <w:tcW w:w="4870" w:type="dxa"/>
            <w:tcBorders>
              <w:top w:val="nil" w:sz="6" w:space="0" w:color="auto"/>
              <w:left w:val="single" w:sz="4" w:space="0" w:color="000000"/>
              <w:bottom w:val="nil" w:sz="6" w:space="0" w:color="auto"/>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计算机智能控制提取、加盖印章功能；</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宽公司产品线</w:t>
            </w:r>
          </w:p>
        </w:tc>
      </w:tr>
      <w:tr>
        <w:trPr>
          <w:trHeight w:val="445" w:hRule="exact"/>
        </w:trPr>
        <w:tc>
          <w:tcPr>
            <w:tcW w:w="1970" w:type="dxa"/>
            <w:tcBorders>
              <w:top w:val="nil" w:sz="6" w:space="0" w:color="auto"/>
              <w:left w:val="single" w:sz="4" w:space="0" w:color="000000"/>
              <w:bottom w:val="single" w:sz="4" w:space="0" w:color="000000"/>
              <w:right w:val="single" w:sz="4" w:space="0" w:color="000000"/>
            </w:tcBorders>
          </w:tcPr>
          <w:p>
            <w:pPr/>
          </w:p>
        </w:tc>
        <w:tc>
          <w:tcPr>
            <w:tcW w:w="4870" w:type="dxa"/>
            <w:tcBorders>
              <w:top w:val="nil" w:sz="6" w:space="0" w:color="auto"/>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自动留存印章使用记录。</w:t>
            </w:r>
          </w:p>
        </w:tc>
        <w:tc>
          <w:tcPr>
            <w:tcW w:w="1933" w:type="dxa"/>
            <w:tcBorders>
              <w:top w:val="nil" w:sz="6" w:space="0" w:color="auto"/>
              <w:left w:val="single" w:sz="4" w:space="0" w:color="000000"/>
              <w:bottom w:val="single" w:sz="4" w:space="0" w:color="000000"/>
              <w:right w:val="single" w:sz="4" w:space="0" w:color="000000"/>
            </w:tcBorders>
          </w:tcPr>
          <w:p>
            <w:pPr/>
          </w:p>
        </w:tc>
      </w:tr>
      <w:tr>
        <w:trPr>
          <w:trHeight w:val="1504"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72"/>
              <w:jc w:val="center"/>
              <w:rPr>
                <w:rFonts w:ascii="宋体" w:hAnsi="宋体" w:cs="宋体" w:eastAsia="宋体" w:hint="default"/>
                <w:sz w:val="21"/>
                <w:szCs w:val="21"/>
              </w:rPr>
            </w:pPr>
            <w:r>
              <w:rPr>
                <w:rFonts w:ascii="宋体" w:hAnsi="宋体" w:cs="宋体" w:eastAsia="宋体" w:hint="default"/>
                <w:sz w:val="21"/>
                <w:szCs w:val="21"/>
              </w:rPr>
              <w:t>自助回单打印系统</w:t>
            </w:r>
          </w:p>
        </w:tc>
        <w:tc>
          <w:tcPr>
            <w:tcW w:w="4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开发一种银行开户客户回单自助打印系统；</w:t>
            </w:r>
          </w:p>
          <w:p>
            <w:pPr>
              <w:pStyle w:val="TableParagraph"/>
              <w:spacing w:line="240" w:lineRule="auto" w:before="1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提供对公回单、对账单按需打印服务；</w:t>
            </w:r>
          </w:p>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按时间段、业务类型等自助打印业务回单；</w:t>
            </w:r>
          </w:p>
          <w:p>
            <w:pPr>
              <w:pStyle w:val="TableParagraph"/>
              <w:spacing w:line="240" w:lineRule="auto" w:before="1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多种方式用户登录、实时客户信息查询功能。</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72" w:lineRule="exact"/>
              <w:ind w:left="103" w:right="97"/>
              <w:jc w:val="both"/>
              <w:rPr>
                <w:rFonts w:ascii="宋体" w:hAnsi="宋体" w:cs="宋体" w:eastAsia="宋体" w:hint="default"/>
                <w:sz w:val="21"/>
                <w:szCs w:val="21"/>
              </w:rPr>
            </w:pPr>
            <w:r>
              <w:rPr>
                <w:rFonts w:ascii="宋体" w:hAnsi="宋体" w:cs="宋体" w:eastAsia="宋体" w:hint="default"/>
                <w:spacing w:val="4"/>
                <w:sz w:val="21"/>
                <w:szCs w:val="21"/>
              </w:rPr>
              <w:t>形成符合市场应用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需求的新产品，拓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宽公司产品线</w:t>
            </w:r>
          </w:p>
        </w:tc>
      </w:tr>
      <w:tr>
        <w:trPr>
          <w:trHeight w:val="1505"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73" w:lineRule="auto"/>
              <w:ind w:left="103" w:right="90"/>
              <w:jc w:val="left"/>
              <w:rPr>
                <w:rFonts w:ascii="宋体" w:hAnsi="宋体" w:cs="宋体" w:eastAsia="宋体" w:hint="default"/>
                <w:sz w:val="21"/>
                <w:szCs w:val="21"/>
              </w:rPr>
            </w:pPr>
            <w:r>
              <w:rPr>
                <w:rFonts w:ascii="宋体" w:hAnsi="宋体" w:cs="宋体" w:eastAsia="宋体" w:hint="default"/>
                <w:spacing w:val="9"/>
                <w:sz w:val="21"/>
                <w:szCs w:val="21"/>
              </w:rPr>
              <w:t>印鉴卡智能管理系</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统</w:t>
            </w:r>
          </w:p>
        </w:tc>
        <w:tc>
          <w:tcPr>
            <w:tcW w:w="4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解决银行纸质印鉴卡的高效管理和应用问题；</w:t>
            </w:r>
          </w:p>
          <w:p>
            <w:pPr>
              <w:pStyle w:val="TableParagraph"/>
              <w:spacing w:line="240" w:lineRule="auto" w:before="1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实现印鉴卡集中管理与规范操作；</w:t>
            </w:r>
          </w:p>
          <w:p>
            <w:pPr>
              <w:pStyle w:val="TableParagraph"/>
              <w:spacing w:line="240" w:lineRule="auto" w:before="1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智能控制印鉴卡片的存放和调用；</w:t>
            </w:r>
          </w:p>
          <w:p>
            <w:pPr>
              <w:pStyle w:val="TableParagraph"/>
              <w:spacing w:line="240" w:lineRule="auto" w:before="1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印鉴卡使用情况自动记录及统计、查询功能。</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72" w:lineRule="exact"/>
              <w:ind w:left="103" w:right="97"/>
              <w:jc w:val="both"/>
              <w:rPr>
                <w:rFonts w:ascii="宋体" w:hAnsi="宋体" w:cs="宋体" w:eastAsia="宋体" w:hint="default"/>
                <w:sz w:val="21"/>
                <w:szCs w:val="21"/>
              </w:rPr>
            </w:pPr>
            <w:r>
              <w:rPr>
                <w:rFonts w:ascii="宋体" w:hAnsi="宋体" w:cs="宋体" w:eastAsia="宋体" w:hint="default"/>
                <w:spacing w:val="4"/>
                <w:sz w:val="21"/>
                <w:szCs w:val="21"/>
              </w:rPr>
              <w:t>形成符合市场应用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需求的新产品，拓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宽公司产品线</w:t>
            </w:r>
          </w:p>
        </w:tc>
      </w:tr>
      <w:tr>
        <w:trPr>
          <w:trHeight w:val="416" w:hRule="exact"/>
        </w:trPr>
        <w:tc>
          <w:tcPr>
            <w:tcW w:w="1970" w:type="dxa"/>
            <w:tcBorders>
              <w:top w:val="single" w:sz="4" w:space="0" w:color="000000"/>
              <w:left w:val="single" w:sz="4" w:space="0" w:color="000000"/>
              <w:bottom w:val="nil" w:sz="6" w:space="0" w:color="auto"/>
              <w:right w:val="single" w:sz="4" w:space="0" w:color="000000"/>
            </w:tcBorders>
          </w:tcPr>
          <w:p>
            <w:pPr/>
          </w:p>
        </w:tc>
        <w:tc>
          <w:tcPr>
            <w:tcW w:w="48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63"/>
                <w:sz w:val="21"/>
                <w:szCs w:val="21"/>
              </w:rPr>
              <w:t> </w:t>
            </w:r>
            <w:r>
              <w:rPr>
                <w:rFonts w:ascii="宋体" w:hAnsi="宋体" w:cs="宋体" w:eastAsia="宋体" w:hint="default"/>
                <w:sz w:val="21"/>
                <w:szCs w:val="21"/>
              </w:rPr>
              <w:t>能够</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小时自助式接收客户多种类支票；</w:t>
            </w:r>
          </w:p>
        </w:tc>
        <w:tc>
          <w:tcPr>
            <w:tcW w:w="1933" w:type="dxa"/>
            <w:tcBorders>
              <w:top w:val="single" w:sz="4" w:space="0" w:color="000000"/>
              <w:left w:val="single" w:sz="4" w:space="0" w:color="000000"/>
              <w:bottom w:val="nil" w:sz="6" w:space="0" w:color="auto"/>
              <w:right w:val="single" w:sz="4" w:space="0" w:color="000000"/>
            </w:tcBorders>
          </w:tcPr>
          <w:p>
            <w:pPr/>
          </w:p>
        </w:tc>
      </w:tr>
      <w:tr>
        <w:trPr>
          <w:trHeight w:val="769" w:hRule="exact"/>
        </w:trPr>
        <w:tc>
          <w:tcPr>
            <w:tcW w:w="19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支票自助受理系统</w:t>
            </w:r>
          </w:p>
        </w:tc>
        <w:tc>
          <w:tcPr>
            <w:tcW w:w="4870" w:type="dxa"/>
            <w:tcBorders>
              <w:top w:val="nil" w:sz="6" w:space="0" w:color="auto"/>
              <w:left w:val="single" w:sz="4" w:space="0" w:color="000000"/>
              <w:bottom w:val="nil" w:sz="6" w:space="0" w:color="auto"/>
              <w:right w:val="single" w:sz="4" w:space="0" w:color="000000"/>
            </w:tcBorders>
          </w:tcPr>
          <w:p>
            <w:pPr>
              <w:pStyle w:val="TableParagraph"/>
              <w:spacing w:line="272" w:lineRule="exact" w:before="41"/>
              <w:ind w:left="463" w:right="95" w:hanging="36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58"/>
                <w:sz w:val="21"/>
                <w:szCs w:val="21"/>
              </w:rPr>
              <w:t> </w:t>
            </w:r>
            <w:r>
              <w:rPr>
                <w:rFonts w:ascii="宋体" w:hAnsi="宋体" w:cs="宋体" w:eastAsia="宋体" w:hint="default"/>
                <w:spacing w:val="4"/>
                <w:sz w:val="21"/>
                <w:szCs w:val="21"/>
              </w:rPr>
              <w:t>双面扫描接收到的支票，并实时的传递支票影</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像到后台作业中心；</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13"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形成符合市场应用</w:t>
            </w:r>
            <w:r>
              <w:rPr>
                <w:rFonts w:ascii="宋体" w:hAnsi="宋体" w:cs="宋体" w:eastAsia="宋体" w:hint="default"/>
                <w:sz w:val="21"/>
                <w:szCs w:val="21"/>
              </w:rPr>
            </w:r>
          </w:p>
          <w:p>
            <w:pPr>
              <w:pStyle w:val="TableParagraph"/>
              <w:spacing w:line="272" w:lineRule="exact" w:before="26"/>
              <w:ind w:left="103" w:right="97"/>
              <w:jc w:val="left"/>
              <w:rPr>
                <w:rFonts w:ascii="宋体" w:hAnsi="宋体" w:cs="宋体" w:eastAsia="宋体" w:hint="default"/>
                <w:sz w:val="21"/>
                <w:szCs w:val="21"/>
              </w:rPr>
            </w:pPr>
            <w:r>
              <w:rPr>
                <w:rFonts w:ascii="宋体" w:hAnsi="宋体" w:cs="宋体" w:eastAsia="宋体" w:hint="default"/>
                <w:spacing w:val="4"/>
                <w:sz w:val="21"/>
                <w:szCs w:val="21"/>
              </w:rPr>
              <w:t>需求的新产品，拓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宽公司产品线</w:t>
            </w:r>
          </w:p>
        </w:tc>
      </w:tr>
      <w:tr>
        <w:trPr>
          <w:trHeight w:val="414" w:hRule="exact"/>
        </w:trPr>
        <w:tc>
          <w:tcPr>
            <w:tcW w:w="1970" w:type="dxa"/>
            <w:tcBorders>
              <w:top w:val="nil" w:sz="6" w:space="0" w:color="auto"/>
              <w:left w:val="single" w:sz="4" w:space="0" w:color="000000"/>
              <w:bottom w:val="single" w:sz="4" w:space="0" w:color="000000"/>
              <w:right w:val="single" w:sz="4" w:space="0" w:color="000000"/>
            </w:tcBorders>
          </w:tcPr>
          <w:p>
            <w:pPr/>
          </w:p>
        </w:tc>
        <w:tc>
          <w:tcPr>
            <w:tcW w:w="4870" w:type="dxa"/>
            <w:tcBorders>
              <w:top w:val="nil" w:sz="6" w:space="0" w:color="auto"/>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提供实物支票的有效保管和存储。</w:t>
            </w:r>
          </w:p>
        </w:tc>
        <w:tc>
          <w:tcPr>
            <w:tcW w:w="193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150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46"/>
        <w:ind w:left="217" w:right="666"/>
        <w:jc w:val="left"/>
      </w:pPr>
      <w:r>
        <w:rPr/>
        <w:t>（七）</w:t>
      </w:r>
      <w:r>
        <w:rPr>
          <w:spacing w:val="-90"/>
        </w:rPr>
        <w:t> </w:t>
      </w:r>
      <w:r>
        <w:rPr/>
        <w:t>现金流量构成情况及分析</w:t>
      </w:r>
    </w:p>
    <w:p>
      <w:pPr>
        <w:pStyle w:val="BodyText"/>
        <w:spacing w:line="240" w:lineRule="auto" w:before="89"/>
        <w:ind w:left="0" w:right="292"/>
        <w:jc w:val="right"/>
      </w:pPr>
      <w:r>
        <w:rPr/>
        <w:t>单位：元</w:t>
      </w:r>
    </w:p>
    <w:p>
      <w:pPr>
        <w:spacing w:line="240" w:lineRule="auto" w:before="12"/>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3708"/>
        <w:gridCol w:w="1654"/>
        <w:gridCol w:w="1620"/>
        <w:gridCol w:w="1620"/>
      </w:tblGrid>
      <w:tr>
        <w:trPr>
          <w:trHeight w:val="478" w:hRule="exact"/>
        </w:trPr>
        <w:tc>
          <w:tcPr>
            <w:tcW w:w="37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5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left="48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left="4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left="385"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384" w:hRule="exact"/>
        </w:trPr>
        <w:tc>
          <w:tcPr>
            <w:tcW w:w="37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一、经营活动产生的现金流量净额</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pacing w:val="-1"/>
                <w:sz w:val="21"/>
              </w:rPr>
              <w:t>4,984,417.65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pacing w:val="-1"/>
                <w:sz w:val="21"/>
              </w:rPr>
              <w:t>19,093,710.87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pacing w:val="-1"/>
                <w:sz w:val="21"/>
              </w:rPr>
              <w:t>-73.89%</w:t>
            </w:r>
          </w:p>
        </w:tc>
      </w:tr>
      <w:tr>
        <w:trPr>
          <w:trHeight w:val="384" w:hRule="exact"/>
        </w:trPr>
        <w:tc>
          <w:tcPr>
            <w:tcW w:w="37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112,199,960.56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pacing w:val="-1"/>
                <w:sz w:val="21"/>
              </w:rPr>
              <w:t>97,918,463.55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14.59%</w:t>
            </w:r>
          </w:p>
        </w:tc>
      </w:tr>
      <w:tr>
        <w:trPr>
          <w:trHeight w:val="384" w:hRule="exact"/>
        </w:trPr>
        <w:tc>
          <w:tcPr>
            <w:tcW w:w="37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107,215,542.91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pacing w:val="-1"/>
                <w:sz w:val="21"/>
              </w:rPr>
              <w:t>78,824,752.68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36.02%</w:t>
            </w:r>
          </w:p>
        </w:tc>
      </w:tr>
      <w:tr>
        <w:trPr>
          <w:trHeight w:val="384" w:hRule="exact"/>
        </w:trPr>
        <w:tc>
          <w:tcPr>
            <w:tcW w:w="37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二、投资活动产生的现金流量净额</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-14,199,806.60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-4,703,840.81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-201.88%</w:t>
            </w:r>
          </w:p>
        </w:tc>
      </w:tr>
      <w:tr>
        <w:trPr>
          <w:trHeight w:val="384" w:hRule="exact"/>
        </w:trPr>
        <w:tc>
          <w:tcPr>
            <w:tcW w:w="37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21"/>
                <w:szCs w:val="21"/>
              </w:rPr>
            </w:pPr>
            <w:r>
              <w:rPr>
                <w:rFonts w:ascii="Times New Roman"/>
                <w:spacing w:val="-1"/>
                <w:sz w:val="21"/>
              </w:rPr>
              <w:t>270.00</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21"/>
                <w:szCs w:val="21"/>
              </w:rPr>
            </w:pPr>
            <w:r>
              <w:rPr>
                <w:rFonts w:ascii="Times New Roman"/>
                <w:spacing w:val="-1"/>
                <w:sz w:val="21"/>
              </w:rPr>
              <w:t>9,990.00</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-97.30%</w:t>
            </w:r>
          </w:p>
        </w:tc>
      </w:tr>
      <w:tr>
        <w:trPr>
          <w:trHeight w:val="384" w:hRule="exact"/>
        </w:trPr>
        <w:tc>
          <w:tcPr>
            <w:tcW w:w="37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pacing w:val="-1"/>
                <w:sz w:val="21"/>
              </w:rPr>
              <w:t>14,200,076.60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4,713,830.81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201.24%</w:t>
            </w:r>
          </w:p>
        </w:tc>
      </w:tr>
      <w:tr>
        <w:trPr>
          <w:trHeight w:val="384" w:hRule="exact"/>
        </w:trPr>
        <w:tc>
          <w:tcPr>
            <w:tcW w:w="37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三、筹资活动产生的现金流量净额</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-35,999,916.00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369,011,787.12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pacing w:val="-1"/>
                <w:sz w:val="21"/>
              </w:rPr>
              <w:t>-109.76%</w:t>
            </w:r>
          </w:p>
        </w:tc>
      </w:tr>
      <w:tr>
        <w:trPr>
          <w:trHeight w:val="384" w:hRule="exact"/>
        </w:trPr>
        <w:tc>
          <w:tcPr>
            <w:tcW w:w="37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z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394,800,000.00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384" w:hRule="exact"/>
        </w:trPr>
        <w:tc>
          <w:tcPr>
            <w:tcW w:w="37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pacing w:val="-1"/>
                <w:sz w:val="21"/>
              </w:rPr>
              <w:t>35,999,916.00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pacing w:val="-1"/>
                <w:sz w:val="21"/>
              </w:rPr>
              <w:t>25,788,212.88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39.60%</w:t>
            </w:r>
          </w:p>
        </w:tc>
      </w:tr>
      <w:tr>
        <w:trPr>
          <w:trHeight w:val="384" w:hRule="exact"/>
        </w:trPr>
        <w:tc>
          <w:tcPr>
            <w:tcW w:w="37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四、现金及现金等价物净增加额</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21"/>
                <w:szCs w:val="21"/>
              </w:rPr>
            </w:pPr>
            <w:r>
              <w:rPr>
                <w:rFonts w:ascii="Times New Roman"/>
                <w:spacing w:val="-1"/>
                <w:sz w:val="21"/>
              </w:rPr>
              <w:t>-45,215,304.95</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21"/>
                <w:szCs w:val="21"/>
              </w:rPr>
            </w:pPr>
            <w:r>
              <w:rPr>
                <w:rFonts w:ascii="Times New Roman"/>
                <w:spacing w:val="-1"/>
                <w:sz w:val="21"/>
              </w:rPr>
              <w:t>383,401,657.18</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21"/>
                <w:szCs w:val="21"/>
              </w:rPr>
            </w:pPr>
            <w:r>
              <w:rPr>
                <w:rFonts w:ascii="Times New Roman"/>
                <w:spacing w:val="-3"/>
                <w:sz w:val="21"/>
              </w:rPr>
              <w:t>-111.79%</w:t>
            </w:r>
            <w:r>
              <w:rPr>
                <w:rFonts w:ascii="Times New Roman"/>
                <w:sz w:val="21"/>
              </w:rPr>
            </w:r>
          </w:p>
        </w:tc>
      </w:tr>
    </w:tbl>
    <w:p>
      <w:pPr>
        <w:spacing w:line="240" w:lineRule="auto" w:before="5"/>
        <w:rPr>
          <w:rFonts w:ascii="宋体" w:hAnsi="宋体" w:cs="宋体" w:eastAsia="宋体" w:hint="default"/>
          <w:sz w:val="13"/>
          <w:szCs w:val="13"/>
        </w:rPr>
      </w:pPr>
    </w:p>
    <w:p>
      <w:pPr>
        <w:pStyle w:val="BodyText"/>
        <w:spacing w:line="352" w:lineRule="auto" w:before="29"/>
        <w:ind w:left="217" w:right="292" w:firstLine="459"/>
        <w:jc w:val="both"/>
      </w:pPr>
      <w:r>
        <w:rPr/>
        <w:t>报告期内，公司销售商品、提供劳务收到的现金为 </w:t>
      </w:r>
      <w:r>
        <w:rPr>
          <w:rFonts w:ascii="Times New Roman" w:hAnsi="Times New Roman" w:cs="Times New Roman" w:eastAsia="Times New Roman" w:hint="default"/>
        </w:rPr>
        <w:t>9,105.50</w:t>
      </w:r>
      <w:r>
        <w:rPr>
          <w:rFonts w:ascii="Times New Roman" w:hAnsi="Times New Roman" w:cs="Times New Roman" w:eastAsia="Times New Roman" w:hint="default"/>
          <w:spacing w:val="-33"/>
        </w:rPr>
        <w:t> </w:t>
      </w:r>
      <w:r>
        <w:rPr/>
        <w:t>万元，较上年度增</w:t>
      </w:r>
      <w:r>
        <w:rPr>
          <w:w w:val="100"/>
        </w:rPr>
        <w:t> </w:t>
      </w:r>
      <w:r>
        <w:rPr/>
        <w:t>加</w:t>
      </w:r>
      <w:r>
        <w:rPr>
          <w:spacing w:val="-57"/>
        </w:rPr>
        <w:t> </w:t>
      </w:r>
      <w:r>
        <w:rPr>
          <w:rFonts w:ascii="Times New Roman" w:hAnsi="Times New Roman" w:cs="Times New Roman" w:eastAsia="Times New Roman" w:hint="default"/>
        </w:rPr>
        <w:t>724.15 </w:t>
      </w:r>
      <w:r>
        <w:rPr/>
        <w:t>万元，增长</w:t>
      </w:r>
      <w:r>
        <w:rPr>
          <w:spacing w:val="-56"/>
        </w:rPr>
        <w:t> </w:t>
      </w:r>
      <w:r>
        <w:rPr>
          <w:rFonts w:ascii="Times New Roman" w:hAnsi="Times New Roman" w:cs="Times New Roman" w:eastAsia="Times New Roman" w:hint="default"/>
        </w:rPr>
        <w:t>8.64%</w:t>
      </w:r>
      <w:r>
        <w:rPr/>
        <w:t>，高于营业收入的增长幅度。但由于购买商品、接受劳</w:t>
      </w:r>
      <w:r>
        <w:rPr>
          <w:w w:val="100"/>
        </w:rPr>
        <w:t> </w:t>
      </w:r>
      <w:r>
        <w:rPr/>
        <w:t>务支付的现金因为金融专用设备类业务采购原材料的支出大幅增加</w:t>
      </w:r>
      <w:r>
        <w:rPr>
          <w:spacing w:val="-47"/>
        </w:rPr>
        <w:t> </w:t>
      </w:r>
      <w:r>
        <w:rPr>
          <w:rFonts w:ascii="Times New Roman" w:hAnsi="Times New Roman" w:cs="Times New Roman" w:eastAsia="Times New Roman" w:hint="default"/>
        </w:rPr>
        <w:t>1,995.79</w:t>
      </w:r>
      <w:r>
        <w:rPr>
          <w:rFonts w:ascii="Times New Roman" w:hAnsi="Times New Roman" w:cs="Times New Roman" w:eastAsia="Times New Roman" w:hint="default"/>
          <w:spacing w:val="10"/>
        </w:rPr>
        <w:t> </w:t>
      </w:r>
      <w:r>
        <w:rPr/>
        <w:t>万元，</w:t>
      </w:r>
    </w:p>
    <w:p>
      <w:pPr>
        <w:pStyle w:val="BodyText"/>
        <w:spacing w:line="352" w:lineRule="auto" w:before="30"/>
        <w:ind w:left="217" w:right="292"/>
        <w:jc w:val="both"/>
      </w:pPr>
      <w:r>
        <w:rPr/>
        <w:t>以及支付给职工以及为职工支付的现金因增加</w:t>
      </w:r>
      <w:r>
        <w:rPr>
          <w:spacing w:val="-58"/>
        </w:rPr>
        <w:t> </w:t>
      </w:r>
      <w:r>
        <w:rPr>
          <w:rFonts w:ascii="Times New Roman" w:hAnsi="Times New Roman" w:cs="Times New Roman" w:eastAsia="Times New Roman" w:hint="default"/>
        </w:rPr>
        <w:t>464.01</w:t>
      </w:r>
      <w:r>
        <w:rPr>
          <w:rFonts w:ascii="Times New Roman" w:hAnsi="Times New Roman" w:cs="Times New Roman" w:eastAsia="Times New Roman" w:hint="default"/>
          <w:spacing w:val="1"/>
        </w:rPr>
        <w:t> </w:t>
      </w:r>
      <w:r>
        <w:rPr>
          <w:spacing w:val="-3"/>
        </w:rPr>
        <w:t>万元等原因，经营活动的现金</w:t>
      </w:r>
      <w:r>
        <w:rPr>
          <w:w w:val="100"/>
        </w:rPr>
        <w:t> </w:t>
      </w:r>
      <w:r>
        <w:rPr/>
        <w:t>流出总体增长 </w:t>
      </w:r>
      <w:r>
        <w:rPr>
          <w:rFonts w:ascii="Times New Roman" w:hAnsi="Times New Roman" w:cs="Times New Roman" w:eastAsia="Times New Roman" w:hint="default"/>
        </w:rPr>
        <w:t>36.02%</w:t>
      </w:r>
      <w:r>
        <w:rPr/>
        <w:t>，致使经营活动产生的现金流量净额较上年度下降</w:t>
      </w:r>
      <w:r>
        <w:rPr>
          <w:spacing w:val="-17"/>
        </w:rPr>
        <w:t> </w:t>
      </w:r>
      <w:r>
        <w:rPr>
          <w:rFonts w:ascii="Times New Roman" w:hAnsi="Times New Roman" w:cs="Times New Roman" w:eastAsia="Times New Roman" w:hint="default"/>
        </w:rPr>
        <w:t>73.89%</w:t>
      </w:r>
      <w:r>
        <w:rPr/>
        <w:t>。</w:t>
      </w:r>
      <w:r>
        <w:rPr>
          <w:w w:val="100"/>
        </w:rPr>
        <w:t> </w:t>
      </w:r>
      <w:r>
        <w:rPr/>
        <w:t>报告期公司经营活动产生的现金流量净额低于报告期净利润</w:t>
      </w:r>
      <w:r>
        <w:rPr>
          <w:spacing w:val="-46"/>
        </w:rPr>
        <w:t> </w:t>
      </w:r>
      <w:r>
        <w:rPr>
          <w:rFonts w:ascii="Times New Roman" w:hAnsi="Times New Roman" w:cs="Times New Roman" w:eastAsia="Times New Roman" w:hint="default"/>
        </w:rPr>
        <w:t>1,584.65</w:t>
      </w:r>
      <w:r>
        <w:rPr>
          <w:rFonts w:ascii="Times New Roman" w:hAnsi="Times New Roman" w:cs="Times New Roman" w:eastAsia="Times New Roman" w:hint="default"/>
          <w:spacing w:val="10"/>
        </w:rPr>
        <w:t> </w:t>
      </w:r>
      <w:r>
        <w:rPr/>
        <w:t>万元，主要是</w:t>
      </w:r>
      <w:r>
        <w:rPr>
          <w:w w:val="100"/>
        </w:rPr>
        <w:t> </w:t>
      </w:r>
      <w:r>
        <w:rPr/>
        <w:t>一年期内应收账款及采购原材料的支出大幅增加等因素的影响。</w:t>
      </w:r>
    </w:p>
    <w:p>
      <w:pPr>
        <w:pStyle w:val="BodyText"/>
        <w:spacing w:line="367" w:lineRule="auto" w:before="59"/>
        <w:ind w:left="217" w:right="292" w:firstLine="459"/>
        <w:jc w:val="both"/>
      </w:pPr>
      <w:r>
        <w:rPr/>
        <w:t>报告期内投资活动现金流出增加</w:t>
      </w:r>
      <w:r>
        <w:rPr>
          <w:spacing w:val="-56"/>
        </w:rPr>
        <w:t> </w:t>
      </w:r>
      <w:r>
        <w:rPr>
          <w:rFonts w:ascii="Times New Roman" w:hAnsi="Times New Roman" w:cs="Times New Roman" w:eastAsia="Times New Roman" w:hint="default"/>
        </w:rPr>
        <w:t>948.62</w:t>
      </w:r>
      <w:r>
        <w:rPr>
          <w:rFonts w:ascii="Times New Roman" w:hAnsi="Times New Roman" w:cs="Times New Roman" w:eastAsia="Times New Roman" w:hint="default"/>
          <w:spacing w:val="1"/>
        </w:rPr>
        <w:t> </w:t>
      </w:r>
      <w:r>
        <w:rPr/>
        <w:t>万元，增幅</w:t>
      </w:r>
      <w:r>
        <w:rPr>
          <w:spacing w:val="-55"/>
        </w:rPr>
        <w:t> </w:t>
      </w:r>
      <w:r>
        <w:rPr>
          <w:rFonts w:ascii="Times New Roman" w:hAnsi="Times New Roman" w:cs="Times New Roman" w:eastAsia="Times New Roman" w:hint="default"/>
        </w:rPr>
        <w:t>201.24%</w:t>
      </w:r>
      <w:r>
        <w:rPr/>
        <w:t>，主要是公司投资</w:t>
      </w:r>
      <w:r>
        <w:rPr>
          <w:w w:val="100"/>
        </w:rPr>
        <w:t> </w:t>
      </w:r>
      <w:r>
        <w:rPr/>
        <w:t>开发新产品，包括募集资金投资项目产品，以及以自有资金投资开发的印章智能管</w:t>
      </w:r>
      <w:r>
        <w:rPr>
          <w:spacing w:val="-87"/>
        </w:rPr>
        <w:t> </w:t>
      </w:r>
      <w:r>
        <w:rPr>
          <w:spacing w:val="-87"/>
        </w:rPr>
      </w:r>
      <w:r>
        <w:rPr/>
        <w:t>理系统、自助回单打印系统、印鉴卡智能管理系统等新产品的研发支出大幅增加形</w:t>
      </w:r>
      <w:r>
        <w:rPr>
          <w:spacing w:val="-87"/>
        </w:rPr>
        <w:t> </w:t>
      </w:r>
      <w:r>
        <w:rPr>
          <w:spacing w:val="-87"/>
        </w:rPr>
      </w:r>
      <w:r>
        <w:rPr/>
        <w:t>成的。</w:t>
      </w:r>
    </w:p>
    <w:p>
      <w:pPr>
        <w:pStyle w:val="BodyText"/>
        <w:spacing w:line="352" w:lineRule="auto" w:before="45"/>
        <w:ind w:left="217" w:right="292" w:firstLine="459"/>
        <w:jc w:val="both"/>
      </w:pPr>
      <w:r>
        <w:rPr>
          <w:spacing w:val="2"/>
        </w:rPr>
        <w:t>报告期内筹资活动现金流出大幅增加</w:t>
      </w:r>
      <w:r>
        <w:rPr>
          <w:spacing w:val="61"/>
        </w:rPr>
        <w:t> </w:t>
      </w:r>
      <w:r>
        <w:rPr>
          <w:rFonts w:ascii="Times New Roman" w:hAnsi="Times New Roman" w:cs="Times New Roman" w:eastAsia="Times New Roman" w:hint="default"/>
        </w:rPr>
        <w:t>39.60%</w:t>
      </w:r>
      <w:r>
        <w:rPr/>
        <w:t>是由于公司在报告期内向全体股</w:t>
      </w:r>
      <w:r>
        <w:rPr>
          <w:w w:val="100"/>
        </w:rPr>
        <w:t> </w:t>
      </w:r>
      <w:r>
        <w:rPr/>
        <w:t>东派发了现金股利</w:t>
      </w:r>
      <w:r>
        <w:rPr>
          <w:spacing w:val="-62"/>
        </w:rPr>
        <w:t> </w:t>
      </w:r>
      <w:r>
        <w:rPr>
          <w:rFonts w:ascii="Times New Roman" w:hAnsi="Times New Roman" w:cs="Times New Roman" w:eastAsia="Times New Roman" w:hint="default"/>
        </w:rPr>
        <w:t>3,600</w:t>
      </w:r>
      <w:r>
        <w:rPr>
          <w:rFonts w:ascii="Times New Roman" w:hAnsi="Times New Roman" w:cs="Times New Roman" w:eastAsia="Times New Roman" w:hint="default"/>
          <w:spacing w:val="-4"/>
        </w:rPr>
        <w:t> </w:t>
      </w:r>
      <w:r>
        <w:rPr/>
        <w:t>万元所致。</w:t>
      </w:r>
    </w:p>
    <w:p>
      <w:pPr>
        <w:spacing w:line="240" w:lineRule="auto" w:before="0"/>
        <w:rPr>
          <w:rFonts w:ascii="宋体" w:hAnsi="宋体" w:cs="宋体" w:eastAsia="宋体" w:hint="default"/>
          <w:sz w:val="24"/>
          <w:szCs w:val="24"/>
        </w:rPr>
      </w:pPr>
    </w:p>
    <w:p>
      <w:pPr>
        <w:pStyle w:val="BodyText"/>
        <w:spacing w:line="372" w:lineRule="auto" w:before="184"/>
        <w:ind w:left="677" w:right="666" w:hanging="460"/>
        <w:jc w:val="left"/>
      </w:pPr>
      <w:r>
        <w:rPr/>
        <w:t>（八）</w:t>
      </w:r>
      <w:r>
        <w:rPr>
          <w:spacing w:val="-88"/>
        </w:rPr>
        <w:t> </w:t>
      </w:r>
      <w:r>
        <w:rPr/>
        <w:t>公司主要子公司、参股公司的经营情况及业绩</w:t>
      </w:r>
      <w:r>
        <w:rPr>
          <w:w w:val="100"/>
        </w:rPr>
        <w:t> </w:t>
      </w:r>
      <w:r>
        <w:rPr>
          <w:spacing w:val="-1"/>
        </w:rPr>
        <w:t>截至报告期末，公司拥有两个子公司，均为全资子公司，基本情况如下：</w:t>
      </w:r>
      <w:r>
        <w:rPr>
          <w:w w:val="100"/>
        </w:rPr>
        <w:t> </w:t>
      </w:r>
      <w:r>
        <w:rPr>
          <w:rFonts w:ascii="Times New Roman" w:hAnsi="Times New Roman" w:cs="Times New Roman" w:eastAsia="Times New Roman" w:hint="default"/>
        </w:rPr>
        <w:t>1.</w:t>
      </w:r>
      <w:r>
        <w:rPr>
          <w:rFonts w:ascii="Times New Roman" w:hAnsi="Times New Roman" w:cs="Times New Roman" w:eastAsia="Times New Roman" w:hint="default"/>
          <w:spacing w:val="53"/>
        </w:rPr>
        <w:t> </w:t>
      </w:r>
      <w:r>
        <w:rPr/>
        <w:t>深圳市银之杰软件技术有限公司</w:t>
      </w:r>
    </w:p>
    <w:p>
      <w:pPr>
        <w:spacing w:after="0" w:line="372" w:lineRule="auto"/>
        <w:jc w:val="left"/>
        <w:sectPr>
          <w:pgSz w:w="11910" w:h="16840"/>
          <w:pgMar w:header="877" w:footer="982" w:top="1100" w:bottom="1180" w:left="1580" w:right="1500"/>
        </w:sectPr>
      </w:pPr>
    </w:p>
    <w:p>
      <w:pPr>
        <w:spacing w:line="240" w:lineRule="auto" w:before="12"/>
        <w:rPr>
          <w:rFonts w:ascii="宋体" w:hAnsi="宋体" w:cs="宋体" w:eastAsia="宋体" w:hint="default"/>
          <w:sz w:val="25"/>
          <w:szCs w:val="25"/>
        </w:rPr>
      </w:pPr>
    </w:p>
    <w:p>
      <w:pPr>
        <w:pStyle w:val="BodyText"/>
        <w:spacing w:line="240" w:lineRule="auto" w:before="29"/>
        <w:ind w:left="597" w:right="115"/>
        <w:jc w:val="left"/>
        <w:rPr>
          <w:rFonts w:ascii="Times New Roman" w:hAnsi="Times New Roman" w:cs="Times New Roman" w:eastAsia="Times New Roman" w:hint="default"/>
        </w:rPr>
      </w:pPr>
      <w:r>
        <w:rPr>
          <w:w w:val="100"/>
        </w:rPr>
        <w:t>深圳市</w:t>
      </w:r>
      <w:r>
        <w:rPr>
          <w:spacing w:val="-2"/>
          <w:w w:val="100"/>
        </w:rPr>
        <w:t>银之</w:t>
      </w:r>
      <w:r>
        <w:rPr>
          <w:w w:val="100"/>
        </w:rPr>
        <w:t>杰软件</w:t>
      </w:r>
      <w:r>
        <w:rPr>
          <w:spacing w:val="-2"/>
          <w:w w:val="100"/>
        </w:rPr>
        <w:t>技术</w:t>
      </w:r>
      <w:r>
        <w:rPr>
          <w:w w:val="100"/>
        </w:rPr>
        <w:t>有限公</w:t>
      </w:r>
      <w:r>
        <w:rPr>
          <w:spacing w:val="-6"/>
          <w:w w:val="100"/>
        </w:rPr>
        <w:t>司</w:t>
      </w:r>
      <w:r>
        <w:rPr>
          <w:spacing w:val="-2"/>
          <w:w w:val="100"/>
        </w:rPr>
        <w:t>（</w:t>
      </w:r>
      <w:r>
        <w:rPr>
          <w:w w:val="100"/>
        </w:rPr>
        <w:t>以下简</w:t>
      </w:r>
      <w:r>
        <w:rPr>
          <w:spacing w:val="-6"/>
          <w:w w:val="100"/>
        </w:rPr>
        <w:t>称</w:t>
      </w:r>
      <w:r>
        <w:rPr>
          <w:spacing w:val="-2"/>
          <w:w w:val="100"/>
        </w:rPr>
        <w:t>“</w:t>
      </w:r>
      <w:r>
        <w:rPr>
          <w:w w:val="100"/>
        </w:rPr>
        <w:t>银之杰</w:t>
      </w:r>
      <w:r>
        <w:rPr>
          <w:spacing w:val="-2"/>
          <w:w w:val="100"/>
        </w:rPr>
        <w:t>软件</w:t>
      </w:r>
      <w:r>
        <w:rPr>
          <w:spacing w:val="-116"/>
          <w:w w:val="100"/>
        </w:rPr>
        <w:t>”</w:t>
      </w:r>
      <w:r>
        <w:rPr>
          <w:spacing w:val="-6"/>
          <w:w w:val="100"/>
        </w:rPr>
        <w:t>）</w:t>
      </w:r>
      <w:r>
        <w:rPr>
          <w:w w:val="100"/>
        </w:rPr>
        <w:t>成立于</w:t>
      </w:r>
      <w:r>
        <w:rPr>
          <w:spacing w:val="-59"/>
        </w:rPr>
        <w:t> </w:t>
      </w:r>
      <w:r>
        <w:rPr>
          <w:rFonts w:ascii="Times New Roman" w:hAnsi="Times New Roman" w:cs="Times New Roman" w:eastAsia="Times New Roman" w:hint="default"/>
          <w:spacing w:val="-2"/>
          <w:w w:val="100"/>
        </w:rPr>
        <w:t>2</w:t>
      </w:r>
      <w:r>
        <w:rPr>
          <w:rFonts w:ascii="Times New Roman" w:hAnsi="Times New Roman" w:cs="Times New Roman" w:eastAsia="Times New Roman" w:hint="default"/>
          <w:w w:val="100"/>
        </w:rPr>
        <w:t>008</w:t>
      </w:r>
      <w:r>
        <w:rPr>
          <w:rFonts w:ascii="Times New Roman" w:hAnsi="Times New Roman" w:cs="Times New Roman" w:eastAsia="Times New Roman" w:hint="default"/>
        </w:rPr>
        <w:t> </w:t>
      </w:r>
      <w:r>
        <w:rPr>
          <w:w w:val="100"/>
        </w:rPr>
        <w:t>年</w:t>
      </w:r>
      <w:r>
        <w:rPr>
          <w:spacing w:val="-58"/>
        </w:rPr>
        <w:t> </w:t>
      </w:r>
      <w:r>
        <w:rPr>
          <w:rFonts w:ascii="Times New Roman" w:hAnsi="Times New Roman" w:cs="Times New Roman" w:eastAsia="Times New Roman" w:hint="default"/>
          <w:spacing w:val="-9"/>
          <w:w w:val="100"/>
        </w:rPr>
        <w:t>11</w:t>
      </w:r>
      <w:r>
        <w:rPr>
          <w:rFonts w:ascii="Times New Roman" w:hAnsi="Times New Roman" w:cs="Times New Roman" w:eastAsia="Times New Roman" w:hint="default"/>
          <w:w w:val="100"/>
        </w:rPr>
      </w:r>
    </w:p>
    <w:p>
      <w:pPr>
        <w:pStyle w:val="BodyText"/>
        <w:spacing w:line="240" w:lineRule="auto" w:before="149"/>
        <w:ind w:right="0"/>
        <w:jc w:val="both"/>
      </w:pPr>
      <w:r>
        <w:rPr/>
        <w:t>月</w:t>
      </w:r>
      <w:r>
        <w:rPr>
          <w:spacing w:val="-5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日，注册地为深圳市南山区科发路</w:t>
      </w:r>
      <w:r>
        <w:rPr>
          <w:spacing w:val="-56"/>
        </w:rPr>
        <w:t> </w:t>
      </w:r>
      <w:r>
        <w:rPr>
          <w:rFonts w:ascii="Times New Roman" w:hAnsi="Times New Roman" w:cs="Times New Roman" w:eastAsia="Times New Roman" w:hint="default"/>
        </w:rPr>
        <w:t>8 </w:t>
      </w:r>
      <w:r>
        <w:rPr/>
        <w:t>号金融服务技术创新基地</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栋</w:t>
      </w:r>
      <w:r>
        <w:rPr>
          <w:spacing w:val="-58"/>
        </w:rPr>
        <w:t> </w:t>
      </w:r>
      <w:r>
        <w:rPr>
          <w:rFonts w:ascii="Times New Roman" w:hAnsi="Times New Roman" w:cs="Times New Roman" w:eastAsia="Times New Roman" w:hint="default"/>
        </w:rPr>
        <w:t>6 </w:t>
      </w:r>
      <w:r>
        <w:rPr/>
        <w:t>楼</w:t>
      </w:r>
      <w:r>
        <w:rPr>
          <w:spacing w:val="-56"/>
        </w:rPr>
        <w:t> </w:t>
      </w:r>
      <w:r>
        <w:rPr>
          <w:rFonts w:ascii="Times New Roman" w:hAnsi="Times New Roman" w:cs="Times New Roman" w:eastAsia="Times New Roman" w:hint="default"/>
        </w:rPr>
        <w:t>F1</w:t>
      </w:r>
      <w:r>
        <w:rPr>
          <w:rFonts w:ascii="Times New Roman" w:hAnsi="Times New Roman" w:cs="Times New Roman" w:eastAsia="Times New Roman" w:hint="default"/>
          <w:spacing w:val="1"/>
        </w:rPr>
        <w:t> </w:t>
      </w:r>
      <w:r>
        <w:rPr/>
        <w:t>单</w:t>
      </w:r>
    </w:p>
    <w:p>
      <w:pPr>
        <w:pStyle w:val="BodyText"/>
        <w:spacing w:line="352" w:lineRule="auto" w:before="149"/>
        <w:ind w:right="233"/>
        <w:jc w:val="both"/>
      </w:pPr>
      <w:r>
        <w:rPr/>
        <w:t>元，注册资本人民币</w:t>
      </w:r>
      <w:r>
        <w:rPr>
          <w:spacing w:val="-47"/>
        </w:rPr>
        <w:t> </w:t>
      </w:r>
      <w:r>
        <w:rPr>
          <w:rFonts w:ascii="Times New Roman" w:hAnsi="Times New Roman" w:cs="Times New Roman" w:eastAsia="Times New Roman" w:hint="default"/>
        </w:rPr>
        <w:t>100</w:t>
      </w:r>
      <w:r>
        <w:rPr>
          <w:rFonts w:ascii="Times New Roman" w:hAnsi="Times New Roman" w:cs="Times New Roman" w:eastAsia="Times New Roman" w:hint="default"/>
          <w:spacing w:val="10"/>
        </w:rPr>
        <w:t> </w:t>
      </w:r>
      <w:r>
        <w:rPr/>
        <w:t>万元，法定代表人为陈向军，企业法人营业执照注册号为</w:t>
      </w:r>
      <w:r>
        <w:rPr>
          <w:w w:val="100"/>
        </w:rPr>
        <w:t> </w:t>
      </w:r>
      <w:r>
        <w:rPr>
          <w:rFonts w:ascii="Times New Roman" w:hAnsi="Times New Roman" w:cs="Times New Roman" w:eastAsia="Times New Roman" w:hint="default"/>
          <w:spacing w:val="-3"/>
        </w:rPr>
        <w:t>440301103717058</w:t>
      </w:r>
      <w:r>
        <w:rPr>
          <w:spacing w:val="-3"/>
        </w:rPr>
        <w:t>，是本公司的全资子公司。经营范围：金融应用软件技术开发、销</w:t>
      </w:r>
      <w:r>
        <w:rPr>
          <w:spacing w:val="-78"/>
        </w:rPr>
        <w:t> </w:t>
      </w:r>
      <w:r>
        <w:rPr>
          <w:spacing w:val="-78"/>
        </w:rPr>
      </w:r>
      <w:r>
        <w:rPr/>
        <w:t>售；计算机软、硬件技术开发、技术咨询。</w:t>
      </w:r>
    </w:p>
    <w:p>
      <w:pPr>
        <w:pStyle w:val="BodyText"/>
        <w:spacing w:line="372" w:lineRule="auto" w:before="59"/>
        <w:ind w:right="232" w:firstLine="459"/>
        <w:jc w:val="both"/>
      </w:pPr>
      <w:r>
        <w:rPr/>
        <w:t>银之杰软件主要为本公司提供影像应用软件产品的核心算法技术及基础平台技</w:t>
      </w:r>
      <w:r>
        <w:rPr>
          <w:w w:val="100"/>
        </w:rPr>
        <w:t> </w:t>
      </w:r>
      <w:r>
        <w:rPr/>
        <w:t>术的开发服务，其收入销售对象是本公司，再由本公司组成软件产品对外销售，对</w:t>
      </w:r>
      <w:r>
        <w:rPr>
          <w:spacing w:val="-87"/>
        </w:rPr>
        <w:t> </w:t>
      </w:r>
      <w:r>
        <w:rPr>
          <w:spacing w:val="-87"/>
        </w:rPr>
      </w:r>
      <w:r>
        <w:rPr/>
        <w:t>合并经营业绩的影响较小。</w:t>
      </w:r>
    </w:p>
    <w:p>
      <w:pPr>
        <w:pStyle w:val="BodyText"/>
        <w:spacing w:line="240" w:lineRule="auto" w:before="40"/>
        <w:ind w:left="597" w:right="115"/>
        <w:jc w:val="left"/>
      </w:pPr>
      <w:r>
        <w:rPr/>
        <w:t>报告期内，银之杰软件的财务数据如下：</w:t>
      </w:r>
    </w:p>
    <w:p>
      <w:pPr>
        <w:spacing w:line="240" w:lineRule="auto" w:before="0"/>
        <w:rPr>
          <w:rFonts w:ascii="宋体" w:hAnsi="宋体" w:cs="宋体" w:eastAsia="宋体" w:hint="default"/>
          <w:sz w:val="21"/>
          <w:szCs w:val="21"/>
        </w:rPr>
      </w:pPr>
    </w:p>
    <w:tbl>
      <w:tblPr>
        <w:tblW w:w="0" w:type="auto"/>
        <w:jc w:val="left"/>
        <w:tblInd w:w="143" w:type="dxa"/>
        <w:tblLayout w:type="fixed"/>
        <w:tblCellMar>
          <w:top w:w="0" w:type="dxa"/>
          <w:left w:w="0" w:type="dxa"/>
          <w:bottom w:w="0" w:type="dxa"/>
          <w:right w:w="0" w:type="dxa"/>
        </w:tblCellMar>
        <w:tblLook w:val="01E0"/>
      </w:tblPr>
      <w:tblGrid>
        <w:gridCol w:w="2497"/>
        <w:gridCol w:w="1992"/>
        <w:gridCol w:w="1800"/>
        <w:gridCol w:w="2048"/>
      </w:tblGrid>
      <w:tr>
        <w:trPr>
          <w:trHeight w:val="384"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657"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5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281"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384"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10" w:right="0"/>
              <w:jc w:val="left"/>
              <w:rPr>
                <w:rFonts w:ascii="宋体" w:hAnsi="宋体" w:cs="宋体" w:eastAsia="宋体" w:hint="default"/>
                <w:sz w:val="21"/>
                <w:szCs w:val="21"/>
              </w:rPr>
            </w:pPr>
            <w:r>
              <w:rPr>
                <w:rFonts w:ascii="宋体" w:hAnsi="宋体" w:cs="宋体" w:eastAsia="宋体" w:hint="default"/>
                <w:sz w:val="21"/>
                <w:szCs w:val="21"/>
              </w:rPr>
              <w:t>主营业务收入（元）</w:t>
            </w:r>
          </w:p>
        </w:tc>
        <w:tc>
          <w:tcPr>
            <w:tcW w:w="19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pacing w:val="-1"/>
                <w:sz w:val="21"/>
              </w:rPr>
              <w:t>15,803,247.89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pacing w:val="-1"/>
                <w:sz w:val="21"/>
              </w:rPr>
              <w:t>18,126,325.31</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pacing w:val="-1"/>
                <w:sz w:val="21"/>
              </w:rPr>
              <w:t>-12.82%</w:t>
            </w:r>
          </w:p>
        </w:tc>
      </w:tr>
      <w:tr>
        <w:trPr>
          <w:trHeight w:val="384"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10" w:right="0"/>
              <w:jc w:val="left"/>
              <w:rPr>
                <w:rFonts w:ascii="宋体" w:hAnsi="宋体" w:cs="宋体" w:eastAsia="宋体" w:hint="default"/>
                <w:sz w:val="21"/>
                <w:szCs w:val="21"/>
              </w:rPr>
            </w:pPr>
            <w:r>
              <w:rPr>
                <w:rFonts w:ascii="宋体" w:hAnsi="宋体" w:cs="宋体" w:eastAsia="宋体" w:hint="default"/>
                <w:sz w:val="21"/>
                <w:szCs w:val="21"/>
              </w:rPr>
              <w:t>营业利润（元）</w:t>
            </w:r>
          </w:p>
        </w:tc>
        <w:tc>
          <w:tcPr>
            <w:tcW w:w="19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pacing w:val="-1"/>
                <w:sz w:val="21"/>
              </w:rPr>
              <w:t>12,975,457.81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pacing w:val="-1"/>
                <w:sz w:val="21"/>
              </w:rPr>
              <w:t>15,097,752.52</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pacing w:val="-1"/>
                <w:sz w:val="21"/>
              </w:rPr>
              <w:t>-14.06%</w:t>
            </w:r>
          </w:p>
        </w:tc>
      </w:tr>
      <w:tr>
        <w:trPr>
          <w:trHeight w:val="384"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10" w:right="0"/>
              <w:jc w:val="left"/>
              <w:rPr>
                <w:rFonts w:ascii="宋体" w:hAnsi="宋体" w:cs="宋体" w:eastAsia="宋体" w:hint="default"/>
                <w:sz w:val="21"/>
                <w:szCs w:val="21"/>
              </w:rPr>
            </w:pPr>
            <w:r>
              <w:rPr>
                <w:rFonts w:ascii="宋体" w:hAnsi="宋体" w:cs="宋体" w:eastAsia="宋体" w:hint="default"/>
                <w:sz w:val="21"/>
                <w:szCs w:val="21"/>
              </w:rPr>
              <w:t>净利润（元）</w:t>
            </w:r>
          </w:p>
        </w:tc>
        <w:tc>
          <w:tcPr>
            <w:tcW w:w="19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pacing w:val="-1"/>
                <w:sz w:val="21"/>
              </w:rPr>
              <w:t>13,293,431.01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pacing w:val="-1"/>
                <w:sz w:val="21"/>
              </w:rPr>
              <w:t>17,164,707.58</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pacing w:val="-1"/>
                <w:sz w:val="21"/>
              </w:rPr>
              <w:t>-22.55%</w:t>
            </w:r>
          </w:p>
        </w:tc>
      </w:tr>
      <w:tr>
        <w:trPr>
          <w:trHeight w:val="384"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551"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w:t>
            </w: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0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281"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384"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10"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9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pacing w:val="-1"/>
                <w:sz w:val="21"/>
              </w:rPr>
              <w:t>5,179,539.16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pacing w:val="-2"/>
                <w:sz w:val="21"/>
              </w:rPr>
              <w:t>26,111,282.60</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21"/>
                <w:szCs w:val="21"/>
              </w:rPr>
            </w:pPr>
            <w:r>
              <w:rPr>
                <w:rFonts w:ascii="Times New Roman"/>
                <w:spacing w:val="-1"/>
                <w:sz w:val="21"/>
              </w:rPr>
              <w:t>-80.16%</w:t>
            </w:r>
          </w:p>
        </w:tc>
      </w:tr>
      <w:tr>
        <w:trPr>
          <w:trHeight w:val="384"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10" w:right="0"/>
              <w:jc w:val="left"/>
              <w:rPr>
                <w:rFonts w:ascii="宋体" w:hAnsi="宋体" w:cs="宋体" w:eastAsia="宋体" w:hint="default"/>
                <w:sz w:val="21"/>
                <w:szCs w:val="21"/>
              </w:rPr>
            </w:pPr>
            <w:r>
              <w:rPr>
                <w:rFonts w:ascii="宋体" w:hAnsi="宋体" w:cs="宋体" w:eastAsia="宋体" w:hint="default"/>
                <w:sz w:val="21"/>
                <w:szCs w:val="21"/>
              </w:rPr>
              <w:t>净资产（元）</w:t>
            </w:r>
          </w:p>
        </w:tc>
        <w:tc>
          <w:tcPr>
            <w:tcW w:w="19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pacing w:val="-2"/>
                <w:sz w:val="21"/>
              </w:rPr>
              <w:t>2,752,111.37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pacing w:val="-1"/>
                <w:sz w:val="21"/>
              </w:rPr>
              <w:t>2,958,680.36</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pacing w:val="-1"/>
                <w:sz w:val="21"/>
              </w:rPr>
              <w:t>-6.98%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before="29"/>
        <w:ind w:left="597" w:right="11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3"/>
        </w:rPr>
        <w:t> </w:t>
      </w:r>
      <w:r>
        <w:rPr/>
        <w:t>深圳市银之杰技术开发有限公司</w:t>
      </w:r>
    </w:p>
    <w:p>
      <w:pPr>
        <w:pStyle w:val="BodyText"/>
        <w:spacing w:line="240" w:lineRule="auto" w:before="149"/>
        <w:ind w:left="597" w:right="115"/>
        <w:jc w:val="left"/>
        <w:rPr>
          <w:rFonts w:ascii="Times New Roman" w:hAnsi="Times New Roman" w:cs="Times New Roman" w:eastAsia="Times New Roman" w:hint="default"/>
        </w:rPr>
      </w:pPr>
      <w:r>
        <w:rPr>
          <w:spacing w:val="1"/>
          <w:w w:val="100"/>
        </w:rPr>
        <w:t>深圳市银</w:t>
      </w:r>
      <w:r>
        <w:rPr>
          <w:w w:val="100"/>
        </w:rPr>
        <w:t>之</w:t>
      </w:r>
      <w:r>
        <w:rPr>
          <w:spacing w:val="1"/>
          <w:w w:val="100"/>
        </w:rPr>
        <w:t>杰技术开</w:t>
      </w:r>
      <w:r>
        <w:rPr>
          <w:w w:val="100"/>
        </w:rPr>
        <w:t>发</w:t>
      </w:r>
      <w:r>
        <w:rPr>
          <w:spacing w:val="1"/>
          <w:w w:val="100"/>
        </w:rPr>
        <w:t>有限公司</w:t>
      </w:r>
      <w:r>
        <w:rPr>
          <w:w w:val="100"/>
        </w:rPr>
        <w:t>（</w:t>
      </w:r>
      <w:r>
        <w:rPr>
          <w:spacing w:val="1"/>
          <w:w w:val="100"/>
        </w:rPr>
        <w:t>以下简称</w:t>
      </w:r>
      <w:r>
        <w:rPr>
          <w:w w:val="100"/>
        </w:rPr>
        <w:t>“</w:t>
      </w:r>
      <w:r>
        <w:rPr>
          <w:spacing w:val="1"/>
          <w:w w:val="100"/>
        </w:rPr>
        <w:t>银之杰技</w:t>
      </w:r>
      <w:r>
        <w:rPr>
          <w:w w:val="100"/>
        </w:rPr>
        <w:t>术</w:t>
      </w:r>
      <w:r>
        <w:rPr>
          <w:spacing w:val="1"/>
          <w:w w:val="100"/>
        </w:rPr>
        <w:t>开发</w:t>
      </w:r>
      <w:r>
        <w:rPr>
          <w:spacing w:val="-114"/>
          <w:w w:val="100"/>
        </w:rPr>
        <w:t>”</w:t>
      </w:r>
      <w:r>
        <w:rPr>
          <w:spacing w:val="1"/>
          <w:w w:val="100"/>
        </w:rPr>
        <w:t>）</w:t>
      </w:r>
      <w:r>
        <w:rPr>
          <w:w w:val="100"/>
        </w:rPr>
        <w:t>成</w:t>
      </w:r>
      <w:r>
        <w:rPr>
          <w:spacing w:val="1"/>
          <w:w w:val="100"/>
        </w:rPr>
        <w:t>立</w:t>
      </w:r>
      <w:r>
        <w:rPr>
          <w:w w:val="100"/>
        </w:rPr>
        <w:t>于</w:t>
      </w:r>
      <w:r>
        <w:rPr>
          <w:spacing w:val="1"/>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10"/>
          <w:w w:val="100"/>
        </w:rPr>
        <w:t>1</w:t>
      </w:r>
      <w:r>
        <w:rPr>
          <w:rFonts w:ascii="Times New Roman" w:hAnsi="Times New Roman" w:cs="Times New Roman" w:eastAsia="Times New Roman" w:hint="default"/>
          <w:w w:val="100"/>
        </w:rPr>
        <w:t>1</w:t>
      </w:r>
    </w:p>
    <w:p>
      <w:pPr>
        <w:pStyle w:val="BodyText"/>
        <w:spacing w:line="240" w:lineRule="auto" w:before="149"/>
        <w:ind w:right="0"/>
        <w:jc w:val="both"/>
      </w:pP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日，注册地为深圳市福田区深南路与香蜜湖路交界西南都市阳光名苑</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栋</w:t>
      </w:r>
    </w:p>
    <w:p>
      <w:pPr>
        <w:pStyle w:val="BodyText"/>
        <w:spacing w:line="352" w:lineRule="auto" w:before="149"/>
        <w:ind w:right="232"/>
        <w:jc w:val="both"/>
      </w:pPr>
      <w:r>
        <w:rPr>
          <w:rFonts w:ascii="Times New Roman" w:hAnsi="Times New Roman" w:cs="Times New Roman" w:eastAsia="Times New Roman" w:hint="default"/>
        </w:rPr>
        <w:t>29D</w:t>
      </w:r>
      <w:r>
        <w:rPr/>
        <w:t>，注册资本人民币 </w:t>
      </w:r>
      <w:r>
        <w:rPr>
          <w:rFonts w:ascii="Times New Roman" w:hAnsi="Times New Roman" w:cs="Times New Roman" w:eastAsia="Times New Roman" w:hint="default"/>
        </w:rPr>
        <w:t>300</w:t>
      </w:r>
      <w:r>
        <w:rPr>
          <w:rFonts w:ascii="Times New Roman" w:hAnsi="Times New Roman" w:cs="Times New Roman" w:eastAsia="Times New Roman" w:hint="default"/>
          <w:spacing w:val="28"/>
        </w:rPr>
        <w:t> </w:t>
      </w:r>
      <w:r>
        <w:rPr/>
        <w:t>万元，法定代表人为陈向军，企业法人营业执照注册号</w:t>
      </w:r>
      <w:r>
        <w:rPr>
          <w:w w:val="100"/>
        </w:rPr>
        <w:t> </w:t>
      </w:r>
      <w:r>
        <w:rPr/>
        <w:t>为</w:t>
      </w:r>
      <w:r>
        <w:rPr>
          <w:spacing w:val="23"/>
        </w:rPr>
        <w:t> </w:t>
      </w:r>
      <w:r>
        <w:rPr>
          <w:rFonts w:ascii="Times New Roman" w:hAnsi="Times New Roman" w:cs="Times New Roman" w:eastAsia="Times New Roman" w:hint="default"/>
        </w:rPr>
        <w:t>440301105373052</w:t>
      </w:r>
      <w:r>
        <w:rPr/>
        <w:t>，是本公司的全资子公司。经营范围：计算机软硬件的技术设</w:t>
      </w:r>
      <w:r>
        <w:rPr>
          <w:spacing w:val="-113"/>
        </w:rPr>
        <w:t> </w:t>
      </w:r>
      <w:r>
        <w:rPr>
          <w:spacing w:val="-113"/>
        </w:rPr>
      </w:r>
      <w:r>
        <w:rPr/>
        <w:t>计、技术开发、技术咨询与销售。</w:t>
      </w:r>
    </w:p>
    <w:p>
      <w:pPr>
        <w:pStyle w:val="BodyText"/>
        <w:spacing w:line="372" w:lineRule="auto" w:before="59"/>
        <w:ind w:right="115" w:firstLine="459"/>
        <w:jc w:val="left"/>
      </w:pPr>
      <w:r>
        <w:rPr/>
        <w:t>银之杰技术开发主要为本公司提供金融专业设备产品的底层控制软件及终端应</w:t>
      </w:r>
      <w:r>
        <w:rPr>
          <w:w w:val="100"/>
        </w:rPr>
        <w:t> </w:t>
      </w:r>
      <w:r>
        <w:rPr>
          <w:spacing w:val="-3"/>
        </w:rPr>
        <w:t>用软件技术的开发服务，其收入销售对象是本公司，再由本公司组成产品对外销售，</w:t>
      </w:r>
      <w:r>
        <w:rPr>
          <w:spacing w:val="-97"/>
        </w:rPr>
        <w:t> </w:t>
      </w:r>
      <w:r>
        <w:rPr>
          <w:spacing w:val="-97"/>
        </w:rPr>
      </w:r>
      <w:r>
        <w:rPr/>
        <w:t>对合并经营业绩的影响较小。</w:t>
      </w:r>
    </w:p>
    <w:p>
      <w:pPr>
        <w:pStyle w:val="BodyText"/>
        <w:spacing w:line="240" w:lineRule="auto" w:before="40"/>
        <w:ind w:left="597" w:right="115"/>
        <w:jc w:val="left"/>
      </w:pPr>
      <w:r>
        <w:rPr/>
        <w:t>报告期内，银之杰开发的财务数据如下：</w:t>
      </w:r>
    </w:p>
    <w:p>
      <w:pPr>
        <w:spacing w:line="240" w:lineRule="auto" w:before="13"/>
        <w:rPr>
          <w:rFonts w:ascii="宋体" w:hAnsi="宋体" w:cs="宋体" w:eastAsia="宋体" w:hint="default"/>
          <w:sz w:val="20"/>
          <w:szCs w:val="20"/>
        </w:rPr>
      </w:pPr>
    </w:p>
    <w:tbl>
      <w:tblPr>
        <w:tblW w:w="0" w:type="auto"/>
        <w:jc w:val="left"/>
        <w:tblInd w:w="143" w:type="dxa"/>
        <w:tblLayout w:type="fixed"/>
        <w:tblCellMar>
          <w:top w:w="0" w:type="dxa"/>
          <w:left w:w="0" w:type="dxa"/>
          <w:bottom w:w="0" w:type="dxa"/>
          <w:right w:w="0" w:type="dxa"/>
        </w:tblCellMar>
        <w:tblLook w:val="01E0"/>
      </w:tblPr>
      <w:tblGrid>
        <w:gridCol w:w="2317"/>
        <w:gridCol w:w="1992"/>
        <w:gridCol w:w="1800"/>
        <w:gridCol w:w="2048"/>
      </w:tblGrid>
      <w:tr>
        <w:trPr>
          <w:trHeight w:val="384"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657"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5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281"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384"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10" w:right="0"/>
              <w:jc w:val="left"/>
              <w:rPr>
                <w:rFonts w:ascii="宋体" w:hAnsi="宋体" w:cs="宋体" w:eastAsia="宋体" w:hint="default"/>
                <w:sz w:val="21"/>
                <w:szCs w:val="21"/>
              </w:rPr>
            </w:pPr>
            <w:r>
              <w:rPr>
                <w:rFonts w:ascii="宋体" w:hAnsi="宋体" w:cs="宋体" w:eastAsia="宋体" w:hint="default"/>
                <w:sz w:val="21"/>
                <w:szCs w:val="21"/>
              </w:rPr>
              <w:t>主营业务收入（元）</w:t>
            </w:r>
          </w:p>
        </w:tc>
        <w:tc>
          <w:tcPr>
            <w:tcW w:w="19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21"/>
                <w:szCs w:val="21"/>
              </w:rPr>
            </w:pPr>
            <w:r>
              <w:rPr>
                <w:rFonts w:ascii="Times New Roman"/>
                <w:spacing w:val="-1"/>
                <w:sz w:val="21"/>
              </w:rPr>
              <w:t>58,252.43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z w:val="21"/>
              </w:rPr>
              <w:t>-</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2"/>
              <w:jc w:val="right"/>
              <w:rPr>
                <w:rFonts w:ascii="Times New Roman" w:hAnsi="Times New Roman" w:cs="Times New Roman" w:eastAsia="Times New Roman" w:hint="default"/>
                <w:sz w:val="21"/>
                <w:szCs w:val="21"/>
              </w:rPr>
            </w:pPr>
            <w:r>
              <w:rPr>
                <w:rFonts w:ascii="Times New Roman"/>
                <w:sz w:val="21"/>
              </w:rPr>
              <w:t>-</w:t>
            </w:r>
          </w:p>
        </w:tc>
      </w:tr>
      <w:tr>
        <w:trPr>
          <w:trHeight w:val="384"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10" w:right="0"/>
              <w:jc w:val="left"/>
              <w:rPr>
                <w:rFonts w:ascii="宋体" w:hAnsi="宋体" w:cs="宋体" w:eastAsia="宋体" w:hint="default"/>
                <w:sz w:val="21"/>
                <w:szCs w:val="21"/>
              </w:rPr>
            </w:pPr>
            <w:r>
              <w:rPr>
                <w:rFonts w:ascii="宋体" w:hAnsi="宋体" w:cs="宋体" w:eastAsia="宋体" w:hint="default"/>
                <w:sz w:val="21"/>
                <w:szCs w:val="21"/>
              </w:rPr>
              <w:t>营业利润（元）</w:t>
            </w:r>
          </w:p>
        </w:tc>
        <w:tc>
          <w:tcPr>
            <w:tcW w:w="19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pacing w:val="-1"/>
                <w:sz w:val="21"/>
              </w:rPr>
              <w:t>-352,890.53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2"/>
              <w:jc w:val="right"/>
              <w:rPr>
                <w:rFonts w:ascii="Times New Roman" w:hAnsi="Times New Roman" w:cs="Times New Roman" w:eastAsia="Times New Roman" w:hint="default"/>
                <w:sz w:val="21"/>
                <w:szCs w:val="21"/>
              </w:rPr>
            </w:pPr>
            <w:r>
              <w:rPr>
                <w:rFonts w:ascii="Times New Roman"/>
                <w:sz w:val="21"/>
              </w:rPr>
              <w:t>-</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2"/>
              <w:jc w:val="right"/>
              <w:rPr>
                <w:rFonts w:ascii="Times New Roman" w:hAnsi="Times New Roman" w:cs="Times New Roman" w:eastAsia="Times New Roman" w:hint="default"/>
                <w:sz w:val="21"/>
                <w:szCs w:val="21"/>
              </w:rPr>
            </w:pPr>
            <w:r>
              <w:rPr>
                <w:rFonts w:ascii="Times New Roman"/>
                <w:sz w:val="21"/>
              </w:rPr>
              <w:t>-</w:t>
            </w:r>
          </w:p>
        </w:tc>
      </w:tr>
      <w:tr>
        <w:trPr>
          <w:trHeight w:val="385"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10" w:right="0"/>
              <w:jc w:val="left"/>
              <w:rPr>
                <w:rFonts w:ascii="宋体" w:hAnsi="宋体" w:cs="宋体" w:eastAsia="宋体" w:hint="default"/>
                <w:sz w:val="21"/>
                <w:szCs w:val="21"/>
              </w:rPr>
            </w:pPr>
            <w:r>
              <w:rPr>
                <w:rFonts w:ascii="宋体" w:hAnsi="宋体" w:cs="宋体" w:eastAsia="宋体" w:hint="default"/>
                <w:sz w:val="21"/>
                <w:szCs w:val="21"/>
              </w:rPr>
              <w:t>净利润（元）</w:t>
            </w:r>
          </w:p>
        </w:tc>
        <w:tc>
          <w:tcPr>
            <w:tcW w:w="19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pacing w:val="-1"/>
                <w:sz w:val="21"/>
              </w:rPr>
              <w:t>-264,667.89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2"/>
              <w:jc w:val="right"/>
              <w:rPr>
                <w:rFonts w:ascii="Times New Roman" w:hAnsi="Times New Roman" w:cs="Times New Roman" w:eastAsia="Times New Roman" w:hint="default"/>
                <w:sz w:val="21"/>
                <w:szCs w:val="21"/>
              </w:rPr>
            </w:pPr>
            <w:r>
              <w:rPr>
                <w:rFonts w:ascii="Times New Roman"/>
                <w:sz w:val="21"/>
              </w:rPr>
              <w:t>-</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2"/>
              <w:jc w:val="right"/>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1560"/>
        </w:sectPr>
      </w:pPr>
    </w:p>
    <w:p>
      <w:pPr>
        <w:spacing w:line="240" w:lineRule="auto" w:before="6"/>
        <w:rPr>
          <w:rFonts w:ascii="宋体" w:hAnsi="宋体" w:cs="宋体" w:eastAsia="宋体" w:hint="default"/>
          <w:sz w:val="24"/>
          <w:szCs w:val="24"/>
        </w:rPr>
      </w:pPr>
    </w:p>
    <w:tbl>
      <w:tblPr>
        <w:tblW w:w="0" w:type="auto"/>
        <w:jc w:val="left"/>
        <w:tblInd w:w="143" w:type="dxa"/>
        <w:tblLayout w:type="fixed"/>
        <w:tblCellMar>
          <w:top w:w="0" w:type="dxa"/>
          <w:left w:w="0" w:type="dxa"/>
          <w:bottom w:w="0" w:type="dxa"/>
          <w:right w:w="0" w:type="dxa"/>
        </w:tblCellMar>
        <w:tblLook w:val="01E0"/>
      </w:tblPr>
      <w:tblGrid>
        <w:gridCol w:w="2317"/>
        <w:gridCol w:w="1992"/>
        <w:gridCol w:w="1800"/>
        <w:gridCol w:w="2048"/>
      </w:tblGrid>
      <w:tr>
        <w:trPr>
          <w:trHeight w:val="384"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551"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w:t>
            </w: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0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281"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384"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10"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9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21"/>
                <w:szCs w:val="21"/>
              </w:rPr>
            </w:pPr>
            <w:r>
              <w:rPr>
                <w:rFonts w:ascii="Times New Roman"/>
                <w:spacing w:val="-1"/>
                <w:sz w:val="21"/>
              </w:rPr>
              <w:t>2,735,702.46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z w:val="21"/>
              </w:rPr>
              <w:t>-</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2"/>
              <w:jc w:val="right"/>
              <w:rPr>
                <w:rFonts w:ascii="Times New Roman" w:hAnsi="Times New Roman" w:cs="Times New Roman" w:eastAsia="Times New Roman" w:hint="default"/>
                <w:sz w:val="21"/>
                <w:szCs w:val="21"/>
              </w:rPr>
            </w:pPr>
            <w:r>
              <w:rPr>
                <w:rFonts w:ascii="Times New Roman"/>
                <w:sz w:val="21"/>
              </w:rPr>
              <w:t>-</w:t>
            </w:r>
          </w:p>
        </w:tc>
      </w:tr>
      <w:tr>
        <w:trPr>
          <w:trHeight w:val="384"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10" w:right="0"/>
              <w:jc w:val="left"/>
              <w:rPr>
                <w:rFonts w:ascii="宋体" w:hAnsi="宋体" w:cs="宋体" w:eastAsia="宋体" w:hint="default"/>
                <w:sz w:val="21"/>
                <w:szCs w:val="21"/>
              </w:rPr>
            </w:pPr>
            <w:r>
              <w:rPr>
                <w:rFonts w:ascii="宋体" w:hAnsi="宋体" w:cs="宋体" w:eastAsia="宋体" w:hint="default"/>
                <w:sz w:val="21"/>
                <w:szCs w:val="21"/>
              </w:rPr>
              <w:t>净资产（元）</w:t>
            </w:r>
          </w:p>
        </w:tc>
        <w:tc>
          <w:tcPr>
            <w:tcW w:w="19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pacing w:val="-2"/>
                <w:sz w:val="21"/>
              </w:rPr>
              <w:t>2,735,332.11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21"/>
                <w:szCs w:val="21"/>
              </w:rPr>
            </w:pPr>
            <w:r>
              <w:rPr>
                <w:rFonts w:ascii="Times New Roman"/>
                <w:sz w:val="21"/>
              </w:rPr>
              <w:t>-</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2"/>
              <w:jc w:val="right"/>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372" w:lineRule="auto" w:before="29"/>
        <w:ind w:left="597" w:right="115" w:hanging="460"/>
        <w:jc w:val="left"/>
      </w:pPr>
      <w:r>
        <w:rPr/>
        <w:t>（九）</w:t>
      </w:r>
      <w:r>
        <w:rPr>
          <w:spacing w:val="-87"/>
        </w:rPr>
        <w:t> </w:t>
      </w:r>
      <w:r>
        <w:rPr/>
        <w:t>公司控制的特殊目的主体情况</w:t>
      </w:r>
      <w:r>
        <w:rPr>
          <w:w w:val="100"/>
        </w:rPr>
        <w:t> </w:t>
      </w:r>
      <w:r>
        <w:rPr>
          <w:spacing w:val="-1"/>
        </w:rPr>
        <w:t>报告期内，公司不存在公司控制下的特殊目的主体。</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Heading5"/>
        <w:spacing w:line="240" w:lineRule="auto"/>
        <w:ind w:right="115"/>
        <w:jc w:val="left"/>
        <w:rPr>
          <w:b w:val="0"/>
          <w:bCs w:val="0"/>
        </w:rPr>
      </w:pPr>
      <w:r>
        <w:rPr/>
        <w:t>二、公司未来发展展望</w:t>
      </w:r>
      <w:r>
        <w:rPr>
          <w:b w:val="0"/>
          <w:bCs w:val="0"/>
        </w:rPr>
      </w:r>
    </w:p>
    <w:p>
      <w:pPr>
        <w:pStyle w:val="BodyText"/>
        <w:spacing w:line="372" w:lineRule="auto" w:before="167"/>
        <w:ind w:left="597" w:right="115" w:hanging="460"/>
        <w:jc w:val="left"/>
        <w:rPr>
          <w:rFonts w:ascii="Times New Roman" w:hAnsi="Times New Roman" w:cs="Times New Roman" w:eastAsia="Times New Roman" w:hint="default"/>
        </w:rPr>
      </w:pPr>
      <w:r>
        <w:rPr/>
        <w:t>（一）</w:t>
      </w:r>
      <w:r>
        <w:rPr>
          <w:spacing w:val="-87"/>
        </w:rPr>
        <w:t> </w:t>
      </w:r>
      <w:r>
        <w:rPr/>
        <w:t>外部经营环境发展现状和变化趋势</w:t>
      </w:r>
      <w:r>
        <w:rPr>
          <w:w w:val="100"/>
        </w:rPr>
        <w:t> </w:t>
      </w:r>
      <w:r>
        <w:rPr/>
        <w:t>公司属于计算机应用服务业中的软件行业、金融信息化行业。</w:t>
      </w:r>
      <w:r>
        <w:rPr>
          <w:w w:val="100"/>
        </w:rPr>
        <w:t> </w:t>
      </w:r>
      <w:r>
        <w:rPr/>
        <w:t>软件产业是国家战略性新兴产业，是国民经济和社会信息化的重要基础。</w:t>
      </w:r>
      <w:r>
        <w:rPr>
          <w:rFonts w:ascii="Times New Roman" w:hAnsi="Times New Roman" w:cs="Times New Roman" w:eastAsia="Times New Roman" w:hint="default"/>
        </w:rPr>
        <w:t>2011</w:t>
      </w:r>
    </w:p>
    <w:p>
      <w:pPr>
        <w:pStyle w:val="BodyText"/>
        <w:spacing w:line="364" w:lineRule="auto" w:before="9"/>
        <w:ind w:right="115"/>
        <w:jc w:val="left"/>
      </w:pPr>
      <w:r>
        <w:rPr>
          <w:w w:val="100"/>
        </w:rPr>
        <w:t>年</w:t>
      </w:r>
      <w:r>
        <w:rPr>
          <w:spacing w:val="-56"/>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w w:val="100"/>
        </w:rPr>
        <w:t> </w:t>
      </w:r>
      <w:r>
        <w:rPr>
          <w:w w:val="100"/>
        </w:rPr>
        <w:t>月</w:t>
      </w:r>
      <w:r>
        <w:rPr>
          <w:spacing w:val="-56"/>
          <w:w w:val="100"/>
        </w:rPr>
        <w:t> </w:t>
      </w:r>
      <w:r>
        <w:rPr>
          <w:rFonts w:ascii="Times New Roman" w:hAnsi="Times New Roman" w:cs="Times New Roman" w:eastAsia="Times New Roman" w:hint="default"/>
          <w:spacing w:val="-1"/>
          <w:w w:val="100"/>
        </w:rPr>
        <w:t>28</w:t>
      </w:r>
      <w:r>
        <w:rPr>
          <w:rFonts w:ascii="Times New Roman" w:hAnsi="Times New Roman" w:cs="Times New Roman" w:eastAsia="Times New Roman" w:hint="default"/>
          <w:w w:val="100"/>
        </w:rPr>
        <w:t> </w:t>
      </w:r>
      <w:r>
        <w:rPr>
          <w:spacing w:val="-7"/>
          <w:w w:val="100"/>
        </w:rPr>
        <w:t>日，国务院印发了《进一步鼓励软件产业和集成电路产业发展的若干政策》</w:t>
      </w:r>
      <w:r>
        <w:rPr>
          <w:w w:val="100"/>
        </w:rPr>
        <w:t> </w:t>
      </w:r>
      <w:r>
        <w:rPr>
          <w:spacing w:val="-2"/>
          <w:w w:val="100"/>
        </w:rPr>
        <w:t>的通知（国发</w:t>
      </w:r>
      <w:r>
        <w:rPr>
          <w:rFonts w:ascii="Times New Roman" w:hAnsi="Times New Roman" w:cs="Times New Roman" w:eastAsia="Times New Roman" w:hint="default"/>
          <w:spacing w:val="-2"/>
          <w:w w:val="100"/>
        </w:rPr>
        <w:t>[2011]4</w:t>
      </w:r>
      <w:r>
        <w:rPr>
          <w:rFonts w:ascii="Times New Roman" w:hAnsi="Times New Roman" w:cs="Times New Roman" w:eastAsia="Times New Roman" w:hint="default"/>
          <w:w w:val="100"/>
        </w:rPr>
        <w:t> </w:t>
      </w:r>
      <w:r>
        <w:rPr>
          <w:spacing w:val="-5"/>
          <w:w w:val="100"/>
        </w:rPr>
        <w:t>号），进一步优化软件产业发展环境，提高产业发展质量和水</w:t>
      </w:r>
      <w:r>
        <w:rPr>
          <w:spacing w:val="-98"/>
          <w:w w:val="100"/>
        </w:rPr>
        <w:t> </w:t>
      </w:r>
      <w:r>
        <w:rPr>
          <w:spacing w:val="-98"/>
          <w:w w:val="100"/>
        </w:rPr>
      </w:r>
      <w:r>
        <w:rPr/>
        <w:t>平，培育一批有实力和影响力的行业领先企业。公司是国家高新技术企业、软件企</w:t>
      </w:r>
      <w:r>
        <w:rPr>
          <w:spacing w:val="-87"/>
        </w:rPr>
        <w:t> </w:t>
      </w:r>
      <w:r>
        <w:rPr>
          <w:spacing w:val="-87"/>
        </w:rPr>
      </w:r>
      <w:r>
        <w:rPr>
          <w:spacing w:val="-4"/>
        </w:rPr>
        <w:t>业，随着国发</w:t>
      </w:r>
      <w:r>
        <w:rPr>
          <w:rFonts w:ascii="Times New Roman" w:hAnsi="Times New Roman" w:cs="Times New Roman" w:eastAsia="Times New Roman" w:hint="default"/>
          <w:spacing w:val="-4"/>
        </w:rPr>
        <w:t>[2011]4</w:t>
      </w:r>
      <w:r>
        <w:rPr>
          <w:rFonts w:ascii="Times New Roman" w:hAnsi="Times New Roman" w:cs="Times New Roman" w:eastAsia="Times New Roman" w:hint="default"/>
          <w:spacing w:val="-9"/>
        </w:rPr>
        <w:t> </w:t>
      </w:r>
      <w:r>
        <w:rPr/>
        <w:t>号文件的执行，公司将继续获得国家对于软件企业的扶持和优</w:t>
      </w:r>
      <w:r>
        <w:rPr>
          <w:w w:val="100"/>
        </w:rPr>
        <w:t> </w:t>
      </w:r>
      <w:r>
        <w:rPr/>
        <w:t>惠政策支持，包括继续享受软件增值税优惠政策，进一步享受营业税优惠政策，继</w:t>
      </w:r>
      <w:r>
        <w:rPr>
          <w:spacing w:val="-87"/>
        </w:rPr>
        <w:t> </w:t>
      </w:r>
      <w:r>
        <w:rPr>
          <w:spacing w:val="-87"/>
        </w:rPr>
      </w:r>
      <w:r>
        <w:rPr/>
        <w:t>续享受企业所得税的优惠税率，在国家鼓励、支持软件企业通过资源整合做大做强</w:t>
      </w:r>
      <w:r>
        <w:rPr>
          <w:spacing w:val="-87"/>
        </w:rPr>
        <w:t> </w:t>
      </w:r>
      <w:r>
        <w:rPr>
          <w:spacing w:val="-87"/>
        </w:rPr>
      </w:r>
      <w:r>
        <w:rPr/>
        <w:t>的政策环境下，更加顺利地实施重组并购，以及其他人才引进和知识产权保护等。</w:t>
      </w:r>
      <w:r>
        <w:rPr>
          <w:spacing w:val="-87"/>
        </w:rPr>
        <w:t> </w:t>
      </w:r>
      <w:r>
        <w:rPr>
          <w:spacing w:val="-87"/>
        </w:rPr>
      </w:r>
      <w:r>
        <w:rPr/>
        <w:t>这些政策的出台和执行，为公司创造了良好的经营环境，并将在较长时期内得到保</w:t>
      </w:r>
      <w:r>
        <w:rPr>
          <w:spacing w:val="-87"/>
        </w:rPr>
        <w:t> </w:t>
      </w:r>
      <w:r>
        <w:rPr>
          <w:spacing w:val="-87"/>
        </w:rPr>
      </w:r>
      <w:r>
        <w:rPr/>
        <w:t>持。</w:t>
      </w:r>
    </w:p>
    <w:p>
      <w:pPr>
        <w:pStyle w:val="BodyText"/>
        <w:spacing w:line="364" w:lineRule="auto" w:before="47"/>
        <w:ind w:right="115" w:firstLine="459"/>
        <w:jc w:val="left"/>
      </w:pPr>
      <w:r>
        <w:rPr/>
        <w:t>另一方面，金融信息化行业有广泛的发展前景。金融行业是现代经济的支柱行</w:t>
      </w:r>
      <w:r>
        <w:rPr>
          <w:w w:val="100"/>
        </w:rPr>
        <w:t> </w:t>
      </w:r>
      <w:r>
        <w:rPr>
          <w:spacing w:val="-4"/>
        </w:rPr>
        <w:t>业，而金融行业也一直以来是在</w:t>
      </w:r>
      <w:r>
        <w:rPr>
          <w:spacing w:val="-50"/>
        </w:rPr>
        <w:t> </w:t>
      </w:r>
      <w:r>
        <w:rPr>
          <w:rFonts w:ascii="Times New Roman" w:hAnsi="Times New Roman" w:cs="Times New Roman" w:eastAsia="Times New Roman" w:hint="default"/>
        </w:rPr>
        <w:t>IT</w:t>
      </w:r>
      <w:r>
        <w:rPr>
          <w:rFonts w:ascii="Times New Roman" w:hAnsi="Times New Roman" w:cs="Times New Roman" w:eastAsia="Times New Roman" w:hint="default"/>
          <w:spacing w:val="8"/>
        </w:rPr>
        <w:t> </w:t>
      </w:r>
      <w:r>
        <w:rPr>
          <w:spacing w:val="-3"/>
        </w:rPr>
        <w:t>方面投入最大的行业之一，信息化成为引领金融</w:t>
      </w:r>
      <w:r>
        <w:rPr>
          <w:spacing w:val="-93"/>
        </w:rPr>
        <w:t> </w:t>
      </w:r>
      <w:r>
        <w:rPr>
          <w:spacing w:val="-93"/>
        </w:rPr>
      </w:r>
      <w:r>
        <w:rPr/>
        <w:t>行业现代化建设的重要手段。虽然中国金融信息化建设已经经过了多年的发展，取</w:t>
      </w:r>
      <w:r>
        <w:rPr>
          <w:spacing w:val="-87"/>
        </w:rPr>
        <w:t> </w:t>
      </w:r>
      <w:r>
        <w:rPr>
          <w:spacing w:val="-87"/>
        </w:rPr>
      </w:r>
      <w:r>
        <w:rPr>
          <w:spacing w:val="-3"/>
        </w:rPr>
        <w:t>得了长足的进步，但与国外发达国家相比，仍然存在很大的差距。据《计算机世界》</w:t>
      </w:r>
      <w:r>
        <w:rPr>
          <w:spacing w:val="-99"/>
        </w:rPr>
        <w:t> </w:t>
      </w:r>
      <w:r>
        <w:rPr>
          <w:spacing w:val="-99"/>
        </w:rPr>
      </w:r>
      <w:r>
        <w:rPr/>
        <w:t>的报道，中国银行业</w:t>
      </w:r>
      <w:r>
        <w:rPr>
          <w:spacing w:val="-62"/>
        </w:rPr>
        <w:t> </w:t>
      </w:r>
      <w:r>
        <w:rPr>
          <w:rFonts w:ascii="Times New Roman" w:hAnsi="Times New Roman" w:cs="Times New Roman" w:eastAsia="Times New Roman" w:hint="default"/>
        </w:rPr>
        <w:t>IT</w:t>
      </w:r>
      <w:r>
        <w:rPr>
          <w:rFonts w:ascii="Times New Roman" w:hAnsi="Times New Roman" w:cs="Times New Roman" w:eastAsia="Times New Roman" w:hint="default"/>
          <w:spacing w:val="-4"/>
        </w:rPr>
        <w:t> </w:t>
      </w:r>
      <w:r>
        <w:rPr/>
        <w:t>投入只占营业收入的</w:t>
      </w:r>
      <w:r>
        <w:rPr>
          <w:spacing w:val="-62"/>
        </w:rPr>
        <w:t> </w:t>
      </w:r>
      <w:r>
        <w:rPr>
          <w:rFonts w:ascii="Times New Roman" w:hAnsi="Times New Roman" w:cs="Times New Roman" w:eastAsia="Times New Roman" w:hint="default"/>
        </w:rPr>
        <w:t>2.2%</w:t>
      </w:r>
      <w:r>
        <w:rPr/>
        <w:t>，而美国银行业</w:t>
      </w:r>
      <w:r>
        <w:rPr>
          <w:spacing w:val="-62"/>
        </w:rPr>
        <w:t> </w:t>
      </w:r>
      <w:r>
        <w:rPr>
          <w:rFonts w:ascii="Times New Roman" w:hAnsi="Times New Roman" w:cs="Times New Roman" w:eastAsia="Times New Roman" w:hint="default"/>
        </w:rPr>
        <w:t>IT</w:t>
      </w:r>
      <w:r>
        <w:rPr>
          <w:rFonts w:ascii="Times New Roman" w:hAnsi="Times New Roman" w:cs="Times New Roman" w:eastAsia="Times New Roman" w:hint="default"/>
          <w:spacing w:val="-4"/>
        </w:rPr>
        <w:t> </w:t>
      </w:r>
      <w:r>
        <w:rPr/>
        <w:t>投入占营业收</w:t>
      </w:r>
      <w:r>
        <w:rPr>
          <w:w w:val="100"/>
        </w:rPr>
        <w:t> </w:t>
      </w:r>
      <w:r>
        <w:rPr/>
        <w:t>入的比例达</w:t>
      </w:r>
      <w:r>
        <w:rPr>
          <w:spacing w:val="-56"/>
        </w:rPr>
        <w:t> </w:t>
      </w:r>
      <w:r>
        <w:rPr>
          <w:rFonts w:ascii="Times New Roman" w:hAnsi="Times New Roman" w:cs="Times New Roman" w:eastAsia="Times New Roman" w:hint="default"/>
        </w:rPr>
        <w:t>6.5%</w:t>
      </w:r>
      <w:r>
        <w:rPr/>
        <w:t>。美国</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年度前十名金融</w:t>
      </w:r>
      <w:r>
        <w:rPr>
          <w:spacing w:val="-55"/>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企业的营业收入在</w:t>
      </w:r>
      <w:r>
        <w:rPr>
          <w:spacing w:val="-55"/>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亿美元至</w:t>
      </w:r>
      <w:r>
        <w:rPr>
          <w:spacing w:val="-55"/>
        </w:rPr>
        <w:t> </w:t>
      </w:r>
      <w:r>
        <w:rPr>
          <w:rFonts w:ascii="Times New Roman" w:hAnsi="Times New Roman" w:cs="Times New Roman" w:eastAsia="Times New Roman" w:hint="default"/>
        </w:rPr>
        <w:t>39</w:t>
      </w:r>
      <w:r>
        <w:rPr>
          <w:rFonts w:ascii="Times New Roman" w:hAnsi="Times New Roman" w:cs="Times New Roman" w:eastAsia="Times New Roman" w:hint="default"/>
          <w:w w:val="100"/>
        </w:rPr>
        <w:t> </w:t>
      </w:r>
      <w:r>
        <w:rPr/>
        <w:t>亿美元之间，而中国这一领域的数据还相差甚远。随着中国经济的不断发展，国内</w:t>
      </w:r>
      <w:r>
        <w:rPr>
          <w:spacing w:val="-87"/>
        </w:rPr>
        <w:t> </w:t>
      </w:r>
      <w:r>
        <w:rPr>
          <w:spacing w:val="-87"/>
        </w:rPr>
      </w:r>
      <w:r>
        <w:rPr/>
        <w:t>金融信息化行业也大有可为。</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7"/>
          <w:szCs w:val="17"/>
        </w:rPr>
      </w:pPr>
    </w:p>
    <w:p>
      <w:pPr>
        <w:pStyle w:val="BodyText"/>
        <w:spacing w:line="240" w:lineRule="auto"/>
        <w:ind w:right="115"/>
        <w:jc w:val="left"/>
      </w:pPr>
      <w:r>
        <w:rPr/>
        <w:t>（二）</w:t>
      </w:r>
      <w:r>
        <w:rPr>
          <w:spacing w:val="-87"/>
        </w:rPr>
        <w:t> </w:t>
      </w:r>
      <w:r>
        <w:rPr/>
        <w:t>市场格局及变化趋势</w:t>
      </w:r>
    </w:p>
    <w:p>
      <w:pPr>
        <w:spacing w:after="0" w:line="240" w:lineRule="auto"/>
        <w:jc w:val="left"/>
        <w:sectPr>
          <w:pgSz w:w="11910" w:h="16840"/>
          <w:pgMar w:header="877" w:footer="982" w:top="1100" w:bottom="1180" w:left="1660" w:right="1560"/>
        </w:sectPr>
      </w:pPr>
    </w:p>
    <w:p>
      <w:pPr>
        <w:spacing w:line="240" w:lineRule="auto" w:before="12"/>
        <w:rPr>
          <w:rFonts w:ascii="宋体" w:hAnsi="宋体" w:cs="宋体" w:eastAsia="宋体" w:hint="default"/>
          <w:sz w:val="25"/>
          <w:szCs w:val="25"/>
        </w:rPr>
      </w:pPr>
    </w:p>
    <w:p>
      <w:pPr>
        <w:pStyle w:val="BodyText"/>
        <w:spacing w:line="372" w:lineRule="auto" w:before="29"/>
        <w:ind w:right="115" w:firstLine="459"/>
        <w:jc w:val="left"/>
      </w:pPr>
      <w:r>
        <w:rPr/>
        <w:t>在本公司主营的银行业软件产品、软件开发、金融专用设备和技术服务领域，</w:t>
      </w:r>
      <w:r>
        <w:rPr>
          <w:w w:val="100"/>
        </w:rPr>
        <w:t> </w:t>
      </w:r>
      <w:r>
        <w:rPr/>
        <w:t>一方面，随着我国经济快速发展、银行经营向好，银行业信息化投入呈现稳定增长</w:t>
      </w:r>
      <w:r>
        <w:rPr>
          <w:spacing w:val="-87"/>
        </w:rPr>
        <w:t> </w:t>
      </w:r>
      <w:r>
        <w:rPr>
          <w:spacing w:val="-87"/>
        </w:rPr>
      </w:r>
      <w:r>
        <w:rPr>
          <w:spacing w:val="-3"/>
        </w:rPr>
        <w:t>的趋势，市场机会不断涌现；另一方面，银行用户的信息化产品采购越来越市场化、</w:t>
      </w:r>
      <w:r>
        <w:rPr>
          <w:spacing w:val="-98"/>
        </w:rPr>
        <w:t> </w:t>
      </w:r>
      <w:r>
        <w:rPr>
          <w:spacing w:val="-98"/>
        </w:rPr>
      </w:r>
      <w:r>
        <w:rPr/>
        <w:t>规范化，对产品性能、质量、服务的要求日益提高，行业竞争日趋激烈。</w:t>
      </w:r>
    </w:p>
    <w:p>
      <w:pPr>
        <w:pStyle w:val="BodyText"/>
        <w:spacing w:line="372" w:lineRule="auto" w:before="40"/>
        <w:ind w:right="232" w:firstLine="459"/>
        <w:jc w:val="both"/>
      </w:pPr>
      <w:r>
        <w:rPr/>
        <w:t>在银行软件产品市场上，国外知名企业依靠强大的技术积累和品牌优势，在基</w:t>
      </w:r>
      <w:r>
        <w:rPr>
          <w:w w:val="100"/>
        </w:rPr>
        <w:t> </w:t>
      </w:r>
      <w:r>
        <w:rPr/>
        <w:t>础软件、通用软件、数据库产品领域占据主导地位；国内企业则依靠对国内银行业</w:t>
      </w:r>
      <w:r>
        <w:rPr>
          <w:spacing w:val="-87"/>
        </w:rPr>
        <w:t> </w:t>
      </w:r>
      <w:r>
        <w:rPr>
          <w:spacing w:val="-87"/>
        </w:rPr>
      </w:r>
      <w:r>
        <w:rPr/>
        <w:t>务需求针对性强、融合性好，在应用软件产品领域更具竞争力。而在银行应用软件</w:t>
      </w:r>
      <w:r>
        <w:rPr>
          <w:spacing w:val="-87"/>
        </w:rPr>
        <w:t> </w:t>
      </w:r>
      <w:r>
        <w:rPr>
          <w:spacing w:val="-87"/>
        </w:rPr>
      </w:r>
      <w:r>
        <w:rPr/>
        <w:t>产品市场上，国内银行软件企业呈现群雄逐鹿的行业竞争态势，尚未形成单一或少</w:t>
      </w:r>
      <w:r>
        <w:rPr>
          <w:spacing w:val="-87"/>
        </w:rPr>
        <w:t> </w:t>
      </w:r>
      <w:r>
        <w:rPr>
          <w:spacing w:val="-87"/>
        </w:rPr>
      </w:r>
      <w:r>
        <w:rPr/>
        <w:t>数垄断的市场格局。但随着行业发展，国内银行应用软件产品市场出现产业整合，</w:t>
      </w:r>
      <w:r>
        <w:rPr>
          <w:spacing w:val="-87"/>
        </w:rPr>
        <w:t> </w:t>
      </w:r>
      <w:r>
        <w:rPr>
          <w:spacing w:val="-87"/>
        </w:rPr>
      </w:r>
      <w:r>
        <w:rPr/>
        <w:t>市场资源向更具竞争力的企业集聚将是市场发展的必然趋势。</w:t>
      </w:r>
    </w:p>
    <w:p>
      <w:pPr>
        <w:pStyle w:val="BodyText"/>
        <w:spacing w:line="369" w:lineRule="auto" w:before="40"/>
        <w:ind w:right="232" w:firstLine="459"/>
        <w:jc w:val="both"/>
      </w:pPr>
      <w:r>
        <w:rPr/>
        <w:t>报告期内，公司主营业务从经营区域来看，仍然保持了全国各区域比较全面、</w:t>
      </w:r>
      <w:r>
        <w:rPr>
          <w:w w:val="100"/>
        </w:rPr>
        <w:t> </w:t>
      </w:r>
      <w:r>
        <w:rPr/>
        <w:t>平衡的发展，大部分经营区域呈现业务增长的势态。尤其是随着公司市场开拓力度</w:t>
      </w:r>
      <w:r>
        <w:rPr>
          <w:spacing w:val="-87"/>
        </w:rPr>
        <w:t> </w:t>
      </w:r>
      <w:r>
        <w:rPr>
          <w:spacing w:val="-87"/>
        </w:rPr>
      </w:r>
      <w:r>
        <w:rPr/>
        <w:t>的加大，北方地区、华南地区分别实现了 </w:t>
      </w:r>
      <w:r>
        <w:rPr>
          <w:rFonts w:ascii="Times New Roman" w:hAnsi="Times New Roman" w:cs="Times New Roman" w:eastAsia="Times New Roman" w:hint="default"/>
        </w:rPr>
        <w:t>88.01%</w:t>
      </w:r>
      <w:r>
        <w:rPr/>
        <w:t>和</w:t>
      </w:r>
      <w:r>
        <w:rPr>
          <w:spacing w:val="-17"/>
        </w:rPr>
        <w:t> </w:t>
      </w:r>
      <w:r>
        <w:rPr>
          <w:rFonts w:ascii="Times New Roman" w:hAnsi="Times New Roman" w:cs="Times New Roman" w:eastAsia="Times New Roman" w:hint="default"/>
        </w:rPr>
        <w:t>18.90%</w:t>
      </w:r>
      <w:r>
        <w:rPr/>
        <w:t>的业务增长；从产品线</w:t>
      </w:r>
      <w:r>
        <w:rPr>
          <w:w w:val="100"/>
        </w:rPr>
        <w:t> </w:t>
      </w:r>
      <w:r>
        <w:rPr/>
        <w:t>角度来看，公司电脑验印系统、票据影像处理软件由于市场和产品周期的原因收入</w:t>
      </w:r>
      <w:r>
        <w:rPr>
          <w:spacing w:val="-87"/>
        </w:rPr>
        <w:t> </w:t>
      </w:r>
      <w:r>
        <w:rPr>
          <w:spacing w:val="-87"/>
        </w:rPr>
      </w:r>
      <w:r>
        <w:rPr/>
        <w:t>出现预期中的下降，公司将通过技术改进和升级换代提高传统优势产品的市场竞争</w:t>
      </w:r>
      <w:r>
        <w:rPr>
          <w:spacing w:val="-87"/>
        </w:rPr>
        <w:t> </w:t>
      </w:r>
      <w:r>
        <w:rPr>
          <w:spacing w:val="-87"/>
        </w:rPr>
      </w:r>
      <w:r>
        <w:rPr/>
        <w:t>力；远程影像授权等金融专用设备产品则有较大幅度的增长。随着公司加强在新产</w:t>
      </w:r>
      <w:r>
        <w:rPr>
          <w:spacing w:val="-87"/>
        </w:rPr>
        <w:t> </w:t>
      </w:r>
      <w:r>
        <w:rPr>
          <w:spacing w:val="-87"/>
        </w:rPr>
      </w:r>
      <w:r>
        <w:rPr/>
        <w:t>品开发上的重视和投入，正在研发的新产品陆续推向市场，将进一步为公司带来经</w:t>
      </w:r>
      <w:r>
        <w:rPr>
          <w:spacing w:val="-87"/>
        </w:rPr>
        <w:t> </w:t>
      </w:r>
      <w:r>
        <w:rPr>
          <w:spacing w:val="-87"/>
        </w:rPr>
      </w:r>
      <w:r>
        <w:rPr/>
        <w:t>营业绩的提升。</w:t>
      </w:r>
    </w:p>
    <w:p>
      <w:pPr>
        <w:pStyle w:val="BodyText"/>
        <w:spacing w:line="367" w:lineRule="auto" w:before="43"/>
        <w:ind w:right="232" w:firstLine="459"/>
        <w:jc w:val="both"/>
      </w:pPr>
      <w:r>
        <w:rPr/>
        <w:t>另一方面，公司各产品线的毛利润率由于产品售价行业规律性地下调，以及软</w:t>
      </w:r>
      <w:r>
        <w:rPr>
          <w:w w:val="100"/>
        </w:rPr>
        <w:t> </w:t>
      </w:r>
      <w:r>
        <w:rPr/>
        <w:t>件项目人力成本的增加，而略呈下降的趋势。报告期内软件产品业务的毛利润率分</w:t>
      </w:r>
      <w:r>
        <w:rPr>
          <w:spacing w:val="-87"/>
        </w:rPr>
        <w:t> </w:t>
      </w:r>
      <w:r>
        <w:rPr>
          <w:spacing w:val="-87"/>
        </w:rPr>
      </w:r>
      <w:r>
        <w:rPr/>
        <w:t>别下降了</w:t>
      </w:r>
      <w:r>
        <w:rPr>
          <w:spacing w:val="-55"/>
        </w:rPr>
        <w:t> </w:t>
      </w:r>
      <w:r>
        <w:rPr>
          <w:rFonts w:ascii="Times New Roman" w:hAnsi="Times New Roman" w:cs="Times New Roman" w:eastAsia="Times New Roman" w:hint="default"/>
        </w:rPr>
        <w:t>4.72</w:t>
      </w:r>
      <w:r>
        <w:rPr>
          <w:rFonts w:ascii="Times New Roman" w:hAnsi="Times New Roman" w:cs="Times New Roman" w:eastAsia="Times New Roman" w:hint="default"/>
          <w:spacing w:val="5"/>
        </w:rPr>
        <w:t> </w:t>
      </w:r>
      <w:r>
        <w:rPr>
          <w:spacing w:val="-3"/>
        </w:rPr>
        <w:t>个百分点，主营业务整体毛利润率则下降了</w:t>
      </w:r>
      <w:r>
        <w:rPr>
          <w:spacing w:val="-55"/>
        </w:rPr>
        <w:t> </w:t>
      </w:r>
      <w:r>
        <w:rPr>
          <w:rFonts w:ascii="Times New Roman" w:hAnsi="Times New Roman" w:cs="Times New Roman" w:eastAsia="Times New Roman" w:hint="default"/>
        </w:rPr>
        <w:t>9.41</w:t>
      </w:r>
      <w:r>
        <w:rPr>
          <w:rFonts w:ascii="Times New Roman" w:hAnsi="Times New Roman" w:cs="Times New Roman" w:eastAsia="Times New Roman" w:hint="default"/>
          <w:spacing w:val="5"/>
        </w:rPr>
        <w:t> </w:t>
      </w:r>
      <w:r>
        <w:rPr>
          <w:spacing w:val="-6"/>
        </w:rPr>
        <w:t>个百分点。今后公司</w:t>
      </w:r>
      <w:r>
        <w:rPr>
          <w:w w:val="100"/>
        </w:rPr>
        <w:t> </w:t>
      </w:r>
      <w:r>
        <w:rPr/>
        <w:t>仍将加强产品标准化的工作，并努力提高收入规模，避免主营业务利润出现较大幅</w:t>
      </w:r>
      <w:r>
        <w:rPr>
          <w:spacing w:val="-87"/>
        </w:rPr>
        <w:t> </w:t>
      </w:r>
      <w:r>
        <w:rPr>
          <w:spacing w:val="-87"/>
        </w:rPr>
      </w:r>
      <w:r>
        <w:rPr/>
        <w:t>度的下滑。</w:t>
      </w:r>
    </w:p>
    <w:p>
      <w:pPr>
        <w:pStyle w:val="BodyText"/>
        <w:spacing w:line="372" w:lineRule="auto" w:before="45"/>
        <w:ind w:right="232" w:firstLine="459"/>
        <w:jc w:val="both"/>
      </w:pPr>
      <w:r>
        <w:rPr/>
        <w:t>报告期内，随着公司核心产品销售收入的增长以及市场开拓产生的客户数量的</w:t>
      </w:r>
      <w:r>
        <w:rPr>
          <w:w w:val="100"/>
        </w:rPr>
        <w:t> </w:t>
      </w:r>
      <w:r>
        <w:rPr/>
        <w:t>进一步增加，尤其是公司上市以后在行业内品牌形象的大幅提升，公司在行业领先</w:t>
      </w:r>
      <w:r>
        <w:rPr>
          <w:spacing w:val="-87"/>
        </w:rPr>
        <w:t> </w:t>
      </w:r>
      <w:r>
        <w:rPr>
          <w:spacing w:val="-87"/>
        </w:rPr>
      </w:r>
      <w:r>
        <w:rPr/>
        <w:t>的市场地位得到进一步的巩固和加强。同时，随着产品线的逐步拓宽，公司在新的</w:t>
      </w:r>
      <w:r>
        <w:rPr>
          <w:spacing w:val="-87"/>
        </w:rPr>
        <w:t> </w:t>
      </w:r>
      <w:r>
        <w:rPr>
          <w:spacing w:val="-87"/>
        </w:rPr>
      </w:r>
      <w:r>
        <w:rPr/>
        <w:t>产品市场上也面临着更多的市场竞争者。但从银行影像应用类产品的细分市场整体</w:t>
      </w:r>
      <w:r>
        <w:rPr>
          <w:spacing w:val="-87"/>
        </w:rPr>
        <w:t> </w:t>
      </w:r>
      <w:r>
        <w:rPr>
          <w:spacing w:val="-87"/>
        </w:rPr>
      </w:r>
      <w:r>
        <w:rPr/>
        <w:t>来看，公司仍然在产品线和解决方案完整性、客户数量、成功案例、品牌等方面具</w:t>
      </w:r>
      <w:r>
        <w:rPr>
          <w:spacing w:val="-87"/>
        </w:rPr>
        <w:t> </w:t>
      </w:r>
      <w:r>
        <w:rPr>
          <w:spacing w:val="-87"/>
        </w:rPr>
      </w:r>
      <w:r>
        <w:rPr/>
        <w:t>有综合的优势。</w:t>
      </w:r>
    </w:p>
    <w:p>
      <w:pPr>
        <w:pStyle w:val="BodyText"/>
        <w:spacing w:line="240" w:lineRule="auto" w:before="40"/>
        <w:ind w:left="597" w:right="0"/>
        <w:jc w:val="left"/>
      </w:pPr>
      <w:r>
        <w:rPr/>
        <w:t>截止报告期末，公司员工人数为</w:t>
      </w:r>
      <w:r>
        <w:rPr>
          <w:spacing w:val="-60"/>
        </w:rPr>
        <w:t> </w:t>
      </w:r>
      <w:r>
        <w:rPr>
          <w:rFonts w:ascii="Times New Roman" w:hAnsi="Times New Roman" w:cs="Times New Roman" w:eastAsia="Times New Roman" w:hint="default"/>
        </w:rPr>
        <w:t>415</w:t>
      </w:r>
      <w:r>
        <w:rPr>
          <w:rFonts w:ascii="Times New Roman" w:hAnsi="Times New Roman" w:cs="Times New Roman" w:eastAsia="Times New Roman" w:hint="default"/>
          <w:spacing w:val="-1"/>
        </w:rPr>
        <w:t> </w:t>
      </w:r>
      <w:r>
        <w:rPr>
          <w:spacing w:val="-3"/>
        </w:rPr>
        <w:t>人，较上年期末增加</w:t>
      </w:r>
      <w:r>
        <w:rPr>
          <w:spacing w:val="-60"/>
        </w:rPr>
        <w:t> </w:t>
      </w:r>
      <w:r>
        <w:rPr>
          <w:rFonts w:ascii="Times New Roman" w:hAnsi="Times New Roman" w:cs="Times New Roman" w:eastAsia="Times New Roman" w:hint="default"/>
        </w:rPr>
        <w:t>59</w:t>
      </w:r>
      <w:r>
        <w:rPr>
          <w:rFonts w:ascii="Times New Roman" w:hAnsi="Times New Roman" w:cs="Times New Roman" w:eastAsia="Times New Roman" w:hint="default"/>
          <w:spacing w:val="-1"/>
        </w:rPr>
        <w:t> </w:t>
      </w:r>
      <w:r>
        <w:rPr>
          <w:spacing w:val="-5"/>
        </w:rPr>
        <w:t>人，增长</w:t>
      </w:r>
      <w:r>
        <w:rPr>
          <w:spacing w:val="-59"/>
        </w:rPr>
        <w:t> </w:t>
      </w:r>
      <w:r>
        <w:rPr>
          <w:rFonts w:ascii="Times New Roman" w:hAnsi="Times New Roman" w:cs="Times New Roman" w:eastAsia="Times New Roman" w:hint="default"/>
        </w:rPr>
        <w:t>16.57%</w:t>
      </w:r>
      <w:r>
        <w:rPr/>
        <w:t>，</w:t>
      </w:r>
    </w:p>
    <w:p>
      <w:pPr>
        <w:spacing w:after="0" w:line="240" w:lineRule="auto"/>
        <w:jc w:val="left"/>
        <w:sectPr>
          <w:pgSz w:w="11910" w:h="16840"/>
          <w:pgMar w:header="877" w:footer="982" w:top="1100" w:bottom="1180" w:left="1660" w:right="1560"/>
        </w:sectPr>
      </w:pPr>
    </w:p>
    <w:p>
      <w:pPr>
        <w:spacing w:line="240" w:lineRule="auto" w:before="12"/>
        <w:rPr>
          <w:rFonts w:ascii="宋体" w:hAnsi="宋体" w:cs="宋体" w:eastAsia="宋体" w:hint="default"/>
          <w:sz w:val="25"/>
          <w:szCs w:val="25"/>
        </w:rPr>
      </w:pPr>
    </w:p>
    <w:p>
      <w:pPr>
        <w:pStyle w:val="BodyText"/>
        <w:spacing w:line="372" w:lineRule="auto" w:before="29"/>
        <w:ind w:right="233"/>
        <w:jc w:val="both"/>
      </w:pPr>
      <w:r>
        <w:rPr/>
        <w:t>增加的人员主要是技术人员。目前公司核心技术人员稳定，公司将通过建立和完善</w:t>
      </w:r>
      <w:r>
        <w:rPr>
          <w:spacing w:val="-87"/>
        </w:rPr>
        <w:t> </w:t>
      </w:r>
      <w:r>
        <w:rPr>
          <w:spacing w:val="-87"/>
        </w:rPr>
      </w:r>
      <w:r>
        <w:rPr/>
        <w:t>科学的人力资源管理体系，一方面引进和留住人才，为员工创造良好的工作环境和</w:t>
      </w:r>
      <w:r>
        <w:rPr>
          <w:spacing w:val="-87"/>
        </w:rPr>
        <w:t> </w:t>
      </w:r>
      <w:r>
        <w:rPr>
          <w:spacing w:val="-87"/>
        </w:rPr>
      </w:r>
      <w:r>
        <w:rPr/>
        <w:t>职业发展通道，另一方面加强绩效管理，提升公司整体的组织效率，推动公司业务</w:t>
      </w:r>
      <w:r>
        <w:rPr>
          <w:spacing w:val="-87"/>
        </w:rPr>
        <w:t> </w:t>
      </w:r>
      <w:r>
        <w:rPr>
          <w:spacing w:val="-87"/>
        </w:rPr>
      </w:r>
      <w:r>
        <w:rPr/>
        <w:t>持续、健康发展。</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spacing w:line="240" w:lineRule="auto"/>
        <w:ind w:right="0"/>
        <w:jc w:val="both"/>
      </w:pPr>
      <w:r>
        <w:rPr/>
        <w:t>（三）</w:t>
      </w:r>
      <w:r>
        <w:rPr>
          <w:spacing w:val="-90"/>
        </w:rPr>
        <w:t> </w:t>
      </w:r>
      <w:r>
        <w:rPr/>
        <w:t>公司未来发展的风险因素</w:t>
      </w:r>
    </w:p>
    <w:p>
      <w:pPr>
        <w:pStyle w:val="BodyText"/>
        <w:spacing w:line="352" w:lineRule="auto" w:before="167"/>
        <w:ind w:left="597" w:right="115"/>
        <w:jc w:val="left"/>
      </w:pPr>
      <w:r>
        <w:rPr>
          <w:rFonts w:ascii="Times New Roman" w:hAnsi="Times New Roman" w:cs="Times New Roman" w:eastAsia="Times New Roman" w:hint="default"/>
        </w:rPr>
        <w:t>1</w:t>
      </w:r>
      <w:r>
        <w:rPr/>
        <w:t>．市场竞争风险</w:t>
      </w:r>
      <w:r>
        <w:rPr>
          <w:spacing w:val="-102"/>
        </w:rPr>
        <w:t> </w:t>
      </w:r>
      <w:r>
        <w:rPr>
          <w:spacing w:val="-102"/>
        </w:rPr>
      </w:r>
      <w:r>
        <w:rPr/>
        <w:t>公司主营业务一直专注于银行影像应用软件领域，目前在领域中由于技术和市</w:t>
      </w:r>
    </w:p>
    <w:p>
      <w:pPr>
        <w:pStyle w:val="BodyText"/>
        <w:spacing w:line="372" w:lineRule="auto" w:before="59"/>
        <w:ind w:right="118"/>
        <w:jc w:val="both"/>
      </w:pPr>
      <w:r>
        <w:rPr/>
        <w:t>场进入门槛的原因，竞争对手主要是公司在招股说明书中列示的少数几家厂商。但</w:t>
      </w:r>
      <w:r>
        <w:rPr>
          <w:spacing w:val="-87"/>
        </w:rPr>
        <w:t> </w:t>
      </w:r>
      <w:r>
        <w:rPr>
          <w:spacing w:val="-87"/>
        </w:rPr>
      </w:r>
      <w:r>
        <w:rPr/>
        <w:t>随着公司产品线逐步拓宽，业务向更广阔的金融信息化领域拓展，公司新的产品或</w:t>
      </w:r>
      <w:r>
        <w:rPr>
          <w:spacing w:val="-87"/>
        </w:rPr>
        <w:t> </w:t>
      </w:r>
      <w:r>
        <w:rPr>
          <w:spacing w:val="-87"/>
        </w:rPr>
      </w:r>
      <w:r>
        <w:rPr/>
        <w:t>服务可能将面临更多的市场竞争者，甚至是来自国外的竞争对手，这将使公司未来</w:t>
      </w:r>
      <w:r>
        <w:rPr>
          <w:spacing w:val="-87"/>
        </w:rPr>
        <w:t> </w:t>
      </w:r>
      <w:r>
        <w:rPr>
          <w:spacing w:val="-87"/>
        </w:rPr>
      </w:r>
      <w:r>
        <w:rPr>
          <w:spacing w:val="-3"/>
        </w:rPr>
        <w:t>面临的市场竞争更加激烈。市场竞争的日趋激烈，将可能影响公司未来的盈利能力。</w:t>
      </w:r>
    </w:p>
    <w:p>
      <w:pPr>
        <w:pStyle w:val="BodyText"/>
        <w:spacing w:line="352" w:lineRule="auto" w:before="40"/>
        <w:ind w:left="597" w:right="115"/>
        <w:jc w:val="left"/>
      </w:pPr>
      <w:r>
        <w:rPr>
          <w:rFonts w:ascii="Times New Roman" w:hAnsi="Times New Roman" w:cs="Times New Roman" w:eastAsia="Times New Roman" w:hint="default"/>
        </w:rPr>
        <w:t>2</w:t>
      </w:r>
      <w:r>
        <w:rPr/>
        <w:t>．产品价格风险</w:t>
      </w:r>
      <w:r>
        <w:rPr>
          <w:spacing w:val="-102"/>
        </w:rPr>
        <w:t> </w:t>
      </w:r>
      <w:r>
        <w:rPr>
          <w:spacing w:val="-102"/>
        </w:rPr>
      </w:r>
      <w:r>
        <w:rPr>
          <w:spacing w:val="-4"/>
        </w:rPr>
        <w:t>公司主要为银行提供软件产品和技术服务。银行客户的采购决策程序比较规范，</w:t>
      </w:r>
    </w:p>
    <w:p>
      <w:pPr>
        <w:pStyle w:val="BodyText"/>
        <w:spacing w:line="372" w:lineRule="auto" w:before="59"/>
        <w:ind w:right="233"/>
        <w:jc w:val="both"/>
      </w:pPr>
      <w:r>
        <w:rPr/>
        <w:t>对于新项目或者金额比较大的项目一般采取招投标的方式进行采购，这将进一步加</w:t>
      </w:r>
      <w:r>
        <w:rPr>
          <w:spacing w:val="-87"/>
        </w:rPr>
        <w:t> </w:t>
      </w:r>
      <w:r>
        <w:rPr>
          <w:spacing w:val="-87"/>
        </w:rPr>
      </w:r>
      <w:r>
        <w:rPr/>
        <w:t>剧厂商间的竞争，降低产品的价格。如果公司产品价格的降低幅度较大，将可能影</w:t>
      </w:r>
      <w:r>
        <w:rPr>
          <w:spacing w:val="-87"/>
        </w:rPr>
        <w:t> </w:t>
      </w:r>
      <w:r>
        <w:rPr>
          <w:spacing w:val="-87"/>
        </w:rPr>
      </w:r>
      <w:r>
        <w:rPr/>
        <w:t>响公司未来的盈利能力。面对产品价格风险对盈利能力可能的影响，公司将采取以</w:t>
      </w:r>
      <w:r>
        <w:rPr>
          <w:spacing w:val="-87"/>
        </w:rPr>
        <w:t> </w:t>
      </w:r>
      <w:r>
        <w:rPr>
          <w:spacing w:val="-87"/>
        </w:rPr>
      </w:r>
      <w:r>
        <w:rPr/>
        <w:t>下措施：一是通过不断改进技术、提高质量和提供更优质的售后服务等措施，实现</w:t>
      </w:r>
      <w:r>
        <w:rPr>
          <w:spacing w:val="-87"/>
        </w:rPr>
        <w:t> </w:t>
      </w:r>
      <w:r>
        <w:rPr>
          <w:spacing w:val="-87"/>
        </w:rPr>
      </w:r>
      <w:r>
        <w:rPr/>
        <w:t>产品和服务的差异化，形成公司产品在市场上的品牌效应；二是努力开拓市场，扩</w:t>
      </w:r>
      <w:r>
        <w:rPr>
          <w:spacing w:val="-87"/>
        </w:rPr>
        <w:t> </w:t>
      </w:r>
      <w:r>
        <w:rPr>
          <w:spacing w:val="-87"/>
        </w:rPr>
      </w:r>
      <w:r>
        <w:rPr/>
        <w:t>大业务规模，提高盈利水平；三是通过加强管理控制材料成本和费用成本。</w:t>
      </w:r>
    </w:p>
    <w:p>
      <w:pPr>
        <w:pStyle w:val="BodyText"/>
        <w:spacing w:line="362" w:lineRule="auto" w:before="40"/>
        <w:ind w:left="597" w:right="4403"/>
        <w:jc w:val="left"/>
      </w:pPr>
      <w:r>
        <w:rPr>
          <w:rFonts w:ascii="Times New Roman" w:hAnsi="Times New Roman" w:cs="Times New Roman" w:eastAsia="Times New Roman" w:hint="default"/>
        </w:rPr>
        <w:t>3</w:t>
      </w:r>
      <w:r>
        <w:rPr/>
        <w:t>．税收优惠风险</w:t>
      </w:r>
      <w:r>
        <w:rPr>
          <w:spacing w:val="-102"/>
        </w:rPr>
        <w:t> </w:t>
      </w:r>
      <w:r>
        <w:rPr>
          <w:spacing w:val="-102"/>
        </w:rPr>
      </w:r>
      <w:r>
        <w:rPr>
          <w:spacing w:val="-1"/>
        </w:rPr>
        <w:t>公司目前享受的税收优惠政策包括：</w:t>
      </w:r>
      <w:r>
        <w:rPr>
          <w:spacing w:val="-105"/>
        </w:rPr>
        <w:t> </w:t>
      </w:r>
      <w:r>
        <w:rPr>
          <w:spacing w:val="-105"/>
        </w:rPr>
      </w:r>
      <w:r>
        <w:rPr>
          <w:rFonts w:ascii="Times New Roman" w:hAnsi="Times New Roman" w:cs="Times New Roman" w:eastAsia="Times New Roman" w:hint="default"/>
        </w:rPr>
        <w:t>1</w:t>
      </w:r>
      <w:r>
        <w:rPr/>
        <w:t>）增值税优惠</w:t>
      </w:r>
    </w:p>
    <w:p>
      <w:pPr>
        <w:pStyle w:val="BodyText"/>
        <w:spacing w:line="240" w:lineRule="auto" w:before="19"/>
        <w:ind w:left="597" w:right="115"/>
        <w:jc w:val="left"/>
      </w:pPr>
      <w:r>
        <w:rPr>
          <w:spacing w:val="-6"/>
        </w:rPr>
        <w:t>根据财政部、国家税务总局</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13 </w:t>
      </w:r>
      <w:r>
        <w:rPr>
          <w:spacing w:val="-9"/>
        </w:rPr>
        <w:t>日发布的财税【</w:t>
      </w:r>
      <w:r>
        <w:rPr>
          <w:rFonts w:ascii="Times New Roman" w:hAnsi="Times New Roman" w:cs="Times New Roman" w:eastAsia="Times New Roman" w:hint="default"/>
          <w:spacing w:val="-9"/>
        </w:rPr>
        <w:t>2011</w:t>
      </w:r>
      <w:r>
        <w:rPr>
          <w:spacing w:val="-9"/>
        </w:rPr>
        <w:t>】</w:t>
      </w:r>
      <w:r>
        <w:rPr>
          <w:rFonts w:ascii="Times New Roman" w:hAnsi="Times New Roman" w:cs="Times New Roman" w:eastAsia="Times New Roman" w:hint="default"/>
          <w:spacing w:val="-9"/>
        </w:rPr>
        <w:t>100</w:t>
      </w:r>
      <w:r>
        <w:rPr>
          <w:rFonts w:ascii="Times New Roman" w:hAnsi="Times New Roman" w:cs="Times New Roman" w:eastAsia="Times New Roman" w:hint="default"/>
          <w:spacing w:val="2"/>
        </w:rPr>
        <w:t> </w:t>
      </w:r>
      <w:r>
        <w:rPr>
          <w:spacing w:val="-15"/>
        </w:rPr>
        <w:t>号文《财</w:t>
      </w:r>
    </w:p>
    <w:p>
      <w:pPr>
        <w:pStyle w:val="BodyText"/>
        <w:spacing w:line="352" w:lineRule="auto" w:before="149"/>
        <w:ind w:right="232"/>
        <w:jc w:val="both"/>
      </w:pPr>
      <w:r>
        <w:rPr>
          <w:spacing w:val="-4"/>
        </w:rPr>
        <w:t>政部、国家税务总局关于软件产品增值税政策的通知》规定，自</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日起</w:t>
      </w:r>
      <w:r>
        <w:rPr>
          <w:w w:val="100"/>
        </w:rPr>
        <w:t> </w:t>
      </w:r>
      <w:r>
        <w:rPr/>
        <w:t>对增值税一般纳税人销售其自行开发生产的软件产品，按</w:t>
      </w:r>
      <w:r>
        <w:rPr>
          <w:spacing w:val="-85"/>
        </w:rPr>
        <w:t> </w:t>
      </w:r>
      <w:r>
        <w:rPr>
          <w:rFonts w:ascii="Times New Roman" w:hAnsi="Times New Roman" w:cs="Times New Roman" w:eastAsia="Times New Roman" w:hint="default"/>
        </w:rPr>
        <w:t>17</w:t>
      </w:r>
      <w:r>
        <w:rPr/>
        <w:t>％的法定税率征收增值</w:t>
      </w:r>
      <w:r>
        <w:rPr>
          <w:w w:val="100"/>
        </w:rPr>
        <w:t> </w:t>
      </w:r>
      <w:r>
        <w:rPr/>
        <w:t>税后，对其增值税实际税负超过</w:t>
      </w:r>
      <w:r>
        <w:rPr>
          <w:spacing w:val="-66"/>
        </w:rPr>
        <w:t> </w:t>
      </w:r>
      <w:r>
        <w:rPr>
          <w:rFonts w:ascii="Times New Roman" w:hAnsi="Times New Roman" w:cs="Times New Roman" w:eastAsia="Times New Roman" w:hint="default"/>
        </w:rPr>
        <w:t>3</w:t>
      </w:r>
      <w:r>
        <w:rPr/>
        <w:t>％的部分实行即征即退政策。</w:t>
      </w:r>
    </w:p>
    <w:p>
      <w:pPr>
        <w:pStyle w:val="BodyText"/>
        <w:spacing w:line="240" w:lineRule="auto" w:before="30"/>
        <w:ind w:left="597" w:right="115"/>
        <w:jc w:val="left"/>
      </w:pPr>
      <w:r>
        <w:rPr>
          <w:rFonts w:ascii="Times New Roman" w:hAnsi="Times New Roman" w:cs="Times New Roman" w:eastAsia="Times New Roman" w:hint="default"/>
        </w:rPr>
        <w:t>2</w:t>
      </w:r>
      <w:r>
        <w:rPr/>
        <w:t>）营业税优惠</w:t>
      </w:r>
    </w:p>
    <w:p>
      <w:pPr>
        <w:pStyle w:val="BodyText"/>
        <w:spacing w:line="352" w:lineRule="auto" w:before="149"/>
        <w:ind w:right="115" w:firstLine="459"/>
        <w:jc w:val="left"/>
      </w:pPr>
      <w:r>
        <w:rPr/>
        <w:t>公司营业税按应税劳务收入的</w:t>
      </w:r>
      <w:r>
        <w:rPr>
          <w:spacing w:val="-42"/>
        </w:rPr>
        <w:t> </w:t>
      </w:r>
      <w:r>
        <w:rPr>
          <w:rFonts w:ascii="Times New Roman" w:hAnsi="Times New Roman" w:cs="Times New Roman" w:eastAsia="Times New Roman" w:hint="default"/>
          <w:spacing w:val="-6"/>
        </w:rPr>
        <w:t>5%</w:t>
      </w:r>
      <w:r>
        <w:rPr>
          <w:spacing w:val="-6"/>
        </w:rPr>
        <w:t>计征。根据《财政部、国家税务总局关于贯彻</w:t>
      </w:r>
      <w:r>
        <w:rPr>
          <w:w w:val="100"/>
        </w:rPr>
        <w:t> </w:t>
      </w:r>
      <w:r>
        <w:rPr>
          <w:spacing w:val="-1"/>
        </w:rPr>
        <w:t>落实</w:t>
      </w:r>
      <w:r>
        <w:rPr>
          <w:rFonts w:ascii="Times New Roman" w:hAnsi="Times New Roman" w:cs="Times New Roman" w:eastAsia="Times New Roman" w:hint="default"/>
          <w:spacing w:val="-1"/>
        </w:rPr>
        <w:t>&lt;</w:t>
      </w:r>
      <w:r>
        <w:rPr>
          <w:spacing w:val="-1"/>
        </w:rPr>
        <w:t>中共中央国务院关于加强技术创新，发展高科技，实现产业化的决定</w:t>
      </w:r>
      <w:r>
        <w:rPr>
          <w:rFonts w:ascii="Times New Roman" w:hAnsi="Times New Roman" w:cs="Times New Roman" w:eastAsia="Times New Roman" w:hint="default"/>
          <w:spacing w:val="-1"/>
        </w:rPr>
        <w:t>&gt;</w:t>
      </w:r>
      <w:r>
        <w:rPr>
          <w:spacing w:val="-1"/>
        </w:rPr>
        <w:t>有关税</w:t>
      </w:r>
    </w:p>
    <w:p>
      <w:pPr>
        <w:spacing w:after="0" w:line="352" w:lineRule="auto"/>
        <w:jc w:val="left"/>
        <w:sectPr>
          <w:pgSz w:w="11910" w:h="16840"/>
          <w:pgMar w:header="877" w:footer="982" w:top="1100" w:bottom="1180" w:left="1660" w:right="1560"/>
        </w:sectPr>
      </w:pPr>
    </w:p>
    <w:p>
      <w:pPr>
        <w:spacing w:line="240" w:lineRule="auto" w:before="12"/>
        <w:rPr>
          <w:rFonts w:ascii="宋体" w:hAnsi="宋体" w:cs="宋体" w:eastAsia="宋体" w:hint="default"/>
          <w:sz w:val="25"/>
          <w:szCs w:val="25"/>
        </w:rPr>
      </w:pPr>
    </w:p>
    <w:p>
      <w:pPr>
        <w:pStyle w:val="BodyText"/>
        <w:spacing w:line="360" w:lineRule="auto" w:before="29"/>
        <w:ind w:right="152"/>
        <w:jc w:val="both"/>
      </w:pPr>
      <w:r>
        <w:rPr/>
        <w:t>收问题的通知》</w:t>
      </w:r>
      <w:r>
        <w:rPr>
          <w:rFonts w:ascii="Times New Roman" w:hAnsi="Times New Roman" w:cs="Times New Roman" w:eastAsia="Times New Roman" w:hint="default"/>
        </w:rPr>
        <w:t>(</w:t>
      </w:r>
      <w:r>
        <w:rPr/>
        <w:t>财税字</w:t>
      </w:r>
      <w:r>
        <w:rPr>
          <w:rFonts w:ascii="Times New Roman" w:hAnsi="Times New Roman" w:cs="Times New Roman" w:eastAsia="Times New Roman" w:hint="default"/>
        </w:rPr>
        <w:t>[1999]</w:t>
      </w:r>
      <w:r>
        <w:rPr/>
        <w:t>第 </w:t>
      </w:r>
      <w:r>
        <w:rPr>
          <w:rFonts w:ascii="Times New Roman" w:hAnsi="Times New Roman" w:cs="Times New Roman" w:eastAsia="Times New Roman" w:hint="default"/>
        </w:rPr>
        <w:t>273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及《深圳市技术转让技术开发及相关服务</w:t>
      </w:r>
      <w:r>
        <w:rPr>
          <w:w w:val="100"/>
        </w:rPr>
        <w:t> </w:t>
      </w:r>
      <w:r>
        <w:rPr>
          <w:spacing w:val="-6"/>
          <w:w w:val="100"/>
        </w:rPr>
        <w:t>性收入免征营业税审批管理办法》（深地税发〔</w:t>
      </w:r>
      <w:r>
        <w:rPr>
          <w:rFonts w:ascii="Times New Roman" w:hAnsi="Times New Roman" w:cs="Times New Roman" w:eastAsia="Times New Roman" w:hint="default"/>
          <w:spacing w:val="-6"/>
          <w:w w:val="100"/>
        </w:rPr>
        <w:t>2003</w:t>
      </w:r>
      <w:r>
        <w:rPr>
          <w:spacing w:val="-6"/>
          <w:w w:val="100"/>
        </w:rPr>
        <w:t>〕</w:t>
      </w:r>
      <w:r>
        <w:rPr>
          <w:rFonts w:ascii="Times New Roman" w:hAnsi="Times New Roman" w:cs="Times New Roman" w:eastAsia="Times New Roman" w:hint="default"/>
          <w:spacing w:val="-6"/>
          <w:w w:val="100"/>
        </w:rPr>
        <w:t>348</w:t>
      </w:r>
      <w:r>
        <w:rPr>
          <w:rFonts w:ascii="Times New Roman" w:hAnsi="Times New Roman" w:cs="Times New Roman" w:eastAsia="Times New Roman" w:hint="default"/>
          <w:spacing w:val="23"/>
          <w:w w:val="100"/>
        </w:rPr>
        <w:t> </w:t>
      </w:r>
      <w:r>
        <w:rPr>
          <w:spacing w:val="-2"/>
          <w:w w:val="100"/>
        </w:rPr>
        <w:t>号）规定：对单位和个人</w:t>
      </w:r>
      <w:r>
        <w:rPr>
          <w:spacing w:val="-108"/>
          <w:w w:val="100"/>
        </w:rPr>
        <w:t> </w:t>
      </w:r>
      <w:r>
        <w:rPr>
          <w:spacing w:val="-108"/>
          <w:w w:val="100"/>
        </w:rPr>
      </w:r>
      <w:r>
        <w:rPr/>
        <w:t>从事技术转让、技术开发业务和与之相关的技术咨询、技术服务业务取得的收入，</w:t>
      </w:r>
      <w:r>
        <w:rPr>
          <w:spacing w:val="-87"/>
        </w:rPr>
        <w:t> </w:t>
      </w:r>
      <w:r>
        <w:rPr>
          <w:spacing w:val="-87"/>
        </w:rPr>
      </w:r>
      <w:r>
        <w:rPr/>
        <w:t>免征营业税。</w:t>
      </w:r>
    </w:p>
    <w:p>
      <w:pPr>
        <w:pStyle w:val="BodyText"/>
        <w:spacing w:line="240" w:lineRule="auto" w:before="52"/>
        <w:ind w:left="597" w:right="0"/>
        <w:jc w:val="left"/>
      </w:pPr>
      <w:r>
        <w:rPr>
          <w:rFonts w:ascii="Times New Roman" w:hAnsi="Times New Roman" w:cs="Times New Roman" w:eastAsia="Times New Roman" w:hint="default"/>
        </w:rPr>
        <w:t>3</w:t>
      </w:r>
      <w:r>
        <w:rPr/>
        <w:t>）所得税优惠</w:t>
      </w:r>
    </w:p>
    <w:p>
      <w:pPr>
        <w:pStyle w:val="BodyText"/>
        <w:spacing w:line="352" w:lineRule="auto" w:before="149"/>
        <w:ind w:right="152" w:firstLine="459"/>
        <w:jc w:val="both"/>
      </w:pPr>
      <w:r>
        <w:rPr/>
        <w:t>公司于</w:t>
      </w:r>
      <w:r>
        <w:rPr>
          <w:spacing w:val="-4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spacing w:val="-4"/>
        </w:rPr>
        <w:t>年被深圳市科技工贸和信息化委员会、深圳市财政委员会、深圳市</w:t>
      </w:r>
      <w:r>
        <w:rPr>
          <w:w w:val="100"/>
        </w:rPr>
        <w:t> </w:t>
      </w:r>
      <w:r>
        <w:rPr/>
        <w:t>国家税务局、深圳市地方税务局认定为国家级高新技术企业，有效期三年。</w:t>
      </w:r>
      <w:r>
        <w:rPr>
          <w:rFonts w:ascii="Times New Roman" w:hAnsi="Times New Roman" w:cs="Times New Roman" w:eastAsia="Times New Roman" w:hint="default"/>
        </w:rPr>
        <w:t>2011</w:t>
      </w:r>
      <w:r>
        <w:rPr>
          <w:rFonts w:ascii="Times New Roman" w:hAnsi="Times New Roman" w:cs="Times New Roman" w:eastAsia="Times New Roman" w:hint="default"/>
          <w:spacing w:val="-28"/>
        </w:rPr>
        <w:t> </w:t>
      </w:r>
      <w:r>
        <w:rPr/>
        <w:t>年</w:t>
      </w:r>
      <w:r>
        <w:rPr>
          <w:w w:val="100"/>
        </w:rPr>
        <w:t> </w:t>
      </w:r>
      <w:r>
        <w:rPr>
          <w:spacing w:val="-6"/>
        </w:rPr>
        <w:t>公司完成高新技术企业复审工作，于</w:t>
      </w:r>
      <w:r>
        <w:rPr>
          <w:spacing w:val="-5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日收到经复审的高新技术企业证</w:t>
      </w:r>
    </w:p>
    <w:p>
      <w:pPr>
        <w:pStyle w:val="BodyText"/>
        <w:spacing w:line="240" w:lineRule="auto" w:before="30"/>
        <w:ind w:right="0"/>
        <w:jc w:val="left"/>
      </w:pPr>
      <w:r>
        <w:rPr>
          <w:spacing w:val="-5"/>
        </w:rPr>
        <w:t>书，有效期自</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3"/>
        </w:rPr>
        <w:t>日起三年。根据相关规定，公司自通过高新技术企业</w:t>
      </w:r>
    </w:p>
    <w:p>
      <w:pPr>
        <w:pStyle w:val="BodyText"/>
        <w:spacing w:line="240" w:lineRule="auto" w:before="149"/>
        <w:ind w:right="0"/>
        <w:jc w:val="left"/>
        <w:rPr>
          <w:rFonts w:ascii="Times New Roman" w:hAnsi="Times New Roman" w:cs="Times New Roman" w:eastAsia="Times New Roman" w:hint="default"/>
        </w:rPr>
      </w:pPr>
      <w:r>
        <w:rPr/>
        <w:t>复审之日起，将连续三年继续享受国家关于高新技术企业的相关优惠政策，按</w:t>
      </w:r>
      <w:r>
        <w:rPr>
          <w:spacing w:val="-57"/>
        </w:rPr>
        <w:t> </w:t>
      </w:r>
      <w:r>
        <w:rPr>
          <w:rFonts w:ascii="Times New Roman" w:hAnsi="Times New Roman" w:cs="Times New Roman" w:eastAsia="Times New Roman" w:hint="default"/>
        </w:rPr>
        <w:t>15%</w:t>
      </w:r>
    </w:p>
    <w:p>
      <w:pPr>
        <w:pStyle w:val="BodyText"/>
        <w:spacing w:line="372" w:lineRule="auto" w:before="149"/>
        <w:ind w:left="597" w:right="0" w:hanging="460"/>
        <w:jc w:val="left"/>
      </w:pPr>
      <w:r>
        <w:rPr/>
        <w:t>的税率征收企业所得税。</w:t>
      </w:r>
      <w:r>
        <w:rPr>
          <w:w w:val="100"/>
        </w:rPr>
        <w:t> </w:t>
      </w:r>
      <w:r>
        <w:rPr>
          <w:spacing w:val="-1"/>
        </w:rPr>
        <w:t>如果上述税收优惠政策发生变化，将对公司未来的经营业绩产生一定影响。</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spacing w:line="372" w:lineRule="auto"/>
        <w:ind w:left="597" w:right="4094" w:hanging="460"/>
        <w:jc w:val="left"/>
      </w:pPr>
      <w:r>
        <w:rPr/>
        <w:t>（四）</w:t>
      </w:r>
      <w:r>
        <w:rPr>
          <w:spacing w:val="-88"/>
        </w:rPr>
        <w:t> </w:t>
      </w:r>
      <w:r>
        <w:rPr/>
        <w:t>未来公司发展机遇和挑战</w:t>
      </w:r>
      <w:r>
        <w:rPr>
          <w:w w:val="100"/>
        </w:rPr>
        <w:t> </w:t>
      </w:r>
      <w:r>
        <w:rPr>
          <w:spacing w:val="-1"/>
        </w:rPr>
        <w:t>管理层关注的公司未来发展的机遇是：</w:t>
      </w:r>
    </w:p>
    <w:p>
      <w:pPr>
        <w:pStyle w:val="BodyText"/>
        <w:spacing w:line="352" w:lineRule="auto" w:before="40"/>
        <w:ind w:right="151" w:firstLine="459"/>
        <w:jc w:val="both"/>
      </w:pPr>
      <w:r>
        <w:rPr>
          <w:rFonts w:ascii="Times New Roman" w:hAnsi="Times New Roman" w:cs="Times New Roman" w:eastAsia="Times New Roman" w:hint="default"/>
          <w:spacing w:val="-4"/>
        </w:rPr>
        <w:t>1</w:t>
      </w:r>
      <w:r>
        <w:rPr>
          <w:spacing w:val="-4"/>
        </w:rPr>
        <w:t>．金融信息化领域有着广阔的发展前景。金融行业是现代经济的支柱行业，伴</w:t>
      </w:r>
      <w:r>
        <w:rPr>
          <w:w w:val="100"/>
        </w:rPr>
        <w:t> </w:t>
      </w:r>
      <w:r>
        <w:rPr>
          <w:spacing w:val="6"/>
        </w:rPr>
        <w:t>随着中国经济的持续稳定发展，到</w:t>
      </w:r>
      <w:r>
        <w:rPr>
          <w:spacing w:val="2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7"/>
        </w:rPr>
        <w:t> </w:t>
      </w:r>
      <w:r>
        <w:rPr>
          <w:spacing w:val="6"/>
        </w:rPr>
        <w:t>年末，中国银行业金融机构网点数已达</w:t>
      </w:r>
      <w:r>
        <w:rPr>
          <w:spacing w:val="-112"/>
        </w:rPr>
        <w:t> </w:t>
      </w:r>
      <w:r>
        <w:rPr>
          <w:spacing w:val="-112"/>
        </w:rPr>
      </w:r>
      <w:r>
        <w:rPr>
          <w:rFonts w:ascii="Times New Roman" w:hAnsi="Times New Roman" w:cs="Times New Roman" w:eastAsia="Times New Roman" w:hint="default"/>
        </w:rPr>
        <w:t>193,000 </w:t>
      </w:r>
      <w:r>
        <w:rPr/>
        <w:t>个，并且仍然持续保持增加。同时，银行业 </w:t>
      </w:r>
      <w:r>
        <w:rPr>
          <w:rFonts w:ascii="Times New Roman" w:hAnsi="Times New Roman" w:cs="Times New Roman" w:eastAsia="Times New Roman" w:hint="default"/>
        </w:rPr>
        <w:t>IT</w:t>
      </w:r>
      <w:r>
        <w:rPr>
          <w:rFonts w:ascii="Times New Roman" w:hAnsi="Times New Roman" w:cs="Times New Roman" w:eastAsia="Times New Roman" w:hint="default"/>
          <w:spacing w:val="-23"/>
        </w:rPr>
        <w:t> </w:t>
      </w:r>
      <w:r>
        <w:rPr/>
        <w:t>投入持续稳定增长。根据赛</w:t>
      </w:r>
      <w:r>
        <w:rPr>
          <w:w w:val="100"/>
        </w:rPr>
        <w:t> </w:t>
      </w:r>
      <w:r>
        <w:rPr/>
        <w:t>迪顾问的研究报告，</w:t>
      </w:r>
      <w:r>
        <w:rPr>
          <w:rFonts w:ascii="Times New Roman" w:hAnsi="Times New Roman" w:cs="Times New Roman" w:eastAsia="Times New Roman" w:hint="default"/>
        </w:rPr>
        <w:t>2010 </w:t>
      </w:r>
      <w:r>
        <w:rPr/>
        <w:t>年至 </w:t>
      </w:r>
      <w:r>
        <w:rPr>
          <w:rFonts w:ascii="Times New Roman" w:hAnsi="Times New Roman" w:cs="Times New Roman" w:eastAsia="Times New Roman" w:hint="default"/>
        </w:rPr>
        <w:t>2012</w:t>
      </w:r>
      <w:r>
        <w:rPr>
          <w:rFonts w:ascii="Times New Roman" w:hAnsi="Times New Roman" w:cs="Times New Roman" w:eastAsia="Times New Roman" w:hint="default"/>
          <w:spacing w:val="20"/>
        </w:rPr>
        <w:t> </w:t>
      </w:r>
      <w:r>
        <w:rPr/>
        <w:t>年，中国银行业在硬件产品上的投入将会达到</w:t>
      </w:r>
      <w:r>
        <w:rPr>
          <w:w w:val="100"/>
        </w:rPr>
        <w:t> </w:t>
      </w:r>
      <w:r>
        <w:rPr>
          <w:rFonts w:ascii="Times New Roman" w:hAnsi="Times New Roman" w:cs="Times New Roman" w:eastAsia="Times New Roman" w:hint="default"/>
        </w:rPr>
        <w:t>990</w:t>
      </w:r>
      <w:r>
        <w:rPr>
          <w:rFonts w:ascii="Times New Roman" w:hAnsi="Times New Roman" w:cs="Times New Roman" w:eastAsia="Times New Roman" w:hint="default"/>
          <w:spacing w:val="1"/>
        </w:rPr>
        <w:t> </w:t>
      </w:r>
      <w:r>
        <w:rPr/>
        <w:t>多亿元，实现</w:t>
      </w:r>
      <w:r>
        <w:rPr>
          <w:spacing w:val="-57"/>
        </w:rPr>
        <w:t> </w:t>
      </w:r>
      <w:r>
        <w:rPr>
          <w:rFonts w:ascii="Times New Roman" w:hAnsi="Times New Roman" w:cs="Times New Roman" w:eastAsia="Times New Roman" w:hint="default"/>
        </w:rPr>
        <w:t>5.9%</w:t>
      </w:r>
      <w:r>
        <w:rPr/>
        <w:t>左右的年均复合增长，在软件产品上的投入将会在</w:t>
      </w:r>
      <w:r>
        <w:rPr>
          <w:spacing w:val="-57"/>
        </w:rPr>
        <w:t> </w:t>
      </w:r>
      <w:r>
        <w:rPr>
          <w:rFonts w:ascii="Times New Roman" w:hAnsi="Times New Roman" w:cs="Times New Roman" w:eastAsia="Times New Roman" w:hint="default"/>
        </w:rPr>
        <w:t>270 </w:t>
      </w:r>
      <w:r>
        <w:rPr/>
        <w:t>亿元</w:t>
      </w:r>
      <w:r>
        <w:rPr>
          <w:spacing w:val="1"/>
          <w:w w:val="100"/>
        </w:rPr>
        <w:t> </w:t>
      </w:r>
      <w:r>
        <w:rPr/>
        <w:t>左右，同时将实现</w:t>
      </w:r>
      <w:r>
        <w:rPr>
          <w:spacing w:val="-43"/>
        </w:rPr>
        <w:t> </w:t>
      </w:r>
      <w:r>
        <w:rPr>
          <w:rFonts w:ascii="Times New Roman" w:hAnsi="Times New Roman" w:cs="Times New Roman" w:eastAsia="Times New Roman" w:hint="default"/>
        </w:rPr>
        <w:t>16.1%</w:t>
      </w:r>
      <w:r>
        <w:rPr/>
        <w:t>的年均复合增长，在</w:t>
      </w:r>
      <w:r>
        <w:rPr>
          <w:spacing w:val="-44"/>
        </w:rPr>
        <w:t> </w:t>
      </w:r>
      <w:r>
        <w:rPr>
          <w:rFonts w:ascii="Times New Roman" w:hAnsi="Times New Roman" w:cs="Times New Roman" w:eastAsia="Times New Roman" w:hint="default"/>
        </w:rPr>
        <w:t>IT</w:t>
      </w:r>
      <w:r>
        <w:rPr>
          <w:rFonts w:ascii="Times New Roman" w:hAnsi="Times New Roman" w:cs="Times New Roman" w:eastAsia="Times New Roman" w:hint="default"/>
          <w:spacing w:val="14"/>
        </w:rPr>
        <w:t> </w:t>
      </w:r>
      <w:r>
        <w:rPr/>
        <w:t>服务方面的投入将会高达</w:t>
      </w:r>
      <w:r>
        <w:rPr>
          <w:spacing w:val="-43"/>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4"/>
        </w:rPr>
        <w:t> </w:t>
      </w:r>
      <w:r>
        <w:rPr/>
        <w:t>多</w:t>
      </w:r>
      <w:r>
        <w:rPr>
          <w:w w:val="100"/>
        </w:rPr>
        <w:t> </w:t>
      </w:r>
      <w:r>
        <w:rPr/>
        <w:t>亿元，并实现</w:t>
      </w:r>
      <w:r>
        <w:rPr>
          <w:spacing w:val="-54"/>
        </w:rPr>
        <w:t> </w:t>
      </w:r>
      <w:r>
        <w:rPr>
          <w:rFonts w:ascii="Times New Roman" w:hAnsi="Times New Roman" w:cs="Times New Roman" w:eastAsia="Times New Roman" w:hint="default"/>
        </w:rPr>
        <w:t>29%</w:t>
      </w:r>
      <w:r>
        <w:rPr/>
        <w:t>以上的年均复合增长，而从用户角度看，城市商业银行、村镇银</w:t>
      </w:r>
      <w:r>
        <w:rPr>
          <w:w w:val="100"/>
        </w:rPr>
        <w:t> </w:t>
      </w:r>
      <w:r>
        <w:rPr/>
        <w:t>行、农信社等仍将是未来中国银行业中</w:t>
      </w:r>
      <w:r>
        <w:rPr>
          <w:spacing w:val="-63"/>
        </w:rPr>
        <w:t> </w:t>
      </w:r>
      <w:r>
        <w:rPr>
          <w:rFonts w:ascii="Times New Roman" w:hAnsi="Times New Roman" w:cs="Times New Roman" w:eastAsia="Times New Roman" w:hint="default"/>
        </w:rPr>
        <w:t>IT</w:t>
      </w:r>
      <w:r>
        <w:rPr>
          <w:rFonts w:ascii="Times New Roman" w:hAnsi="Times New Roman" w:cs="Times New Roman" w:eastAsia="Times New Roman" w:hint="default"/>
          <w:spacing w:val="-6"/>
        </w:rPr>
        <w:t> </w:t>
      </w:r>
      <w:r>
        <w:rPr/>
        <w:t>应用市场上的增长亮点。</w:t>
      </w:r>
    </w:p>
    <w:p>
      <w:pPr>
        <w:pStyle w:val="BodyText"/>
        <w:spacing w:line="367" w:lineRule="auto" w:before="30"/>
        <w:ind w:right="152" w:firstLine="459"/>
        <w:jc w:val="both"/>
      </w:pPr>
      <w:r>
        <w:rPr>
          <w:rFonts w:ascii="Times New Roman" w:hAnsi="Times New Roman" w:cs="Times New Roman" w:eastAsia="Times New Roman" w:hint="default"/>
        </w:rPr>
        <w:t>2</w:t>
      </w:r>
      <w:r>
        <w:rPr/>
        <w:t>．在与本公司目前主营业务相关的银行业 </w:t>
      </w:r>
      <w:r>
        <w:rPr>
          <w:rFonts w:ascii="Times New Roman" w:hAnsi="Times New Roman" w:cs="Times New Roman" w:eastAsia="Times New Roman" w:hint="default"/>
        </w:rPr>
        <w:t>IT</w:t>
      </w:r>
      <w:r>
        <w:rPr>
          <w:rFonts w:ascii="Times New Roman" w:hAnsi="Times New Roman" w:cs="Times New Roman" w:eastAsia="Times New Roman" w:hint="default"/>
          <w:spacing w:val="-22"/>
        </w:rPr>
        <w:t> </w:t>
      </w:r>
      <w:r>
        <w:rPr/>
        <w:t>市场上，随着我国银行对业务运</w:t>
      </w:r>
      <w:r>
        <w:rPr>
          <w:w w:val="100"/>
        </w:rPr>
        <w:t> </w:t>
      </w:r>
      <w:r>
        <w:rPr/>
        <w:t>行效率、安全性、和服务水平的要求不断提高，对业务流程再造的革新需求更加深</w:t>
      </w:r>
      <w:r>
        <w:rPr>
          <w:spacing w:val="-87"/>
        </w:rPr>
        <w:t> </w:t>
      </w:r>
      <w:r>
        <w:rPr>
          <w:spacing w:val="-87"/>
        </w:rPr>
      </w:r>
      <w:r>
        <w:rPr/>
        <w:t>入，银行用户采用自动化、信息化、影像化高新技术产品的市场需求日趋旺盛，创</w:t>
      </w:r>
      <w:r>
        <w:rPr>
          <w:spacing w:val="-87"/>
        </w:rPr>
        <w:t> </w:t>
      </w:r>
      <w:r>
        <w:rPr>
          <w:spacing w:val="-87"/>
        </w:rPr>
      </w:r>
      <w:r>
        <w:rPr/>
        <w:t>新应用层出不穷，为公司业务发展提供了良好的市场机遇。</w:t>
      </w:r>
    </w:p>
    <w:p>
      <w:pPr>
        <w:pStyle w:val="BodyText"/>
        <w:spacing w:line="362" w:lineRule="auto" w:before="45"/>
        <w:ind w:right="152" w:firstLine="459"/>
        <w:jc w:val="both"/>
      </w:pPr>
      <w:r>
        <w:rPr>
          <w:rFonts w:ascii="Times New Roman" w:hAnsi="Times New Roman" w:cs="Times New Roman" w:eastAsia="Times New Roman" w:hint="default"/>
          <w:spacing w:val="-3"/>
        </w:rPr>
        <w:t>3</w:t>
      </w:r>
      <w:r>
        <w:rPr>
          <w:spacing w:val="-3"/>
        </w:rPr>
        <w:t>．公司总体业务已初具规模，拥有广泛的客户资源，开创了持续发展的良好局</w:t>
      </w:r>
      <w:r>
        <w:rPr>
          <w:w w:val="100"/>
        </w:rPr>
        <w:t> </w:t>
      </w:r>
      <w:r>
        <w:rPr/>
        <w:t>面。伴随现有产品的经营，公司已形成了良好的市场影响力和客户关系，新产品的</w:t>
      </w:r>
      <w:r>
        <w:rPr>
          <w:spacing w:val="-87"/>
        </w:rPr>
        <w:t> </w:t>
      </w:r>
      <w:r>
        <w:rPr>
          <w:spacing w:val="-87"/>
        </w:rPr>
      </w:r>
      <w:r>
        <w:rPr/>
        <w:t>市场准入已经具备诸多的机会和条件。</w:t>
      </w:r>
    </w:p>
    <w:p>
      <w:pPr>
        <w:spacing w:after="0" w:line="362" w:lineRule="auto"/>
        <w:jc w:val="both"/>
        <w:sectPr>
          <w:footerReference w:type="default" r:id="rId14"/>
          <w:pgSz w:w="11910" w:h="16840"/>
          <w:pgMar w:footer="982" w:header="877" w:top="1100" w:bottom="1180" w:left="1660" w:right="1640"/>
          <w:pgNumType w:start="23"/>
        </w:sectPr>
      </w:pPr>
    </w:p>
    <w:p>
      <w:pPr>
        <w:spacing w:line="240" w:lineRule="auto" w:before="12"/>
        <w:rPr>
          <w:rFonts w:ascii="宋体" w:hAnsi="宋体" w:cs="宋体" w:eastAsia="宋体" w:hint="default"/>
          <w:sz w:val="25"/>
          <w:szCs w:val="25"/>
        </w:rPr>
      </w:pPr>
    </w:p>
    <w:p>
      <w:pPr>
        <w:pStyle w:val="BodyText"/>
        <w:spacing w:line="362" w:lineRule="auto" w:before="29"/>
        <w:ind w:right="152" w:firstLine="459"/>
        <w:jc w:val="both"/>
      </w:pPr>
      <w:r>
        <w:rPr>
          <w:rFonts w:ascii="Times New Roman" w:hAnsi="Times New Roman" w:cs="Times New Roman" w:eastAsia="Times New Roman" w:hint="default"/>
          <w:spacing w:val="-4"/>
        </w:rPr>
        <w:t>4</w:t>
      </w:r>
      <w:r>
        <w:rPr>
          <w:spacing w:val="-4"/>
        </w:rPr>
        <w:t>．公司上市后，在资金和品牌形象方面获得大幅提升，在行业和客户中已经形</w:t>
      </w:r>
      <w:r>
        <w:rPr>
          <w:w w:val="100"/>
        </w:rPr>
        <w:t> </w:t>
      </w:r>
      <w:r>
        <w:rPr/>
        <w:t>成了运作规范、信誉度高、综合实力较强的良好形象，将对公司业务发展产生积极</w:t>
      </w:r>
      <w:r>
        <w:rPr>
          <w:spacing w:val="-87"/>
        </w:rPr>
        <w:t> </w:t>
      </w:r>
      <w:r>
        <w:rPr>
          <w:spacing w:val="-87"/>
        </w:rPr>
      </w:r>
      <w:r>
        <w:rPr/>
        <w:t>的影响。</w:t>
      </w:r>
    </w:p>
    <w:p>
      <w:pPr>
        <w:pStyle w:val="BodyText"/>
        <w:spacing w:line="372" w:lineRule="auto" w:before="49"/>
        <w:ind w:left="597" w:right="0"/>
        <w:jc w:val="left"/>
      </w:pPr>
      <w:r>
        <w:rPr/>
        <w:t>公司未来发展的挑战：</w:t>
      </w:r>
      <w:r>
        <w:rPr>
          <w:w w:val="100"/>
        </w:rPr>
        <w:t> </w:t>
      </w:r>
      <w:r>
        <w:rPr/>
        <w:t>一是要能够迅速开发出新的产品和服务，以满足金融行业的信息化建设以及公</w:t>
      </w:r>
    </w:p>
    <w:p>
      <w:pPr>
        <w:pStyle w:val="BodyText"/>
        <w:spacing w:line="372" w:lineRule="auto" w:before="40"/>
        <w:ind w:right="153"/>
        <w:jc w:val="both"/>
      </w:pPr>
      <w:r>
        <w:rPr/>
        <w:t>司业务发展的需要；二是随着业务规模的继续扩大，公司在运营成本、管理方面的</w:t>
      </w:r>
      <w:r>
        <w:rPr>
          <w:spacing w:val="-87"/>
        </w:rPr>
        <w:t> </w:t>
      </w:r>
      <w:r>
        <w:rPr>
          <w:spacing w:val="-87"/>
        </w:rPr>
      </w:r>
      <w:r>
        <w:rPr/>
        <w:t>压力加大；三是随着业务领域的不断拓展，公司面临的竞争将更加激烈；四是作为</w:t>
      </w:r>
      <w:r>
        <w:rPr>
          <w:spacing w:val="-87"/>
        </w:rPr>
        <w:t> </w:t>
      </w:r>
      <w:r>
        <w:rPr>
          <w:spacing w:val="-87"/>
        </w:rPr>
      </w:r>
      <w:r>
        <w:rPr/>
        <w:t>公众上市公司，公司也将面临经营信息更加透明所带来的经营压力。</w:t>
      </w:r>
    </w:p>
    <w:p>
      <w:pPr>
        <w:pStyle w:val="BodyText"/>
        <w:spacing w:line="372" w:lineRule="auto" w:before="40"/>
        <w:ind w:right="152" w:firstLine="459"/>
        <w:jc w:val="both"/>
      </w:pPr>
      <w:r>
        <w:rPr/>
        <w:t>针对企业经营面临的挑战和风险，公司将坚持自主创新，研发具有领先性的技</w:t>
      </w:r>
      <w:r>
        <w:rPr>
          <w:w w:val="100"/>
        </w:rPr>
        <w:t> </w:t>
      </w:r>
      <w:r>
        <w:rPr/>
        <w:t>术、产品解决方案，同时通过进一步加强项目管理体系、绩效管理体系等方面的建</w:t>
      </w:r>
      <w:r>
        <w:rPr>
          <w:spacing w:val="-87"/>
        </w:rPr>
        <w:t> </w:t>
      </w:r>
      <w:r>
        <w:rPr>
          <w:spacing w:val="-87"/>
        </w:rPr>
      </w:r>
      <w:r>
        <w:rPr/>
        <w:t>设，提升公司内部组织效率，继续沿着充分发挥现有产品潜力、大力开发新产品、</w:t>
      </w:r>
      <w:r>
        <w:rPr>
          <w:spacing w:val="-87"/>
        </w:rPr>
        <w:t> </w:t>
      </w:r>
      <w:r>
        <w:rPr>
          <w:spacing w:val="-87"/>
        </w:rPr>
      </w:r>
      <w:r>
        <w:rPr/>
        <w:t>努力开拓新业务模式的既定经营战略，努力成为推动行业发展的开拓者和领导者，</w:t>
      </w:r>
      <w:r>
        <w:rPr>
          <w:spacing w:val="-87"/>
        </w:rPr>
        <w:t> </w:t>
      </w:r>
      <w:r>
        <w:rPr>
          <w:spacing w:val="-87"/>
        </w:rPr>
      </w:r>
      <w:r>
        <w:rPr/>
        <w:t>实现公司整体业务规模和产业升级，从而提升公司核心竞争能力，提高公司效益，</w:t>
      </w:r>
      <w:r>
        <w:rPr>
          <w:spacing w:val="-87"/>
        </w:rPr>
        <w:t> </w:t>
      </w:r>
      <w:r>
        <w:rPr>
          <w:spacing w:val="-87"/>
        </w:rPr>
      </w:r>
      <w:r>
        <w:rPr/>
        <w:t>为股东及利益相关者创造更大的价值。</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spacing w:line="240" w:lineRule="auto"/>
        <w:ind w:right="0"/>
        <w:jc w:val="both"/>
      </w:pPr>
      <w:r>
        <w:rPr/>
        <w:t>（五）</w:t>
      </w:r>
      <w:r>
        <w:rPr>
          <w:spacing w:val="-87"/>
        </w:rPr>
        <w:t> </w:t>
      </w:r>
      <w:r>
        <w:rPr>
          <w:rFonts w:ascii="Times New Roman" w:hAnsi="Times New Roman" w:cs="Times New Roman" w:eastAsia="Times New Roman" w:hint="default"/>
        </w:rPr>
        <w:t>2012 </w:t>
      </w:r>
      <w:r>
        <w:rPr/>
        <w:t>年度经营计划</w:t>
      </w:r>
    </w:p>
    <w:p>
      <w:pPr>
        <w:pStyle w:val="BodyText"/>
        <w:spacing w:line="367" w:lineRule="auto" w:before="149"/>
        <w:ind w:right="152" w:firstLine="459"/>
        <w:jc w:val="both"/>
      </w:pPr>
      <w:r>
        <w:rPr/>
        <w:t>公司 </w:t>
      </w:r>
      <w:r>
        <w:rPr>
          <w:rFonts w:ascii="Times New Roman" w:hAnsi="Times New Roman" w:cs="Times New Roman" w:eastAsia="Times New Roman" w:hint="default"/>
        </w:rPr>
        <w:t>2012</w:t>
      </w:r>
      <w:r>
        <w:rPr>
          <w:rFonts w:ascii="Times New Roman" w:hAnsi="Times New Roman" w:cs="Times New Roman" w:eastAsia="Times New Roman" w:hint="default"/>
          <w:spacing w:val="-34"/>
        </w:rPr>
        <w:t> </w:t>
      </w:r>
      <w:r>
        <w:rPr>
          <w:spacing w:val="-4"/>
        </w:rPr>
        <w:t>年度的经营思路是：抓住国内银行业构建流程银行的市场机遇，以市</w:t>
      </w:r>
      <w:r>
        <w:rPr>
          <w:w w:val="100"/>
        </w:rPr>
        <w:t> </w:t>
      </w:r>
      <w:r>
        <w:rPr/>
        <w:t>场需求为导向，以做好新产品开发工作为重点，进一步完善科学的管理体制，大力</w:t>
      </w:r>
      <w:r>
        <w:rPr>
          <w:spacing w:val="-87"/>
        </w:rPr>
        <w:t> </w:t>
      </w:r>
      <w:r>
        <w:rPr>
          <w:spacing w:val="-87"/>
        </w:rPr>
      </w:r>
      <w:r>
        <w:rPr/>
        <w:t>培养、引进优秀技术和经营管理人才，大力控制经营成本，以二次创业的精神，努</w:t>
      </w:r>
      <w:r>
        <w:rPr>
          <w:spacing w:val="-87"/>
        </w:rPr>
        <w:t> </w:t>
      </w:r>
      <w:r>
        <w:rPr>
          <w:spacing w:val="-87"/>
        </w:rPr>
      </w:r>
      <w:r>
        <w:rPr/>
        <w:t>力开创公司业务发展的新局面。</w:t>
      </w:r>
    </w:p>
    <w:p>
      <w:pPr>
        <w:pStyle w:val="BodyText"/>
        <w:spacing w:line="352" w:lineRule="auto" w:before="45"/>
        <w:ind w:right="152" w:firstLine="459"/>
        <w:jc w:val="both"/>
      </w:pPr>
      <w:r>
        <w:rPr/>
        <w:t>为落实</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spacing w:val="-4"/>
        </w:rPr>
        <w:t>年度的经营思路，实现经营目标，新的一年中公司将重点实施好以</w:t>
      </w:r>
      <w:r>
        <w:rPr>
          <w:w w:val="100"/>
        </w:rPr>
        <w:t> </w:t>
      </w:r>
      <w:r>
        <w:rPr/>
        <w:t>下工作计划：</w:t>
      </w:r>
    </w:p>
    <w:p>
      <w:pPr>
        <w:pStyle w:val="BodyText"/>
        <w:spacing w:line="240" w:lineRule="auto" w:before="59"/>
        <w:ind w:left="597" w:right="0"/>
        <w:jc w:val="left"/>
      </w:pPr>
      <w:r>
        <w:rPr>
          <w:rFonts w:ascii="Times New Roman" w:hAnsi="Times New Roman" w:cs="Times New Roman" w:eastAsia="Times New Roman" w:hint="default"/>
        </w:rPr>
        <w:t>1</w:t>
      </w:r>
      <w:r>
        <w:rPr/>
        <w:t>．产品开发计划</w:t>
      </w:r>
    </w:p>
    <w:p>
      <w:pPr>
        <w:pStyle w:val="BodyText"/>
        <w:spacing w:line="367" w:lineRule="auto" w:before="149"/>
        <w:ind w:right="152" w:firstLine="459"/>
        <w:jc w:val="both"/>
      </w:pPr>
      <w:r>
        <w:rPr/>
        <w:t>新产品开发是公司未来发展的关键任务。</w:t>
      </w:r>
      <w:r>
        <w:rPr>
          <w:rFonts w:ascii="Times New Roman" w:hAnsi="Times New Roman" w:cs="Times New Roman" w:eastAsia="Times New Roman" w:hint="default"/>
        </w:rPr>
        <w:t>2012</w:t>
      </w:r>
      <w:r>
        <w:rPr>
          <w:rFonts w:ascii="Times New Roman" w:hAnsi="Times New Roman" w:cs="Times New Roman" w:eastAsia="Times New Roman" w:hint="default"/>
          <w:spacing w:val="-27"/>
        </w:rPr>
        <w:t> </w:t>
      </w:r>
      <w:r>
        <w:rPr/>
        <w:t>年，公司将以银行业务流程再造</w:t>
      </w:r>
      <w:r>
        <w:rPr>
          <w:w w:val="100"/>
        </w:rPr>
        <w:t> </w:t>
      </w:r>
      <w:r>
        <w:rPr/>
        <w:t>的市场需求为主线，重点做好流程银行核心软件、多功能影像采集平台、印章智能</w:t>
      </w:r>
      <w:r>
        <w:rPr>
          <w:spacing w:val="-87"/>
        </w:rPr>
        <w:t> </w:t>
      </w:r>
      <w:r>
        <w:rPr>
          <w:spacing w:val="-87"/>
        </w:rPr>
      </w:r>
      <w:r>
        <w:rPr/>
        <w:t>管理系统、自助回单打印系统、支票自助受理终端、综合影像作业平台、影像工作</w:t>
      </w:r>
      <w:r>
        <w:rPr>
          <w:spacing w:val="-87"/>
        </w:rPr>
        <w:t> </w:t>
      </w:r>
      <w:r>
        <w:rPr>
          <w:spacing w:val="-87"/>
        </w:rPr>
      </w:r>
      <w:r>
        <w:rPr/>
        <w:t>流引擎等新产品、技术的开发工作，为公司业务提供新的业绩增长点，并进一步形</w:t>
      </w:r>
      <w:r>
        <w:rPr>
          <w:spacing w:val="-87"/>
        </w:rPr>
        <w:t> </w:t>
      </w:r>
      <w:r>
        <w:rPr>
          <w:spacing w:val="-87"/>
        </w:rPr>
      </w:r>
      <w:r>
        <w:rPr/>
        <w:t>成新产品开发的长效机制和流程。</w:t>
      </w:r>
    </w:p>
    <w:p>
      <w:pPr>
        <w:pStyle w:val="BodyText"/>
        <w:spacing w:line="352" w:lineRule="auto" w:before="45"/>
        <w:ind w:left="597" w:right="0"/>
        <w:jc w:val="left"/>
      </w:pPr>
      <w:r>
        <w:rPr>
          <w:rFonts w:ascii="Times New Roman" w:hAnsi="Times New Roman" w:cs="Times New Roman" w:eastAsia="Times New Roman" w:hint="default"/>
        </w:rPr>
        <w:t>2</w:t>
      </w:r>
      <w:r>
        <w:rPr/>
        <w:t>．市场推广计划</w:t>
      </w:r>
      <w:r>
        <w:rPr>
          <w:w w:val="100"/>
        </w:rPr>
        <w:t> </w:t>
      </w:r>
      <w:r>
        <w:rPr/>
        <w:t>在产品推广方面，传统优势软件产品的营销将依靠产品技术改进和升级换代，</w:t>
      </w:r>
    </w:p>
    <w:p>
      <w:pPr>
        <w:spacing w:after="0" w:line="352" w:lineRule="auto"/>
        <w:jc w:val="left"/>
        <w:sectPr>
          <w:pgSz w:w="11910" w:h="16840"/>
          <w:pgMar w:header="877" w:footer="982" w:top="1100" w:bottom="1180" w:left="1660" w:right="1640"/>
        </w:sectPr>
      </w:pPr>
    </w:p>
    <w:p>
      <w:pPr>
        <w:spacing w:line="240" w:lineRule="auto" w:before="12"/>
        <w:rPr>
          <w:rFonts w:ascii="宋体" w:hAnsi="宋体" w:cs="宋体" w:eastAsia="宋体" w:hint="default"/>
          <w:sz w:val="25"/>
          <w:szCs w:val="25"/>
        </w:rPr>
      </w:pPr>
    </w:p>
    <w:p>
      <w:pPr>
        <w:pStyle w:val="BodyText"/>
        <w:spacing w:line="367" w:lineRule="auto" w:before="29"/>
        <w:ind w:right="233"/>
        <w:jc w:val="both"/>
      </w:pPr>
      <w:r>
        <w:rPr/>
        <w:t>从挖掘既有客户潜力和继续开拓新客户两方面入手，努力拓展城市商业银行和农村</w:t>
      </w:r>
      <w:r>
        <w:rPr>
          <w:spacing w:val="-87"/>
        </w:rPr>
        <w:t> </w:t>
      </w:r>
      <w:r>
        <w:rPr>
          <w:spacing w:val="-87"/>
        </w:rPr>
      </w:r>
      <w:r>
        <w:rPr/>
        <w:t>信用联社的市场，进一步扩大公司传统优势产品的营业收入。新产品中，多功能影</w:t>
      </w:r>
      <w:r>
        <w:rPr>
          <w:spacing w:val="-87"/>
        </w:rPr>
        <w:t> </w:t>
      </w:r>
      <w:r>
        <w:rPr>
          <w:spacing w:val="-87"/>
        </w:rPr>
      </w:r>
      <w:r>
        <w:rPr>
          <w:spacing w:val="-4"/>
        </w:rPr>
        <w:t>像平台、印章智能管理系统、自助回单打印系统等新产品应确保在</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年度实现销</w:t>
      </w:r>
      <w:r>
        <w:rPr>
          <w:spacing w:val="-112"/>
        </w:rPr>
        <w:t> </w:t>
      </w:r>
      <w:r>
        <w:rPr>
          <w:spacing w:val="-112"/>
        </w:rPr>
      </w:r>
      <w:r>
        <w:rPr/>
        <w:t>售收入。公司将在人员调配、激励政策和服务保障上进一步加强对新产品市场工作</w:t>
      </w:r>
      <w:r>
        <w:rPr>
          <w:spacing w:val="-87"/>
        </w:rPr>
        <w:t> </w:t>
      </w:r>
      <w:r>
        <w:rPr>
          <w:spacing w:val="-87"/>
        </w:rPr>
      </w:r>
      <w:r>
        <w:rPr/>
        <w:t>的支持力度。</w:t>
      </w:r>
    </w:p>
    <w:p>
      <w:pPr>
        <w:pStyle w:val="BodyText"/>
        <w:spacing w:line="352" w:lineRule="auto" w:before="45"/>
        <w:ind w:left="597" w:right="115"/>
        <w:jc w:val="left"/>
      </w:pPr>
      <w:r>
        <w:rPr>
          <w:rFonts w:ascii="Times New Roman" w:hAnsi="Times New Roman" w:cs="Times New Roman" w:eastAsia="Times New Roman" w:hint="default"/>
        </w:rPr>
        <w:t>3</w:t>
      </w:r>
      <w:r>
        <w:rPr/>
        <w:t>．人力资源发展计划</w:t>
      </w:r>
      <w:r>
        <w:rPr>
          <w:w w:val="100"/>
        </w:rPr>
        <w:t> </w:t>
      </w:r>
      <w:r>
        <w:rPr/>
        <w:t>人才是公司赖以发展的基石。公司将大力引进和培养各方面的人才，尤其是技</w:t>
      </w:r>
    </w:p>
    <w:p>
      <w:pPr>
        <w:pStyle w:val="BodyText"/>
        <w:spacing w:line="372" w:lineRule="auto" w:before="59"/>
        <w:ind w:right="233"/>
        <w:jc w:val="both"/>
      </w:pPr>
      <w:r>
        <w:rPr/>
        <w:t>术和营销人才。在人才培养方面，要优先选拔德才兼备、责任感强、有上进心、能</w:t>
      </w:r>
      <w:r>
        <w:rPr>
          <w:spacing w:val="-87"/>
        </w:rPr>
        <w:t> </w:t>
      </w:r>
      <w:r>
        <w:rPr>
          <w:spacing w:val="-87"/>
        </w:rPr>
      </w:r>
      <w:r>
        <w:rPr/>
        <w:t>够与公司共同发展的员工做为后备干部，并进行重点培养，帮助他们在技能和视野</w:t>
      </w:r>
      <w:r>
        <w:rPr>
          <w:spacing w:val="-87"/>
        </w:rPr>
        <w:t> </w:t>
      </w:r>
      <w:r>
        <w:rPr>
          <w:spacing w:val="-87"/>
        </w:rPr>
      </w:r>
      <w:r>
        <w:rPr/>
        <w:t>上达到行业乃至国内先进水平。公司将继续完善科学合理的薪酬与绩效考核体系，</w:t>
      </w:r>
      <w:r>
        <w:rPr>
          <w:spacing w:val="-87"/>
        </w:rPr>
        <w:t> </w:t>
      </w:r>
      <w:r>
        <w:rPr>
          <w:spacing w:val="-87"/>
        </w:rPr>
      </w:r>
      <w:r>
        <w:rPr/>
        <w:t>在岗位划分、工作质量评估、工作质量跟踪和业绩评价等方面建立符合公司特性的</w:t>
      </w:r>
      <w:r>
        <w:rPr>
          <w:spacing w:val="-87"/>
        </w:rPr>
        <w:t> </w:t>
      </w:r>
      <w:r>
        <w:rPr>
          <w:spacing w:val="-87"/>
        </w:rPr>
      </w:r>
      <w:r>
        <w:rPr/>
        <w:t>一整套体系，更好地为公司业务发展服务。</w:t>
      </w:r>
    </w:p>
    <w:p>
      <w:pPr>
        <w:pStyle w:val="BodyText"/>
        <w:spacing w:line="352" w:lineRule="auto" w:before="40"/>
        <w:ind w:left="597" w:right="115"/>
        <w:jc w:val="left"/>
      </w:pPr>
      <w:r>
        <w:rPr>
          <w:rFonts w:ascii="Times New Roman" w:hAnsi="Times New Roman" w:cs="Times New Roman" w:eastAsia="Times New Roman" w:hint="default"/>
        </w:rPr>
        <w:t>4</w:t>
      </w:r>
      <w:r>
        <w:rPr/>
        <w:t>．管理提升计划</w:t>
      </w:r>
      <w:r>
        <w:rPr>
          <w:w w:val="100"/>
        </w:rPr>
        <w:t> </w:t>
      </w:r>
      <w:r>
        <w:rPr/>
        <w:t>公司将根据经营管理发展的新特点，建立和完善较为全面的技术管理、营销管</w:t>
      </w:r>
    </w:p>
    <w:p>
      <w:pPr>
        <w:pStyle w:val="BodyText"/>
        <w:spacing w:line="369" w:lineRule="auto" w:before="59"/>
        <w:ind w:right="233"/>
        <w:jc w:val="both"/>
      </w:pPr>
      <w:r>
        <w:rPr/>
        <w:t>理、财务管理和行政管理制度，以及与之配套的流程规范，并在实际工作中不断征</w:t>
      </w:r>
      <w:r>
        <w:rPr>
          <w:spacing w:val="-87"/>
        </w:rPr>
        <w:t> </w:t>
      </w:r>
      <w:r>
        <w:rPr>
          <w:spacing w:val="-87"/>
        </w:rPr>
      </w:r>
      <w:r>
        <w:rPr/>
        <w:t>询员工意见予以改进。</w:t>
      </w:r>
      <w:r>
        <w:rPr>
          <w:rFonts w:ascii="Times New Roman" w:hAnsi="Times New Roman" w:cs="Times New Roman" w:eastAsia="Times New Roman" w:hint="default"/>
        </w:rPr>
        <w:t>2012</w:t>
      </w:r>
      <w:r>
        <w:rPr>
          <w:rFonts w:ascii="Times New Roman" w:hAnsi="Times New Roman" w:cs="Times New Roman" w:eastAsia="Times New Roman" w:hint="default"/>
          <w:spacing w:val="-28"/>
        </w:rPr>
        <w:t> </w:t>
      </w:r>
      <w:r>
        <w:rPr/>
        <w:t>年公司计划推进信息化管理的建设，优先考虑营销管理</w:t>
      </w:r>
      <w:r>
        <w:rPr>
          <w:w w:val="100"/>
        </w:rPr>
        <w:t> </w:t>
      </w:r>
      <w:r>
        <w:rPr/>
        <w:t>系统和办公管理系统的建设。营销管理系统的立足点是加强营销数据统计分析、提</w:t>
      </w:r>
      <w:r>
        <w:rPr>
          <w:spacing w:val="-87"/>
        </w:rPr>
        <w:t> </w:t>
      </w:r>
      <w:r>
        <w:rPr>
          <w:spacing w:val="-87"/>
        </w:rPr>
      </w:r>
      <w:r>
        <w:rPr/>
        <w:t>升营销工作效率、强化营销工作质量检查与考核；办公管理系统的立足点是提高内</w:t>
      </w:r>
      <w:r>
        <w:rPr>
          <w:spacing w:val="-87"/>
        </w:rPr>
        <w:t> </w:t>
      </w:r>
      <w:r>
        <w:rPr>
          <w:spacing w:val="-87"/>
        </w:rPr>
      </w:r>
      <w:r>
        <w:rPr/>
        <w:t>部流程效率，加强沟通和交流，提高日常工作效率。目标是实现更加规范、高效和</w:t>
      </w:r>
      <w:r>
        <w:rPr>
          <w:spacing w:val="-87"/>
        </w:rPr>
        <w:t> </w:t>
      </w:r>
      <w:r>
        <w:rPr>
          <w:spacing w:val="-87"/>
        </w:rPr>
      </w:r>
      <w:r>
        <w:rPr/>
        <w:t>精细化的管理，提高管理效率，降低管理成本。</w:t>
      </w:r>
    </w:p>
    <w:p>
      <w:pPr>
        <w:pStyle w:val="BodyText"/>
        <w:spacing w:line="352" w:lineRule="auto" w:before="43"/>
        <w:ind w:left="597" w:right="115"/>
        <w:jc w:val="left"/>
      </w:pPr>
      <w:r>
        <w:rPr>
          <w:rFonts w:ascii="Times New Roman" w:hAnsi="Times New Roman" w:cs="Times New Roman" w:eastAsia="Times New Roman" w:hint="default"/>
        </w:rPr>
        <w:t>5</w:t>
      </w:r>
      <w:r>
        <w:rPr/>
        <w:t>．适时实施收购兼并扩大业务范围和规模</w:t>
      </w:r>
      <w:r>
        <w:rPr>
          <w:w w:val="100"/>
        </w:rPr>
        <w:t> </w:t>
      </w:r>
      <w:r>
        <w:rPr/>
        <w:t>公司将借助成功登陆资本市场、综合实力进一步增强的契机，选择收购、兼并</w:t>
      </w:r>
    </w:p>
    <w:p>
      <w:pPr>
        <w:pStyle w:val="BodyText"/>
        <w:spacing w:line="362" w:lineRule="auto" w:before="59"/>
        <w:ind w:left="597" w:right="115" w:hanging="460"/>
        <w:jc w:val="left"/>
      </w:pPr>
      <w:r>
        <w:rPr/>
        <w:t>与公司主营业务相关联或互补的优质企业，促进公司继续做大做强。</w:t>
      </w:r>
      <w:r>
        <w:rPr>
          <w:w w:val="100"/>
        </w:rPr>
        <w:t> </w:t>
      </w:r>
      <w:r>
        <w:rPr>
          <w:rFonts w:ascii="Times New Roman" w:hAnsi="Times New Roman" w:cs="Times New Roman" w:eastAsia="Times New Roman" w:hint="default"/>
        </w:rPr>
        <w:t>6</w:t>
      </w:r>
      <w:r>
        <w:rPr/>
        <w:t>．投资者关系管理</w:t>
      </w:r>
      <w:r>
        <w:rPr>
          <w:w w:val="100"/>
        </w:rPr>
        <w:t> </w:t>
      </w:r>
      <w:r>
        <w:rPr/>
        <w:t>作为公众上市公司，公司将进一步完善公司的治理结构，建立和健全投资者沟</w:t>
      </w:r>
    </w:p>
    <w:p>
      <w:pPr>
        <w:pStyle w:val="BodyText"/>
        <w:spacing w:line="372" w:lineRule="auto" w:before="49"/>
        <w:ind w:right="115"/>
        <w:jc w:val="left"/>
      </w:pPr>
      <w:r>
        <w:rPr/>
        <w:t>通平台，规范公司投资者关系工作，加强公司与投资者和潜在投资者之间的沟通，</w:t>
      </w:r>
      <w:r>
        <w:rPr>
          <w:spacing w:val="-87"/>
        </w:rPr>
        <w:t> </w:t>
      </w:r>
      <w:r>
        <w:rPr>
          <w:spacing w:val="-87"/>
        </w:rPr>
      </w:r>
      <w:r>
        <w:rPr>
          <w:spacing w:val="-3"/>
        </w:rPr>
        <w:t>加深投资者对公司的了解和认同，促进公司与投资者之间长期、良好、稳定的关系，</w:t>
      </w:r>
      <w:r>
        <w:rPr>
          <w:spacing w:val="-98"/>
        </w:rPr>
        <w:t> </w:t>
      </w:r>
      <w:r>
        <w:rPr>
          <w:spacing w:val="-98"/>
        </w:rPr>
      </w:r>
      <w:r>
        <w:rPr/>
        <w:t>提升公司的诚信度、核心竞争能力和持续发展能力，实现公司价值最大化和股东利</w:t>
      </w:r>
      <w:r>
        <w:rPr>
          <w:spacing w:val="-87"/>
        </w:rPr>
        <w:t> </w:t>
      </w:r>
      <w:r>
        <w:rPr>
          <w:spacing w:val="-87"/>
        </w:rPr>
      </w:r>
      <w:r>
        <w:rPr/>
        <w:t>益最大化。</w:t>
      </w:r>
    </w:p>
    <w:p>
      <w:pPr>
        <w:spacing w:after="0" w:line="372" w:lineRule="auto"/>
        <w:jc w:val="left"/>
        <w:sectPr>
          <w:pgSz w:w="11910" w:h="16840"/>
          <w:pgMar w:header="877" w:footer="982" w:top="1100" w:bottom="1180" w:left="1660" w:right="1560"/>
        </w:sectPr>
      </w:pPr>
    </w:p>
    <w:p>
      <w:pPr>
        <w:spacing w:line="240" w:lineRule="auto" w:before="12"/>
        <w:rPr>
          <w:rFonts w:ascii="宋体" w:hAnsi="宋体" w:cs="宋体" w:eastAsia="宋体" w:hint="default"/>
          <w:sz w:val="25"/>
          <w:szCs w:val="25"/>
        </w:rPr>
      </w:pPr>
    </w:p>
    <w:p>
      <w:pPr>
        <w:pStyle w:val="Heading5"/>
        <w:spacing w:line="240" w:lineRule="auto" w:before="29"/>
        <w:ind w:left="217" w:right="260"/>
        <w:jc w:val="left"/>
        <w:rPr>
          <w:b w:val="0"/>
          <w:bCs w:val="0"/>
        </w:rPr>
      </w:pPr>
      <w:r>
        <w:rPr/>
        <w:t>三、报告期内投资情况</w:t>
      </w:r>
      <w:r>
        <w:rPr>
          <w:b w:val="0"/>
          <w:bCs w:val="0"/>
        </w:rPr>
      </w:r>
    </w:p>
    <w:p>
      <w:pPr>
        <w:pStyle w:val="BodyText"/>
        <w:spacing w:line="240" w:lineRule="auto" w:before="167"/>
        <w:ind w:left="217" w:right="260"/>
        <w:jc w:val="left"/>
      </w:pPr>
      <w:r>
        <w:rPr/>
        <w:t>（一）</w:t>
      </w:r>
      <w:r>
        <w:rPr>
          <w:spacing w:val="-87"/>
        </w:rPr>
        <w:t> </w:t>
      </w:r>
      <w:r>
        <w:rPr/>
        <w:t>募集资金使用情况</w:t>
      </w:r>
    </w:p>
    <w:p>
      <w:pPr>
        <w:pStyle w:val="BodyText"/>
        <w:spacing w:line="240" w:lineRule="auto" w:before="167"/>
        <w:ind w:left="677" w:right="260"/>
        <w:jc w:val="left"/>
      </w:pPr>
      <w:r>
        <w:rPr>
          <w:rFonts w:ascii="Times New Roman" w:hAnsi="Times New Roman" w:cs="Times New Roman" w:eastAsia="Times New Roman" w:hint="default"/>
        </w:rPr>
        <w:t>1</w:t>
      </w:r>
      <w:r>
        <w:rPr/>
        <w:t>．募集资金到位情况</w:t>
      </w:r>
    </w:p>
    <w:p>
      <w:pPr>
        <w:pStyle w:val="BodyText"/>
        <w:spacing w:line="352" w:lineRule="auto" w:before="149"/>
        <w:ind w:left="217" w:right="152" w:firstLine="459"/>
        <w:jc w:val="left"/>
      </w:pPr>
      <w:r>
        <w:rPr>
          <w:spacing w:val="-1"/>
          <w:w w:val="100"/>
        </w:rPr>
        <w:t>公司经中国证券监督管理委员会</w:t>
      </w:r>
      <w:r>
        <w:rPr>
          <w:rFonts w:ascii="Times New Roman" w:hAnsi="Times New Roman" w:cs="Times New Roman" w:eastAsia="Times New Roman" w:hint="default"/>
          <w:spacing w:val="-1"/>
          <w:w w:val="100"/>
        </w:rPr>
        <w:t>“</w:t>
      </w:r>
      <w:r>
        <w:rPr>
          <w:spacing w:val="-1"/>
          <w:w w:val="100"/>
        </w:rPr>
        <w:t>证监许可</w:t>
      </w:r>
      <w:r>
        <w:rPr>
          <w:rFonts w:ascii="Times New Roman" w:hAnsi="Times New Roman" w:cs="Times New Roman" w:eastAsia="Times New Roman" w:hint="default"/>
          <w:spacing w:val="-1"/>
          <w:w w:val="100"/>
        </w:rPr>
        <w:t>[2010]548</w:t>
      </w:r>
      <w:r>
        <w:rPr>
          <w:rFonts w:ascii="Times New Roman" w:hAnsi="Times New Roman" w:cs="Times New Roman" w:eastAsia="Times New Roman" w:hint="default"/>
          <w:w w:val="100"/>
        </w:rPr>
        <w:t> </w:t>
      </w:r>
      <w:r>
        <w:rPr>
          <w:spacing w:val="-13"/>
          <w:w w:val="100"/>
        </w:rPr>
        <w:t>号</w:t>
      </w:r>
      <w:r>
        <w:rPr>
          <w:rFonts w:ascii="Times New Roman" w:hAnsi="Times New Roman" w:cs="Times New Roman" w:eastAsia="Times New Roman" w:hint="default"/>
          <w:spacing w:val="-13"/>
          <w:w w:val="100"/>
        </w:rPr>
        <w:t>”</w:t>
      </w:r>
      <w:r>
        <w:rPr>
          <w:spacing w:val="-13"/>
          <w:w w:val="100"/>
        </w:rPr>
        <w:t>核准，公司于</w:t>
      </w:r>
      <w:r>
        <w:rPr>
          <w:spacing w:val="-57"/>
          <w:w w:val="100"/>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1"/>
          <w:w w:val="100"/>
        </w:rPr>
        <w:t> </w:t>
      </w:r>
      <w:r>
        <w:rPr>
          <w:w w:val="100"/>
        </w:rPr>
        <w:t>年</w:t>
      </w:r>
      <w:r>
        <w:rPr>
          <w:spacing w:val="-57"/>
          <w:w w:val="100"/>
        </w:rPr>
        <w:t> </w:t>
      </w:r>
      <w:r>
        <w:rPr>
          <w:rFonts w:ascii="Times New Roman" w:hAnsi="Times New Roman" w:cs="Times New Roman" w:eastAsia="Times New Roman" w:hint="default"/>
          <w:w w:val="100"/>
        </w:rPr>
        <w:t>5 </w:t>
      </w:r>
      <w:r>
        <w:rPr/>
        <w:t>月</w:t>
      </w:r>
      <w:r>
        <w:rPr>
          <w:spacing w:val="-54"/>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spacing w:val="-5"/>
        </w:rPr>
        <w:t>日首次向社会公开发行人民币普通股（</w:t>
      </w:r>
      <w:r>
        <w:rPr>
          <w:rFonts w:ascii="Times New Roman" w:hAnsi="Times New Roman" w:cs="Times New Roman" w:eastAsia="Times New Roman" w:hint="default"/>
          <w:spacing w:val="-5"/>
        </w:rPr>
        <w:t>A</w:t>
      </w:r>
      <w:r>
        <w:rPr>
          <w:rFonts w:ascii="Times New Roman" w:hAnsi="Times New Roman" w:cs="Times New Roman" w:eastAsia="Times New Roman" w:hint="default"/>
          <w:spacing w:val="-1"/>
        </w:rPr>
        <w:t> </w:t>
      </w:r>
      <w:r>
        <w:rPr>
          <w:spacing w:val="-10"/>
        </w:rPr>
        <w:t>股）</w:t>
      </w:r>
      <w:r>
        <w:rPr>
          <w:rFonts w:ascii="Times New Roman" w:hAnsi="Times New Roman" w:cs="Times New Roman" w:eastAsia="Times New Roman" w:hint="default"/>
          <w:spacing w:val="-10"/>
        </w:rPr>
        <w:t>1500</w:t>
      </w:r>
      <w:r>
        <w:rPr>
          <w:rFonts w:ascii="Times New Roman" w:hAnsi="Times New Roman" w:cs="Times New Roman" w:eastAsia="Times New Roman" w:hint="default"/>
          <w:spacing w:val="2"/>
        </w:rPr>
        <w:t> </w:t>
      </w:r>
      <w:r>
        <w:rPr>
          <w:spacing w:val="-7"/>
        </w:rPr>
        <w:t>万股，发行价格每股</w:t>
      </w:r>
      <w:r>
        <w:rPr>
          <w:spacing w:val="-55"/>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元，</w:t>
      </w:r>
      <w:r>
        <w:rPr>
          <w:w w:val="100"/>
        </w:rPr>
        <w:t> </w:t>
      </w:r>
      <w:r>
        <w:rPr/>
        <w:t>募集资金总额为</w:t>
      </w:r>
      <w:r>
        <w:rPr>
          <w:spacing w:val="-52"/>
        </w:rPr>
        <w:t> </w:t>
      </w:r>
      <w:r>
        <w:rPr>
          <w:rFonts w:ascii="Times New Roman" w:hAnsi="Times New Roman" w:cs="Times New Roman" w:eastAsia="Times New Roman" w:hint="default"/>
        </w:rPr>
        <w:t>420,000,000.00</w:t>
      </w:r>
      <w:r>
        <w:rPr>
          <w:rFonts w:ascii="Times New Roman" w:hAnsi="Times New Roman" w:cs="Times New Roman" w:eastAsia="Times New Roman" w:hint="default"/>
          <w:spacing w:val="5"/>
        </w:rPr>
        <w:t> </w:t>
      </w:r>
      <w:r>
        <w:rPr/>
        <w:t>元，扣除发行费用</w:t>
      </w:r>
      <w:r>
        <w:rPr>
          <w:spacing w:val="-52"/>
        </w:rPr>
        <w:t> </w:t>
      </w:r>
      <w:r>
        <w:rPr>
          <w:rFonts w:ascii="Times New Roman" w:hAnsi="Times New Roman" w:cs="Times New Roman" w:eastAsia="Times New Roman" w:hint="default"/>
        </w:rPr>
        <w:t>31,049,260.04</w:t>
      </w:r>
      <w:r>
        <w:rPr>
          <w:rFonts w:ascii="Times New Roman" w:hAnsi="Times New Roman" w:cs="Times New Roman" w:eastAsia="Times New Roman" w:hint="default"/>
          <w:spacing w:val="4"/>
        </w:rPr>
        <w:t> </w:t>
      </w:r>
      <w:r>
        <w:rPr/>
        <w:t>元，募集资金净额</w:t>
      </w:r>
    </w:p>
    <w:p>
      <w:pPr>
        <w:pStyle w:val="BodyText"/>
        <w:spacing w:line="240" w:lineRule="auto" w:before="30"/>
        <w:ind w:left="217" w:right="152"/>
        <w:jc w:val="left"/>
      </w:pPr>
      <w:r>
        <w:rPr/>
        <w:t>为 </w:t>
      </w:r>
      <w:r>
        <w:rPr>
          <w:rFonts w:ascii="Times New Roman" w:hAnsi="Times New Roman" w:cs="Times New Roman" w:eastAsia="Times New Roman" w:hint="default"/>
        </w:rPr>
        <w:t>388,950,739.96 </w:t>
      </w:r>
      <w:r>
        <w:rPr/>
        <w:t>元。其中，募集资金投资项目使用资金 </w:t>
      </w:r>
      <w:r>
        <w:rPr>
          <w:rFonts w:ascii="Times New Roman" w:hAnsi="Times New Roman" w:cs="Times New Roman" w:eastAsia="Times New Roman" w:hint="default"/>
        </w:rPr>
        <w:t>137,251,000.00</w:t>
      </w:r>
      <w:r>
        <w:rPr>
          <w:rFonts w:ascii="Times New Roman" w:hAnsi="Times New Roman" w:cs="Times New Roman" w:eastAsia="Times New Roman" w:hint="default"/>
          <w:spacing w:val="20"/>
        </w:rPr>
        <w:t> </w:t>
      </w:r>
      <w:r>
        <w:rPr/>
        <w:t>元，其余</w:t>
      </w:r>
    </w:p>
    <w:p>
      <w:pPr>
        <w:pStyle w:val="BodyText"/>
        <w:spacing w:line="240" w:lineRule="auto" w:before="149"/>
        <w:ind w:left="217" w:right="152"/>
        <w:jc w:val="left"/>
      </w:pPr>
      <w:r>
        <w:rPr>
          <w:rFonts w:ascii="Times New Roman" w:hAnsi="Times New Roman" w:cs="Times New Roman" w:eastAsia="Times New Roman" w:hint="default"/>
        </w:rPr>
        <w:t>251,699,739.96</w:t>
      </w:r>
      <w:r>
        <w:rPr>
          <w:rFonts w:ascii="Times New Roman" w:hAnsi="Times New Roman" w:cs="Times New Roman" w:eastAsia="Times New Roman" w:hint="default"/>
          <w:spacing w:val="26"/>
        </w:rPr>
        <w:t> </w:t>
      </w:r>
      <w:r>
        <w:rPr>
          <w:spacing w:val="-4"/>
        </w:rPr>
        <w:t>元为用于其他与主营业务相关的营运资金（超募资金）。上述资金已</w:t>
      </w:r>
    </w:p>
    <w:p>
      <w:pPr>
        <w:pStyle w:val="BodyText"/>
        <w:spacing w:line="240" w:lineRule="auto" w:before="149"/>
        <w:ind w:left="217" w:right="260"/>
        <w:jc w:val="left"/>
      </w:pPr>
      <w:r>
        <w:rPr/>
        <w:t>于</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9"/>
        </w:rPr>
        <w:t> </w:t>
      </w:r>
      <w:r>
        <w:rPr>
          <w:rFonts w:ascii="Times New Roman" w:hAnsi="Times New Roman" w:cs="Times New Roman" w:eastAsia="Times New Roman" w:hint="default"/>
        </w:rPr>
        <w:t>5 </w:t>
      </w:r>
      <w:r>
        <w:rPr/>
        <w:t>月</w:t>
      </w:r>
      <w:r>
        <w:rPr>
          <w:spacing w:val="-58"/>
        </w:rPr>
        <w:t> </w:t>
      </w:r>
      <w:r>
        <w:rPr>
          <w:rFonts w:ascii="Times New Roman" w:hAnsi="Times New Roman" w:cs="Times New Roman" w:eastAsia="Times New Roman" w:hint="default"/>
        </w:rPr>
        <w:t>18 </w:t>
      </w:r>
      <w:r>
        <w:rPr/>
        <w:t>日全部到位。</w:t>
      </w:r>
    </w:p>
    <w:p>
      <w:pPr>
        <w:pStyle w:val="BodyText"/>
        <w:spacing w:line="352" w:lineRule="auto" w:before="149"/>
        <w:ind w:left="677" w:right="260"/>
        <w:jc w:val="left"/>
      </w:pPr>
      <w:r>
        <w:rPr>
          <w:rFonts w:ascii="Times New Roman" w:hAnsi="Times New Roman" w:cs="Times New Roman" w:eastAsia="Times New Roman" w:hint="default"/>
        </w:rPr>
        <w:t>2</w:t>
      </w:r>
      <w:r>
        <w:rPr/>
        <w:t>．募集资金管理情况</w:t>
      </w:r>
      <w:r>
        <w:rPr>
          <w:spacing w:val="-102"/>
        </w:rPr>
        <w:t> </w:t>
      </w:r>
      <w:r>
        <w:rPr>
          <w:spacing w:val="-102"/>
        </w:rPr>
      </w:r>
      <w:r>
        <w:rPr/>
        <w:t>按照中国证监会《上市公司证券发行管理办法》的有关规定，公司对募集资金</w:t>
      </w:r>
    </w:p>
    <w:p>
      <w:pPr>
        <w:pStyle w:val="BodyText"/>
        <w:spacing w:line="240" w:lineRule="auto" w:before="59"/>
        <w:ind w:left="217" w:right="152"/>
        <w:jc w:val="left"/>
      </w:pPr>
      <w:r>
        <w:rPr/>
        <w:t>采取了专户存储制度，在以下银行开设了募集资金的存储专户，截至</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p>
    <w:p>
      <w:pPr>
        <w:pStyle w:val="BodyText"/>
        <w:spacing w:line="240" w:lineRule="auto" w:before="149"/>
        <w:ind w:left="217" w:right="260"/>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52"/>
        </w:rPr>
        <w:t> </w:t>
      </w:r>
      <w:r>
        <w:rPr/>
        <w:t>日，募集资金得存储情况列示如下：</w:t>
      </w:r>
    </w:p>
    <w:p>
      <w:pPr>
        <w:pStyle w:val="BodyText"/>
        <w:spacing w:line="240" w:lineRule="auto" w:before="71"/>
        <w:ind w:left="0" w:right="272"/>
        <w:jc w:val="right"/>
      </w:pPr>
      <w:r>
        <w:rPr/>
        <w:t>单位：元</w:t>
      </w:r>
    </w:p>
    <w:p>
      <w:pPr>
        <w:spacing w:line="240" w:lineRule="auto" w:before="12"/>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2268"/>
        <w:gridCol w:w="2706"/>
        <w:gridCol w:w="1794"/>
        <w:gridCol w:w="1800"/>
      </w:tblGrid>
      <w:tr>
        <w:trPr>
          <w:trHeight w:val="383" w:hRule="exact"/>
        </w:trPr>
        <w:tc>
          <w:tcPr>
            <w:tcW w:w="226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right="497"/>
              <w:jc w:val="right"/>
              <w:rPr>
                <w:rFonts w:ascii="宋体" w:hAnsi="宋体" w:cs="宋体" w:eastAsia="宋体" w:hint="default"/>
                <w:sz w:val="21"/>
                <w:szCs w:val="21"/>
              </w:rPr>
            </w:pPr>
            <w:r>
              <w:rPr>
                <w:rFonts w:ascii="宋体" w:hAnsi="宋体" w:cs="宋体" w:eastAsia="宋体" w:hint="default"/>
                <w:sz w:val="21"/>
                <w:szCs w:val="21"/>
              </w:rPr>
              <w:t>存储银行名称</w:t>
            </w:r>
          </w:p>
        </w:tc>
        <w:tc>
          <w:tcPr>
            <w:tcW w:w="270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账号</w:t>
            </w:r>
          </w:p>
        </w:tc>
        <w:tc>
          <w:tcPr>
            <w:tcW w:w="179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367" w:right="0"/>
              <w:jc w:val="left"/>
              <w:rPr>
                <w:rFonts w:ascii="宋体" w:hAnsi="宋体" w:cs="宋体" w:eastAsia="宋体" w:hint="default"/>
                <w:sz w:val="21"/>
                <w:szCs w:val="21"/>
              </w:rPr>
            </w:pPr>
            <w:r>
              <w:rPr>
                <w:rFonts w:ascii="宋体" w:hAnsi="宋体" w:cs="宋体" w:eastAsia="宋体" w:hint="default"/>
                <w:sz w:val="21"/>
                <w:szCs w:val="21"/>
              </w:rPr>
              <w:t>截止日余额</w:t>
            </w:r>
          </w:p>
        </w:tc>
        <w:tc>
          <w:tcPr>
            <w:tcW w:w="18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right="158"/>
              <w:jc w:val="right"/>
              <w:rPr>
                <w:rFonts w:ascii="宋体" w:hAnsi="宋体" w:cs="宋体" w:eastAsia="宋体" w:hint="default"/>
                <w:sz w:val="21"/>
                <w:szCs w:val="21"/>
              </w:rPr>
            </w:pPr>
            <w:r>
              <w:rPr>
                <w:rFonts w:ascii="宋体" w:hAnsi="宋体" w:cs="宋体" w:eastAsia="宋体" w:hint="default"/>
                <w:sz w:val="21"/>
                <w:szCs w:val="21"/>
              </w:rPr>
              <w:t>其中：定期存款</w:t>
            </w:r>
          </w:p>
        </w:tc>
      </w:tr>
      <w:tr>
        <w:trPr>
          <w:trHeight w:val="38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73"/>
              <w:jc w:val="right"/>
              <w:rPr>
                <w:rFonts w:ascii="宋体" w:hAnsi="宋体" w:cs="宋体" w:eastAsia="宋体" w:hint="default"/>
                <w:sz w:val="21"/>
                <w:szCs w:val="21"/>
              </w:rPr>
            </w:pPr>
            <w:r>
              <w:rPr>
                <w:rFonts w:ascii="宋体" w:hAnsi="宋体" w:cs="宋体" w:eastAsia="宋体" w:hint="default"/>
                <w:sz w:val="21"/>
                <w:szCs w:val="21"/>
              </w:rPr>
              <w:t>杭州银行深圳分行</w:t>
            </w:r>
          </w:p>
        </w:tc>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Times New Roman" w:hAnsi="Times New Roman" w:cs="Times New Roman" w:eastAsia="Times New Roman" w:hint="default"/>
                <w:sz w:val="21"/>
                <w:szCs w:val="21"/>
              </w:rPr>
            </w:pPr>
            <w:r>
              <w:rPr>
                <w:rFonts w:ascii="Times New Roman"/>
                <w:sz w:val="21"/>
              </w:rPr>
              <w:t>4403092218100141761</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7,458,508.16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21"/>
                <w:szCs w:val="21"/>
              </w:rPr>
            </w:pPr>
            <w:r>
              <w:rPr>
                <w:rFonts w:ascii="Times New Roman"/>
                <w:sz w:val="21"/>
              </w:rPr>
              <w:t>-</w:t>
            </w:r>
          </w:p>
        </w:tc>
      </w:tr>
      <w:tr>
        <w:trPr>
          <w:trHeight w:val="38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73"/>
              <w:jc w:val="right"/>
              <w:rPr>
                <w:rFonts w:ascii="宋体" w:hAnsi="宋体" w:cs="宋体" w:eastAsia="宋体" w:hint="default"/>
                <w:sz w:val="21"/>
                <w:szCs w:val="21"/>
              </w:rPr>
            </w:pPr>
            <w:r>
              <w:rPr>
                <w:rFonts w:ascii="宋体" w:hAnsi="宋体" w:cs="宋体" w:eastAsia="宋体" w:hint="default"/>
                <w:sz w:val="21"/>
                <w:szCs w:val="21"/>
              </w:rPr>
              <w:t>杭州银行深圳分行</w:t>
            </w:r>
          </w:p>
        </w:tc>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Times New Roman" w:hAnsi="Times New Roman" w:cs="Times New Roman" w:eastAsia="Times New Roman" w:hint="default"/>
                <w:sz w:val="21"/>
                <w:szCs w:val="21"/>
              </w:rPr>
            </w:pPr>
            <w:r>
              <w:rPr>
                <w:rFonts w:ascii="Times New Roman"/>
                <w:sz w:val="21"/>
              </w:rPr>
              <w:t>4403092218100143602</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200,000,000.00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200,000,000.00</w:t>
            </w:r>
          </w:p>
        </w:tc>
      </w:tr>
      <w:tr>
        <w:trPr>
          <w:trHeight w:val="38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73"/>
              <w:jc w:val="right"/>
              <w:rPr>
                <w:rFonts w:ascii="宋体" w:hAnsi="宋体" w:cs="宋体" w:eastAsia="宋体" w:hint="default"/>
                <w:sz w:val="21"/>
                <w:szCs w:val="21"/>
              </w:rPr>
            </w:pPr>
            <w:r>
              <w:rPr>
                <w:rFonts w:ascii="宋体" w:hAnsi="宋体" w:cs="宋体" w:eastAsia="宋体" w:hint="default"/>
                <w:sz w:val="21"/>
                <w:szCs w:val="21"/>
              </w:rPr>
              <w:t>浙商银行深圳分行</w:t>
            </w:r>
          </w:p>
        </w:tc>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Times New Roman" w:hAnsi="Times New Roman" w:cs="Times New Roman" w:eastAsia="Times New Roman" w:hint="default"/>
                <w:sz w:val="21"/>
                <w:szCs w:val="21"/>
              </w:rPr>
            </w:pPr>
            <w:r>
              <w:rPr>
                <w:rFonts w:ascii="Times New Roman"/>
                <w:sz w:val="21"/>
              </w:rPr>
              <w:t>5840000010120100017581</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7,440,890.76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z w:val="21"/>
              </w:rPr>
              <w:t>-</w:t>
            </w:r>
          </w:p>
        </w:tc>
      </w:tr>
      <w:tr>
        <w:trPr>
          <w:trHeight w:val="38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73"/>
              <w:jc w:val="right"/>
              <w:rPr>
                <w:rFonts w:ascii="宋体" w:hAnsi="宋体" w:cs="宋体" w:eastAsia="宋体" w:hint="default"/>
                <w:sz w:val="21"/>
                <w:szCs w:val="21"/>
              </w:rPr>
            </w:pPr>
            <w:r>
              <w:rPr>
                <w:rFonts w:ascii="宋体" w:hAnsi="宋体" w:cs="宋体" w:eastAsia="宋体" w:hint="default"/>
                <w:sz w:val="21"/>
                <w:szCs w:val="21"/>
              </w:rPr>
              <w:t>浙商银行深圳分行</w:t>
            </w:r>
          </w:p>
        </w:tc>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Times New Roman" w:hAnsi="Times New Roman" w:cs="Times New Roman" w:eastAsia="Times New Roman" w:hint="default"/>
                <w:sz w:val="21"/>
                <w:szCs w:val="21"/>
              </w:rPr>
            </w:pPr>
            <w:r>
              <w:rPr>
                <w:rFonts w:ascii="Times New Roman"/>
                <w:sz w:val="21"/>
              </w:rPr>
              <w:t>5840000010121800008292</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98,000,000.00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98,000,000.00</w:t>
            </w:r>
          </w:p>
        </w:tc>
      </w:tr>
      <w:tr>
        <w:trPr>
          <w:trHeight w:val="69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6"/>
              <w:ind w:left="103" w:right="80"/>
              <w:jc w:val="left"/>
              <w:rPr>
                <w:rFonts w:ascii="宋体" w:hAnsi="宋体" w:cs="宋体" w:eastAsia="宋体" w:hint="default"/>
                <w:sz w:val="21"/>
                <w:szCs w:val="21"/>
              </w:rPr>
            </w:pPr>
            <w:r>
              <w:rPr>
                <w:rFonts w:ascii="宋体" w:hAnsi="宋体" w:cs="宋体" w:eastAsia="宋体" w:hint="default"/>
                <w:spacing w:val="17"/>
                <w:sz w:val="21"/>
                <w:szCs w:val="21"/>
              </w:rPr>
              <w:t>上海浦东发展银行深</w:t>
            </w:r>
            <w:r>
              <w:rPr>
                <w:rFonts w:ascii="宋体" w:hAnsi="宋体" w:cs="宋体" w:eastAsia="宋体" w:hint="default"/>
                <w:spacing w:val="-99"/>
                <w:sz w:val="21"/>
                <w:szCs w:val="21"/>
              </w:rPr>
              <w:t> </w:t>
            </w:r>
            <w:r>
              <w:rPr>
                <w:rFonts w:ascii="宋体" w:hAnsi="宋体" w:cs="宋体" w:eastAsia="宋体" w:hint="default"/>
                <w:sz w:val="21"/>
                <w:szCs w:val="21"/>
              </w:rPr>
              <w:t>圳泰然支行</w:t>
            </w:r>
          </w:p>
        </w:tc>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79100155200000677</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2,622,517.24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r>
      <w:tr>
        <w:trPr>
          <w:trHeight w:val="38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z w:val="21"/>
              </w:rPr>
              <w:t>-</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315,521,916.16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298,000,000.00</w:t>
            </w:r>
          </w:p>
        </w:tc>
      </w:tr>
    </w:tbl>
    <w:p>
      <w:pPr>
        <w:spacing w:line="240" w:lineRule="auto" w:before="5"/>
        <w:rPr>
          <w:rFonts w:ascii="宋体" w:hAnsi="宋体" w:cs="宋体" w:eastAsia="宋体" w:hint="default"/>
          <w:sz w:val="13"/>
          <w:szCs w:val="13"/>
        </w:rPr>
      </w:pPr>
    </w:p>
    <w:p>
      <w:pPr>
        <w:pStyle w:val="BodyText"/>
        <w:spacing w:line="352" w:lineRule="auto" w:before="29"/>
        <w:ind w:left="677" w:right="264" w:hanging="2"/>
        <w:jc w:val="left"/>
      </w:pPr>
      <w:r>
        <w:rPr>
          <w:rFonts w:ascii="Times New Roman" w:hAnsi="Times New Roman" w:cs="Times New Roman" w:eastAsia="Times New Roman" w:hint="default"/>
        </w:rPr>
        <w:t>3</w:t>
      </w:r>
      <w:r>
        <w:rPr/>
        <w:t>．报告期内募集资金使用情况</w:t>
      </w:r>
      <w:r>
        <w:rPr>
          <w:spacing w:val="-103"/>
        </w:rPr>
        <w:t> </w:t>
      </w:r>
      <w:r>
        <w:rPr>
          <w:spacing w:val="-103"/>
        </w:rPr>
      </w:r>
      <w:r>
        <w:rPr/>
        <w:t>截至报告期末，公司首次公开发行股票募集资金净额 </w:t>
      </w:r>
      <w:r>
        <w:rPr>
          <w:rFonts w:ascii="Times New Roman" w:hAnsi="Times New Roman" w:cs="Times New Roman" w:eastAsia="Times New Roman" w:hint="default"/>
        </w:rPr>
        <w:t>388,950,739.96</w:t>
      </w:r>
      <w:r>
        <w:rPr>
          <w:rFonts w:ascii="Times New Roman" w:hAnsi="Times New Roman" w:cs="Times New Roman" w:eastAsia="Times New Roman" w:hint="default"/>
          <w:spacing w:val="23"/>
        </w:rPr>
        <w:t> </w:t>
      </w:r>
      <w:r>
        <w:rPr/>
        <w:t>元，已投</w:t>
      </w:r>
    </w:p>
    <w:p>
      <w:pPr>
        <w:pStyle w:val="BodyText"/>
        <w:spacing w:line="240" w:lineRule="auto" w:before="30"/>
        <w:ind w:left="217" w:right="152"/>
        <w:jc w:val="left"/>
      </w:pPr>
      <w:r>
        <w:rPr/>
        <w:t>入</w:t>
      </w:r>
      <w:r>
        <w:rPr>
          <w:spacing w:val="-73"/>
        </w:rPr>
        <w:t> </w:t>
      </w:r>
      <w:r>
        <w:rPr>
          <w:spacing w:val="28"/>
        </w:rPr>
        <w:t>募集资金</w:t>
      </w:r>
      <w:r>
        <w:rPr>
          <w:spacing w:val="-73"/>
        </w:rPr>
        <w:t> </w:t>
      </w:r>
      <w:r>
        <w:rPr>
          <w:spacing w:val="28"/>
        </w:rPr>
        <w:t>投资项目</w:t>
      </w:r>
      <w:r>
        <w:rPr>
          <w:spacing w:val="49"/>
        </w:rPr>
        <w:t> </w:t>
      </w:r>
      <w:r>
        <w:rPr>
          <w:rFonts w:ascii="Times New Roman" w:hAnsi="Times New Roman" w:cs="Times New Roman" w:eastAsia="Times New Roman" w:hint="default"/>
        </w:rPr>
        <w:t>40,447,133.04 </w:t>
      </w:r>
      <w:r>
        <w:rPr>
          <w:rFonts w:ascii="Times New Roman" w:hAnsi="Times New Roman" w:cs="Times New Roman" w:eastAsia="Times New Roman" w:hint="default"/>
          <w:spacing w:val="50"/>
        </w:rPr>
        <w:t> </w:t>
      </w:r>
      <w:r>
        <w:rPr>
          <w:spacing w:val="25"/>
        </w:rPr>
        <w:t>元，使</w:t>
      </w:r>
      <w:r>
        <w:rPr>
          <w:spacing w:val="-73"/>
        </w:rPr>
        <w:t> </w:t>
      </w:r>
      <w:r>
        <w:rPr>
          <w:spacing w:val="28"/>
        </w:rPr>
        <w:t>用超募资</w:t>
      </w:r>
      <w:r>
        <w:rPr>
          <w:spacing w:val="-73"/>
        </w:rPr>
        <w:t> </w:t>
      </w:r>
      <w:r>
        <w:rPr>
          <w:spacing w:val="28"/>
        </w:rPr>
        <w:t>金永久补</w:t>
      </w:r>
      <w:r>
        <w:rPr>
          <w:spacing w:val="-73"/>
        </w:rPr>
        <w:t> </w:t>
      </w:r>
      <w:r>
        <w:rPr>
          <w:spacing w:val="28"/>
        </w:rPr>
        <w:t>充流动资</w:t>
      </w:r>
      <w:r>
        <w:rPr>
          <w:spacing w:val="-71"/>
        </w:rPr>
        <w:t> </w:t>
      </w:r>
      <w:r>
        <w:rPr/>
        <w:t>金</w:t>
      </w:r>
    </w:p>
    <w:p>
      <w:pPr>
        <w:pStyle w:val="BodyText"/>
        <w:spacing w:line="240" w:lineRule="auto" w:before="149"/>
        <w:ind w:left="217" w:right="152"/>
        <w:jc w:val="left"/>
      </w:pPr>
      <w:r>
        <w:rPr>
          <w:rFonts w:ascii="Times New Roman" w:hAnsi="Times New Roman" w:cs="Times New Roman" w:eastAsia="Times New Roman" w:hint="default"/>
        </w:rPr>
        <w:t>45,000,000.00 </w:t>
      </w:r>
      <w:r>
        <w:rPr/>
        <w:t>元。募集资金获得利息收入（扣除手续费净额）</w:t>
      </w:r>
      <w:r>
        <w:rPr>
          <w:rFonts w:ascii="Times New Roman" w:hAnsi="Times New Roman" w:cs="Times New Roman" w:eastAsia="Times New Roman" w:hint="default"/>
        </w:rPr>
        <w:t>12,018,309.24</w:t>
      </w:r>
      <w:r>
        <w:rPr>
          <w:rFonts w:ascii="Times New Roman" w:hAnsi="Times New Roman" w:cs="Times New Roman" w:eastAsia="Times New Roman" w:hint="default"/>
          <w:spacing w:val="19"/>
        </w:rPr>
        <w:t> </w:t>
      </w:r>
      <w:r>
        <w:rPr/>
        <w:t>元。截</w:t>
      </w:r>
    </w:p>
    <w:p>
      <w:pPr>
        <w:pStyle w:val="BodyText"/>
        <w:spacing w:line="240" w:lineRule="auto" w:before="149"/>
        <w:ind w:left="217" w:right="260"/>
        <w:jc w:val="left"/>
      </w:pPr>
      <w:r>
        <w:rPr/>
        <w:t>止报告期末募集资金专用账户总余额</w:t>
      </w:r>
      <w:r>
        <w:rPr>
          <w:spacing w:val="-64"/>
        </w:rPr>
        <w:t> </w:t>
      </w:r>
      <w:r>
        <w:rPr>
          <w:rFonts w:ascii="Times New Roman" w:hAnsi="Times New Roman" w:cs="Times New Roman" w:eastAsia="Times New Roman" w:hint="default"/>
        </w:rPr>
        <w:t>315,521,916.16</w:t>
      </w:r>
      <w:r>
        <w:rPr>
          <w:rFonts w:ascii="Times New Roman" w:hAnsi="Times New Roman" w:cs="Times New Roman" w:eastAsia="Times New Roman" w:hint="default"/>
          <w:spacing w:val="-6"/>
        </w:rPr>
        <w:t> </w:t>
      </w:r>
      <w:r>
        <w:rPr/>
        <w:t>元。</w:t>
      </w:r>
    </w:p>
    <w:p>
      <w:pPr>
        <w:spacing w:line="240" w:lineRule="auto" w:before="5"/>
        <w:rPr>
          <w:rFonts w:ascii="宋体" w:hAnsi="宋体" w:cs="宋体" w:eastAsia="宋体" w:hint="default"/>
          <w:sz w:val="23"/>
          <w:szCs w:val="23"/>
        </w:rPr>
      </w:pPr>
    </w:p>
    <w:p>
      <w:pPr>
        <w:pStyle w:val="BodyText"/>
        <w:spacing w:line="240" w:lineRule="auto"/>
        <w:ind w:left="676" w:right="260"/>
        <w:jc w:val="left"/>
      </w:pPr>
      <w:r>
        <w:rPr>
          <w:rFonts w:ascii="Times New Roman" w:hAnsi="Times New Roman" w:cs="Times New Roman" w:eastAsia="Times New Roman" w:hint="default"/>
        </w:rPr>
        <w:t>4</w:t>
      </w:r>
      <w:r>
        <w:rPr/>
        <w:t>．募集资金使用情况对照表</w:t>
      </w:r>
    </w:p>
    <w:p>
      <w:pPr>
        <w:spacing w:after="0" w:line="240" w:lineRule="auto"/>
        <w:jc w:val="left"/>
        <w:sectPr>
          <w:pgSz w:w="11910" w:h="16840"/>
          <w:pgMar w:header="877" w:footer="982" w:top="1100" w:bottom="1180" w:left="1580" w:right="15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before="29"/>
        <w:ind w:left="0" w:right="418"/>
        <w:jc w:val="right"/>
      </w:pPr>
      <w:r>
        <w:rPr>
          <w:spacing w:val="-1"/>
        </w:rPr>
        <w:t>单位：万元</w:t>
      </w:r>
    </w:p>
    <w:p>
      <w:pPr>
        <w:spacing w:line="240" w:lineRule="auto" w:before="10"/>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4846"/>
        <w:gridCol w:w="893"/>
        <w:gridCol w:w="1080"/>
        <w:gridCol w:w="1087"/>
        <w:gridCol w:w="920"/>
        <w:gridCol w:w="907"/>
        <w:gridCol w:w="909"/>
        <w:gridCol w:w="1262"/>
        <w:gridCol w:w="904"/>
        <w:gridCol w:w="907"/>
        <w:gridCol w:w="896"/>
      </w:tblGrid>
      <w:tr>
        <w:trPr>
          <w:trHeight w:val="154" w:hRule="exact"/>
        </w:trPr>
        <w:tc>
          <w:tcPr>
            <w:tcW w:w="6818"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募集资金总额</w:t>
            </w:r>
          </w:p>
        </w:tc>
        <w:tc>
          <w:tcPr>
            <w:tcW w:w="2007" w:type="dxa"/>
            <w:gridSpan w:val="2"/>
            <w:vMerge w:val="restart"/>
            <w:tcBorders>
              <w:top w:val="single" w:sz="4" w:space="0" w:color="000000"/>
              <w:left w:val="single" w:sz="10" w:space="0" w:color="DCDCDC"/>
              <w:right w:val="single" w:sz="10" w:space="0" w:color="DCDCDC"/>
            </w:tcBorders>
          </w:tcPr>
          <w:p>
            <w:pPr>
              <w:pStyle w:val="TableParagraph"/>
              <w:spacing w:line="240" w:lineRule="auto" w:before="18"/>
              <w:ind w:left="1120" w:right="0"/>
              <w:jc w:val="left"/>
              <w:rPr>
                <w:rFonts w:ascii="Times New Roman" w:hAnsi="Times New Roman" w:cs="Times New Roman" w:eastAsia="Times New Roman" w:hint="default"/>
                <w:sz w:val="21"/>
                <w:szCs w:val="21"/>
              </w:rPr>
            </w:pPr>
            <w:r>
              <w:rPr>
                <w:rFonts w:ascii="Times New Roman"/>
                <w:sz w:val="21"/>
              </w:rPr>
              <w:t>38,895.07</w:t>
            </w:r>
          </w:p>
        </w:tc>
        <w:tc>
          <w:tcPr>
            <w:tcW w:w="3982"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1804" w:type="dxa"/>
            <w:gridSpan w:val="2"/>
            <w:vMerge w:val="restart"/>
            <w:tcBorders>
              <w:top w:val="single" w:sz="4" w:space="0" w:color="000000"/>
              <w:left w:val="single" w:sz="9" w:space="0" w:color="DCDCDC"/>
              <w:right w:val="single" w:sz="4" w:space="0" w:color="000000"/>
            </w:tcBorders>
          </w:tcPr>
          <w:p>
            <w:pPr>
              <w:pStyle w:val="TableParagraph"/>
              <w:spacing w:line="240" w:lineRule="auto" w:before="163"/>
              <w:ind w:left="1029" w:right="0"/>
              <w:jc w:val="left"/>
              <w:rPr>
                <w:rFonts w:ascii="Times New Roman" w:hAnsi="Times New Roman" w:cs="Times New Roman" w:eastAsia="Times New Roman" w:hint="default"/>
                <w:sz w:val="21"/>
                <w:szCs w:val="21"/>
              </w:rPr>
            </w:pPr>
            <w:r>
              <w:rPr>
                <w:rFonts w:ascii="Times New Roman"/>
                <w:sz w:val="21"/>
              </w:rPr>
              <w:t>2,307.54</w:t>
            </w:r>
          </w:p>
        </w:tc>
      </w:tr>
      <w:tr>
        <w:trPr>
          <w:trHeight w:val="140" w:hRule="exact"/>
        </w:trPr>
        <w:tc>
          <w:tcPr>
            <w:tcW w:w="6818" w:type="dxa"/>
            <w:gridSpan w:val="3"/>
            <w:vMerge/>
            <w:tcBorders>
              <w:left w:val="single" w:sz="4" w:space="0" w:color="000000"/>
              <w:bottom w:val="single" w:sz="4" w:space="0" w:color="000000"/>
              <w:right w:val="single" w:sz="4" w:space="0" w:color="000000"/>
            </w:tcBorders>
            <w:shd w:val="clear" w:color="auto" w:fill="DCDCDC"/>
          </w:tcPr>
          <w:p>
            <w:pPr/>
          </w:p>
        </w:tc>
        <w:tc>
          <w:tcPr>
            <w:tcW w:w="2007" w:type="dxa"/>
            <w:gridSpan w:val="2"/>
            <w:vMerge/>
            <w:tcBorders>
              <w:left w:val="single" w:sz="10" w:space="0" w:color="DCDCDC"/>
              <w:bottom w:val="single" w:sz="4" w:space="0" w:color="000000"/>
              <w:right w:val="single" w:sz="10" w:space="0" w:color="DCDCDC"/>
            </w:tcBorders>
          </w:tcPr>
          <w:p>
            <w:pPr/>
          </w:p>
        </w:tc>
        <w:tc>
          <w:tcPr>
            <w:tcW w:w="3982"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828" w:right="0"/>
              <w:jc w:val="left"/>
              <w:rPr>
                <w:rFonts w:ascii="宋体" w:hAnsi="宋体" w:cs="宋体" w:eastAsia="宋体" w:hint="default"/>
                <w:sz w:val="21"/>
                <w:szCs w:val="21"/>
              </w:rPr>
            </w:pPr>
            <w:r>
              <w:rPr>
                <w:rFonts w:ascii="宋体" w:hAnsi="宋体" w:cs="宋体" w:eastAsia="宋体" w:hint="default"/>
                <w:sz w:val="21"/>
                <w:szCs w:val="21"/>
              </w:rPr>
              <w:t>本年度投入募集资金总额</w:t>
            </w:r>
          </w:p>
        </w:tc>
        <w:tc>
          <w:tcPr>
            <w:tcW w:w="1804" w:type="dxa"/>
            <w:gridSpan w:val="2"/>
            <w:vMerge/>
            <w:tcBorders>
              <w:left w:val="single" w:sz="9" w:space="0" w:color="DCDCDC"/>
              <w:right w:val="single" w:sz="4" w:space="0" w:color="000000"/>
            </w:tcBorders>
          </w:tcPr>
          <w:p>
            <w:pPr/>
          </w:p>
        </w:tc>
      </w:tr>
      <w:tr>
        <w:trPr>
          <w:trHeight w:val="132" w:hRule="exact"/>
        </w:trPr>
        <w:tc>
          <w:tcPr>
            <w:tcW w:w="6818"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8" w:lineRule="exact"/>
              <w:ind w:left="1828"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2007" w:type="dxa"/>
            <w:gridSpan w:val="2"/>
            <w:vMerge w:val="restart"/>
            <w:tcBorders>
              <w:top w:val="single" w:sz="4" w:space="0" w:color="000000"/>
              <w:left w:val="single" w:sz="10" w:space="0" w:color="DCDCDC"/>
              <w:right w:val="single" w:sz="10" w:space="0" w:color="DCDCDC"/>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0.00</w:t>
            </w:r>
          </w:p>
        </w:tc>
        <w:tc>
          <w:tcPr>
            <w:tcW w:w="3982" w:type="dxa"/>
            <w:gridSpan w:val="4"/>
            <w:vMerge/>
            <w:tcBorders>
              <w:left w:val="single" w:sz="4" w:space="0" w:color="000000"/>
              <w:bottom w:val="nil" w:sz="6" w:space="0" w:color="auto"/>
              <w:right w:val="single" w:sz="4" w:space="0" w:color="000000"/>
            </w:tcBorders>
            <w:shd w:val="clear" w:color="auto" w:fill="DCDCDC"/>
          </w:tcPr>
          <w:p>
            <w:pPr/>
          </w:p>
        </w:tc>
        <w:tc>
          <w:tcPr>
            <w:tcW w:w="1804" w:type="dxa"/>
            <w:gridSpan w:val="2"/>
            <w:vMerge/>
            <w:tcBorders>
              <w:left w:val="single" w:sz="9" w:space="0" w:color="DCDCDC"/>
              <w:right w:val="single" w:sz="4" w:space="0" w:color="000000"/>
            </w:tcBorders>
          </w:tcPr>
          <w:p>
            <w:pPr/>
          </w:p>
        </w:tc>
      </w:tr>
      <w:tr>
        <w:trPr>
          <w:trHeight w:val="167" w:hRule="exact"/>
        </w:trPr>
        <w:tc>
          <w:tcPr>
            <w:tcW w:w="6818" w:type="dxa"/>
            <w:gridSpan w:val="3"/>
            <w:vMerge/>
            <w:tcBorders>
              <w:left w:val="single" w:sz="4" w:space="0" w:color="000000"/>
              <w:bottom w:val="single" w:sz="4" w:space="0" w:color="000000"/>
              <w:right w:val="single" w:sz="4" w:space="0" w:color="000000"/>
            </w:tcBorders>
            <w:shd w:val="clear" w:color="auto" w:fill="DCDCDC"/>
          </w:tcPr>
          <w:p>
            <w:pPr/>
          </w:p>
        </w:tc>
        <w:tc>
          <w:tcPr>
            <w:tcW w:w="2007" w:type="dxa"/>
            <w:gridSpan w:val="2"/>
            <w:vMerge/>
            <w:tcBorders>
              <w:left w:val="single" w:sz="10" w:space="0" w:color="DCDCDC"/>
              <w:bottom w:val="single" w:sz="4" w:space="0" w:color="000000"/>
              <w:right w:val="single" w:sz="10" w:space="0" w:color="DCDCDC"/>
            </w:tcBorders>
          </w:tcPr>
          <w:p>
            <w:pPr/>
          </w:p>
        </w:tc>
        <w:tc>
          <w:tcPr>
            <w:tcW w:w="3982"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1804" w:type="dxa"/>
            <w:gridSpan w:val="2"/>
            <w:vMerge/>
            <w:tcBorders>
              <w:left w:val="single" w:sz="9" w:space="0" w:color="DCDCDC"/>
              <w:bottom w:val="single" w:sz="4" w:space="0" w:color="000000"/>
              <w:right w:val="single" w:sz="4" w:space="0" w:color="000000"/>
            </w:tcBorders>
          </w:tcPr>
          <w:p>
            <w:pPr/>
          </w:p>
        </w:tc>
      </w:tr>
      <w:tr>
        <w:trPr>
          <w:trHeight w:val="159" w:hRule="exact"/>
        </w:trPr>
        <w:tc>
          <w:tcPr>
            <w:tcW w:w="6818"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9" w:lineRule="exact"/>
              <w:ind w:left="2038"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2007" w:type="dxa"/>
            <w:gridSpan w:val="2"/>
            <w:vMerge w:val="restart"/>
            <w:tcBorders>
              <w:top w:val="single" w:sz="4" w:space="0" w:color="000000"/>
              <w:left w:val="single" w:sz="10" w:space="0" w:color="DCDCDC"/>
              <w:right w:val="single" w:sz="10" w:space="0" w:color="DCDCDC"/>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pacing w:val="-1"/>
                <w:sz w:val="21"/>
              </w:rPr>
              <w:t>0.00</w:t>
            </w:r>
          </w:p>
        </w:tc>
        <w:tc>
          <w:tcPr>
            <w:tcW w:w="3982"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1804" w:type="dxa"/>
            <w:gridSpan w:val="2"/>
            <w:vMerge w:val="restart"/>
            <w:tcBorders>
              <w:top w:val="single" w:sz="4" w:space="0" w:color="000000"/>
              <w:left w:val="single" w:sz="9" w:space="0" w:color="DCDCDC"/>
              <w:right w:val="single" w:sz="4" w:space="0" w:color="000000"/>
            </w:tcBorders>
          </w:tcPr>
          <w:p>
            <w:pPr>
              <w:pStyle w:val="TableParagraph"/>
              <w:spacing w:line="240" w:lineRule="auto" w:before="168"/>
              <w:ind w:left="1029" w:right="0"/>
              <w:jc w:val="left"/>
              <w:rPr>
                <w:rFonts w:ascii="Times New Roman" w:hAnsi="Times New Roman" w:cs="Times New Roman" w:eastAsia="Times New Roman" w:hint="default"/>
                <w:sz w:val="21"/>
                <w:szCs w:val="21"/>
              </w:rPr>
            </w:pPr>
            <w:r>
              <w:rPr>
                <w:rFonts w:ascii="Times New Roman"/>
                <w:sz w:val="21"/>
              </w:rPr>
              <w:t>8,544.71</w:t>
            </w:r>
          </w:p>
        </w:tc>
      </w:tr>
      <w:tr>
        <w:trPr>
          <w:trHeight w:val="140" w:hRule="exact"/>
        </w:trPr>
        <w:tc>
          <w:tcPr>
            <w:tcW w:w="6818" w:type="dxa"/>
            <w:gridSpan w:val="3"/>
            <w:vMerge/>
            <w:tcBorders>
              <w:left w:val="single" w:sz="4" w:space="0" w:color="000000"/>
              <w:bottom w:val="single" w:sz="4" w:space="0" w:color="000000"/>
              <w:right w:val="single" w:sz="4" w:space="0" w:color="000000"/>
            </w:tcBorders>
            <w:shd w:val="clear" w:color="auto" w:fill="DCDCDC"/>
          </w:tcPr>
          <w:p>
            <w:pPr/>
          </w:p>
        </w:tc>
        <w:tc>
          <w:tcPr>
            <w:tcW w:w="2007" w:type="dxa"/>
            <w:gridSpan w:val="2"/>
            <w:vMerge/>
            <w:tcBorders>
              <w:left w:val="single" w:sz="10" w:space="0" w:color="DCDCDC"/>
              <w:bottom w:val="single" w:sz="4" w:space="0" w:color="000000"/>
              <w:right w:val="single" w:sz="10" w:space="0" w:color="DCDCDC"/>
            </w:tcBorders>
          </w:tcPr>
          <w:p>
            <w:pPr/>
          </w:p>
        </w:tc>
        <w:tc>
          <w:tcPr>
            <w:tcW w:w="3982"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828"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1804" w:type="dxa"/>
            <w:gridSpan w:val="2"/>
            <w:vMerge/>
            <w:tcBorders>
              <w:left w:val="single" w:sz="9" w:space="0" w:color="DCDCDC"/>
              <w:right w:val="single" w:sz="4" w:space="0" w:color="000000"/>
            </w:tcBorders>
          </w:tcPr>
          <w:p>
            <w:pPr/>
          </w:p>
        </w:tc>
      </w:tr>
      <w:tr>
        <w:trPr>
          <w:trHeight w:val="132" w:hRule="exact"/>
        </w:trPr>
        <w:tc>
          <w:tcPr>
            <w:tcW w:w="6818"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8" w:lineRule="exact"/>
              <w:ind w:left="1828"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p>
        </w:tc>
        <w:tc>
          <w:tcPr>
            <w:tcW w:w="2007" w:type="dxa"/>
            <w:gridSpan w:val="2"/>
            <w:vMerge w:val="restart"/>
            <w:tcBorders>
              <w:top w:val="single" w:sz="4" w:space="0" w:color="000000"/>
              <w:left w:val="single" w:sz="13" w:space="0" w:color="DCDCDC"/>
              <w:right w:val="single" w:sz="10" w:space="0" w:color="DCDCDC"/>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0.00%</w:t>
            </w:r>
          </w:p>
        </w:tc>
        <w:tc>
          <w:tcPr>
            <w:tcW w:w="3982" w:type="dxa"/>
            <w:gridSpan w:val="4"/>
            <w:vMerge/>
            <w:tcBorders>
              <w:left w:val="single" w:sz="4" w:space="0" w:color="000000"/>
              <w:bottom w:val="nil" w:sz="6" w:space="0" w:color="auto"/>
              <w:right w:val="single" w:sz="4" w:space="0" w:color="000000"/>
            </w:tcBorders>
            <w:shd w:val="clear" w:color="auto" w:fill="DCDCDC"/>
          </w:tcPr>
          <w:p>
            <w:pPr/>
          </w:p>
        </w:tc>
        <w:tc>
          <w:tcPr>
            <w:tcW w:w="1804" w:type="dxa"/>
            <w:gridSpan w:val="2"/>
            <w:vMerge/>
            <w:tcBorders>
              <w:left w:val="single" w:sz="9" w:space="0" w:color="DCDCDC"/>
              <w:right w:val="single" w:sz="4" w:space="0" w:color="000000"/>
            </w:tcBorders>
          </w:tcPr>
          <w:p>
            <w:pPr/>
          </w:p>
        </w:tc>
      </w:tr>
      <w:tr>
        <w:trPr>
          <w:trHeight w:val="168" w:hRule="exact"/>
        </w:trPr>
        <w:tc>
          <w:tcPr>
            <w:tcW w:w="6818" w:type="dxa"/>
            <w:gridSpan w:val="3"/>
            <w:vMerge/>
            <w:tcBorders>
              <w:left w:val="single" w:sz="4" w:space="0" w:color="000000"/>
              <w:bottom w:val="single" w:sz="4" w:space="0" w:color="000000"/>
              <w:right w:val="single" w:sz="4" w:space="0" w:color="000000"/>
            </w:tcBorders>
            <w:shd w:val="clear" w:color="auto" w:fill="DCDCDC"/>
          </w:tcPr>
          <w:p>
            <w:pPr/>
          </w:p>
        </w:tc>
        <w:tc>
          <w:tcPr>
            <w:tcW w:w="2007" w:type="dxa"/>
            <w:gridSpan w:val="2"/>
            <w:vMerge/>
            <w:tcBorders>
              <w:left w:val="single" w:sz="13" w:space="0" w:color="DCDCDC"/>
              <w:bottom w:val="single" w:sz="4" w:space="0" w:color="000000"/>
              <w:right w:val="single" w:sz="10" w:space="0" w:color="DCDCDC"/>
            </w:tcBorders>
          </w:tcPr>
          <w:p>
            <w:pPr/>
          </w:p>
        </w:tc>
        <w:tc>
          <w:tcPr>
            <w:tcW w:w="3982"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1804" w:type="dxa"/>
            <w:gridSpan w:val="2"/>
            <w:vMerge/>
            <w:tcBorders>
              <w:left w:val="single" w:sz="9" w:space="0" w:color="DCDCDC"/>
              <w:bottom w:val="single" w:sz="4" w:space="0" w:color="000000"/>
              <w:right w:val="single" w:sz="4" w:space="0" w:color="000000"/>
            </w:tcBorders>
          </w:tcPr>
          <w:p>
            <w:pPr/>
          </w:p>
        </w:tc>
      </w:tr>
      <w:tr>
        <w:trPr>
          <w:trHeight w:val="140" w:hRule="exact"/>
        </w:trPr>
        <w:tc>
          <w:tcPr>
            <w:tcW w:w="4846" w:type="dxa"/>
            <w:vMerge w:val="restart"/>
            <w:tcBorders>
              <w:top w:val="single" w:sz="4" w:space="0" w:color="000000"/>
              <w:left w:val="single" w:sz="4" w:space="0" w:color="000000"/>
              <w:right w:val="single" w:sz="4" w:space="0" w:color="000000"/>
            </w:tcBorders>
            <w:shd w:val="clear" w:color="auto" w:fill="DCDCDC"/>
          </w:tcPr>
          <w:p>
            <w:pPr/>
          </w:p>
        </w:tc>
        <w:tc>
          <w:tcPr>
            <w:tcW w:w="893"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125" w:right="0"/>
              <w:jc w:val="both"/>
              <w:rPr>
                <w:rFonts w:ascii="宋体" w:hAnsi="宋体" w:cs="宋体" w:eastAsia="宋体" w:hint="default"/>
                <w:sz w:val="21"/>
                <w:szCs w:val="21"/>
              </w:rPr>
            </w:pPr>
            <w:r>
              <w:rPr>
                <w:rFonts w:ascii="宋体" w:hAnsi="宋体" w:cs="宋体" w:eastAsia="宋体" w:hint="default"/>
                <w:sz w:val="21"/>
                <w:szCs w:val="21"/>
              </w:rPr>
              <w:t>是否已</w:t>
            </w:r>
          </w:p>
          <w:p>
            <w:pPr>
              <w:pStyle w:val="TableParagraph"/>
              <w:spacing w:line="272" w:lineRule="exact" w:before="26"/>
              <w:ind w:left="91" w:right="89" w:firstLine="34"/>
              <w:jc w:val="both"/>
              <w:rPr>
                <w:rFonts w:ascii="Times New Roman" w:hAnsi="Times New Roman" w:cs="Times New Roman" w:eastAsia="Times New Roman" w:hint="default"/>
                <w:sz w:val="21"/>
                <w:szCs w:val="21"/>
              </w:rPr>
            </w:pPr>
            <w:r>
              <w:rPr>
                <w:rFonts w:ascii="宋体" w:hAnsi="宋体" w:cs="宋体" w:eastAsia="宋体" w:hint="default"/>
                <w:sz w:val="21"/>
                <w:szCs w:val="21"/>
              </w:rPr>
              <w:t>变更项 目</w:t>
            </w:r>
            <w:r>
              <w:rPr>
                <w:rFonts w:ascii="Times New Roman" w:hAnsi="Times New Roman" w:cs="Times New Roman" w:eastAsia="Times New Roman" w:hint="default"/>
                <w:sz w:val="21"/>
                <w:szCs w:val="21"/>
              </w:rPr>
              <w:t>(</w:t>
            </w:r>
            <w:r>
              <w:rPr>
                <w:rFonts w:ascii="宋体" w:hAnsi="宋体" w:cs="宋体" w:eastAsia="宋体" w:hint="default"/>
                <w:sz w:val="21"/>
                <w:szCs w:val="21"/>
              </w:rPr>
              <w:t>含部 分变更</w:t>
            </w:r>
            <w:r>
              <w:rPr>
                <w:rFonts w:ascii="Times New Roman" w:hAnsi="Times New Roman" w:cs="Times New Roman" w:eastAsia="Times New Roman" w:hint="default"/>
                <w:sz w:val="21"/>
                <w:szCs w:val="21"/>
              </w:rPr>
              <w:t>)</w:t>
            </w: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7" w:type="dxa"/>
            <w:vMerge w:val="restart"/>
            <w:tcBorders>
              <w:top w:val="single" w:sz="4" w:space="0" w:color="000000"/>
              <w:left w:val="single" w:sz="4" w:space="0" w:color="000000"/>
              <w:right w:val="single" w:sz="4" w:space="0" w:color="000000"/>
            </w:tcBorders>
            <w:shd w:val="clear" w:color="auto" w:fill="DCDCDC"/>
          </w:tcPr>
          <w:p>
            <w:pPr/>
          </w:p>
        </w:tc>
        <w:tc>
          <w:tcPr>
            <w:tcW w:w="920" w:type="dxa"/>
            <w:vMerge w:val="restart"/>
            <w:tcBorders>
              <w:top w:val="single" w:sz="4" w:space="0" w:color="000000"/>
              <w:left w:val="single" w:sz="4" w:space="0" w:color="000000"/>
              <w:right w:val="single" w:sz="4" w:space="0" w:color="000000"/>
            </w:tcBorders>
            <w:shd w:val="clear" w:color="auto" w:fill="DCDCDC"/>
          </w:tcPr>
          <w:p>
            <w:pPr/>
          </w:p>
        </w:tc>
        <w:tc>
          <w:tcPr>
            <w:tcW w:w="907" w:type="dxa"/>
            <w:tcBorders>
              <w:top w:val="single" w:sz="4" w:space="0" w:color="000000"/>
              <w:left w:val="single" w:sz="4" w:space="0" w:color="000000"/>
              <w:bottom w:val="nil" w:sz="6" w:space="0" w:color="auto"/>
              <w:right w:val="single" w:sz="4" w:space="0" w:color="000000"/>
            </w:tcBorders>
            <w:shd w:val="clear" w:color="auto" w:fill="DCDCDC"/>
          </w:tcPr>
          <w:p>
            <w:pPr/>
          </w:p>
        </w:tc>
        <w:tc>
          <w:tcPr>
            <w:tcW w:w="909"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before="8"/>
              <w:ind w:left="23" w:right="34"/>
              <w:jc w:val="both"/>
              <w:rPr>
                <w:rFonts w:ascii="宋体" w:hAnsi="宋体" w:cs="宋体" w:eastAsia="宋体" w:hint="default"/>
                <w:sz w:val="21"/>
                <w:szCs w:val="21"/>
              </w:rPr>
            </w:pPr>
            <w:r>
              <w:rPr>
                <w:rFonts w:ascii="宋体" w:hAnsi="宋体" w:cs="宋体" w:eastAsia="宋体" w:hint="default"/>
                <w:sz w:val="21"/>
                <w:szCs w:val="21"/>
              </w:rPr>
              <w:t>截至期末 投资进度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p>
            <w:pPr>
              <w:pStyle w:val="TableParagraph"/>
              <w:spacing w:line="240" w:lineRule="auto" w:before="6"/>
              <w:ind w:left="168" w:right="0"/>
              <w:jc w:val="left"/>
              <w:rPr>
                <w:rFonts w:ascii="Times New Roman" w:hAnsi="Times New Roman" w:cs="Times New Roman" w:eastAsia="Times New Roman" w:hint="default"/>
                <w:sz w:val="21"/>
                <w:szCs w:val="21"/>
              </w:rPr>
            </w:pPr>
            <w:r>
              <w:rPr>
                <w:rFonts w:ascii="Times New Roman"/>
                <w:sz w:val="21"/>
              </w:rPr>
              <w:t>(2)/(1)</w:t>
            </w:r>
          </w:p>
        </w:tc>
        <w:tc>
          <w:tcPr>
            <w:tcW w:w="1262" w:type="dxa"/>
            <w:tcBorders>
              <w:top w:val="single" w:sz="4" w:space="0" w:color="000000"/>
              <w:left w:val="single" w:sz="4" w:space="0" w:color="000000"/>
              <w:bottom w:val="nil" w:sz="6" w:space="0" w:color="auto"/>
              <w:right w:val="single" w:sz="4" w:space="0" w:color="000000"/>
            </w:tcBorders>
            <w:shd w:val="clear" w:color="auto" w:fill="DCDCDC"/>
          </w:tcPr>
          <w:p>
            <w:pPr/>
          </w:p>
        </w:tc>
        <w:tc>
          <w:tcPr>
            <w:tcW w:w="904" w:type="dxa"/>
            <w:vMerge w:val="restart"/>
            <w:tcBorders>
              <w:top w:val="single" w:sz="4" w:space="0" w:color="000000"/>
              <w:left w:val="single" w:sz="4" w:space="0" w:color="000000"/>
              <w:right w:val="single" w:sz="4" w:space="0" w:color="000000"/>
            </w:tcBorders>
            <w:shd w:val="clear" w:color="auto" w:fill="DCDCDC"/>
          </w:tcPr>
          <w:p>
            <w:pPr/>
          </w:p>
        </w:tc>
        <w:tc>
          <w:tcPr>
            <w:tcW w:w="907" w:type="dxa"/>
            <w:vMerge w:val="restart"/>
            <w:tcBorders>
              <w:top w:val="single" w:sz="4" w:space="0" w:color="000000"/>
              <w:left w:val="single" w:sz="4" w:space="0" w:color="000000"/>
              <w:right w:val="single" w:sz="4" w:space="0" w:color="000000"/>
            </w:tcBorders>
            <w:shd w:val="clear" w:color="auto" w:fill="DCDCDC"/>
          </w:tcPr>
          <w:p>
            <w:pPr/>
          </w:p>
        </w:tc>
        <w:tc>
          <w:tcPr>
            <w:tcW w:w="896"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right="4"/>
              <w:jc w:val="center"/>
              <w:rPr>
                <w:rFonts w:ascii="宋体" w:hAnsi="宋体" w:cs="宋体" w:eastAsia="宋体" w:hint="default"/>
                <w:sz w:val="21"/>
                <w:szCs w:val="21"/>
              </w:rPr>
            </w:pPr>
            <w:r>
              <w:rPr>
                <w:rFonts w:ascii="宋体" w:hAnsi="宋体" w:cs="宋体" w:eastAsia="宋体" w:hint="default"/>
                <w:sz w:val="21"/>
                <w:szCs w:val="21"/>
              </w:rPr>
              <w:t>项目可行</w:t>
            </w:r>
          </w:p>
          <w:p>
            <w:pPr>
              <w:pStyle w:val="TableParagraph"/>
              <w:spacing w:line="272" w:lineRule="exact" w:before="26"/>
              <w:ind w:left="20" w:right="24"/>
              <w:jc w:val="center"/>
              <w:rPr>
                <w:rFonts w:ascii="宋体" w:hAnsi="宋体" w:cs="宋体" w:eastAsia="宋体" w:hint="default"/>
                <w:sz w:val="21"/>
                <w:szCs w:val="21"/>
              </w:rPr>
            </w:pPr>
            <w:r>
              <w:rPr>
                <w:rFonts w:ascii="宋体" w:hAnsi="宋体" w:cs="宋体" w:eastAsia="宋体" w:hint="default"/>
                <w:sz w:val="21"/>
                <w:szCs w:val="21"/>
              </w:rPr>
              <w:t>性是否发 生重大变 化</w:t>
            </w:r>
          </w:p>
        </w:tc>
      </w:tr>
      <w:tr>
        <w:trPr>
          <w:trHeight w:val="137" w:hRule="exact"/>
        </w:trPr>
        <w:tc>
          <w:tcPr>
            <w:tcW w:w="4846" w:type="dxa"/>
            <w:vMerge/>
            <w:tcBorders>
              <w:left w:val="single" w:sz="4" w:space="0" w:color="000000"/>
              <w:right w:val="single" w:sz="4" w:space="0" w:color="000000"/>
            </w:tcBorders>
            <w:shd w:val="clear" w:color="auto" w:fill="DCDCDC"/>
          </w:tcPr>
          <w:p>
            <w:pPr/>
          </w:p>
        </w:tc>
        <w:tc>
          <w:tcPr>
            <w:tcW w:w="893" w:type="dxa"/>
            <w:vMerge/>
            <w:tcBorders>
              <w:left w:val="single" w:sz="4" w:space="0" w:color="000000"/>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38" w:lineRule="exact"/>
              <w:ind w:left="114" w:right="0"/>
              <w:jc w:val="left"/>
              <w:rPr>
                <w:rFonts w:ascii="宋体" w:hAnsi="宋体" w:cs="宋体" w:eastAsia="宋体" w:hint="default"/>
                <w:sz w:val="21"/>
                <w:szCs w:val="21"/>
              </w:rPr>
            </w:pPr>
            <w:r>
              <w:rPr>
                <w:rFonts w:ascii="宋体" w:hAnsi="宋体" w:cs="宋体" w:eastAsia="宋体" w:hint="default"/>
                <w:sz w:val="21"/>
                <w:szCs w:val="21"/>
              </w:rPr>
              <w:t>募集资金</w:t>
            </w:r>
          </w:p>
          <w:p>
            <w:pPr>
              <w:pStyle w:val="TableParagraph"/>
              <w:spacing w:line="272" w:lineRule="exact" w:before="26"/>
              <w:ind w:left="324" w:right="114" w:hanging="210"/>
              <w:jc w:val="left"/>
              <w:rPr>
                <w:rFonts w:ascii="宋体" w:hAnsi="宋体" w:cs="宋体" w:eastAsia="宋体" w:hint="default"/>
                <w:sz w:val="21"/>
                <w:szCs w:val="21"/>
              </w:rPr>
            </w:pPr>
            <w:r>
              <w:rPr>
                <w:rFonts w:ascii="宋体" w:hAnsi="宋体" w:cs="宋体" w:eastAsia="宋体" w:hint="default"/>
                <w:sz w:val="21"/>
                <w:szCs w:val="21"/>
              </w:rPr>
              <w:t>承诺投资 总额</w:t>
            </w:r>
          </w:p>
        </w:tc>
        <w:tc>
          <w:tcPr>
            <w:tcW w:w="1087" w:type="dxa"/>
            <w:vMerge/>
            <w:tcBorders>
              <w:left w:val="single" w:sz="4" w:space="0" w:color="000000"/>
              <w:bottom w:val="nil" w:sz="6" w:space="0" w:color="auto"/>
              <w:right w:val="single" w:sz="4" w:space="0" w:color="000000"/>
            </w:tcBorders>
            <w:shd w:val="clear" w:color="auto" w:fill="DCDCDC"/>
          </w:tcPr>
          <w:p>
            <w:pPr/>
          </w:p>
        </w:tc>
        <w:tc>
          <w:tcPr>
            <w:tcW w:w="920" w:type="dxa"/>
            <w:vMerge/>
            <w:tcBorders>
              <w:left w:val="single" w:sz="4" w:space="0" w:color="000000"/>
              <w:bottom w:val="nil" w:sz="6" w:space="0" w:color="auto"/>
              <w:right w:val="single" w:sz="4" w:space="0" w:color="000000"/>
            </w:tcBorders>
            <w:shd w:val="clear" w:color="auto" w:fill="DCDCDC"/>
          </w:tcPr>
          <w:p>
            <w:pPr/>
          </w:p>
        </w:tc>
        <w:tc>
          <w:tcPr>
            <w:tcW w:w="907" w:type="dxa"/>
            <w:vMerge w:val="restart"/>
            <w:tcBorders>
              <w:top w:val="nil" w:sz="6" w:space="0" w:color="auto"/>
              <w:left w:val="single" w:sz="4" w:space="0" w:color="000000"/>
              <w:right w:val="single" w:sz="4" w:space="0" w:color="000000"/>
            </w:tcBorders>
            <w:shd w:val="clear" w:color="auto" w:fill="DCDCDC"/>
          </w:tcPr>
          <w:p>
            <w:pPr>
              <w:pStyle w:val="TableParagraph"/>
              <w:spacing w:line="238" w:lineRule="exact"/>
              <w:ind w:left="18" w:right="0"/>
              <w:jc w:val="left"/>
              <w:rPr>
                <w:rFonts w:ascii="宋体" w:hAnsi="宋体" w:cs="宋体" w:eastAsia="宋体" w:hint="default"/>
                <w:sz w:val="21"/>
                <w:szCs w:val="21"/>
              </w:rPr>
            </w:pPr>
            <w:r>
              <w:rPr>
                <w:rFonts w:ascii="宋体" w:hAnsi="宋体" w:cs="宋体" w:eastAsia="宋体" w:hint="default"/>
                <w:sz w:val="21"/>
                <w:szCs w:val="21"/>
              </w:rPr>
              <w:t>截至期末</w:t>
            </w:r>
          </w:p>
          <w:p>
            <w:pPr>
              <w:pStyle w:val="TableParagraph"/>
              <w:spacing w:line="272" w:lineRule="exact" w:before="26"/>
              <w:ind w:left="106" w:right="37" w:hanging="88"/>
              <w:jc w:val="left"/>
              <w:rPr>
                <w:rFonts w:ascii="Times New Roman" w:hAnsi="Times New Roman" w:cs="Times New Roman" w:eastAsia="Times New Roman" w:hint="default"/>
                <w:sz w:val="21"/>
                <w:szCs w:val="21"/>
              </w:rPr>
            </w:pPr>
            <w:r>
              <w:rPr>
                <w:rFonts w:ascii="宋体" w:hAnsi="宋体" w:cs="宋体" w:eastAsia="宋体" w:hint="default"/>
                <w:sz w:val="21"/>
                <w:szCs w:val="21"/>
              </w:rPr>
              <w:t>累计投入 金额</w:t>
            </w:r>
            <w:r>
              <w:rPr>
                <w:rFonts w:ascii="Times New Roman" w:hAnsi="Times New Roman" w:cs="Times New Roman" w:eastAsia="Times New Roman" w:hint="default"/>
                <w:sz w:val="21"/>
                <w:szCs w:val="21"/>
              </w:rPr>
              <w:t>(2)</w:t>
            </w:r>
          </w:p>
        </w:tc>
        <w:tc>
          <w:tcPr>
            <w:tcW w:w="909" w:type="dxa"/>
            <w:vMerge/>
            <w:tcBorders>
              <w:left w:val="single" w:sz="4" w:space="0" w:color="000000"/>
              <w:right w:val="single" w:sz="4" w:space="0" w:color="000000"/>
            </w:tcBorders>
            <w:shd w:val="clear" w:color="auto" w:fill="DCDCDC"/>
          </w:tcPr>
          <w:p>
            <w:pPr/>
          </w:p>
        </w:tc>
        <w:tc>
          <w:tcPr>
            <w:tcW w:w="1262" w:type="dxa"/>
            <w:vMerge w:val="restart"/>
            <w:tcBorders>
              <w:top w:val="nil" w:sz="6" w:space="0" w:color="auto"/>
              <w:left w:val="single" w:sz="4" w:space="0" w:color="000000"/>
              <w:right w:val="single" w:sz="4" w:space="0" w:color="000000"/>
            </w:tcBorders>
            <w:shd w:val="clear" w:color="auto" w:fill="DCDCDC"/>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项目达到预</w:t>
            </w:r>
          </w:p>
          <w:p>
            <w:pPr>
              <w:pStyle w:val="TableParagraph"/>
              <w:spacing w:line="272" w:lineRule="exact" w:before="26"/>
              <w:ind w:left="310" w:right="99" w:hanging="210"/>
              <w:jc w:val="left"/>
              <w:rPr>
                <w:rFonts w:ascii="宋体" w:hAnsi="宋体" w:cs="宋体" w:eastAsia="宋体" w:hint="default"/>
                <w:sz w:val="21"/>
                <w:szCs w:val="21"/>
              </w:rPr>
            </w:pPr>
            <w:r>
              <w:rPr>
                <w:rFonts w:ascii="宋体" w:hAnsi="宋体" w:cs="宋体" w:eastAsia="宋体" w:hint="default"/>
                <w:sz w:val="21"/>
                <w:szCs w:val="21"/>
              </w:rPr>
              <w:t>定可使用状 态日期</w:t>
            </w:r>
          </w:p>
        </w:tc>
        <w:tc>
          <w:tcPr>
            <w:tcW w:w="904" w:type="dxa"/>
            <w:vMerge/>
            <w:tcBorders>
              <w:left w:val="single" w:sz="4" w:space="0" w:color="000000"/>
              <w:bottom w:val="nil" w:sz="6" w:space="0" w:color="auto"/>
              <w:right w:val="single" w:sz="4" w:space="0" w:color="000000"/>
            </w:tcBorders>
            <w:shd w:val="clear" w:color="auto" w:fill="DCDCDC"/>
          </w:tcPr>
          <w:p>
            <w:pPr/>
          </w:p>
        </w:tc>
        <w:tc>
          <w:tcPr>
            <w:tcW w:w="907" w:type="dxa"/>
            <w:vMerge/>
            <w:tcBorders>
              <w:left w:val="single" w:sz="4" w:space="0" w:color="000000"/>
              <w:bottom w:val="nil" w:sz="6" w:space="0" w:color="auto"/>
              <w:right w:val="single" w:sz="4" w:space="0" w:color="000000"/>
            </w:tcBorders>
            <w:shd w:val="clear" w:color="auto" w:fill="DCDCDC"/>
          </w:tcPr>
          <w:p>
            <w:pPr/>
          </w:p>
        </w:tc>
        <w:tc>
          <w:tcPr>
            <w:tcW w:w="896" w:type="dxa"/>
            <w:vMerge/>
            <w:tcBorders>
              <w:left w:val="single" w:sz="4" w:space="0" w:color="000000"/>
              <w:right w:val="single" w:sz="4" w:space="0" w:color="000000"/>
            </w:tcBorders>
            <w:shd w:val="clear" w:color="auto" w:fill="DCDCDC"/>
          </w:tcPr>
          <w:p>
            <w:pPr/>
          </w:p>
        </w:tc>
      </w:tr>
      <w:tr>
        <w:trPr>
          <w:trHeight w:val="136" w:hRule="exact"/>
        </w:trPr>
        <w:tc>
          <w:tcPr>
            <w:tcW w:w="4846" w:type="dxa"/>
            <w:vMerge/>
            <w:tcBorders>
              <w:left w:val="single" w:sz="4" w:space="0" w:color="000000"/>
              <w:bottom w:val="nil" w:sz="6" w:space="0" w:color="auto"/>
              <w:right w:val="single" w:sz="4" w:space="0" w:color="000000"/>
            </w:tcBorders>
            <w:shd w:val="clear" w:color="auto" w:fill="DCDCDC"/>
          </w:tcPr>
          <w:p>
            <w:pPr/>
          </w:p>
        </w:tc>
        <w:tc>
          <w:tcPr>
            <w:tcW w:w="893"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c>
          <w:tcPr>
            <w:tcW w:w="1087" w:type="dxa"/>
            <w:vMerge w:val="restart"/>
            <w:tcBorders>
              <w:top w:val="nil" w:sz="6" w:space="0" w:color="auto"/>
              <w:left w:val="single" w:sz="4" w:space="0" w:color="000000"/>
              <w:right w:val="single" w:sz="4" w:space="0" w:color="000000"/>
            </w:tcBorders>
            <w:shd w:val="clear" w:color="auto" w:fill="DCDCDC"/>
          </w:tcPr>
          <w:p>
            <w:pPr>
              <w:pStyle w:val="TableParagraph"/>
              <w:spacing w:line="238" w:lineRule="exact"/>
              <w:ind w:left="98" w:right="0" w:firstLine="18"/>
              <w:jc w:val="left"/>
              <w:rPr>
                <w:rFonts w:ascii="宋体" w:hAnsi="宋体" w:cs="宋体" w:eastAsia="宋体" w:hint="default"/>
                <w:sz w:val="21"/>
                <w:szCs w:val="21"/>
              </w:rPr>
            </w:pPr>
            <w:r>
              <w:rPr>
                <w:rFonts w:ascii="宋体" w:hAnsi="宋体" w:cs="宋体" w:eastAsia="宋体" w:hint="default"/>
                <w:sz w:val="21"/>
                <w:szCs w:val="21"/>
              </w:rPr>
              <w:t>调整后投</w:t>
            </w:r>
          </w:p>
          <w:p>
            <w:pPr>
              <w:pStyle w:val="TableParagraph"/>
              <w:spacing w:line="289"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资总额</w:t>
            </w:r>
            <w:r>
              <w:rPr>
                <w:rFonts w:ascii="Times New Roman" w:hAnsi="Times New Roman" w:cs="Times New Roman" w:eastAsia="Times New Roman" w:hint="default"/>
                <w:sz w:val="21"/>
                <w:szCs w:val="21"/>
              </w:rPr>
              <w:t>(1)</w:t>
            </w:r>
          </w:p>
        </w:tc>
        <w:tc>
          <w:tcPr>
            <w:tcW w:w="920" w:type="dxa"/>
            <w:vMerge w:val="restart"/>
            <w:tcBorders>
              <w:top w:val="nil" w:sz="6" w:space="0" w:color="auto"/>
              <w:left w:val="single" w:sz="4" w:space="0" w:color="000000"/>
              <w:right w:val="single" w:sz="4" w:space="0" w:color="000000"/>
            </w:tcBorders>
            <w:shd w:val="clear" w:color="auto" w:fill="DCDCDC"/>
          </w:tcPr>
          <w:p>
            <w:pPr>
              <w:pStyle w:val="TableParagraph"/>
              <w:spacing w:line="238" w:lineRule="exact"/>
              <w:ind w:right="7"/>
              <w:jc w:val="center"/>
              <w:rPr>
                <w:rFonts w:ascii="宋体" w:hAnsi="宋体" w:cs="宋体" w:eastAsia="宋体" w:hint="default"/>
                <w:sz w:val="21"/>
                <w:szCs w:val="21"/>
              </w:rPr>
            </w:pPr>
            <w:r>
              <w:rPr>
                <w:rFonts w:ascii="宋体" w:hAnsi="宋体" w:cs="宋体" w:eastAsia="宋体" w:hint="default"/>
                <w:sz w:val="21"/>
                <w:szCs w:val="21"/>
              </w:rPr>
              <w:t>本年度投</w:t>
            </w:r>
          </w:p>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入金额</w:t>
            </w:r>
          </w:p>
        </w:tc>
        <w:tc>
          <w:tcPr>
            <w:tcW w:w="907" w:type="dxa"/>
            <w:vMerge/>
            <w:tcBorders>
              <w:left w:val="single" w:sz="4" w:space="0" w:color="000000"/>
              <w:right w:val="single" w:sz="4" w:space="0" w:color="000000"/>
            </w:tcBorders>
            <w:shd w:val="clear" w:color="auto" w:fill="DCDCDC"/>
          </w:tcPr>
          <w:p>
            <w:pPr/>
          </w:p>
        </w:tc>
        <w:tc>
          <w:tcPr>
            <w:tcW w:w="909" w:type="dxa"/>
            <w:vMerge/>
            <w:tcBorders>
              <w:left w:val="single" w:sz="4" w:space="0" w:color="000000"/>
              <w:right w:val="single" w:sz="4" w:space="0" w:color="000000"/>
            </w:tcBorders>
            <w:shd w:val="clear" w:color="auto" w:fill="DCDCDC"/>
          </w:tcPr>
          <w:p>
            <w:pPr/>
          </w:p>
        </w:tc>
        <w:tc>
          <w:tcPr>
            <w:tcW w:w="1262" w:type="dxa"/>
            <w:vMerge/>
            <w:tcBorders>
              <w:left w:val="single" w:sz="4" w:space="0" w:color="000000"/>
              <w:right w:val="single" w:sz="4" w:space="0" w:color="000000"/>
            </w:tcBorders>
            <w:shd w:val="clear" w:color="auto" w:fill="DCDCDC"/>
          </w:tcPr>
          <w:p>
            <w:pPr/>
          </w:p>
        </w:tc>
        <w:tc>
          <w:tcPr>
            <w:tcW w:w="904" w:type="dxa"/>
            <w:vMerge w:val="restart"/>
            <w:tcBorders>
              <w:top w:val="nil" w:sz="6" w:space="0" w:color="auto"/>
              <w:left w:val="single" w:sz="4" w:space="0" w:color="000000"/>
              <w:right w:val="single" w:sz="4" w:space="0" w:color="000000"/>
            </w:tcBorders>
            <w:shd w:val="clear" w:color="auto" w:fill="DCDCDC"/>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z w:val="21"/>
                <w:szCs w:val="21"/>
              </w:rPr>
              <w:t>本年度实</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现的效益</w:t>
            </w:r>
          </w:p>
        </w:tc>
        <w:tc>
          <w:tcPr>
            <w:tcW w:w="907" w:type="dxa"/>
            <w:vMerge w:val="restart"/>
            <w:tcBorders>
              <w:top w:val="nil" w:sz="6" w:space="0" w:color="auto"/>
              <w:left w:val="single" w:sz="4" w:space="0" w:color="000000"/>
              <w:right w:val="single" w:sz="4" w:space="0" w:color="000000"/>
            </w:tcBorders>
            <w:shd w:val="clear" w:color="auto" w:fill="DCDCDC"/>
          </w:tcPr>
          <w:p>
            <w:pPr>
              <w:pStyle w:val="TableParagraph"/>
              <w:spacing w:line="238" w:lineRule="exact"/>
              <w:ind w:left="27" w:right="0"/>
              <w:jc w:val="left"/>
              <w:rPr>
                <w:rFonts w:ascii="宋体" w:hAnsi="宋体" w:cs="宋体" w:eastAsia="宋体" w:hint="default"/>
                <w:sz w:val="21"/>
                <w:szCs w:val="21"/>
              </w:rPr>
            </w:pPr>
            <w:r>
              <w:rPr>
                <w:rFonts w:ascii="宋体" w:hAnsi="宋体" w:cs="宋体" w:eastAsia="宋体" w:hint="default"/>
                <w:sz w:val="21"/>
                <w:szCs w:val="21"/>
              </w:rPr>
              <w:t>是否达到</w:t>
            </w:r>
          </w:p>
          <w:p>
            <w:pPr>
              <w:pStyle w:val="TableParagraph"/>
              <w:spacing w:line="274" w:lineRule="exact"/>
              <w:ind w:left="27" w:right="0"/>
              <w:jc w:val="left"/>
              <w:rPr>
                <w:rFonts w:ascii="宋体" w:hAnsi="宋体" w:cs="宋体" w:eastAsia="宋体" w:hint="default"/>
                <w:sz w:val="21"/>
                <w:szCs w:val="21"/>
              </w:rPr>
            </w:pPr>
            <w:r>
              <w:rPr>
                <w:rFonts w:ascii="宋体" w:hAnsi="宋体" w:cs="宋体" w:eastAsia="宋体" w:hint="default"/>
                <w:sz w:val="21"/>
                <w:szCs w:val="21"/>
              </w:rPr>
              <w:t>预计效益</w:t>
            </w:r>
          </w:p>
        </w:tc>
        <w:tc>
          <w:tcPr>
            <w:tcW w:w="896" w:type="dxa"/>
            <w:vMerge/>
            <w:tcBorders>
              <w:left w:val="single" w:sz="4" w:space="0" w:color="000000"/>
              <w:right w:val="single" w:sz="4" w:space="0" w:color="000000"/>
            </w:tcBorders>
            <w:shd w:val="clear" w:color="auto" w:fill="DCDCDC"/>
          </w:tcPr>
          <w:p>
            <w:pPr/>
          </w:p>
        </w:tc>
      </w:tr>
      <w:tr>
        <w:trPr>
          <w:trHeight w:val="272" w:hRule="exact"/>
        </w:trPr>
        <w:tc>
          <w:tcPr>
            <w:tcW w:w="484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left="1052" w:right="0"/>
              <w:jc w:val="left"/>
              <w:rPr>
                <w:rFonts w:ascii="宋体" w:hAnsi="宋体" w:cs="宋体" w:eastAsia="宋体" w:hint="default"/>
                <w:sz w:val="21"/>
                <w:szCs w:val="21"/>
              </w:rPr>
            </w:pPr>
            <w:r>
              <w:rPr>
                <w:rFonts w:ascii="宋体" w:hAnsi="宋体" w:cs="宋体" w:eastAsia="宋体" w:hint="default"/>
                <w:sz w:val="21"/>
                <w:szCs w:val="21"/>
              </w:rPr>
              <w:t>承诺投资项目和超募资金投向</w:t>
            </w:r>
          </w:p>
        </w:tc>
        <w:tc>
          <w:tcPr>
            <w:tcW w:w="893"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c>
          <w:tcPr>
            <w:tcW w:w="1087" w:type="dxa"/>
            <w:vMerge/>
            <w:tcBorders>
              <w:left w:val="single" w:sz="4" w:space="0" w:color="000000"/>
              <w:right w:val="single" w:sz="4" w:space="0" w:color="000000"/>
            </w:tcBorders>
            <w:shd w:val="clear" w:color="auto" w:fill="DCDCDC"/>
          </w:tcPr>
          <w:p>
            <w:pPr/>
          </w:p>
        </w:tc>
        <w:tc>
          <w:tcPr>
            <w:tcW w:w="920" w:type="dxa"/>
            <w:vMerge/>
            <w:tcBorders>
              <w:left w:val="single" w:sz="4" w:space="0" w:color="000000"/>
              <w:right w:val="single" w:sz="4" w:space="0" w:color="000000"/>
            </w:tcBorders>
            <w:shd w:val="clear" w:color="auto" w:fill="DCDCDC"/>
          </w:tcPr>
          <w:p>
            <w:pPr/>
          </w:p>
        </w:tc>
        <w:tc>
          <w:tcPr>
            <w:tcW w:w="907" w:type="dxa"/>
            <w:vMerge/>
            <w:tcBorders>
              <w:left w:val="single" w:sz="4" w:space="0" w:color="000000"/>
              <w:right w:val="single" w:sz="4" w:space="0" w:color="000000"/>
            </w:tcBorders>
            <w:shd w:val="clear" w:color="auto" w:fill="DCDCDC"/>
          </w:tcPr>
          <w:p>
            <w:pPr/>
          </w:p>
        </w:tc>
        <w:tc>
          <w:tcPr>
            <w:tcW w:w="909" w:type="dxa"/>
            <w:vMerge/>
            <w:tcBorders>
              <w:left w:val="single" w:sz="4" w:space="0" w:color="000000"/>
              <w:right w:val="single" w:sz="4" w:space="0" w:color="000000"/>
            </w:tcBorders>
            <w:shd w:val="clear" w:color="auto" w:fill="DCDCDC"/>
          </w:tcPr>
          <w:p>
            <w:pPr/>
          </w:p>
        </w:tc>
        <w:tc>
          <w:tcPr>
            <w:tcW w:w="1262" w:type="dxa"/>
            <w:vMerge/>
            <w:tcBorders>
              <w:left w:val="single" w:sz="4" w:space="0" w:color="000000"/>
              <w:right w:val="single" w:sz="4" w:space="0" w:color="000000"/>
            </w:tcBorders>
            <w:shd w:val="clear" w:color="auto" w:fill="DCDCDC"/>
          </w:tcPr>
          <w:p>
            <w:pPr/>
          </w:p>
        </w:tc>
        <w:tc>
          <w:tcPr>
            <w:tcW w:w="904" w:type="dxa"/>
            <w:vMerge/>
            <w:tcBorders>
              <w:left w:val="single" w:sz="4" w:space="0" w:color="000000"/>
              <w:right w:val="single" w:sz="4" w:space="0" w:color="000000"/>
            </w:tcBorders>
            <w:shd w:val="clear" w:color="auto" w:fill="DCDCDC"/>
          </w:tcPr>
          <w:p>
            <w:pPr/>
          </w:p>
        </w:tc>
        <w:tc>
          <w:tcPr>
            <w:tcW w:w="907" w:type="dxa"/>
            <w:vMerge/>
            <w:tcBorders>
              <w:left w:val="single" w:sz="4" w:space="0" w:color="000000"/>
              <w:right w:val="single" w:sz="4" w:space="0" w:color="000000"/>
            </w:tcBorders>
            <w:shd w:val="clear" w:color="auto" w:fill="DCDCDC"/>
          </w:tcPr>
          <w:p>
            <w:pPr/>
          </w:p>
        </w:tc>
        <w:tc>
          <w:tcPr>
            <w:tcW w:w="896" w:type="dxa"/>
            <w:vMerge/>
            <w:tcBorders>
              <w:left w:val="single" w:sz="4" w:space="0" w:color="000000"/>
              <w:right w:val="single" w:sz="4" w:space="0" w:color="000000"/>
            </w:tcBorders>
            <w:shd w:val="clear" w:color="auto" w:fill="DCDCDC"/>
          </w:tcPr>
          <w:p>
            <w:pPr/>
          </w:p>
        </w:tc>
      </w:tr>
      <w:tr>
        <w:trPr>
          <w:trHeight w:val="137" w:hRule="exact"/>
        </w:trPr>
        <w:tc>
          <w:tcPr>
            <w:tcW w:w="4846" w:type="dxa"/>
            <w:vMerge w:val="restart"/>
            <w:tcBorders>
              <w:top w:val="nil" w:sz="6" w:space="0" w:color="auto"/>
              <w:left w:val="single" w:sz="4" w:space="0" w:color="000000"/>
              <w:right w:val="single" w:sz="4" w:space="0" w:color="000000"/>
            </w:tcBorders>
            <w:shd w:val="clear" w:color="auto" w:fill="DCDCDC"/>
          </w:tcPr>
          <w:p>
            <w:pPr/>
          </w:p>
        </w:tc>
        <w:tc>
          <w:tcPr>
            <w:tcW w:w="893"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c>
          <w:tcPr>
            <w:tcW w:w="1087" w:type="dxa"/>
            <w:vMerge/>
            <w:tcBorders>
              <w:left w:val="single" w:sz="4" w:space="0" w:color="000000"/>
              <w:bottom w:val="nil" w:sz="6" w:space="0" w:color="auto"/>
              <w:right w:val="single" w:sz="4" w:space="0" w:color="000000"/>
            </w:tcBorders>
            <w:shd w:val="clear" w:color="auto" w:fill="DCDCDC"/>
          </w:tcPr>
          <w:p>
            <w:pPr/>
          </w:p>
        </w:tc>
        <w:tc>
          <w:tcPr>
            <w:tcW w:w="920" w:type="dxa"/>
            <w:vMerge/>
            <w:tcBorders>
              <w:left w:val="single" w:sz="4" w:space="0" w:color="000000"/>
              <w:bottom w:val="nil" w:sz="6" w:space="0" w:color="auto"/>
              <w:right w:val="single" w:sz="4" w:space="0" w:color="000000"/>
            </w:tcBorders>
            <w:shd w:val="clear" w:color="auto" w:fill="DCDCDC"/>
          </w:tcPr>
          <w:p>
            <w:pPr/>
          </w:p>
        </w:tc>
        <w:tc>
          <w:tcPr>
            <w:tcW w:w="907" w:type="dxa"/>
            <w:vMerge/>
            <w:tcBorders>
              <w:left w:val="single" w:sz="4" w:space="0" w:color="000000"/>
              <w:right w:val="single" w:sz="4" w:space="0" w:color="000000"/>
            </w:tcBorders>
            <w:shd w:val="clear" w:color="auto" w:fill="DCDCDC"/>
          </w:tcPr>
          <w:p>
            <w:pPr/>
          </w:p>
        </w:tc>
        <w:tc>
          <w:tcPr>
            <w:tcW w:w="909" w:type="dxa"/>
            <w:vMerge/>
            <w:tcBorders>
              <w:left w:val="single" w:sz="4" w:space="0" w:color="000000"/>
              <w:right w:val="single" w:sz="4" w:space="0" w:color="000000"/>
            </w:tcBorders>
            <w:shd w:val="clear" w:color="auto" w:fill="DCDCDC"/>
          </w:tcPr>
          <w:p>
            <w:pPr/>
          </w:p>
        </w:tc>
        <w:tc>
          <w:tcPr>
            <w:tcW w:w="1262" w:type="dxa"/>
            <w:vMerge/>
            <w:tcBorders>
              <w:left w:val="single" w:sz="4" w:space="0" w:color="000000"/>
              <w:right w:val="single" w:sz="4" w:space="0" w:color="000000"/>
            </w:tcBorders>
            <w:shd w:val="clear" w:color="auto" w:fill="DCDCDC"/>
          </w:tcPr>
          <w:p>
            <w:pPr/>
          </w:p>
        </w:tc>
        <w:tc>
          <w:tcPr>
            <w:tcW w:w="904" w:type="dxa"/>
            <w:vMerge/>
            <w:tcBorders>
              <w:left w:val="single" w:sz="4" w:space="0" w:color="000000"/>
              <w:bottom w:val="nil" w:sz="6" w:space="0" w:color="auto"/>
              <w:right w:val="single" w:sz="4" w:space="0" w:color="000000"/>
            </w:tcBorders>
            <w:shd w:val="clear" w:color="auto" w:fill="DCDCDC"/>
          </w:tcPr>
          <w:p>
            <w:pPr/>
          </w:p>
        </w:tc>
        <w:tc>
          <w:tcPr>
            <w:tcW w:w="907" w:type="dxa"/>
            <w:vMerge/>
            <w:tcBorders>
              <w:left w:val="single" w:sz="4" w:space="0" w:color="000000"/>
              <w:bottom w:val="nil" w:sz="6" w:space="0" w:color="auto"/>
              <w:right w:val="single" w:sz="4" w:space="0" w:color="000000"/>
            </w:tcBorders>
            <w:shd w:val="clear" w:color="auto" w:fill="DCDCDC"/>
          </w:tcPr>
          <w:p>
            <w:pPr/>
          </w:p>
        </w:tc>
        <w:tc>
          <w:tcPr>
            <w:tcW w:w="896" w:type="dxa"/>
            <w:vMerge/>
            <w:tcBorders>
              <w:left w:val="single" w:sz="4" w:space="0" w:color="000000"/>
              <w:right w:val="single" w:sz="4" w:space="0" w:color="000000"/>
            </w:tcBorders>
            <w:shd w:val="clear" w:color="auto" w:fill="DCDCDC"/>
          </w:tcPr>
          <w:p>
            <w:pPr/>
          </w:p>
        </w:tc>
      </w:tr>
      <w:tr>
        <w:trPr>
          <w:trHeight w:val="136" w:hRule="exact"/>
        </w:trPr>
        <w:tc>
          <w:tcPr>
            <w:tcW w:w="4846" w:type="dxa"/>
            <w:vMerge/>
            <w:tcBorders>
              <w:left w:val="single" w:sz="4" w:space="0" w:color="000000"/>
              <w:right w:val="single" w:sz="4" w:space="0" w:color="000000"/>
            </w:tcBorders>
            <w:shd w:val="clear" w:color="auto" w:fill="DCDCDC"/>
          </w:tcPr>
          <w:p>
            <w:pPr/>
          </w:p>
        </w:tc>
        <w:tc>
          <w:tcPr>
            <w:tcW w:w="893"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1087" w:type="dxa"/>
            <w:vMerge w:val="restart"/>
            <w:tcBorders>
              <w:top w:val="nil" w:sz="6" w:space="0" w:color="auto"/>
              <w:left w:val="single" w:sz="4" w:space="0" w:color="000000"/>
              <w:right w:val="single" w:sz="4" w:space="0" w:color="000000"/>
            </w:tcBorders>
            <w:shd w:val="clear" w:color="auto" w:fill="DCDCDC"/>
          </w:tcPr>
          <w:p>
            <w:pPr/>
          </w:p>
        </w:tc>
        <w:tc>
          <w:tcPr>
            <w:tcW w:w="920" w:type="dxa"/>
            <w:vMerge w:val="restart"/>
            <w:tcBorders>
              <w:top w:val="nil" w:sz="6" w:space="0" w:color="auto"/>
              <w:left w:val="single" w:sz="4" w:space="0" w:color="000000"/>
              <w:right w:val="single" w:sz="4" w:space="0" w:color="000000"/>
            </w:tcBorders>
            <w:shd w:val="clear" w:color="auto" w:fill="DCDCDC"/>
          </w:tcPr>
          <w:p>
            <w:pPr/>
          </w:p>
        </w:tc>
        <w:tc>
          <w:tcPr>
            <w:tcW w:w="907" w:type="dxa"/>
            <w:vMerge/>
            <w:tcBorders>
              <w:left w:val="single" w:sz="4" w:space="0" w:color="000000"/>
              <w:bottom w:val="nil" w:sz="6" w:space="0" w:color="auto"/>
              <w:right w:val="single" w:sz="4" w:space="0" w:color="000000"/>
            </w:tcBorders>
            <w:shd w:val="clear" w:color="auto" w:fill="DCDCDC"/>
          </w:tcPr>
          <w:p>
            <w:pPr/>
          </w:p>
        </w:tc>
        <w:tc>
          <w:tcPr>
            <w:tcW w:w="909" w:type="dxa"/>
            <w:vMerge/>
            <w:tcBorders>
              <w:left w:val="single" w:sz="4" w:space="0" w:color="000000"/>
              <w:right w:val="single" w:sz="4" w:space="0" w:color="000000"/>
            </w:tcBorders>
            <w:shd w:val="clear" w:color="auto" w:fill="DCDCDC"/>
          </w:tcPr>
          <w:p>
            <w:pPr/>
          </w:p>
        </w:tc>
        <w:tc>
          <w:tcPr>
            <w:tcW w:w="1262" w:type="dxa"/>
            <w:vMerge/>
            <w:tcBorders>
              <w:left w:val="single" w:sz="4" w:space="0" w:color="000000"/>
              <w:bottom w:val="nil" w:sz="6" w:space="0" w:color="auto"/>
              <w:right w:val="single" w:sz="4" w:space="0" w:color="000000"/>
            </w:tcBorders>
            <w:shd w:val="clear" w:color="auto" w:fill="DCDCDC"/>
          </w:tcPr>
          <w:p>
            <w:pPr/>
          </w:p>
        </w:tc>
        <w:tc>
          <w:tcPr>
            <w:tcW w:w="904" w:type="dxa"/>
            <w:vMerge w:val="restart"/>
            <w:tcBorders>
              <w:top w:val="nil" w:sz="6" w:space="0" w:color="auto"/>
              <w:left w:val="single" w:sz="4" w:space="0" w:color="000000"/>
              <w:right w:val="single" w:sz="4" w:space="0" w:color="000000"/>
            </w:tcBorders>
            <w:shd w:val="clear" w:color="auto" w:fill="DCDCDC"/>
          </w:tcPr>
          <w:p>
            <w:pPr/>
          </w:p>
        </w:tc>
        <w:tc>
          <w:tcPr>
            <w:tcW w:w="907" w:type="dxa"/>
            <w:vMerge w:val="restart"/>
            <w:tcBorders>
              <w:top w:val="nil" w:sz="6" w:space="0" w:color="auto"/>
              <w:left w:val="single" w:sz="4" w:space="0" w:color="000000"/>
              <w:right w:val="single" w:sz="4" w:space="0" w:color="000000"/>
            </w:tcBorders>
            <w:shd w:val="clear" w:color="auto" w:fill="DCDCDC"/>
          </w:tcPr>
          <w:p>
            <w:pPr/>
          </w:p>
        </w:tc>
        <w:tc>
          <w:tcPr>
            <w:tcW w:w="896" w:type="dxa"/>
            <w:vMerge/>
            <w:tcBorders>
              <w:left w:val="single" w:sz="4" w:space="0" w:color="000000"/>
              <w:right w:val="single" w:sz="4" w:space="0" w:color="000000"/>
            </w:tcBorders>
            <w:shd w:val="clear" w:color="auto" w:fill="DCDCDC"/>
          </w:tcPr>
          <w:p>
            <w:pPr/>
          </w:p>
        </w:tc>
      </w:tr>
      <w:tr>
        <w:trPr>
          <w:trHeight w:val="142" w:hRule="exact"/>
        </w:trPr>
        <w:tc>
          <w:tcPr>
            <w:tcW w:w="4846" w:type="dxa"/>
            <w:vMerge/>
            <w:tcBorders>
              <w:left w:val="single" w:sz="4" w:space="0" w:color="000000"/>
              <w:bottom w:val="single" w:sz="4" w:space="0" w:color="000000"/>
              <w:right w:val="single" w:sz="4" w:space="0" w:color="000000"/>
            </w:tcBorders>
            <w:shd w:val="clear" w:color="auto" w:fill="DCDCDC"/>
          </w:tcPr>
          <w:p>
            <w:pPr/>
          </w:p>
        </w:tc>
        <w:tc>
          <w:tcPr>
            <w:tcW w:w="893" w:type="dxa"/>
            <w:vMerge/>
            <w:tcBorders>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7" w:type="dxa"/>
            <w:vMerge/>
            <w:tcBorders>
              <w:left w:val="single" w:sz="4" w:space="0" w:color="000000"/>
              <w:bottom w:val="single" w:sz="4" w:space="0" w:color="000000"/>
              <w:right w:val="single" w:sz="4" w:space="0" w:color="000000"/>
            </w:tcBorders>
            <w:shd w:val="clear" w:color="auto" w:fill="DCDCDC"/>
          </w:tcPr>
          <w:p>
            <w:pPr/>
          </w:p>
        </w:tc>
        <w:tc>
          <w:tcPr>
            <w:tcW w:w="920" w:type="dxa"/>
            <w:vMerge/>
            <w:tcBorders>
              <w:left w:val="single" w:sz="4" w:space="0" w:color="000000"/>
              <w:bottom w:val="single" w:sz="4" w:space="0" w:color="000000"/>
              <w:right w:val="single" w:sz="4" w:space="0" w:color="000000"/>
            </w:tcBorders>
            <w:shd w:val="clear" w:color="auto" w:fill="DCDCDC"/>
          </w:tcPr>
          <w:p>
            <w:pPr/>
          </w:p>
        </w:tc>
        <w:tc>
          <w:tcPr>
            <w:tcW w:w="907" w:type="dxa"/>
            <w:tcBorders>
              <w:top w:val="nil" w:sz="6" w:space="0" w:color="auto"/>
              <w:left w:val="single" w:sz="4" w:space="0" w:color="000000"/>
              <w:bottom w:val="single" w:sz="4" w:space="0" w:color="000000"/>
              <w:right w:val="single" w:sz="4" w:space="0" w:color="000000"/>
            </w:tcBorders>
            <w:shd w:val="clear" w:color="auto" w:fill="DCDCDC"/>
          </w:tcPr>
          <w:p>
            <w:pPr/>
          </w:p>
        </w:tc>
        <w:tc>
          <w:tcPr>
            <w:tcW w:w="909" w:type="dxa"/>
            <w:vMerge/>
            <w:tcBorders>
              <w:left w:val="single" w:sz="4" w:space="0" w:color="000000"/>
              <w:bottom w:val="single" w:sz="4" w:space="0" w:color="000000"/>
              <w:right w:val="single" w:sz="4" w:space="0" w:color="000000"/>
            </w:tcBorders>
            <w:shd w:val="clear" w:color="auto" w:fill="DCDCDC"/>
          </w:tcPr>
          <w:p>
            <w:pPr/>
          </w:p>
        </w:tc>
        <w:tc>
          <w:tcPr>
            <w:tcW w:w="1262" w:type="dxa"/>
            <w:tcBorders>
              <w:top w:val="nil" w:sz="6" w:space="0" w:color="auto"/>
              <w:left w:val="single" w:sz="4" w:space="0" w:color="000000"/>
              <w:bottom w:val="single" w:sz="4" w:space="0" w:color="000000"/>
              <w:right w:val="single" w:sz="4" w:space="0" w:color="000000"/>
            </w:tcBorders>
            <w:shd w:val="clear" w:color="auto" w:fill="DCDCDC"/>
          </w:tcPr>
          <w:p>
            <w:pPr/>
          </w:p>
        </w:tc>
        <w:tc>
          <w:tcPr>
            <w:tcW w:w="904" w:type="dxa"/>
            <w:vMerge/>
            <w:tcBorders>
              <w:left w:val="single" w:sz="4" w:space="0" w:color="000000"/>
              <w:bottom w:val="single" w:sz="4" w:space="0" w:color="000000"/>
              <w:right w:val="single" w:sz="4" w:space="0" w:color="000000"/>
            </w:tcBorders>
            <w:shd w:val="clear" w:color="auto" w:fill="DCDCDC"/>
          </w:tcPr>
          <w:p>
            <w:pPr/>
          </w:p>
        </w:tc>
        <w:tc>
          <w:tcPr>
            <w:tcW w:w="907" w:type="dxa"/>
            <w:vMerge/>
            <w:tcBorders>
              <w:left w:val="single" w:sz="4" w:space="0" w:color="000000"/>
              <w:bottom w:val="single" w:sz="4" w:space="0" w:color="000000"/>
              <w:right w:val="single" w:sz="4" w:space="0" w:color="000000"/>
            </w:tcBorders>
            <w:shd w:val="clear" w:color="auto" w:fill="DCDCDC"/>
          </w:tcPr>
          <w:p>
            <w:pPr/>
          </w:p>
        </w:tc>
        <w:tc>
          <w:tcPr>
            <w:tcW w:w="896" w:type="dxa"/>
            <w:vMerge/>
            <w:tcBorders>
              <w:left w:val="single" w:sz="4" w:space="0" w:color="000000"/>
              <w:bottom w:val="single" w:sz="4" w:space="0" w:color="000000"/>
              <w:right w:val="single" w:sz="4" w:space="0" w:color="000000"/>
            </w:tcBorders>
            <w:shd w:val="clear" w:color="auto" w:fill="DCDCDC"/>
          </w:tcPr>
          <w:p>
            <w:pPr/>
          </w:p>
        </w:tc>
      </w:tr>
      <w:tr>
        <w:trPr>
          <w:trHeight w:val="282" w:hRule="exact"/>
        </w:trPr>
        <w:tc>
          <w:tcPr>
            <w:tcW w:w="48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承诺投资项目</w:t>
            </w:r>
          </w:p>
        </w:tc>
        <w:tc>
          <w:tcPr>
            <w:tcW w:w="9766" w:type="dxa"/>
            <w:gridSpan w:val="10"/>
            <w:tcBorders>
              <w:top w:val="single" w:sz="6" w:space="0" w:color="DCDCDC"/>
              <w:left w:val="single" w:sz="13" w:space="0" w:color="DCDCDC"/>
              <w:bottom w:val="single" w:sz="4" w:space="0" w:color="000000"/>
              <w:right w:val="single" w:sz="4" w:space="0" w:color="000000"/>
            </w:tcBorders>
          </w:tcPr>
          <w:p>
            <w:pPr/>
          </w:p>
        </w:tc>
      </w:tr>
      <w:tr>
        <w:trPr>
          <w:trHeight w:val="331" w:hRule="exact"/>
        </w:trPr>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2" w:right="0"/>
              <w:jc w:val="left"/>
              <w:rPr>
                <w:rFonts w:ascii="宋体" w:hAnsi="宋体" w:cs="宋体" w:eastAsia="宋体" w:hint="default"/>
                <w:sz w:val="21"/>
                <w:szCs w:val="21"/>
              </w:rPr>
            </w:pPr>
            <w:r>
              <w:rPr>
                <w:rFonts w:ascii="宋体" w:hAnsi="宋体" w:cs="宋体" w:eastAsia="宋体" w:hint="default"/>
                <w:sz w:val="21"/>
                <w:szCs w:val="21"/>
              </w:rPr>
              <w:t>商业银行全国票据影像交换业务处理系统升级改造</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335"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2,932.00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5"/>
              <w:jc w:val="right"/>
              <w:rPr>
                <w:rFonts w:ascii="Times New Roman" w:hAnsi="Times New Roman" w:cs="Times New Roman" w:eastAsia="Times New Roman" w:hint="default"/>
                <w:sz w:val="21"/>
                <w:szCs w:val="21"/>
              </w:rPr>
            </w:pPr>
            <w:r>
              <w:rPr>
                <w:rFonts w:ascii="Times New Roman"/>
                <w:spacing w:val="-1"/>
                <w:sz w:val="21"/>
              </w:rPr>
              <w:t>2,932.00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Times New Roman" w:hAnsi="Times New Roman" w:cs="Times New Roman" w:eastAsia="Times New Roman" w:hint="default"/>
                <w:sz w:val="21"/>
                <w:szCs w:val="21"/>
              </w:rPr>
            </w:pPr>
            <w:r>
              <w:rPr>
                <w:rFonts w:ascii="Times New Roman"/>
                <w:spacing w:val="-1"/>
                <w:sz w:val="21"/>
              </w:rPr>
              <w:t>146.63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5"/>
              <w:jc w:val="right"/>
              <w:rPr>
                <w:rFonts w:ascii="Times New Roman" w:hAnsi="Times New Roman" w:cs="Times New Roman" w:eastAsia="Times New Roman" w:hint="default"/>
                <w:sz w:val="21"/>
                <w:szCs w:val="21"/>
              </w:rPr>
            </w:pPr>
            <w:r>
              <w:rPr>
                <w:rFonts w:ascii="Times New Roman"/>
                <w:spacing w:val="-1"/>
                <w:sz w:val="21"/>
              </w:rPr>
              <w:t>576.18</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19.65%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34" w:right="0"/>
              <w:jc w:val="left"/>
              <w:rPr>
                <w:rFonts w:ascii="Times New Roman" w:hAnsi="Times New Roman" w:cs="Times New Roman" w:eastAsia="Times New Roman" w:hint="default"/>
                <w:sz w:val="21"/>
                <w:szCs w:val="21"/>
              </w:rPr>
            </w:pPr>
            <w:r>
              <w:rPr>
                <w:rFonts w:ascii="Times New Roman"/>
                <w:sz w:val="21"/>
              </w:rPr>
              <w:t>2012-06-30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427.38</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31"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33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30" w:hRule="exact"/>
        </w:trPr>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2" w:right="0"/>
              <w:jc w:val="left"/>
              <w:rPr>
                <w:rFonts w:ascii="宋体" w:hAnsi="宋体" w:cs="宋体" w:eastAsia="宋体" w:hint="default"/>
                <w:sz w:val="21"/>
                <w:szCs w:val="21"/>
              </w:rPr>
            </w:pPr>
            <w:r>
              <w:rPr>
                <w:rFonts w:ascii="宋体" w:hAnsi="宋体" w:cs="宋体" w:eastAsia="宋体" w:hint="default"/>
                <w:sz w:val="21"/>
                <w:szCs w:val="21"/>
              </w:rPr>
              <w:t>商业银行同城票据影像交换业务处理系统</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335"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Times New Roman" w:hAnsi="Times New Roman" w:cs="Times New Roman" w:eastAsia="Times New Roman" w:hint="default"/>
                <w:sz w:val="21"/>
                <w:szCs w:val="21"/>
              </w:rPr>
            </w:pPr>
            <w:r>
              <w:rPr>
                <w:rFonts w:ascii="Times New Roman"/>
                <w:spacing w:val="-1"/>
                <w:sz w:val="21"/>
              </w:rPr>
              <w:t>3,763.60</w:t>
            </w:r>
            <w:r>
              <w:rPr>
                <w:rFonts w:ascii="Times New Roman"/>
                <w:sz w:val="21"/>
              </w:rPr>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Times New Roman" w:hAnsi="Times New Roman" w:cs="Times New Roman" w:eastAsia="Times New Roman" w:hint="default"/>
                <w:sz w:val="21"/>
                <w:szCs w:val="21"/>
              </w:rPr>
            </w:pPr>
            <w:r>
              <w:rPr>
                <w:rFonts w:ascii="Times New Roman"/>
                <w:spacing w:val="-1"/>
                <w:sz w:val="21"/>
              </w:rPr>
              <w:t>3,763.60</w:t>
            </w:r>
            <w:r>
              <w:rPr>
                <w:rFonts w:ascii="Times New Roman"/>
                <w:sz w:val="21"/>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8"/>
              <w:jc w:val="right"/>
              <w:rPr>
                <w:rFonts w:ascii="Times New Roman" w:hAnsi="Times New Roman" w:cs="Times New Roman" w:eastAsia="Times New Roman" w:hint="default"/>
                <w:sz w:val="21"/>
                <w:szCs w:val="21"/>
              </w:rPr>
            </w:pPr>
            <w:r>
              <w:rPr>
                <w:rFonts w:ascii="Times New Roman"/>
                <w:spacing w:val="-1"/>
                <w:sz w:val="21"/>
              </w:rPr>
              <w:t>803.12</w:t>
            </w:r>
            <w:r>
              <w:rPr>
                <w:rFonts w:ascii="Times New Roman"/>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Times New Roman" w:hAnsi="Times New Roman" w:cs="Times New Roman" w:eastAsia="Times New Roman" w:hint="default"/>
                <w:sz w:val="21"/>
                <w:szCs w:val="21"/>
              </w:rPr>
            </w:pPr>
            <w:r>
              <w:rPr>
                <w:rFonts w:ascii="Times New Roman"/>
                <w:spacing w:val="-1"/>
                <w:sz w:val="21"/>
              </w:rPr>
              <w:t>1,316.81</w:t>
            </w:r>
            <w:r>
              <w:rPr>
                <w:rFonts w:ascii="Times New Roman"/>
                <w:sz w:val="21"/>
              </w:rPr>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34.99%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34" w:right="0"/>
              <w:jc w:val="left"/>
              <w:rPr>
                <w:rFonts w:ascii="Times New Roman" w:hAnsi="Times New Roman" w:cs="Times New Roman" w:eastAsia="Times New Roman" w:hint="default"/>
                <w:sz w:val="21"/>
                <w:szCs w:val="21"/>
              </w:rPr>
            </w:pPr>
            <w:r>
              <w:rPr>
                <w:rFonts w:ascii="Times New Roman"/>
                <w:sz w:val="21"/>
              </w:rPr>
              <w:t>2012-06-30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263.64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31"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33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30" w:hRule="exact"/>
        </w:trPr>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2" w:right="0"/>
              <w:jc w:val="left"/>
              <w:rPr>
                <w:rFonts w:ascii="宋体" w:hAnsi="宋体" w:cs="宋体" w:eastAsia="宋体" w:hint="default"/>
                <w:sz w:val="21"/>
                <w:szCs w:val="21"/>
              </w:rPr>
            </w:pPr>
            <w:r>
              <w:rPr>
                <w:rFonts w:ascii="宋体" w:hAnsi="宋体" w:cs="宋体" w:eastAsia="宋体" w:hint="default"/>
                <w:sz w:val="21"/>
                <w:szCs w:val="21"/>
              </w:rPr>
              <w:t>银企对账管理系统</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335"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3,144.90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5"/>
              <w:jc w:val="right"/>
              <w:rPr>
                <w:rFonts w:ascii="Times New Roman" w:hAnsi="Times New Roman" w:cs="Times New Roman" w:eastAsia="Times New Roman" w:hint="default"/>
                <w:sz w:val="21"/>
                <w:szCs w:val="21"/>
              </w:rPr>
            </w:pPr>
            <w:r>
              <w:rPr>
                <w:rFonts w:ascii="Times New Roman"/>
                <w:spacing w:val="-1"/>
                <w:sz w:val="21"/>
              </w:rPr>
              <w:t>3,144.90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Times New Roman" w:hAnsi="Times New Roman" w:cs="Times New Roman" w:eastAsia="Times New Roman" w:hint="default"/>
                <w:sz w:val="21"/>
                <w:szCs w:val="21"/>
              </w:rPr>
            </w:pPr>
            <w:r>
              <w:rPr>
                <w:rFonts w:ascii="Times New Roman"/>
                <w:spacing w:val="-1"/>
                <w:sz w:val="21"/>
              </w:rPr>
              <w:t>686.33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5"/>
              <w:jc w:val="right"/>
              <w:rPr>
                <w:rFonts w:ascii="Times New Roman" w:hAnsi="Times New Roman" w:cs="Times New Roman" w:eastAsia="Times New Roman" w:hint="default"/>
                <w:sz w:val="21"/>
                <w:szCs w:val="21"/>
              </w:rPr>
            </w:pPr>
            <w:r>
              <w:rPr>
                <w:rFonts w:ascii="Times New Roman"/>
                <w:spacing w:val="-2"/>
                <w:sz w:val="21"/>
              </w:rPr>
              <w:t>1,117.83</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35.54%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34" w:right="0"/>
              <w:jc w:val="left"/>
              <w:rPr>
                <w:rFonts w:ascii="Times New Roman" w:hAnsi="Times New Roman" w:cs="Times New Roman" w:eastAsia="Times New Roman" w:hint="default"/>
                <w:sz w:val="21"/>
                <w:szCs w:val="21"/>
              </w:rPr>
            </w:pPr>
            <w:r>
              <w:rPr>
                <w:rFonts w:ascii="Times New Roman"/>
                <w:sz w:val="21"/>
              </w:rPr>
              <w:t>2012-06-30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289.66</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31"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33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30" w:hRule="exact"/>
        </w:trPr>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2" w:right="0"/>
              <w:jc w:val="left"/>
              <w:rPr>
                <w:rFonts w:ascii="宋体" w:hAnsi="宋体" w:cs="宋体" w:eastAsia="宋体" w:hint="default"/>
                <w:sz w:val="21"/>
                <w:szCs w:val="21"/>
              </w:rPr>
            </w:pPr>
            <w:r>
              <w:rPr>
                <w:rFonts w:ascii="宋体" w:hAnsi="宋体" w:cs="宋体" w:eastAsia="宋体" w:hint="default"/>
                <w:sz w:val="21"/>
                <w:szCs w:val="21"/>
              </w:rPr>
              <w:t>客户服务中心</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335"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1,705.20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5"/>
              <w:jc w:val="right"/>
              <w:rPr>
                <w:rFonts w:ascii="Times New Roman" w:hAnsi="Times New Roman" w:cs="Times New Roman" w:eastAsia="Times New Roman" w:hint="default"/>
                <w:sz w:val="21"/>
                <w:szCs w:val="21"/>
              </w:rPr>
            </w:pPr>
            <w:r>
              <w:rPr>
                <w:rFonts w:ascii="Times New Roman"/>
                <w:spacing w:val="-1"/>
                <w:sz w:val="21"/>
              </w:rPr>
              <w:t>1,705.20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Times New Roman" w:hAnsi="Times New Roman" w:cs="Times New Roman" w:eastAsia="Times New Roman" w:hint="default"/>
                <w:sz w:val="21"/>
                <w:szCs w:val="21"/>
              </w:rPr>
            </w:pPr>
            <w:r>
              <w:rPr>
                <w:rFonts w:ascii="Times New Roman"/>
                <w:spacing w:val="-1"/>
                <w:sz w:val="21"/>
              </w:rPr>
              <w:t>210.10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5"/>
              <w:jc w:val="right"/>
              <w:rPr>
                <w:rFonts w:ascii="Times New Roman" w:hAnsi="Times New Roman" w:cs="Times New Roman" w:eastAsia="Times New Roman" w:hint="default"/>
                <w:sz w:val="21"/>
                <w:szCs w:val="21"/>
              </w:rPr>
            </w:pPr>
            <w:r>
              <w:rPr>
                <w:rFonts w:ascii="Times New Roman"/>
                <w:spacing w:val="-1"/>
                <w:sz w:val="21"/>
              </w:rPr>
              <w:t>255.05</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14.96%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34" w:right="0"/>
              <w:jc w:val="left"/>
              <w:rPr>
                <w:rFonts w:ascii="Times New Roman" w:hAnsi="Times New Roman" w:cs="Times New Roman" w:eastAsia="Times New Roman" w:hint="default"/>
                <w:sz w:val="21"/>
                <w:szCs w:val="21"/>
              </w:rPr>
            </w:pPr>
            <w:r>
              <w:rPr>
                <w:rFonts w:ascii="Times New Roman"/>
                <w:sz w:val="21"/>
              </w:rPr>
              <w:t>2012-06-30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21"/>
                <w:szCs w:val="21"/>
              </w:rPr>
            </w:pPr>
            <w:r>
              <w:rPr>
                <w:rFonts w:ascii="Times New Roman"/>
                <w:spacing w:val="-1"/>
                <w:sz w:val="21"/>
              </w:rPr>
              <w:t>370.73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32"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33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31" w:hRule="exact"/>
        </w:trPr>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2" w:right="0"/>
              <w:jc w:val="left"/>
              <w:rPr>
                <w:rFonts w:ascii="宋体" w:hAnsi="宋体" w:cs="宋体" w:eastAsia="宋体" w:hint="default"/>
                <w:sz w:val="21"/>
                <w:szCs w:val="21"/>
              </w:rPr>
            </w:pPr>
            <w:r>
              <w:rPr>
                <w:rFonts w:ascii="宋体" w:hAnsi="宋体" w:cs="宋体" w:eastAsia="宋体" w:hint="default"/>
                <w:sz w:val="21"/>
                <w:szCs w:val="21"/>
              </w:rPr>
              <w:t>研究开发中心</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335"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2,179.40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5"/>
              <w:jc w:val="right"/>
              <w:rPr>
                <w:rFonts w:ascii="Times New Roman" w:hAnsi="Times New Roman" w:cs="Times New Roman" w:eastAsia="Times New Roman" w:hint="default"/>
                <w:sz w:val="21"/>
                <w:szCs w:val="21"/>
              </w:rPr>
            </w:pPr>
            <w:r>
              <w:rPr>
                <w:rFonts w:ascii="Times New Roman"/>
                <w:spacing w:val="-1"/>
                <w:sz w:val="21"/>
              </w:rPr>
              <w:t>2,179.40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Times New Roman" w:hAnsi="Times New Roman" w:cs="Times New Roman" w:eastAsia="Times New Roman" w:hint="default"/>
                <w:sz w:val="21"/>
                <w:szCs w:val="21"/>
              </w:rPr>
            </w:pPr>
            <w:r>
              <w:rPr>
                <w:rFonts w:ascii="Times New Roman"/>
                <w:spacing w:val="-1"/>
                <w:sz w:val="21"/>
              </w:rPr>
              <w:t>461.36</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5"/>
              <w:jc w:val="right"/>
              <w:rPr>
                <w:rFonts w:ascii="Times New Roman" w:hAnsi="Times New Roman" w:cs="Times New Roman" w:eastAsia="Times New Roman" w:hint="default"/>
                <w:sz w:val="21"/>
                <w:szCs w:val="21"/>
              </w:rPr>
            </w:pPr>
            <w:r>
              <w:rPr>
                <w:rFonts w:ascii="Times New Roman"/>
                <w:spacing w:val="-1"/>
                <w:sz w:val="21"/>
              </w:rPr>
              <w:t>778.84</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35.74%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34" w:right="0"/>
              <w:jc w:val="left"/>
              <w:rPr>
                <w:rFonts w:ascii="Times New Roman" w:hAnsi="Times New Roman" w:cs="Times New Roman" w:eastAsia="Times New Roman" w:hint="default"/>
                <w:sz w:val="21"/>
                <w:szCs w:val="21"/>
              </w:rPr>
            </w:pPr>
            <w:r>
              <w:rPr>
                <w:rFonts w:ascii="Times New Roman"/>
                <w:sz w:val="21"/>
              </w:rPr>
              <w:t>2012-06-30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21"/>
                <w:szCs w:val="21"/>
              </w:rPr>
            </w:pPr>
            <w:r>
              <w:rPr>
                <w:rFonts w:ascii="Times New Roman"/>
                <w:sz w:val="21"/>
              </w:rPr>
              <w:t>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32"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33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99" w:hRule="exact"/>
        </w:trPr>
        <w:tc>
          <w:tcPr>
            <w:tcW w:w="48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1576" w:right="0"/>
              <w:jc w:val="left"/>
              <w:rPr>
                <w:rFonts w:ascii="宋体" w:hAnsi="宋体" w:cs="宋体" w:eastAsia="宋体" w:hint="default"/>
                <w:sz w:val="21"/>
                <w:szCs w:val="21"/>
              </w:rPr>
            </w:pPr>
            <w:r>
              <w:rPr>
                <w:rFonts w:ascii="宋体" w:hAnsi="宋体" w:cs="宋体" w:eastAsia="宋体" w:hint="default"/>
                <w:sz w:val="21"/>
                <w:szCs w:val="21"/>
              </w:rPr>
              <w:t>承诺投资项目小计</w:t>
            </w:r>
          </w:p>
        </w:tc>
        <w:tc>
          <w:tcPr>
            <w:tcW w:w="89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21"/>
                <w:szCs w:val="21"/>
              </w:rPr>
            </w:pPr>
            <w:r>
              <w:rPr>
                <w:rFonts w:ascii="Times New Roman"/>
                <w:spacing w:val="-1"/>
                <w:sz w:val="21"/>
              </w:rPr>
              <w:t>13,725.10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5"/>
              <w:jc w:val="right"/>
              <w:rPr>
                <w:rFonts w:ascii="Times New Roman" w:hAnsi="Times New Roman" w:cs="Times New Roman" w:eastAsia="Times New Roman" w:hint="default"/>
                <w:sz w:val="21"/>
                <w:szCs w:val="21"/>
              </w:rPr>
            </w:pPr>
            <w:r>
              <w:rPr>
                <w:rFonts w:ascii="Times New Roman"/>
                <w:spacing w:val="-1"/>
                <w:sz w:val="21"/>
              </w:rPr>
              <w:t>13,725.10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6"/>
              <w:jc w:val="right"/>
              <w:rPr>
                <w:rFonts w:ascii="Times New Roman" w:hAnsi="Times New Roman" w:cs="Times New Roman" w:eastAsia="Times New Roman" w:hint="default"/>
                <w:sz w:val="21"/>
                <w:szCs w:val="21"/>
              </w:rPr>
            </w:pPr>
            <w:r>
              <w:rPr>
                <w:rFonts w:ascii="Times New Roman"/>
                <w:spacing w:val="-1"/>
                <w:sz w:val="21"/>
              </w:rPr>
              <w:t>2,307.54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5"/>
              <w:jc w:val="right"/>
              <w:rPr>
                <w:rFonts w:ascii="Times New Roman" w:hAnsi="Times New Roman" w:cs="Times New Roman" w:eastAsia="Times New Roman" w:hint="default"/>
                <w:sz w:val="21"/>
                <w:szCs w:val="21"/>
              </w:rPr>
            </w:pPr>
            <w:r>
              <w:rPr>
                <w:rFonts w:ascii="Times New Roman"/>
                <w:spacing w:val="-1"/>
                <w:sz w:val="21"/>
              </w:rPr>
              <w:t>4,044.71</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29.47%</w:t>
            </w:r>
          </w:p>
        </w:tc>
        <w:tc>
          <w:tcPr>
            <w:tcW w:w="1262"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1"/>
                <w:szCs w:val="21"/>
              </w:rPr>
            </w:pPr>
            <w:r>
              <w:rPr>
                <w:rFonts w:ascii="Times New Roman"/>
                <w:spacing w:val="-1"/>
                <w:sz w:val="21"/>
              </w:rPr>
              <w:t>1351.41</w:t>
            </w:r>
          </w:p>
        </w:tc>
        <w:tc>
          <w:tcPr>
            <w:tcW w:w="907"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超募资金投向</w:t>
            </w:r>
          </w:p>
        </w:tc>
        <w:tc>
          <w:tcPr>
            <w:tcW w:w="9766" w:type="dxa"/>
            <w:gridSpan w:val="10"/>
            <w:tcBorders>
              <w:top w:val="single" w:sz="4" w:space="0" w:color="000000"/>
              <w:left w:val="single" w:sz="4" w:space="0" w:color="000000"/>
              <w:bottom w:val="single" w:sz="4" w:space="0" w:color="000000"/>
              <w:right w:val="single" w:sz="4" w:space="0" w:color="000000"/>
            </w:tcBorders>
          </w:tcPr>
          <w:p>
            <w:pPr/>
          </w:p>
        </w:tc>
      </w:tr>
      <w:tr>
        <w:trPr>
          <w:trHeight w:val="299" w:hRule="exact"/>
        </w:trPr>
        <w:tc>
          <w:tcPr>
            <w:tcW w:w="48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1366" w:right="0"/>
              <w:jc w:val="left"/>
              <w:rPr>
                <w:rFonts w:ascii="宋体" w:hAnsi="宋体" w:cs="宋体" w:eastAsia="宋体" w:hint="default"/>
                <w:sz w:val="21"/>
                <w:szCs w:val="21"/>
              </w:rPr>
            </w:pPr>
            <w:r>
              <w:rPr>
                <w:rFonts w:ascii="宋体" w:hAnsi="宋体" w:cs="宋体" w:eastAsia="宋体" w:hint="default"/>
                <w:sz w:val="21"/>
                <w:szCs w:val="21"/>
              </w:rPr>
              <w:t>归还银行贷款（如有）</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1"/>
                <w:szCs w:val="21"/>
              </w:rPr>
            </w:pPr>
            <w:r>
              <w:rPr>
                <w:rFonts w:ascii="Times New Roman"/>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21"/>
                <w:szCs w:val="21"/>
              </w:rPr>
            </w:pPr>
            <w:r>
              <w:rPr>
                <w:rFonts w:ascii="Times New Roman"/>
                <w:sz w:val="21"/>
              </w:rPr>
              <w:t>-</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4"/>
              <w:jc w:val="right"/>
              <w:rPr>
                <w:rFonts w:ascii="Times New Roman" w:hAnsi="Times New Roman" w:cs="Times New Roman" w:eastAsia="Times New Roman" w:hint="default"/>
                <w:sz w:val="21"/>
                <w:szCs w:val="21"/>
              </w:rPr>
            </w:pPr>
            <w:r>
              <w:rPr>
                <w:rFonts w:ascii="Times New Roman"/>
                <w:sz w:val="21"/>
              </w:rPr>
              <w:t>-</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5"/>
              <w:jc w:val="right"/>
              <w:rPr>
                <w:rFonts w:ascii="Times New Roman" w:hAnsi="Times New Roman" w:cs="Times New Roman" w:eastAsia="Times New Roman" w:hint="default"/>
                <w:sz w:val="21"/>
                <w:szCs w:val="21"/>
              </w:rPr>
            </w:pPr>
            <w:r>
              <w:rPr>
                <w:rFonts w:ascii="Times New Roman"/>
                <w:sz w:val="21"/>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5"/>
              <w:jc w:val="right"/>
              <w:rPr>
                <w:rFonts w:ascii="Times New Roman" w:hAnsi="Times New Roman" w:cs="Times New Roman" w:eastAsia="Times New Roman" w:hint="default"/>
                <w:sz w:val="21"/>
                <w:szCs w:val="21"/>
              </w:rPr>
            </w:pPr>
            <w:r>
              <w:rPr>
                <w:rFonts w:ascii="Times New Roman"/>
                <w:sz w:val="21"/>
              </w:rPr>
              <w:t>-</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1"/>
                <w:szCs w:val="21"/>
              </w:rPr>
            </w:pPr>
            <w:r>
              <w:rPr>
                <w:rFonts w:ascii="Times New Roman"/>
                <w:sz w:val="21"/>
              </w:rPr>
              <w:t>-</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Times New Roman" w:hAnsi="Times New Roman" w:cs="Times New Roman" w:eastAsia="Times New Roman" w:hint="default"/>
                <w:sz w:val="21"/>
                <w:szCs w:val="21"/>
              </w:rPr>
            </w:pPr>
            <w:r>
              <w:rPr>
                <w:rFonts w:ascii="Times New Roman"/>
                <w:sz w:val="21"/>
              </w:rPr>
              <w:t>-</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1"/>
                <w:szCs w:val="21"/>
              </w:rPr>
            </w:pPr>
            <w:r>
              <w:rPr>
                <w:rFonts w:ascii="Times New Roman"/>
                <w:sz w:val="21"/>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4"/>
              <w:jc w:val="right"/>
              <w:rPr>
                <w:rFonts w:ascii="Times New Roman" w:hAnsi="Times New Roman" w:cs="Times New Roman" w:eastAsia="Times New Roman" w:hint="default"/>
                <w:sz w:val="21"/>
                <w:szCs w:val="21"/>
              </w:rPr>
            </w:pPr>
            <w:r>
              <w:rPr>
                <w:rFonts w:ascii="Times New Roman"/>
                <w:sz w:val="21"/>
              </w:rPr>
              <w:t>-</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21"/>
                <w:szCs w:val="21"/>
              </w:rPr>
            </w:pPr>
            <w:r>
              <w:rPr>
                <w:rFonts w:ascii="Times New Roman"/>
                <w:sz w:val="21"/>
              </w:rPr>
              <w:t>-</w:t>
            </w:r>
          </w:p>
        </w:tc>
      </w:tr>
      <w:tr>
        <w:trPr>
          <w:trHeight w:val="300" w:hRule="exact"/>
        </w:trPr>
        <w:tc>
          <w:tcPr>
            <w:tcW w:w="48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1366" w:right="0"/>
              <w:jc w:val="left"/>
              <w:rPr>
                <w:rFonts w:ascii="宋体" w:hAnsi="宋体" w:cs="宋体" w:eastAsia="宋体" w:hint="default"/>
                <w:sz w:val="21"/>
                <w:szCs w:val="21"/>
              </w:rPr>
            </w:pPr>
            <w:r>
              <w:rPr>
                <w:rFonts w:ascii="宋体" w:hAnsi="宋体" w:cs="宋体" w:eastAsia="宋体" w:hint="default"/>
                <w:sz w:val="21"/>
                <w:szCs w:val="21"/>
              </w:rPr>
              <w:t>补充流动资金（如有）</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1"/>
                <w:szCs w:val="21"/>
              </w:rPr>
            </w:pPr>
            <w:r>
              <w:rPr>
                <w:rFonts w:ascii="Times New Roman"/>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21"/>
                <w:szCs w:val="21"/>
              </w:rPr>
            </w:pPr>
            <w:r>
              <w:rPr>
                <w:rFonts w:ascii="Times New Roman"/>
                <w:sz w:val="21"/>
              </w:rPr>
              <w:t>-</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4"/>
              <w:jc w:val="right"/>
              <w:rPr>
                <w:rFonts w:ascii="Times New Roman" w:hAnsi="Times New Roman" w:cs="Times New Roman" w:eastAsia="Times New Roman" w:hint="default"/>
                <w:sz w:val="21"/>
                <w:szCs w:val="21"/>
              </w:rPr>
            </w:pPr>
            <w:r>
              <w:rPr>
                <w:rFonts w:ascii="Times New Roman"/>
                <w:sz w:val="21"/>
              </w:rPr>
              <w:t>-</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5"/>
              <w:jc w:val="right"/>
              <w:rPr>
                <w:rFonts w:ascii="Times New Roman" w:hAnsi="Times New Roman" w:cs="Times New Roman" w:eastAsia="Times New Roman" w:hint="default"/>
                <w:sz w:val="21"/>
                <w:szCs w:val="21"/>
              </w:rPr>
            </w:pPr>
            <w:r>
              <w:rPr>
                <w:rFonts w:ascii="Times New Roman"/>
                <w:sz w:val="21"/>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Times New Roman" w:hAnsi="Times New Roman" w:cs="Times New Roman" w:eastAsia="Times New Roman" w:hint="default"/>
                <w:sz w:val="21"/>
                <w:szCs w:val="21"/>
              </w:rPr>
            </w:pPr>
            <w:r>
              <w:rPr>
                <w:rFonts w:ascii="Times New Roman"/>
                <w:spacing w:val="-1"/>
                <w:sz w:val="21"/>
              </w:rPr>
              <w:t>4,500.00</w:t>
            </w:r>
            <w:r>
              <w:rPr>
                <w:rFonts w:ascii="Times New Roman"/>
                <w:sz w:val="21"/>
              </w:rPr>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1"/>
                <w:szCs w:val="21"/>
              </w:rPr>
            </w:pPr>
            <w:r>
              <w:rPr>
                <w:rFonts w:ascii="Times New Roman"/>
                <w:sz w:val="21"/>
              </w:rPr>
              <w:t>-</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Times New Roman" w:hAnsi="Times New Roman" w:cs="Times New Roman" w:eastAsia="Times New Roman" w:hint="default"/>
                <w:sz w:val="21"/>
                <w:szCs w:val="21"/>
              </w:rPr>
            </w:pPr>
            <w:r>
              <w:rPr>
                <w:rFonts w:ascii="Times New Roman"/>
                <w:sz w:val="21"/>
              </w:rPr>
              <w:t>-</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1"/>
                <w:szCs w:val="21"/>
              </w:rPr>
            </w:pPr>
            <w:r>
              <w:rPr>
                <w:rFonts w:ascii="Times New Roman"/>
                <w:sz w:val="21"/>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4"/>
              <w:jc w:val="right"/>
              <w:rPr>
                <w:rFonts w:ascii="Times New Roman" w:hAnsi="Times New Roman" w:cs="Times New Roman" w:eastAsia="Times New Roman" w:hint="default"/>
                <w:sz w:val="21"/>
                <w:szCs w:val="21"/>
              </w:rPr>
            </w:pPr>
            <w:r>
              <w:rPr>
                <w:rFonts w:ascii="Times New Roman"/>
                <w:sz w:val="21"/>
              </w:rPr>
              <w:t>-</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21"/>
                <w:szCs w:val="21"/>
              </w:rPr>
            </w:pPr>
            <w:r>
              <w:rPr>
                <w:rFonts w:ascii="Times New Roman"/>
                <w:sz w:val="21"/>
              </w:rPr>
              <w:t>-</w:t>
            </w:r>
          </w:p>
        </w:tc>
      </w:tr>
      <w:tr>
        <w:trPr>
          <w:trHeight w:val="299" w:hRule="exact"/>
        </w:trPr>
        <w:tc>
          <w:tcPr>
            <w:tcW w:w="48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1576" w:right="0"/>
              <w:jc w:val="left"/>
              <w:rPr>
                <w:rFonts w:ascii="宋体" w:hAnsi="宋体" w:cs="宋体" w:eastAsia="宋体" w:hint="default"/>
                <w:sz w:val="21"/>
                <w:szCs w:val="21"/>
              </w:rPr>
            </w:pPr>
            <w:r>
              <w:rPr>
                <w:rFonts w:ascii="宋体" w:hAnsi="宋体" w:cs="宋体" w:eastAsia="宋体" w:hint="default"/>
                <w:sz w:val="21"/>
                <w:szCs w:val="21"/>
              </w:rPr>
              <w:t>超募资金投向小计</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1"/>
                <w:szCs w:val="21"/>
              </w:rPr>
            </w:pPr>
            <w:r>
              <w:rPr>
                <w:rFonts w:ascii="Times New Roman"/>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21"/>
                <w:szCs w:val="21"/>
              </w:rPr>
            </w:pPr>
            <w:r>
              <w:rPr>
                <w:rFonts w:ascii="Times New Roman"/>
                <w:sz w:val="21"/>
              </w:rPr>
              <w:t>-</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4"/>
              <w:jc w:val="right"/>
              <w:rPr>
                <w:rFonts w:ascii="Times New Roman" w:hAnsi="Times New Roman" w:cs="Times New Roman" w:eastAsia="Times New Roman" w:hint="default"/>
                <w:sz w:val="21"/>
                <w:szCs w:val="21"/>
              </w:rPr>
            </w:pPr>
            <w:r>
              <w:rPr>
                <w:rFonts w:ascii="Times New Roman"/>
                <w:sz w:val="21"/>
              </w:rPr>
              <w:t>-</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5"/>
              <w:jc w:val="right"/>
              <w:rPr>
                <w:rFonts w:ascii="Times New Roman" w:hAnsi="Times New Roman" w:cs="Times New Roman" w:eastAsia="Times New Roman" w:hint="default"/>
                <w:sz w:val="21"/>
                <w:szCs w:val="21"/>
              </w:rPr>
            </w:pPr>
            <w:r>
              <w:rPr>
                <w:rFonts w:ascii="Times New Roman"/>
                <w:sz w:val="21"/>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Times New Roman" w:hAnsi="Times New Roman" w:cs="Times New Roman" w:eastAsia="Times New Roman" w:hint="default"/>
                <w:sz w:val="21"/>
                <w:szCs w:val="21"/>
              </w:rPr>
            </w:pPr>
            <w:r>
              <w:rPr>
                <w:rFonts w:ascii="Times New Roman"/>
                <w:spacing w:val="-1"/>
                <w:sz w:val="21"/>
              </w:rPr>
              <w:t>4,500.00</w:t>
            </w:r>
            <w:r>
              <w:rPr>
                <w:rFonts w:ascii="Times New Roman"/>
                <w:sz w:val="21"/>
              </w:rPr>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1"/>
                <w:szCs w:val="21"/>
              </w:rPr>
            </w:pPr>
            <w:r>
              <w:rPr>
                <w:rFonts w:ascii="Times New Roman"/>
                <w:sz w:val="21"/>
              </w:rPr>
              <w:t>-</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Times New Roman" w:hAnsi="Times New Roman" w:cs="Times New Roman" w:eastAsia="Times New Roman" w:hint="default"/>
                <w:sz w:val="21"/>
                <w:szCs w:val="21"/>
              </w:rPr>
            </w:pPr>
            <w:r>
              <w:rPr>
                <w:rFonts w:ascii="Times New Roman"/>
                <w:sz w:val="21"/>
              </w:rPr>
              <w:t>-</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1"/>
                <w:szCs w:val="21"/>
              </w:rPr>
            </w:pPr>
            <w:r>
              <w:rPr>
                <w:rFonts w:ascii="Times New Roman"/>
                <w:sz w:val="21"/>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4"/>
              <w:jc w:val="right"/>
              <w:rPr>
                <w:rFonts w:ascii="Times New Roman" w:hAnsi="Times New Roman" w:cs="Times New Roman" w:eastAsia="Times New Roman" w:hint="default"/>
                <w:sz w:val="21"/>
                <w:szCs w:val="21"/>
              </w:rPr>
            </w:pPr>
            <w:r>
              <w:rPr>
                <w:rFonts w:ascii="Times New Roman"/>
                <w:sz w:val="21"/>
              </w:rPr>
              <w:t>-</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21"/>
                <w:szCs w:val="21"/>
              </w:rPr>
            </w:pPr>
            <w:r>
              <w:rPr>
                <w:rFonts w:ascii="Times New Roman"/>
                <w:sz w:val="21"/>
              </w:rPr>
              <w:t>-</w:t>
            </w:r>
          </w:p>
        </w:tc>
      </w:tr>
      <w:tr>
        <w:trPr>
          <w:trHeight w:val="300" w:hRule="exact"/>
        </w:trPr>
        <w:tc>
          <w:tcPr>
            <w:tcW w:w="48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1"/>
                <w:szCs w:val="21"/>
              </w:rPr>
            </w:pPr>
            <w:r>
              <w:rPr>
                <w:rFonts w:ascii="Times New Roman"/>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Times New Roman" w:hAnsi="Times New Roman" w:cs="Times New Roman" w:eastAsia="Times New Roman" w:hint="default"/>
                <w:sz w:val="21"/>
                <w:szCs w:val="21"/>
              </w:rPr>
            </w:pPr>
            <w:r>
              <w:rPr>
                <w:rFonts w:ascii="Times New Roman"/>
                <w:spacing w:val="-1"/>
                <w:sz w:val="21"/>
              </w:rPr>
              <w:t>13,725.10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6"/>
              <w:jc w:val="right"/>
              <w:rPr>
                <w:rFonts w:ascii="Times New Roman" w:hAnsi="Times New Roman" w:cs="Times New Roman" w:eastAsia="Times New Roman" w:hint="default"/>
                <w:sz w:val="21"/>
                <w:szCs w:val="21"/>
              </w:rPr>
            </w:pPr>
            <w:r>
              <w:rPr>
                <w:rFonts w:ascii="Times New Roman"/>
                <w:spacing w:val="-1"/>
                <w:sz w:val="21"/>
              </w:rPr>
              <w:t>13,725.10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
              <w:jc w:val="right"/>
              <w:rPr>
                <w:rFonts w:ascii="Times New Roman" w:hAnsi="Times New Roman" w:cs="Times New Roman" w:eastAsia="Times New Roman" w:hint="default"/>
                <w:sz w:val="21"/>
                <w:szCs w:val="21"/>
              </w:rPr>
            </w:pPr>
            <w:r>
              <w:rPr>
                <w:rFonts w:ascii="Times New Roman"/>
                <w:spacing w:val="-1"/>
                <w:sz w:val="21"/>
              </w:rPr>
              <w:t>2,307.54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Times New Roman" w:hAnsi="Times New Roman" w:cs="Times New Roman" w:eastAsia="Times New Roman" w:hint="default"/>
                <w:sz w:val="21"/>
                <w:szCs w:val="21"/>
              </w:rPr>
            </w:pPr>
            <w:r>
              <w:rPr>
                <w:rFonts w:ascii="Times New Roman"/>
                <w:spacing w:val="-1"/>
                <w:sz w:val="21"/>
              </w:rPr>
              <w:t>8,544.71</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21"/>
                <w:szCs w:val="21"/>
              </w:rPr>
            </w:pPr>
            <w:r>
              <w:rPr>
                <w:rFonts w:ascii="Times New Roman"/>
                <w:sz w:val="21"/>
              </w:rPr>
              <w:t>-</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Times New Roman" w:hAnsi="Times New Roman" w:cs="Times New Roman" w:eastAsia="Times New Roman" w:hint="default"/>
                <w:sz w:val="21"/>
                <w:szCs w:val="21"/>
              </w:rPr>
            </w:pPr>
            <w:r>
              <w:rPr>
                <w:rFonts w:ascii="Times New Roman"/>
                <w:sz w:val="21"/>
              </w:rPr>
              <w:t>-</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Times New Roman" w:hAnsi="Times New Roman" w:cs="Times New Roman" w:eastAsia="Times New Roman" w:hint="default"/>
                <w:sz w:val="21"/>
                <w:szCs w:val="21"/>
              </w:rPr>
            </w:pPr>
            <w:r>
              <w:rPr>
                <w:rFonts w:ascii="Times New Roman"/>
                <w:spacing w:val="-1"/>
                <w:sz w:val="21"/>
              </w:rPr>
              <w:t>1351.41</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5"/>
              <w:jc w:val="right"/>
              <w:rPr>
                <w:rFonts w:ascii="Times New Roman" w:hAnsi="Times New Roman" w:cs="Times New Roman" w:eastAsia="Times New Roman" w:hint="default"/>
                <w:sz w:val="21"/>
                <w:szCs w:val="21"/>
              </w:rPr>
            </w:pPr>
            <w:r>
              <w:rPr>
                <w:rFonts w:ascii="Times New Roman"/>
                <w:sz w:val="21"/>
              </w:rPr>
              <w:t>-</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Times New Roman" w:hAnsi="Times New Roman" w:cs="Times New Roman" w:eastAsia="Times New Roman" w:hint="default"/>
                <w:sz w:val="21"/>
                <w:szCs w:val="21"/>
              </w:rPr>
            </w:pPr>
            <w:r>
              <w:rPr>
                <w:rFonts w:ascii="Times New Roman"/>
                <w:sz w:val="21"/>
              </w:rPr>
              <w:t>-</w:t>
            </w:r>
          </w:p>
        </w:tc>
      </w:tr>
      <w:tr>
        <w:trPr>
          <w:trHeight w:val="2124" w:hRule="exact"/>
        </w:trPr>
        <w:tc>
          <w:tcPr>
            <w:tcW w:w="48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未达到计划进度或预计收益的情况和原因</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（分具体项目）</w:t>
            </w:r>
          </w:p>
        </w:tc>
        <w:tc>
          <w:tcPr>
            <w:tcW w:w="976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22" w:right="19"/>
              <w:jc w:val="left"/>
              <w:rPr>
                <w:rFonts w:ascii="宋体" w:hAnsi="宋体" w:cs="宋体" w:eastAsia="宋体" w:hint="default"/>
                <w:sz w:val="21"/>
                <w:szCs w:val="21"/>
              </w:rPr>
            </w:pPr>
            <w:r>
              <w:rPr>
                <w:rFonts w:ascii="宋体" w:hAnsi="宋体" w:cs="宋体" w:eastAsia="宋体" w:hint="default"/>
                <w:sz w:val="21"/>
                <w:szCs w:val="21"/>
              </w:rPr>
              <w:t>上述募投项目原计划在募集资金到位后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年内全部投资、建设完成。至报告期末，实际募集资金投资项目 资金投入金额为预计投资总额的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29.47%</w:t>
            </w:r>
            <w:r>
              <w:rPr>
                <w:rFonts w:ascii="宋体" w:hAnsi="宋体" w:cs="宋体" w:eastAsia="宋体" w:hint="default"/>
                <w:sz w:val="21"/>
                <w:szCs w:val="21"/>
              </w:rPr>
              <w:t>，低于预计投资进度的主要原因是：</w:t>
            </w:r>
          </w:p>
          <w:p>
            <w:pPr>
              <w:pStyle w:val="TableParagraph"/>
              <w:spacing w:line="272" w:lineRule="exact" w:before="120"/>
              <w:ind w:left="22" w:right="19"/>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．全国票据影像系统改造、银企对账系统项目在实际进行投资时，市场技术功能要求发生变化，公司因调</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整项目的技术方案致使项目进度延缓。</w:t>
            </w:r>
          </w:p>
          <w:p>
            <w:pPr>
              <w:pStyle w:val="TableParagraph"/>
              <w:spacing w:line="272" w:lineRule="exact" w:before="120"/>
              <w:ind w:left="22" w:right="23" w:hanging="1"/>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．客户服务中心项目公司根据技术发展趋势，本着尽量节省使用募集资金的考虑，采用自行开发</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B/S</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结构</w:t>
            </w:r>
            <w:r>
              <w:rPr>
                <w:rFonts w:ascii="宋体" w:hAnsi="宋体" w:cs="宋体" w:eastAsia="宋体" w:hint="default"/>
                <w:spacing w:val="-2"/>
                <w:sz w:val="21"/>
                <w:szCs w:val="21"/>
              </w:rPr>
              <w:t> </w:t>
            </w:r>
            <w:r>
              <w:rPr>
                <w:rFonts w:ascii="宋体" w:hAnsi="宋体" w:cs="宋体" w:eastAsia="宋体" w:hint="default"/>
                <w:sz w:val="21"/>
                <w:szCs w:val="21"/>
              </w:rPr>
              <w:t>软件的方式代替了原来的多中心配置硬件的建设方式，使得项目硬件采购支出比预计支出大幅度降低。</w:t>
            </w:r>
          </w:p>
        </w:tc>
      </w:tr>
    </w:tbl>
    <w:p>
      <w:pPr>
        <w:spacing w:after="0" w:line="272" w:lineRule="exact"/>
        <w:jc w:val="left"/>
        <w:rPr>
          <w:rFonts w:ascii="宋体" w:hAnsi="宋体" w:cs="宋体" w:eastAsia="宋体" w:hint="default"/>
          <w:sz w:val="21"/>
          <w:szCs w:val="21"/>
        </w:rPr>
        <w:sectPr>
          <w:headerReference w:type="default" r:id="rId15"/>
          <w:footerReference w:type="default" r:id="rId16"/>
          <w:pgSz w:w="16840" w:h="11910" w:orient="landscape"/>
          <w:pgMar w:header="877" w:footer="978" w:top="1100" w:bottom="1160" w:left="960" w:right="1020"/>
          <w:pgNumType w:start="27"/>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5"/>
          <w:szCs w:val="25"/>
        </w:rPr>
      </w:pPr>
    </w:p>
    <w:tbl>
      <w:tblPr>
        <w:tblW w:w="0" w:type="auto"/>
        <w:jc w:val="left"/>
        <w:tblInd w:w="115" w:type="dxa"/>
        <w:tblLayout w:type="fixed"/>
        <w:tblCellMar>
          <w:top w:w="0" w:type="dxa"/>
          <w:left w:w="0" w:type="dxa"/>
          <w:bottom w:w="0" w:type="dxa"/>
          <w:right w:w="0" w:type="dxa"/>
        </w:tblCellMar>
        <w:tblLook w:val="01E0"/>
      </w:tblPr>
      <w:tblGrid>
        <w:gridCol w:w="4846"/>
        <w:gridCol w:w="9766"/>
      </w:tblGrid>
      <w:tr>
        <w:trPr>
          <w:trHeight w:val="674" w:hRule="exact"/>
        </w:trPr>
        <w:tc>
          <w:tcPr>
            <w:tcW w:w="484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976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．研究开发中心项目在项目具体实施过程中，由于计算机软件工具和硬件设备性能快速提高，价格大幅降</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低，使得项目软硬件购置支出比预计支出有较大幅度的降低。</w:t>
            </w:r>
          </w:p>
        </w:tc>
      </w:tr>
      <w:tr>
        <w:trPr>
          <w:trHeight w:val="523" w:hRule="exact"/>
        </w:trPr>
        <w:tc>
          <w:tcPr>
            <w:tcW w:w="48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项目可行性发生重大变化的情况说明</w:t>
            </w:r>
          </w:p>
        </w:tc>
        <w:tc>
          <w:tcPr>
            <w:tcW w:w="9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2" w:right="0"/>
              <w:jc w:val="left"/>
              <w:rPr>
                <w:rFonts w:ascii="宋体" w:hAnsi="宋体" w:cs="宋体" w:eastAsia="宋体" w:hint="default"/>
                <w:sz w:val="21"/>
                <w:szCs w:val="21"/>
              </w:rPr>
            </w:pPr>
            <w:r>
              <w:rPr>
                <w:rFonts w:ascii="宋体" w:hAnsi="宋体" w:cs="宋体" w:eastAsia="宋体" w:hint="default"/>
                <w:sz w:val="21"/>
                <w:szCs w:val="21"/>
              </w:rPr>
              <w:t>项目可行性未发生重大变化</w:t>
            </w:r>
          </w:p>
        </w:tc>
      </w:tr>
      <w:tr>
        <w:trPr>
          <w:trHeight w:val="329" w:hRule="exact"/>
        </w:trPr>
        <w:tc>
          <w:tcPr>
            <w:tcW w:w="4846" w:type="dxa"/>
            <w:tcBorders>
              <w:top w:val="single" w:sz="4" w:space="0" w:color="000000"/>
              <w:left w:val="single" w:sz="4" w:space="0" w:color="000000"/>
              <w:bottom w:val="nil" w:sz="6" w:space="0" w:color="auto"/>
              <w:right w:val="single" w:sz="4" w:space="0" w:color="000000"/>
            </w:tcBorders>
            <w:shd w:val="clear" w:color="auto" w:fill="DCDCDC"/>
          </w:tcPr>
          <w:p>
            <w:pPr/>
          </w:p>
        </w:tc>
        <w:tc>
          <w:tcPr>
            <w:tcW w:w="97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left="22" w:right="0"/>
              <w:jc w:val="left"/>
              <w:rPr>
                <w:rFonts w:ascii="宋体" w:hAnsi="宋体" w:cs="宋体" w:eastAsia="宋体" w:hint="default"/>
                <w:sz w:val="21"/>
                <w:szCs w:val="21"/>
              </w:rPr>
            </w:pPr>
            <w:r>
              <w:rPr>
                <w:rFonts w:ascii="宋体" w:hAnsi="宋体" w:cs="宋体" w:eastAsia="宋体" w:hint="default"/>
                <w:sz w:val="21"/>
                <w:szCs w:val="21"/>
              </w:rPr>
              <w:t>公司超募资金共计</w:t>
            </w:r>
            <w:r>
              <w:rPr>
                <w:rFonts w:ascii="Times New Roman" w:hAnsi="Times New Roman" w:cs="Times New Roman" w:eastAsia="Times New Roman" w:hint="default"/>
                <w:sz w:val="21"/>
                <w:szCs w:val="21"/>
              </w:rPr>
              <w:t>25,169.97</w:t>
            </w:r>
            <w:r>
              <w:rPr>
                <w:rFonts w:ascii="宋体" w:hAnsi="宋体" w:cs="宋体" w:eastAsia="宋体" w:hint="default"/>
                <w:sz w:val="21"/>
                <w:szCs w:val="21"/>
              </w:rPr>
              <w:t>万元，</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3</w:t>
            </w:r>
            <w:r>
              <w:rPr>
                <w:rFonts w:ascii="宋体" w:hAnsi="宋体" w:cs="宋体" w:eastAsia="宋体" w:hint="default"/>
                <w:sz w:val="21"/>
                <w:szCs w:val="21"/>
              </w:rPr>
              <w:t>日，经公司第一届董事会第十一次会议审议通过，公司使用</w:t>
            </w:r>
          </w:p>
        </w:tc>
      </w:tr>
      <w:tr>
        <w:trPr>
          <w:trHeight w:val="272" w:hRule="exact"/>
        </w:trPr>
        <w:tc>
          <w:tcPr>
            <w:tcW w:w="484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6" w:lineRule="exact"/>
              <w:ind w:right="1"/>
              <w:jc w:val="center"/>
              <w:rPr>
                <w:rFonts w:ascii="宋体" w:hAnsi="宋体" w:cs="宋体" w:eastAsia="宋体" w:hint="default"/>
                <w:sz w:val="21"/>
                <w:szCs w:val="21"/>
              </w:rPr>
            </w:pPr>
            <w:r>
              <w:rPr>
                <w:rFonts w:ascii="宋体" w:hAnsi="宋体" w:cs="宋体" w:eastAsia="宋体" w:hint="default"/>
                <w:sz w:val="21"/>
                <w:szCs w:val="21"/>
              </w:rPr>
              <w:t>超募资金的金额、用途及使用进展情况</w:t>
            </w:r>
          </w:p>
        </w:tc>
        <w:tc>
          <w:tcPr>
            <w:tcW w:w="9766"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4,500</w:t>
            </w:r>
            <w:r>
              <w:rPr>
                <w:rFonts w:ascii="宋体" w:hAnsi="宋体" w:cs="宋体" w:eastAsia="宋体" w:hint="default"/>
                <w:sz w:val="21"/>
                <w:szCs w:val="21"/>
              </w:rPr>
              <w:t>万元超募资金永久补充流动资金。截至</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日，公司其余超募资金</w:t>
            </w:r>
            <w:r>
              <w:rPr>
                <w:rFonts w:ascii="Times New Roman" w:hAnsi="Times New Roman" w:cs="Times New Roman" w:eastAsia="Times New Roman" w:hint="default"/>
                <w:sz w:val="21"/>
                <w:szCs w:val="21"/>
              </w:rPr>
              <w:t>20,669.97</w:t>
            </w:r>
            <w:r>
              <w:rPr>
                <w:rFonts w:ascii="宋体" w:hAnsi="宋体" w:cs="宋体" w:eastAsia="宋体" w:hint="default"/>
                <w:sz w:val="21"/>
                <w:szCs w:val="21"/>
              </w:rPr>
              <w:t>万元及衍生利息</w:t>
            </w:r>
          </w:p>
        </w:tc>
      </w:tr>
      <w:tr>
        <w:trPr>
          <w:trHeight w:val="322" w:hRule="exact"/>
        </w:trPr>
        <w:tc>
          <w:tcPr>
            <w:tcW w:w="4846" w:type="dxa"/>
            <w:tcBorders>
              <w:top w:val="nil" w:sz="6" w:space="0" w:color="auto"/>
              <w:left w:val="single" w:sz="4" w:space="0" w:color="000000"/>
              <w:bottom w:val="single" w:sz="4" w:space="0" w:color="000000"/>
              <w:right w:val="single" w:sz="4" w:space="0" w:color="000000"/>
            </w:tcBorders>
            <w:shd w:val="clear" w:color="auto" w:fill="DCDCDC"/>
          </w:tcPr>
          <w:p>
            <w:pPr/>
          </w:p>
        </w:tc>
        <w:tc>
          <w:tcPr>
            <w:tcW w:w="9766"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22" w:right="0"/>
              <w:jc w:val="left"/>
              <w:rPr>
                <w:rFonts w:ascii="宋体" w:hAnsi="宋体" w:cs="宋体" w:eastAsia="宋体" w:hint="default"/>
                <w:sz w:val="21"/>
                <w:szCs w:val="21"/>
              </w:rPr>
            </w:pPr>
            <w:r>
              <w:rPr>
                <w:rFonts w:ascii="宋体" w:hAnsi="宋体" w:cs="宋体" w:eastAsia="宋体" w:hint="default"/>
                <w:sz w:val="21"/>
                <w:szCs w:val="21"/>
              </w:rPr>
              <w:t>尚未使用，董事会将根据公司发展需要尽快制订其余超募资金的使用计划后按计划使用。</w:t>
            </w:r>
          </w:p>
        </w:tc>
      </w:tr>
      <w:tr>
        <w:trPr>
          <w:trHeight w:val="522" w:hRule="exact"/>
        </w:trPr>
        <w:tc>
          <w:tcPr>
            <w:tcW w:w="48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募集资金投资项目实施地点变更情况</w:t>
            </w:r>
          </w:p>
        </w:tc>
        <w:tc>
          <w:tcPr>
            <w:tcW w:w="9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22" w:hRule="exact"/>
        </w:trPr>
        <w:tc>
          <w:tcPr>
            <w:tcW w:w="48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募集资金投资项目实施方式调整情况</w:t>
            </w:r>
          </w:p>
        </w:tc>
        <w:tc>
          <w:tcPr>
            <w:tcW w:w="9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1" w:hRule="exact"/>
        </w:trPr>
        <w:tc>
          <w:tcPr>
            <w:tcW w:w="4846" w:type="dxa"/>
            <w:tcBorders>
              <w:top w:val="single" w:sz="4" w:space="0" w:color="000000"/>
              <w:left w:val="single" w:sz="4" w:space="0" w:color="000000"/>
              <w:bottom w:val="nil" w:sz="6" w:space="0" w:color="auto"/>
              <w:right w:val="single" w:sz="4" w:space="0" w:color="000000"/>
            </w:tcBorders>
            <w:shd w:val="clear" w:color="auto" w:fill="DCDCDC"/>
          </w:tcPr>
          <w:p>
            <w:pPr/>
          </w:p>
        </w:tc>
        <w:tc>
          <w:tcPr>
            <w:tcW w:w="97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22" w:right="0"/>
              <w:jc w:val="left"/>
              <w:rPr>
                <w:rFonts w:ascii="宋体" w:hAnsi="宋体" w:cs="宋体" w:eastAsia="宋体" w:hint="default"/>
                <w:sz w:val="21"/>
                <w:szCs w:val="21"/>
              </w:rPr>
            </w:pPr>
            <w:r>
              <w:rPr>
                <w:rFonts w:ascii="宋体" w:hAnsi="宋体" w:cs="宋体" w:eastAsia="宋体" w:hint="default"/>
                <w:sz w:val="21"/>
                <w:szCs w:val="21"/>
              </w:rPr>
              <w:t>经公司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日第一届董事会第十一次会议审议通过，公司以募集资金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8,793,875.86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元置换预先已</w:t>
            </w:r>
          </w:p>
        </w:tc>
      </w:tr>
      <w:tr>
        <w:trPr>
          <w:trHeight w:val="267" w:hRule="exact"/>
        </w:trPr>
        <w:tc>
          <w:tcPr>
            <w:tcW w:w="484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5" w:lineRule="exact"/>
              <w:ind w:right="1"/>
              <w:jc w:val="center"/>
              <w:rPr>
                <w:rFonts w:ascii="宋体" w:hAnsi="宋体" w:cs="宋体" w:eastAsia="宋体" w:hint="default"/>
                <w:sz w:val="21"/>
                <w:szCs w:val="21"/>
              </w:rPr>
            </w:pPr>
            <w:r>
              <w:rPr>
                <w:rFonts w:ascii="宋体" w:hAnsi="宋体" w:cs="宋体" w:eastAsia="宋体" w:hint="default"/>
                <w:sz w:val="21"/>
                <w:szCs w:val="21"/>
              </w:rPr>
              <w:t>募集资金投资项目先期投入及置换情况</w:t>
            </w:r>
          </w:p>
        </w:tc>
        <w:tc>
          <w:tcPr>
            <w:tcW w:w="9766"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2" w:right="0"/>
              <w:jc w:val="left"/>
              <w:rPr>
                <w:rFonts w:ascii="宋体" w:hAnsi="宋体" w:cs="宋体" w:eastAsia="宋体" w:hint="default"/>
                <w:sz w:val="21"/>
                <w:szCs w:val="21"/>
              </w:rPr>
            </w:pPr>
            <w:r>
              <w:rPr>
                <w:rFonts w:ascii="宋体" w:hAnsi="宋体" w:cs="宋体" w:eastAsia="宋体" w:hint="default"/>
                <w:spacing w:val="5"/>
                <w:sz w:val="21"/>
                <w:szCs w:val="21"/>
              </w:rPr>
              <w:t>投入募投项目的自筹资金。本次置换业经深圳市鹏城会计师事务所有限公司核验并出具了深鹏所股专字</w:t>
            </w:r>
          </w:p>
        </w:tc>
      </w:tr>
      <w:tr>
        <w:trPr>
          <w:trHeight w:val="399" w:hRule="exact"/>
        </w:trPr>
        <w:tc>
          <w:tcPr>
            <w:tcW w:w="4846" w:type="dxa"/>
            <w:tcBorders>
              <w:top w:val="nil" w:sz="6" w:space="0" w:color="auto"/>
              <w:left w:val="single" w:sz="4" w:space="0" w:color="000000"/>
              <w:bottom w:val="single" w:sz="4" w:space="0" w:color="000000"/>
              <w:right w:val="single" w:sz="4" w:space="0" w:color="000000"/>
            </w:tcBorders>
            <w:shd w:val="clear" w:color="auto" w:fill="DCDCDC"/>
          </w:tcPr>
          <w:p>
            <w:pPr/>
          </w:p>
        </w:tc>
        <w:tc>
          <w:tcPr>
            <w:tcW w:w="9766" w:type="dxa"/>
            <w:tcBorders>
              <w:top w:val="nil" w:sz="6" w:space="0" w:color="auto"/>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[2010]438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号鉴证报告。独立董事和保荐机构均对本次置换发表了同意意见。</w:t>
            </w:r>
          </w:p>
        </w:tc>
      </w:tr>
      <w:tr>
        <w:trPr>
          <w:trHeight w:val="523" w:hRule="exact"/>
        </w:trPr>
        <w:tc>
          <w:tcPr>
            <w:tcW w:w="48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4"/>
              <w:ind w:right="1"/>
              <w:jc w:val="center"/>
              <w:rPr>
                <w:rFonts w:ascii="宋体" w:hAnsi="宋体" w:cs="宋体" w:eastAsia="宋体" w:hint="default"/>
                <w:sz w:val="21"/>
                <w:szCs w:val="21"/>
              </w:rPr>
            </w:pPr>
            <w:r>
              <w:rPr>
                <w:rFonts w:ascii="宋体" w:hAnsi="宋体" w:cs="宋体" w:eastAsia="宋体" w:hint="default"/>
                <w:sz w:val="21"/>
                <w:szCs w:val="21"/>
              </w:rPr>
              <w:t>用闲置募集资金暂时补充流动资金情况</w:t>
            </w:r>
          </w:p>
        </w:tc>
        <w:tc>
          <w:tcPr>
            <w:tcW w:w="9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22" w:hRule="exact"/>
        </w:trPr>
        <w:tc>
          <w:tcPr>
            <w:tcW w:w="48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项目实施出现募集资金结余的金额及原因</w:t>
            </w:r>
          </w:p>
        </w:tc>
        <w:tc>
          <w:tcPr>
            <w:tcW w:w="9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2" w:right="0"/>
              <w:jc w:val="left"/>
              <w:rPr>
                <w:rFonts w:ascii="宋体" w:hAnsi="宋体" w:cs="宋体" w:eastAsia="宋体" w:hint="default"/>
                <w:sz w:val="21"/>
                <w:szCs w:val="21"/>
              </w:rPr>
            </w:pPr>
            <w:r>
              <w:rPr>
                <w:rFonts w:ascii="宋体" w:hAnsi="宋体" w:cs="宋体" w:eastAsia="宋体" w:hint="default"/>
                <w:sz w:val="21"/>
                <w:szCs w:val="21"/>
              </w:rPr>
              <w:t>项目尚在建设期</w:t>
            </w:r>
          </w:p>
        </w:tc>
      </w:tr>
      <w:tr>
        <w:trPr>
          <w:trHeight w:val="522" w:hRule="exact"/>
        </w:trPr>
        <w:tc>
          <w:tcPr>
            <w:tcW w:w="48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尚未使用的募集资金用途及去向</w:t>
            </w:r>
          </w:p>
        </w:tc>
        <w:tc>
          <w:tcPr>
            <w:tcW w:w="9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2" w:right="0"/>
              <w:jc w:val="left"/>
              <w:rPr>
                <w:rFonts w:ascii="宋体" w:hAnsi="宋体" w:cs="宋体" w:eastAsia="宋体" w:hint="default"/>
                <w:sz w:val="21"/>
                <w:szCs w:val="21"/>
              </w:rPr>
            </w:pPr>
            <w:r>
              <w:rPr>
                <w:rFonts w:ascii="宋体" w:hAnsi="宋体" w:cs="宋体" w:eastAsia="宋体" w:hint="default"/>
                <w:sz w:val="21"/>
                <w:szCs w:val="21"/>
              </w:rPr>
              <w:t>尚未使用的募集资金均存放在公司募集资金专项帐户</w:t>
            </w:r>
          </w:p>
        </w:tc>
      </w:tr>
      <w:tr>
        <w:trPr>
          <w:trHeight w:val="523" w:hRule="exact"/>
        </w:trPr>
        <w:tc>
          <w:tcPr>
            <w:tcW w:w="48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募集资金使用及披露中存在的问题或其他情况</w:t>
            </w:r>
          </w:p>
        </w:tc>
        <w:tc>
          <w:tcPr>
            <w:tcW w:w="9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40" w:lineRule="auto"/>
        <w:jc w:val="left"/>
        <w:rPr>
          <w:rFonts w:ascii="宋体" w:hAnsi="宋体" w:cs="宋体" w:eastAsia="宋体" w:hint="default"/>
          <w:sz w:val="21"/>
          <w:szCs w:val="21"/>
        </w:rPr>
        <w:sectPr>
          <w:pgSz w:w="16840" w:h="11910" w:orient="landscape"/>
          <w:pgMar w:header="877" w:footer="978" w:top="1100" w:bottom="1160" w:left="96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84"/>
        <w:ind w:left="595" w:right="0"/>
        <w:jc w:val="left"/>
      </w:pPr>
      <w:r>
        <w:rPr>
          <w:rFonts w:ascii="Times New Roman" w:hAnsi="Times New Roman" w:cs="Times New Roman" w:eastAsia="Times New Roman" w:hint="default"/>
        </w:rPr>
        <w:t>5</w:t>
      </w:r>
      <w:r>
        <w:rPr/>
        <w:t>．会计师事务所对募集资金使用情况的专项审核意见</w:t>
      </w:r>
    </w:p>
    <w:p>
      <w:pPr>
        <w:pStyle w:val="BodyText"/>
        <w:spacing w:line="240" w:lineRule="auto" w:before="129"/>
        <w:ind w:left="597" w:right="0"/>
        <w:jc w:val="left"/>
      </w:pP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16  </w:t>
      </w:r>
      <w:r>
        <w:rPr>
          <w:rFonts w:ascii="Times New Roman" w:hAnsi="Times New Roman" w:cs="Times New Roman" w:eastAsia="Times New Roman" w:hint="default"/>
          <w:spacing w:val="41"/>
        </w:rPr>
        <w:t> </w:t>
      </w:r>
      <w:r>
        <w:rPr>
          <w:spacing w:val="6"/>
        </w:rPr>
        <w:t>日，深圳市鹏城会计师事务所有限公司出具深鹏所股专字</w:t>
      </w:r>
    </w:p>
    <w:p>
      <w:pPr>
        <w:pStyle w:val="BodyText"/>
        <w:spacing w:line="343" w:lineRule="auto" w:before="129"/>
        <w:ind w:right="152"/>
        <w:jc w:val="both"/>
        <w:rPr>
          <w:rFonts w:ascii="Times New Roman" w:hAnsi="Times New Roman" w:cs="Times New Roman" w:eastAsia="Times New Roman" w:hint="default"/>
        </w:rPr>
      </w:pPr>
      <w:r>
        <w:rPr>
          <w:rFonts w:ascii="Times New Roman" w:hAnsi="Times New Roman" w:cs="Times New Roman" w:eastAsia="Times New Roman" w:hint="default"/>
        </w:rPr>
        <w:t>[2012]0203</w:t>
      </w:r>
      <w:r>
        <w:rPr>
          <w:rFonts w:ascii="Times New Roman" w:hAnsi="Times New Roman" w:cs="Times New Roman" w:eastAsia="Times New Roman" w:hint="default"/>
          <w:spacing w:val="2"/>
        </w:rPr>
        <w:t> </w:t>
      </w:r>
      <w:r>
        <w:rPr>
          <w:spacing w:val="-5"/>
        </w:rPr>
        <w:t>号《深圳市银之杰科技股份有限公司</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年度募集资金存放与使用情况</w:t>
      </w:r>
      <w:r>
        <w:rPr>
          <w:w w:val="100"/>
        </w:rPr>
        <w:t> </w:t>
      </w:r>
      <w:r>
        <w:rPr>
          <w:spacing w:val="-9"/>
          <w:w w:val="100"/>
        </w:rPr>
        <w:t>鉴证报告》，认为</w:t>
      </w:r>
      <w:r>
        <w:rPr>
          <w:rFonts w:ascii="Times New Roman" w:hAnsi="Times New Roman" w:cs="Times New Roman" w:eastAsia="Times New Roman" w:hint="default"/>
          <w:spacing w:val="-9"/>
          <w:w w:val="100"/>
        </w:rPr>
        <w:t>“</w:t>
      </w:r>
      <w:r>
        <w:rPr>
          <w:spacing w:val="-9"/>
          <w:w w:val="100"/>
        </w:rPr>
        <w:t>银之杰公司管理层编制的《关于</w:t>
      </w:r>
      <w:r>
        <w:rPr>
          <w:spacing w:val="-50"/>
          <w:w w:val="100"/>
        </w:rPr>
        <w:t> </w:t>
      </w:r>
      <w:r>
        <w:rPr>
          <w:rFonts w:ascii="Times New Roman" w:hAnsi="Times New Roman" w:cs="Times New Roman" w:eastAsia="Times New Roman" w:hint="default"/>
          <w:spacing w:val="-3"/>
          <w:w w:val="100"/>
        </w:rPr>
        <w:t>2011</w:t>
      </w:r>
      <w:r>
        <w:rPr>
          <w:rFonts w:ascii="Times New Roman" w:hAnsi="Times New Roman" w:cs="Times New Roman" w:eastAsia="Times New Roman" w:hint="default"/>
          <w:spacing w:val="6"/>
          <w:w w:val="100"/>
        </w:rPr>
        <w:t> </w:t>
      </w:r>
      <w:r>
        <w:rPr>
          <w:spacing w:val="-1"/>
          <w:w w:val="100"/>
        </w:rPr>
        <w:t>年度募集资金存放与使用情</w:t>
      </w:r>
      <w:r>
        <w:rPr>
          <w:spacing w:val="-112"/>
          <w:w w:val="100"/>
        </w:rPr>
        <w:t> </w:t>
      </w:r>
      <w:r>
        <w:rPr>
          <w:spacing w:val="-112"/>
          <w:w w:val="100"/>
        </w:rPr>
      </w:r>
      <w:r>
        <w:rPr/>
        <w:t>况的专项报告》符合《深圳证券交易所上市公司募集资金管理办法》和《深圳证券</w:t>
      </w:r>
      <w:r>
        <w:rPr>
          <w:spacing w:val="-87"/>
        </w:rPr>
        <w:t> </w:t>
      </w:r>
      <w:r>
        <w:rPr>
          <w:spacing w:val="-87"/>
        </w:rPr>
      </w:r>
      <w:r>
        <w:rPr>
          <w:spacing w:val="-4"/>
        </w:rPr>
        <w:t>交易所创业板上市公司规范运作指引》的规定，如实反映了银之杰公司</w:t>
      </w:r>
      <w:r>
        <w:rPr>
          <w:spacing w:val="-4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5"/>
        </w:rPr>
        <w:t> </w:t>
      </w:r>
      <w:r>
        <w:rPr/>
        <w:t>年度募</w:t>
      </w:r>
      <w:r>
        <w:rPr>
          <w:spacing w:val="-109"/>
        </w:rPr>
        <w:t> </w:t>
      </w:r>
      <w:r>
        <w:rPr>
          <w:spacing w:val="-109"/>
        </w:rPr>
      </w:r>
      <w:r>
        <w:rPr/>
        <w:t>集资金实际存放与使用情况。</w:t>
      </w:r>
      <w:r>
        <w:rPr>
          <w:rFonts w:ascii="Times New Roman" w:hAnsi="Times New Roman" w:cs="Times New Roman" w:eastAsia="Times New Roman" w:hint="default"/>
        </w:rPr>
        <w:t>”</w:t>
      </w:r>
    </w:p>
    <w:p>
      <w:pPr>
        <w:spacing w:line="240" w:lineRule="auto" w:before="3"/>
        <w:rPr>
          <w:rFonts w:ascii="Times New Roman" w:hAnsi="Times New Roman" w:cs="Times New Roman" w:eastAsia="Times New Roman" w:hint="default"/>
          <w:sz w:val="33"/>
          <w:szCs w:val="33"/>
        </w:rPr>
      </w:pPr>
    </w:p>
    <w:p>
      <w:pPr>
        <w:pStyle w:val="BodyText"/>
        <w:spacing w:line="240" w:lineRule="auto"/>
        <w:ind w:right="0"/>
        <w:jc w:val="left"/>
      </w:pPr>
      <w:r>
        <w:rPr/>
        <w:t>（二）</w:t>
      </w:r>
      <w:r>
        <w:rPr>
          <w:spacing w:val="-94"/>
        </w:rPr>
        <w:t> </w:t>
      </w:r>
      <w:r>
        <w:rPr/>
        <w:t>报告期内公司未发生重大非募集资金投资情况。</w:t>
      </w:r>
    </w:p>
    <w:p>
      <w:pPr>
        <w:pStyle w:val="BodyText"/>
        <w:spacing w:line="355" w:lineRule="auto" w:before="146"/>
        <w:ind w:left="857" w:right="139" w:hanging="720"/>
        <w:jc w:val="left"/>
      </w:pPr>
      <w:r>
        <w:rPr/>
        <w:t>（三）</w:t>
      </w:r>
      <w:r>
        <w:rPr>
          <w:spacing w:val="-87"/>
        </w:rPr>
        <w:t> </w:t>
      </w:r>
      <w:r>
        <w:rPr/>
        <w:t>报告期内未持有其他上市公司股权、参股商业银行、证券公司、保险公司、</w:t>
      </w:r>
      <w:r>
        <w:rPr>
          <w:w w:val="100"/>
        </w:rPr>
        <w:t> </w:t>
      </w:r>
      <w:r>
        <w:rPr/>
        <w:t>信托公司和期货公司等金融企业股权，未买卖其他上市公司股份。</w:t>
      </w:r>
    </w:p>
    <w:p>
      <w:pPr>
        <w:pStyle w:val="BodyText"/>
        <w:spacing w:line="357" w:lineRule="auto" w:before="36"/>
        <w:ind w:left="857" w:right="139" w:hanging="720"/>
        <w:jc w:val="left"/>
      </w:pPr>
      <w:r>
        <w:rPr/>
        <w:t>（四）</w:t>
      </w:r>
      <w:r>
        <w:rPr>
          <w:spacing w:val="-87"/>
        </w:rPr>
        <w:t> </w:t>
      </w:r>
      <w:r>
        <w:rPr/>
        <w:t>报告期内未持有以公允价值计量的境内外基金、债券、信托产品、期货、金</w:t>
      </w:r>
      <w:r>
        <w:rPr>
          <w:w w:val="100"/>
        </w:rPr>
        <w:t> </w:t>
      </w:r>
      <w:r>
        <w:rPr/>
        <w:t>融衍生工具等金融资产。</w:t>
      </w:r>
    </w:p>
    <w:p>
      <w:pPr>
        <w:spacing w:line="240" w:lineRule="auto" w:before="12"/>
        <w:rPr>
          <w:rFonts w:ascii="宋体" w:hAnsi="宋体" w:cs="宋体" w:eastAsia="宋体" w:hint="default"/>
          <w:sz w:val="32"/>
          <w:szCs w:val="32"/>
        </w:rPr>
      </w:pPr>
    </w:p>
    <w:p>
      <w:pPr>
        <w:spacing w:line="355" w:lineRule="auto" w:before="0"/>
        <w:ind w:left="597" w:right="0" w:hanging="460"/>
        <w:jc w:val="left"/>
        <w:rPr>
          <w:rFonts w:ascii="宋体" w:hAnsi="宋体" w:cs="宋体" w:eastAsia="宋体" w:hint="default"/>
          <w:sz w:val="23"/>
          <w:szCs w:val="23"/>
        </w:rPr>
      </w:pPr>
      <w:r>
        <w:rPr>
          <w:rFonts w:ascii="宋体" w:hAnsi="宋体" w:cs="宋体" w:eastAsia="宋体" w:hint="default"/>
          <w:b/>
          <w:bCs/>
          <w:sz w:val="23"/>
          <w:szCs w:val="23"/>
        </w:rPr>
        <w:t>四、各种金融工具、以公允价值计量的负债</w:t>
      </w:r>
      <w:r>
        <w:rPr>
          <w:rFonts w:ascii="宋体" w:hAnsi="宋体" w:cs="宋体" w:eastAsia="宋体" w:hint="default"/>
          <w:b/>
          <w:bCs/>
          <w:w w:val="99"/>
          <w:sz w:val="23"/>
          <w:szCs w:val="23"/>
        </w:rPr>
        <w:t> </w:t>
      </w:r>
      <w:r>
        <w:rPr>
          <w:rFonts w:ascii="宋体" w:hAnsi="宋体" w:cs="宋体" w:eastAsia="宋体" w:hint="default"/>
          <w:sz w:val="23"/>
          <w:szCs w:val="23"/>
        </w:rPr>
        <w:t>报告期内公司没有发行在外的可转换为股份的各种金融工具、以公允价值计量</w:t>
      </w:r>
    </w:p>
    <w:p>
      <w:pPr>
        <w:pStyle w:val="BodyText"/>
        <w:spacing w:line="240" w:lineRule="auto" w:before="36"/>
        <w:ind w:right="0"/>
        <w:jc w:val="left"/>
      </w:pPr>
      <w:r>
        <w:rPr/>
        <w:t>的负债。</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9"/>
          <w:szCs w:val="19"/>
        </w:rPr>
      </w:pPr>
    </w:p>
    <w:p>
      <w:pPr>
        <w:spacing w:line="357" w:lineRule="auto" w:before="0"/>
        <w:ind w:left="597" w:right="146" w:hanging="460"/>
        <w:jc w:val="left"/>
        <w:rPr>
          <w:rFonts w:ascii="宋体" w:hAnsi="宋体" w:cs="宋体" w:eastAsia="宋体" w:hint="default"/>
          <w:sz w:val="23"/>
          <w:szCs w:val="23"/>
        </w:rPr>
      </w:pPr>
      <w:r>
        <w:rPr>
          <w:rFonts w:ascii="宋体" w:hAnsi="宋体" w:cs="宋体" w:eastAsia="宋体" w:hint="default"/>
          <w:b/>
          <w:bCs/>
          <w:sz w:val="23"/>
          <w:szCs w:val="23"/>
        </w:rPr>
        <w:t>五、会计师事务所审计情况及会计政策、会计估计变更情况</w:t>
      </w:r>
      <w:r>
        <w:rPr>
          <w:rFonts w:ascii="宋体" w:hAnsi="宋体" w:cs="宋体" w:eastAsia="宋体" w:hint="default"/>
          <w:b/>
          <w:bCs/>
          <w:w w:val="99"/>
          <w:sz w:val="23"/>
          <w:szCs w:val="23"/>
        </w:rPr>
        <w:t> </w:t>
      </w:r>
      <w:r>
        <w:rPr>
          <w:rFonts w:ascii="宋体" w:hAnsi="宋体" w:cs="宋体" w:eastAsia="宋体" w:hint="default"/>
          <w:sz w:val="23"/>
          <w:szCs w:val="23"/>
        </w:rPr>
        <w:t>深圳市鹏城会计师事务所有限公司对本公司</w:t>
      </w:r>
      <w:r>
        <w:rPr>
          <w:rFonts w:ascii="宋体" w:hAnsi="宋体" w:cs="宋体" w:eastAsia="宋体" w:hint="default"/>
          <w:spacing w:val="-54"/>
          <w:sz w:val="23"/>
          <w:szCs w:val="23"/>
        </w:rPr>
        <w:t> </w:t>
      </w:r>
      <w:r>
        <w:rPr>
          <w:rFonts w:ascii="Times New Roman" w:hAnsi="Times New Roman" w:cs="Times New Roman" w:eastAsia="Times New Roman" w:hint="default"/>
          <w:spacing w:val="-3"/>
          <w:sz w:val="23"/>
          <w:szCs w:val="23"/>
        </w:rPr>
        <w:t>2011</w:t>
      </w:r>
      <w:r>
        <w:rPr>
          <w:rFonts w:ascii="Times New Roman" w:hAnsi="Times New Roman" w:cs="Times New Roman" w:eastAsia="Times New Roman" w:hint="default"/>
          <w:spacing w:val="5"/>
          <w:sz w:val="23"/>
          <w:szCs w:val="23"/>
        </w:rPr>
        <w:t> </w:t>
      </w:r>
      <w:r>
        <w:rPr>
          <w:rFonts w:ascii="宋体" w:hAnsi="宋体" w:cs="宋体" w:eastAsia="宋体" w:hint="default"/>
          <w:spacing w:val="-7"/>
          <w:sz w:val="23"/>
          <w:szCs w:val="23"/>
        </w:rPr>
        <w:t>年度财务报告进行了审计，并</w:t>
      </w:r>
    </w:p>
    <w:p>
      <w:pPr>
        <w:pStyle w:val="BodyText"/>
        <w:spacing w:line="357" w:lineRule="auto" w:before="3"/>
        <w:ind w:left="597" w:right="0" w:hanging="460"/>
        <w:jc w:val="left"/>
      </w:pPr>
      <w:r>
        <w:rPr/>
        <w:t>出具了标准无保留意见的审计报告。</w:t>
      </w:r>
      <w:r>
        <w:rPr>
          <w:w w:val="100"/>
        </w:rPr>
        <w:t> </w:t>
      </w:r>
      <w:r>
        <w:rPr/>
        <w:t>报告期内，公司没有重大会计政策变化、会计估计变更情况，未发生重要前期</w:t>
      </w:r>
    </w:p>
    <w:p>
      <w:pPr>
        <w:pStyle w:val="BodyText"/>
        <w:spacing w:line="240" w:lineRule="auto" w:before="34"/>
        <w:ind w:right="0"/>
        <w:jc w:val="left"/>
      </w:pPr>
      <w:r>
        <w:rPr/>
        <w:t>差错更正。</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9"/>
          <w:szCs w:val="19"/>
        </w:rPr>
      </w:pPr>
    </w:p>
    <w:p>
      <w:pPr>
        <w:pStyle w:val="Heading5"/>
        <w:spacing w:line="240" w:lineRule="auto"/>
        <w:ind w:right="0"/>
        <w:jc w:val="left"/>
        <w:rPr>
          <w:b w:val="0"/>
          <w:bCs w:val="0"/>
        </w:rPr>
      </w:pPr>
      <w:r>
        <w:rPr/>
        <w:t>六、本次利润分配预案或资本公积金转增股本预案</w:t>
      </w:r>
      <w:r>
        <w:rPr>
          <w:b w:val="0"/>
          <w:bCs w:val="0"/>
        </w:rPr>
      </w:r>
    </w:p>
    <w:p>
      <w:pPr>
        <w:spacing w:line="240" w:lineRule="auto" w:before="4"/>
        <w:rPr>
          <w:rFonts w:ascii="宋体" w:hAnsi="宋体" w:cs="宋体" w:eastAsia="宋体" w:hint="default"/>
          <w:b/>
          <w:bCs/>
          <w:sz w:val="20"/>
          <w:szCs w:val="20"/>
        </w:rPr>
      </w:pPr>
    </w:p>
    <w:p>
      <w:pPr>
        <w:pStyle w:val="BodyText"/>
        <w:spacing w:line="453" w:lineRule="auto"/>
        <w:ind w:left="597" w:right="0" w:hanging="40"/>
        <w:jc w:val="left"/>
      </w:pPr>
      <w:r>
        <w:rPr/>
        <w:t>（一）公司的利润分配政策</w:t>
      </w:r>
      <w:r>
        <w:rPr>
          <w:w w:val="100"/>
        </w:rPr>
        <w:t> </w:t>
      </w:r>
      <w:r>
        <w:rPr>
          <w:spacing w:val="-7"/>
          <w:w w:val="100"/>
        </w:rPr>
        <w:t>根据公司《公司章程》中第一百五十六条规定：“公司利润分配政策为：公司应</w:t>
      </w:r>
    </w:p>
    <w:p>
      <w:pPr>
        <w:pStyle w:val="BodyText"/>
        <w:spacing w:line="243" w:lineRule="exact"/>
        <w:ind w:right="0"/>
        <w:jc w:val="left"/>
      </w:pPr>
      <w:r>
        <w:rPr>
          <w:w w:val="100"/>
        </w:rPr>
        <w:t>当执行</w:t>
      </w:r>
      <w:r>
        <w:rPr>
          <w:spacing w:val="-2"/>
          <w:w w:val="100"/>
        </w:rPr>
        <w:t>稳定</w:t>
      </w:r>
      <w:r>
        <w:rPr>
          <w:spacing w:val="-28"/>
          <w:w w:val="100"/>
        </w:rPr>
        <w:t>、</w:t>
      </w:r>
      <w:r>
        <w:rPr>
          <w:w w:val="100"/>
        </w:rPr>
        <w:t>持续</w:t>
      </w:r>
      <w:r>
        <w:rPr>
          <w:spacing w:val="-2"/>
          <w:w w:val="100"/>
        </w:rPr>
        <w:t>的利</w:t>
      </w:r>
      <w:r>
        <w:rPr>
          <w:w w:val="100"/>
        </w:rPr>
        <w:t>润分配</w:t>
      </w:r>
      <w:r>
        <w:rPr>
          <w:spacing w:val="-2"/>
          <w:w w:val="100"/>
        </w:rPr>
        <w:t>原则</w:t>
      </w:r>
      <w:r>
        <w:rPr>
          <w:spacing w:val="-143"/>
          <w:w w:val="100"/>
        </w:rPr>
        <w:t>：</w:t>
      </w:r>
      <w:r>
        <w:rPr>
          <w:w w:val="100"/>
        </w:rPr>
        <w:t>（一</w:t>
      </w:r>
      <w:r>
        <w:rPr>
          <w:spacing w:val="-29"/>
          <w:w w:val="100"/>
        </w:rPr>
        <w:t>）</w:t>
      </w:r>
      <w:r>
        <w:rPr>
          <w:w w:val="100"/>
        </w:rPr>
        <w:t>公</w:t>
      </w:r>
      <w:r>
        <w:rPr>
          <w:spacing w:val="-2"/>
          <w:w w:val="100"/>
        </w:rPr>
        <w:t>司</w:t>
      </w:r>
      <w:r>
        <w:rPr>
          <w:w w:val="100"/>
        </w:rPr>
        <w:t>利润分</w:t>
      </w:r>
      <w:r>
        <w:rPr>
          <w:spacing w:val="-2"/>
          <w:w w:val="100"/>
        </w:rPr>
        <w:t>配政</w:t>
      </w:r>
      <w:r>
        <w:rPr>
          <w:w w:val="100"/>
        </w:rPr>
        <w:t>策应重</w:t>
      </w:r>
      <w:r>
        <w:rPr>
          <w:spacing w:val="-2"/>
          <w:w w:val="100"/>
        </w:rPr>
        <w:t>视对</w:t>
      </w:r>
      <w:r>
        <w:rPr>
          <w:w w:val="100"/>
        </w:rPr>
        <w:t>股东的</w:t>
      </w:r>
      <w:r>
        <w:rPr>
          <w:spacing w:val="-2"/>
          <w:w w:val="100"/>
        </w:rPr>
        <w:t>合</w:t>
      </w:r>
      <w:r>
        <w:rPr>
          <w:w w:val="100"/>
        </w:rPr>
        <w:t>理投</w:t>
      </w:r>
    </w:p>
    <w:p>
      <w:pPr>
        <w:pStyle w:val="BodyText"/>
        <w:spacing w:line="357" w:lineRule="auto" w:before="146"/>
        <w:ind w:right="0"/>
        <w:jc w:val="left"/>
      </w:pPr>
      <w:r>
        <w:rPr>
          <w:spacing w:val="-7"/>
          <w:w w:val="100"/>
        </w:rPr>
        <w:t>资回报，公司可以采取现金或者股票方式分配股利，可以进行中期分配。（二）公司</w:t>
      </w:r>
      <w:r>
        <w:rPr>
          <w:spacing w:val="-83"/>
          <w:w w:val="100"/>
        </w:rPr>
        <w:t> </w:t>
      </w:r>
      <w:r>
        <w:rPr>
          <w:spacing w:val="-83"/>
          <w:w w:val="100"/>
        </w:rPr>
      </w:r>
      <w:r>
        <w:rPr/>
        <w:t>董事会未提出现金利润分配预案的，应在定期报告中披露未分红的原因、未用于分</w:t>
      </w:r>
    </w:p>
    <w:p>
      <w:pPr>
        <w:spacing w:after="0" w:line="357" w:lineRule="auto"/>
        <w:jc w:val="left"/>
        <w:sectPr>
          <w:headerReference w:type="default" r:id="rId17"/>
          <w:footerReference w:type="default" r:id="rId18"/>
          <w:pgSz w:w="11910" w:h="16840"/>
          <w:pgMar w:header="877" w:footer="982" w:top="1100" w:bottom="1180" w:left="1660" w:right="1640"/>
          <w:pgNumType w:start="29"/>
        </w:sectPr>
      </w:pPr>
    </w:p>
    <w:p>
      <w:pPr>
        <w:spacing w:line="240" w:lineRule="auto" w:before="4"/>
        <w:rPr>
          <w:rFonts w:ascii="宋体" w:hAnsi="宋体" w:cs="宋体" w:eastAsia="宋体" w:hint="default"/>
          <w:sz w:val="19"/>
          <w:szCs w:val="19"/>
        </w:rPr>
      </w:pPr>
    </w:p>
    <w:p>
      <w:pPr>
        <w:pStyle w:val="BodyText"/>
        <w:spacing w:line="357" w:lineRule="auto" w:before="29"/>
        <w:ind w:left="217" w:right="452"/>
        <w:jc w:val="both"/>
      </w:pPr>
      <w:r>
        <w:rPr>
          <w:spacing w:val="-7"/>
          <w:w w:val="100"/>
        </w:rPr>
        <w:t>红的资金留存公司的用途，独立董事应对此发表独立意见。（三）公司最近三年以现</w:t>
      </w:r>
      <w:r>
        <w:rPr>
          <w:spacing w:val="-81"/>
          <w:w w:val="100"/>
        </w:rPr>
        <w:t> </w:t>
      </w:r>
      <w:r>
        <w:rPr>
          <w:spacing w:val="-81"/>
          <w:w w:val="100"/>
        </w:rPr>
      </w:r>
      <w:r>
        <w:rPr/>
        <w:t>金方式累计分配的利润少于最近三年实现的年均可分配利润的百分之三十的，不得</w:t>
      </w:r>
      <w:r>
        <w:rPr>
          <w:spacing w:val="-87"/>
        </w:rPr>
        <w:t> </w:t>
      </w:r>
      <w:r>
        <w:rPr>
          <w:spacing w:val="-87"/>
        </w:rPr>
      </w:r>
      <w:r>
        <w:rPr>
          <w:spacing w:val="-6"/>
          <w:w w:val="100"/>
        </w:rPr>
        <w:t>向社会公众增发新股、发行可转换公司债券或向原有股东配售股份。（四）存在股东</w:t>
      </w:r>
      <w:r>
        <w:rPr>
          <w:w w:val="100"/>
        </w:rPr>
        <w:t> </w:t>
      </w:r>
      <w:r>
        <w:rPr/>
        <w:t>违规占用公司资金情况的，公司应当扣减该股东所分配的现金红利，以偿还其占用</w:t>
      </w:r>
      <w:r>
        <w:rPr>
          <w:spacing w:val="-87"/>
        </w:rPr>
        <w:t> </w:t>
      </w:r>
      <w:r>
        <w:rPr>
          <w:spacing w:val="-87"/>
        </w:rPr>
      </w:r>
      <w:r>
        <w:rPr>
          <w:spacing w:val="-24"/>
          <w:w w:val="100"/>
        </w:rPr>
        <w:t>的资金。”</w:t>
      </w:r>
    </w:p>
    <w:p>
      <w:pPr>
        <w:pStyle w:val="BodyText"/>
        <w:spacing w:line="357" w:lineRule="auto" w:before="34"/>
        <w:ind w:left="217" w:right="452" w:firstLine="459"/>
        <w:jc w:val="both"/>
      </w:pPr>
      <w:r>
        <w:rPr/>
        <w:t>根据中国证监会关于进一步明确与细化上市公司利润分配政策的指导性意见，</w:t>
      </w:r>
      <w:r>
        <w:rPr>
          <w:w w:val="100"/>
        </w:rPr>
        <w:t> </w:t>
      </w:r>
      <w:r>
        <w:rPr/>
        <w:t>公司将结合实际情况和投资者意愿，不断完善公司利润分配政策，保持利润分配政</w:t>
      </w:r>
      <w:r>
        <w:rPr>
          <w:spacing w:val="-87"/>
        </w:rPr>
        <w:t> </w:t>
      </w:r>
      <w:r>
        <w:rPr>
          <w:spacing w:val="-87"/>
        </w:rPr>
      </w:r>
      <w:r>
        <w:rPr/>
        <w:t>策的稳定性和持续性，使投资者对未来分红有更加明确与合理的预期，切实提升对</w:t>
      </w:r>
      <w:r>
        <w:rPr>
          <w:spacing w:val="-87"/>
        </w:rPr>
        <w:t> </w:t>
      </w:r>
      <w:r>
        <w:rPr>
          <w:spacing w:val="-87"/>
        </w:rPr>
      </w:r>
      <w:r>
        <w:rPr/>
        <w:t>公司投资者的回报。</w:t>
      </w:r>
    </w:p>
    <w:p>
      <w:pPr>
        <w:pStyle w:val="BodyText"/>
        <w:spacing w:line="240" w:lineRule="auto" w:before="154"/>
        <w:ind w:left="637" w:right="333"/>
        <w:jc w:val="left"/>
      </w:pPr>
      <w:r>
        <w:rPr/>
        <w:t>（二）最近三年利润分配情况</w:t>
      </w:r>
    </w:p>
    <w:p>
      <w:pPr>
        <w:spacing w:line="240" w:lineRule="auto" w:before="5"/>
        <w:rPr>
          <w:rFonts w:ascii="宋体" w:hAnsi="宋体" w:cs="宋体" w:eastAsia="宋体" w:hint="default"/>
          <w:sz w:val="20"/>
          <w:szCs w:val="20"/>
        </w:rPr>
      </w:pPr>
    </w:p>
    <w:p>
      <w:pPr>
        <w:pStyle w:val="BodyText"/>
        <w:spacing w:line="336" w:lineRule="auto"/>
        <w:ind w:left="217" w:right="452" w:firstLine="459"/>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年度和</w:t>
      </w:r>
      <w:r>
        <w:rPr>
          <w:spacing w:val="-6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年度，由于公司处于成长的关键阶段，各项业务拓展急需</w:t>
      </w:r>
      <w:r>
        <w:rPr>
          <w:w w:val="100"/>
        </w:rPr>
        <w:t> </w:t>
      </w:r>
      <w:r>
        <w:rPr/>
        <w:t>资金，公司未进行股利分配。</w:t>
      </w:r>
    </w:p>
    <w:p>
      <w:pPr>
        <w:pStyle w:val="BodyText"/>
        <w:spacing w:line="338" w:lineRule="auto" w:before="54"/>
        <w:ind w:left="217" w:right="452" w:firstLine="459"/>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25"/>
        </w:rPr>
        <w:t> </w:t>
      </w:r>
      <w:r>
        <w:rPr/>
        <w:t>年度，公司以经深圳市鹏城会计师事务所有限公司审计的母公司可供</w:t>
      </w:r>
      <w:r>
        <w:rPr>
          <w:w w:val="100"/>
        </w:rPr>
        <w:t> </w:t>
      </w:r>
      <w:r>
        <w:rPr>
          <w:spacing w:val="-6"/>
        </w:rPr>
        <w:t>分配利润为基础，以</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年末总股本</w:t>
      </w:r>
      <w:r>
        <w:rPr>
          <w:spacing w:val="-55"/>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
        </w:rPr>
        <w:t> </w:t>
      </w:r>
      <w:r>
        <w:rPr>
          <w:spacing w:val="-5"/>
        </w:rPr>
        <w:t>万股为基数，向全体股东每</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股派发人</w:t>
      </w:r>
    </w:p>
    <w:p>
      <w:pPr>
        <w:pStyle w:val="BodyText"/>
        <w:spacing w:line="240" w:lineRule="auto" w:before="24"/>
        <w:ind w:left="217" w:right="0"/>
        <w:jc w:val="both"/>
      </w:pPr>
      <w:r>
        <w:rPr>
          <w:w w:val="100"/>
        </w:rPr>
        <w:t>民币</w:t>
      </w:r>
      <w:r>
        <w:rPr>
          <w:spacing w:val="-58"/>
        </w:rPr>
        <w:t> </w:t>
      </w:r>
      <w:r>
        <w:rPr>
          <w:rFonts w:ascii="Times New Roman" w:hAnsi="Times New Roman" w:cs="Times New Roman" w:eastAsia="Times New Roman" w:hint="default"/>
          <w:w w:val="100"/>
        </w:rPr>
        <w:t>6.00</w:t>
      </w:r>
      <w:r>
        <w:rPr>
          <w:rFonts w:ascii="Times New Roman" w:hAnsi="Times New Roman" w:cs="Times New Roman" w:eastAsia="Times New Roman" w:hint="default"/>
          <w:spacing w:val="-2"/>
        </w:rPr>
        <w:t> </w:t>
      </w:r>
      <w:r>
        <w:rPr>
          <w:spacing w:val="-2"/>
          <w:w w:val="100"/>
        </w:rPr>
        <w:t>元</w:t>
      </w:r>
      <w:r>
        <w:rPr>
          <w:w w:val="100"/>
        </w:rPr>
        <w:t>现金（</w:t>
      </w:r>
      <w:r>
        <w:rPr>
          <w:spacing w:val="-2"/>
          <w:w w:val="100"/>
        </w:rPr>
        <w:t>含税</w:t>
      </w:r>
      <w:r>
        <w:rPr>
          <w:spacing w:val="-116"/>
          <w:w w:val="100"/>
        </w:rPr>
        <w:t>）</w:t>
      </w:r>
      <w:r>
        <w:rPr>
          <w:w w:val="100"/>
        </w:rPr>
        <w:t>，以</w:t>
      </w:r>
      <w:r>
        <w:rPr>
          <w:spacing w:val="-2"/>
          <w:w w:val="100"/>
        </w:rPr>
        <w:t>资本</w:t>
      </w:r>
      <w:r>
        <w:rPr>
          <w:w w:val="100"/>
        </w:rPr>
        <w:t>公积金每</w:t>
      </w:r>
      <w:r>
        <w:rPr>
          <w:spacing w:val="-59"/>
        </w:rPr>
        <w:t> </w:t>
      </w:r>
      <w:r>
        <w:rPr>
          <w:rFonts w:ascii="Times New Roman" w:hAnsi="Times New Roman" w:cs="Times New Roman" w:eastAsia="Times New Roman" w:hint="default"/>
          <w:spacing w:val="-2"/>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w w:val="100"/>
        </w:rPr>
        <w:t>股转增</w:t>
      </w:r>
      <w:r>
        <w:rPr>
          <w:spacing w:val="-59"/>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2"/>
        </w:rPr>
        <w:t> </w:t>
      </w:r>
      <w:r>
        <w:rPr>
          <w:w w:val="100"/>
        </w:rPr>
        <w:t>股。</w:t>
      </w:r>
    </w:p>
    <w:p>
      <w:pPr>
        <w:pStyle w:val="BodyText"/>
        <w:spacing w:line="240" w:lineRule="auto" w:before="129"/>
        <w:ind w:left="677" w:right="333"/>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spacing w:val="-4"/>
        </w:rPr>
        <w:t>日，公司第二届董事会第二次会议审议通过了《</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2"/>
        </w:rPr>
        <w:t> </w:t>
      </w:r>
      <w:r>
        <w:rPr/>
        <w:t>年度利润分</w:t>
      </w:r>
    </w:p>
    <w:p>
      <w:pPr>
        <w:pStyle w:val="BodyText"/>
        <w:spacing w:line="240" w:lineRule="auto" w:before="129"/>
        <w:ind w:left="217" w:right="0"/>
        <w:jc w:val="both"/>
      </w:pPr>
      <w:r>
        <w:rPr>
          <w:w w:val="100"/>
        </w:rPr>
        <w:t>配和资</w:t>
      </w:r>
      <w:r>
        <w:rPr>
          <w:spacing w:val="-2"/>
          <w:w w:val="100"/>
        </w:rPr>
        <w:t>本公</w:t>
      </w:r>
      <w:r>
        <w:rPr>
          <w:w w:val="100"/>
        </w:rPr>
        <w:t>积金转</w:t>
      </w:r>
      <w:r>
        <w:rPr>
          <w:spacing w:val="-2"/>
          <w:w w:val="100"/>
        </w:rPr>
        <w:t>增股</w:t>
      </w:r>
      <w:r>
        <w:rPr>
          <w:w w:val="100"/>
        </w:rPr>
        <w:t>本预案</w:t>
      </w:r>
      <w:r>
        <w:rPr>
          <w:spacing w:val="-117"/>
          <w:w w:val="100"/>
        </w:rPr>
        <w:t>》</w:t>
      </w:r>
      <w:r>
        <w:rPr>
          <w:spacing w:val="-9"/>
          <w:w w:val="100"/>
        </w:rPr>
        <w:t>；</w:t>
      </w:r>
      <w:r>
        <w:rPr>
          <w:rFonts w:ascii="Times New Roman" w:hAnsi="Times New Roman" w:cs="Times New Roman" w:eastAsia="Times New Roman" w:hint="default"/>
          <w:w w:val="100"/>
        </w:rPr>
        <w:t>4</w:t>
      </w:r>
      <w:r>
        <w:rPr>
          <w:rFonts w:ascii="Times New Roman" w:hAnsi="Times New Roman" w:cs="Times New Roman" w:eastAsia="Times New Roman" w:hint="default"/>
          <w:spacing w:val="-2"/>
        </w:rPr>
        <w:t> </w:t>
      </w:r>
      <w:r>
        <w:rPr>
          <w:w w:val="100"/>
        </w:rPr>
        <w:t>月</w:t>
      </w:r>
      <w:r>
        <w:rPr>
          <w:spacing w:val="-58"/>
        </w:rPr>
        <w:t> </w:t>
      </w:r>
      <w:r>
        <w:rPr>
          <w:rFonts w:ascii="Times New Roman" w:hAnsi="Times New Roman" w:cs="Times New Roman" w:eastAsia="Times New Roman" w:hint="default"/>
          <w:spacing w:val="-9"/>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2"/>
          <w:w w:val="100"/>
        </w:rPr>
        <w:t>日</w:t>
      </w:r>
      <w:r>
        <w:rPr>
          <w:spacing w:val="-10"/>
          <w:w w:val="100"/>
        </w:rPr>
        <w:t>，</w:t>
      </w:r>
      <w:r>
        <w:rPr>
          <w:w w:val="100"/>
        </w:rPr>
        <w:t>公司</w:t>
      </w:r>
      <w:r>
        <w:rPr>
          <w:spacing w:val="-58"/>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2"/>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rPr>
        <w:t> </w:t>
      </w:r>
      <w:r>
        <w:rPr>
          <w:w w:val="100"/>
        </w:rPr>
        <w:t>年年度</w:t>
      </w:r>
      <w:r>
        <w:rPr>
          <w:spacing w:val="-2"/>
          <w:w w:val="100"/>
        </w:rPr>
        <w:t>股东</w:t>
      </w:r>
      <w:r>
        <w:rPr>
          <w:w w:val="100"/>
        </w:rPr>
        <w:t>大会审</w:t>
      </w:r>
      <w:r>
        <w:rPr>
          <w:spacing w:val="-2"/>
          <w:w w:val="100"/>
        </w:rPr>
        <w:t>议</w:t>
      </w:r>
      <w:r>
        <w:rPr>
          <w:w w:val="100"/>
        </w:rPr>
        <w:t>通</w:t>
      </w:r>
      <w:r>
        <w:rPr>
          <w:spacing w:val="1"/>
          <w:w w:val="100"/>
        </w:rPr>
        <w:t>过</w:t>
      </w:r>
      <w:r>
        <w:rPr>
          <w:w w:val="100"/>
        </w:rPr>
        <w:t>上</w:t>
      </w:r>
    </w:p>
    <w:p>
      <w:pPr>
        <w:pStyle w:val="BodyText"/>
        <w:spacing w:line="240" w:lineRule="auto" w:before="128"/>
        <w:ind w:left="217" w:right="0"/>
        <w:jc w:val="both"/>
        <w:rPr>
          <w:rFonts w:ascii="Times New Roman" w:hAnsi="Times New Roman" w:cs="Times New Roman" w:eastAsia="Times New Roman" w:hint="default"/>
        </w:rPr>
      </w:pPr>
      <w:r>
        <w:rPr/>
        <w:t>述权益分派方案；</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3 </w:t>
      </w:r>
      <w:r>
        <w:rPr/>
        <w:t>日，上述方案实施完毕，实施后公司总股本变更为</w:t>
      </w:r>
      <w:r>
        <w:rPr>
          <w:spacing w:val="-39"/>
        </w:rPr>
        <w:t> </w:t>
      </w:r>
      <w:r>
        <w:rPr>
          <w:rFonts w:ascii="Times New Roman" w:hAnsi="Times New Roman" w:cs="Times New Roman" w:eastAsia="Times New Roman" w:hint="default"/>
        </w:rPr>
        <w:t>12,000</w:t>
      </w:r>
    </w:p>
    <w:p>
      <w:pPr>
        <w:pStyle w:val="BodyText"/>
        <w:spacing w:line="240" w:lineRule="auto" w:before="129"/>
        <w:ind w:left="217" w:right="0"/>
        <w:jc w:val="both"/>
      </w:pPr>
      <w:r>
        <w:rPr/>
        <w:t>万股。</w:t>
      </w:r>
    </w:p>
    <w:p>
      <w:pPr>
        <w:pStyle w:val="BodyText"/>
        <w:spacing w:line="240" w:lineRule="auto" w:before="146"/>
        <w:ind w:left="677" w:right="333"/>
        <w:jc w:val="left"/>
      </w:pPr>
      <w:r>
        <w:rPr/>
        <w:t>公司最近三年现金分红情况如下表：</w:t>
      </w:r>
    </w:p>
    <w:p>
      <w:pPr>
        <w:spacing w:before="149"/>
        <w:ind w:left="0" w:right="451"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9"/>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1368"/>
        <w:gridCol w:w="1620"/>
        <w:gridCol w:w="1980"/>
        <w:gridCol w:w="1980"/>
        <w:gridCol w:w="1800"/>
      </w:tblGrid>
      <w:tr>
        <w:trPr>
          <w:trHeight w:val="575" w:hRule="exact"/>
        </w:trPr>
        <w:tc>
          <w:tcPr>
            <w:tcW w:w="136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1"/>
              <w:ind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9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2" w:lineRule="exact" w:before="3"/>
              <w:ind w:left="669" w:right="143" w:hanging="525"/>
              <w:jc w:val="left"/>
              <w:rPr>
                <w:rFonts w:ascii="宋体" w:hAnsi="宋体" w:cs="宋体" w:eastAsia="宋体" w:hint="default"/>
                <w:sz w:val="21"/>
                <w:szCs w:val="21"/>
              </w:rPr>
            </w:pPr>
            <w:r>
              <w:rPr>
                <w:rFonts w:ascii="宋体" w:hAnsi="宋体" w:cs="宋体" w:eastAsia="宋体" w:hint="default"/>
                <w:sz w:val="21"/>
                <w:szCs w:val="21"/>
              </w:rPr>
              <w:t>分红年度母公司的 净利润</w:t>
            </w:r>
          </w:p>
        </w:tc>
        <w:tc>
          <w:tcPr>
            <w:tcW w:w="19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2" w:lineRule="exact" w:before="3"/>
              <w:ind w:left="669" w:right="143" w:hanging="525"/>
              <w:jc w:val="left"/>
              <w:rPr>
                <w:rFonts w:ascii="宋体" w:hAnsi="宋体" w:cs="宋体" w:eastAsia="宋体" w:hint="default"/>
                <w:sz w:val="21"/>
                <w:szCs w:val="21"/>
              </w:rPr>
            </w:pPr>
            <w:r>
              <w:rPr>
                <w:rFonts w:ascii="宋体" w:hAnsi="宋体" w:cs="宋体" w:eastAsia="宋体" w:hint="default"/>
                <w:sz w:val="21"/>
                <w:szCs w:val="21"/>
              </w:rPr>
              <w:t>占母公司的净利润 的比率</w:t>
            </w:r>
          </w:p>
        </w:tc>
        <w:tc>
          <w:tcPr>
            <w:tcW w:w="18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2" w:lineRule="exact" w:before="3"/>
              <w:ind w:left="579" w:right="158" w:hanging="420"/>
              <w:jc w:val="left"/>
              <w:rPr>
                <w:rFonts w:ascii="宋体" w:hAnsi="宋体" w:cs="宋体" w:eastAsia="宋体" w:hint="default"/>
                <w:sz w:val="21"/>
                <w:szCs w:val="21"/>
              </w:rPr>
            </w:pPr>
            <w:r>
              <w:rPr>
                <w:rFonts w:ascii="宋体" w:hAnsi="宋体" w:cs="宋体" w:eastAsia="宋体" w:hint="default"/>
                <w:sz w:val="21"/>
                <w:szCs w:val="21"/>
              </w:rPr>
              <w:t>年度母公司可分 配利润</w:t>
            </w:r>
          </w:p>
        </w:tc>
      </w:tr>
      <w:tr>
        <w:trPr>
          <w:trHeight w:val="3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36,000,000.00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21"/>
                <w:szCs w:val="21"/>
              </w:rPr>
            </w:pPr>
            <w:r>
              <w:rPr>
                <w:rFonts w:ascii="Times New Roman"/>
                <w:sz w:val="21"/>
              </w:rPr>
              <w:t>39,808,813.74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21"/>
                <w:szCs w:val="21"/>
              </w:rPr>
            </w:pPr>
            <w:r>
              <w:rPr>
                <w:rFonts w:ascii="Times New Roman"/>
                <w:sz w:val="21"/>
              </w:rPr>
              <w:t>90.43%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91" w:right="0"/>
              <w:jc w:val="left"/>
              <w:rPr>
                <w:rFonts w:ascii="Times New Roman" w:hAnsi="Times New Roman" w:cs="Times New Roman" w:eastAsia="Times New Roman" w:hint="default"/>
                <w:sz w:val="21"/>
                <w:szCs w:val="21"/>
              </w:rPr>
            </w:pPr>
            <w:r>
              <w:rPr>
                <w:rFonts w:ascii="Times New Roman"/>
                <w:sz w:val="21"/>
              </w:rPr>
              <w:t>85,424,971.50</w:t>
            </w:r>
          </w:p>
        </w:tc>
      </w:tr>
      <w:tr>
        <w:trPr>
          <w:trHeight w:val="3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21"/>
                <w:szCs w:val="21"/>
              </w:rPr>
            </w:pPr>
            <w:r>
              <w:rPr>
                <w:rFonts w:ascii="Times New Roman"/>
                <w:sz w:val="21"/>
              </w:rPr>
              <w:t>21,479,291.08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92" w:right="0"/>
              <w:jc w:val="left"/>
              <w:rPr>
                <w:rFonts w:ascii="Times New Roman" w:hAnsi="Times New Roman" w:cs="Times New Roman" w:eastAsia="Times New Roman" w:hint="default"/>
                <w:sz w:val="21"/>
                <w:szCs w:val="21"/>
              </w:rPr>
            </w:pPr>
            <w:r>
              <w:rPr>
                <w:rFonts w:ascii="Times New Roman"/>
                <w:sz w:val="21"/>
              </w:rPr>
              <w:t>49,597,039.13</w:t>
            </w:r>
          </w:p>
        </w:tc>
      </w:tr>
      <w:tr>
        <w:trPr>
          <w:trHeight w:val="37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21"/>
                <w:szCs w:val="21"/>
              </w:rPr>
            </w:pPr>
            <w:r>
              <w:rPr>
                <w:rFonts w:ascii="Times New Roman"/>
                <w:sz w:val="21"/>
              </w:rPr>
              <w:t>22,341,285.25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92" w:right="0"/>
              <w:jc w:val="left"/>
              <w:rPr>
                <w:rFonts w:ascii="Times New Roman" w:hAnsi="Times New Roman" w:cs="Times New Roman" w:eastAsia="Times New Roman" w:hint="default"/>
                <w:sz w:val="21"/>
                <w:szCs w:val="21"/>
              </w:rPr>
            </w:pPr>
            <w:r>
              <w:rPr>
                <w:rFonts w:ascii="Times New Roman"/>
                <w:sz w:val="21"/>
              </w:rPr>
              <w:t>30,265,677.16</w:t>
            </w:r>
          </w:p>
        </w:tc>
      </w:tr>
      <w:tr>
        <w:trPr>
          <w:trHeight w:val="378" w:hRule="exact"/>
        </w:trPr>
        <w:tc>
          <w:tcPr>
            <w:tcW w:w="694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45" w:right="0"/>
              <w:jc w:val="left"/>
              <w:rPr>
                <w:rFonts w:ascii="宋体" w:hAnsi="宋体" w:cs="宋体" w:eastAsia="宋体" w:hint="default"/>
                <w:sz w:val="21"/>
                <w:szCs w:val="21"/>
              </w:rPr>
            </w:pPr>
            <w:r>
              <w:rPr>
                <w:rFonts w:ascii="宋体" w:hAnsi="宋体" w:cs="宋体" w:eastAsia="宋体" w:hint="default"/>
                <w:sz w:val="21"/>
                <w:szCs w:val="21"/>
              </w:rPr>
              <w:t>最近三年累计现金分红金额占最近三年年均净利润的比例（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9" w:right="0"/>
              <w:jc w:val="left"/>
              <w:rPr>
                <w:rFonts w:ascii="Times New Roman" w:hAnsi="Times New Roman" w:cs="Times New Roman" w:eastAsia="Times New Roman" w:hint="default"/>
                <w:sz w:val="21"/>
                <w:szCs w:val="21"/>
              </w:rPr>
            </w:pPr>
            <w:r>
              <w:rPr>
                <w:rFonts w:ascii="Times New Roman"/>
                <w:sz w:val="21"/>
              </w:rPr>
              <w:t>43.05%</w:t>
            </w:r>
          </w:p>
        </w:tc>
      </w:tr>
    </w:tbl>
    <w:p>
      <w:pPr>
        <w:spacing w:line="240" w:lineRule="auto" w:before="2"/>
        <w:rPr>
          <w:rFonts w:ascii="宋体" w:hAnsi="宋体" w:cs="宋体" w:eastAsia="宋体" w:hint="default"/>
          <w:sz w:val="25"/>
          <w:szCs w:val="25"/>
        </w:rPr>
      </w:pPr>
    </w:p>
    <w:p>
      <w:pPr>
        <w:pStyle w:val="BodyText"/>
        <w:spacing w:line="338" w:lineRule="auto" w:before="29"/>
        <w:ind w:left="677" w:right="444" w:hanging="40"/>
        <w:jc w:val="left"/>
      </w:pPr>
      <w:r>
        <w:rPr/>
        <w:t>（三）</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年度利润分配预案</w:t>
      </w:r>
      <w:r>
        <w:rPr>
          <w:w w:val="100"/>
        </w:rPr>
        <w:t> </w:t>
      </w:r>
      <w:r>
        <w:rPr>
          <w:spacing w:val="-4"/>
        </w:rPr>
        <w:t>经深圳市鹏城会计师事务所有限公司审计，本公司母公司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4"/>
        </w:rPr>
        <w:t> </w:t>
      </w:r>
      <w:r>
        <w:rPr/>
        <w:t>年度实现净利润</w:t>
      </w:r>
    </w:p>
    <w:p>
      <w:pPr>
        <w:pStyle w:val="BodyText"/>
        <w:spacing w:line="338" w:lineRule="auto" w:before="24"/>
        <w:ind w:left="217" w:right="333" w:hanging="1"/>
        <w:jc w:val="left"/>
      </w:pPr>
      <w:r>
        <w:rPr>
          <w:rFonts w:ascii="Times New Roman" w:hAnsi="Times New Roman" w:cs="Times New Roman" w:eastAsia="Times New Roman" w:hint="default"/>
        </w:rPr>
        <w:t>21,360,387.21 </w:t>
      </w:r>
      <w:r>
        <w:rPr>
          <w:spacing w:val="-5"/>
        </w:rPr>
        <w:t>元，截至</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31 </w:t>
      </w:r>
      <w:r>
        <w:rPr/>
        <w:t>日可供股东分配的利润为</w:t>
      </w:r>
      <w:r>
        <w:rPr>
          <w:spacing w:val="-59"/>
        </w:rPr>
        <w:t> </w:t>
      </w:r>
      <w:r>
        <w:rPr>
          <w:rFonts w:ascii="Times New Roman" w:hAnsi="Times New Roman" w:cs="Times New Roman" w:eastAsia="Times New Roman" w:hint="default"/>
        </w:rPr>
        <w:t>68,649,967.54 </w:t>
      </w:r>
      <w:r>
        <w:rPr/>
        <w:t>元。</w:t>
      </w:r>
      <w:r>
        <w:rPr>
          <w:spacing w:val="1"/>
          <w:w w:val="100"/>
        </w:rPr>
        <w:t> </w:t>
      </w:r>
      <w:r>
        <w:rPr/>
        <w:t>根据中国证监会关于企业分红的相关指导意见，综合考虑公司发展对流动资金的需</w:t>
      </w:r>
    </w:p>
    <w:p>
      <w:pPr>
        <w:spacing w:after="0" w:line="338" w:lineRule="auto"/>
        <w:jc w:val="left"/>
        <w:sectPr>
          <w:pgSz w:w="11910" w:h="16840"/>
          <w:pgMar w:header="877" w:footer="982" w:top="1100" w:bottom="1180" w:left="1580" w:right="1340"/>
        </w:sectPr>
      </w:pPr>
    </w:p>
    <w:p>
      <w:pPr>
        <w:spacing w:line="240" w:lineRule="auto" w:before="4"/>
        <w:rPr>
          <w:rFonts w:ascii="宋体" w:hAnsi="宋体" w:cs="宋体" w:eastAsia="宋体" w:hint="default"/>
          <w:sz w:val="19"/>
          <w:szCs w:val="19"/>
        </w:rPr>
      </w:pPr>
    </w:p>
    <w:p>
      <w:pPr>
        <w:pStyle w:val="BodyText"/>
        <w:spacing w:line="357" w:lineRule="auto" w:before="29"/>
        <w:ind w:right="233"/>
        <w:jc w:val="both"/>
      </w:pPr>
      <w:r>
        <w:rPr/>
        <w:t>求，并兼顾广大股东的利益，根据《公司法》及《公司章程》的相关规定，公司拟</w:t>
      </w:r>
      <w:r>
        <w:rPr>
          <w:spacing w:val="-87"/>
        </w:rPr>
        <w:t> </w:t>
      </w:r>
      <w:r>
        <w:rPr>
          <w:spacing w:val="-87"/>
        </w:rPr>
      </w:r>
      <w:r>
        <w:rPr/>
        <w:t>定</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年度利润分配预案如下：</w:t>
      </w:r>
    </w:p>
    <w:p>
      <w:pPr>
        <w:pStyle w:val="BodyText"/>
        <w:spacing w:line="240" w:lineRule="auto" w:before="4"/>
        <w:ind w:left="597" w:right="115"/>
        <w:jc w:val="left"/>
      </w:pPr>
      <w:r>
        <w:rPr/>
        <w:t>公司拟以</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日总股本</w:t>
      </w:r>
      <w:r>
        <w:rPr>
          <w:spacing w:val="-56"/>
        </w:rPr>
        <w:t> </w:t>
      </w:r>
      <w:r>
        <w:rPr>
          <w:rFonts w:ascii="Times New Roman" w:hAnsi="Times New Roman" w:cs="Times New Roman" w:eastAsia="Times New Roman" w:hint="default"/>
        </w:rPr>
        <w:t>12,000 </w:t>
      </w:r>
      <w:r>
        <w:rPr>
          <w:spacing w:val="-3"/>
        </w:rPr>
        <w:t>万股为基数，向全体股东每</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w:t>
      </w:r>
    </w:p>
    <w:p>
      <w:pPr>
        <w:pStyle w:val="BodyText"/>
        <w:spacing w:line="240" w:lineRule="auto" w:before="129"/>
        <w:ind w:right="0"/>
        <w:jc w:val="both"/>
      </w:pPr>
      <w:r>
        <w:rPr>
          <w:w w:val="100"/>
        </w:rPr>
        <w:t>人民币</w:t>
      </w:r>
      <w:r>
        <w:rPr>
          <w:spacing w:val="-51"/>
        </w:rPr>
        <w:t> </w:t>
      </w:r>
      <w:r>
        <w:rPr>
          <w:rFonts w:ascii="Times New Roman" w:hAnsi="Times New Roman" w:cs="Times New Roman" w:eastAsia="Times New Roman" w:hint="default"/>
          <w:w w:val="100"/>
        </w:rPr>
        <w:t>1.5</w:t>
      </w:r>
      <w:r>
        <w:rPr>
          <w:rFonts w:ascii="Times New Roman" w:hAnsi="Times New Roman" w:cs="Times New Roman" w:eastAsia="Times New Roman" w:hint="default"/>
          <w:spacing w:val="7"/>
        </w:rPr>
        <w:t> </w:t>
      </w:r>
      <w:r>
        <w:rPr>
          <w:w w:val="100"/>
        </w:rPr>
        <w:t>元现金</w:t>
      </w:r>
      <w:r>
        <w:rPr>
          <w:spacing w:val="-2"/>
          <w:w w:val="100"/>
        </w:rPr>
        <w:t>（含</w:t>
      </w:r>
      <w:r>
        <w:rPr>
          <w:w w:val="100"/>
        </w:rPr>
        <w:t>税</w:t>
      </w:r>
      <w:r>
        <w:rPr>
          <w:spacing w:val="-116"/>
          <w:w w:val="100"/>
        </w:rPr>
        <w:t>）</w:t>
      </w:r>
      <w:r>
        <w:rPr>
          <w:w w:val="100"/>
        </w:rPr>
        <w:t>，</w:t>
      </w:r>
      <w:r>
        <w:rPr>
          <w:spacing w:val="-2"/>
          <w:w w:val="100"/>
        </w:rPr>
        <w:t>合计</w:t>
      </w:r>
      <w:r>
        <w:rPr>
          <w:w w:val="100"/>
        </w:rPr>
        <w:t>派发现</w:t>
      </w:r>
      <w:r>
        <w:rPr>
          <w:spacing w:val="-2"/>
          <w:w w:val="100"/>
        </w:rPr>
        <w:t>金股</w:t>
      </w:r>
      <w:r>
        <w:rPr>
          <w:w w:val="100"/>
        </w:rPr>
        <w:t>利</w:t>
      </w:r>
      <w:r>
        <w:rPr>
          <w:spacing w:val="-49"/>
        </w:rPr>
        <w:t> </w:t>
      </w:r>
      <w:r>
        <w:rPr>
          <w:rFonts w:ascii="Times New Roman" w:hAnsi="Times New Roman" w:cs="Times New Roman" w:eastAsia="Times New Roman" w:hint="default"/>
          <w:w w:val="100"/>
        </w:rPr>
        <w:t>18,</w:t>
      </w:r>
      <w:r>
        <w:rPr>
          <w:rFonts w:ascii="Times New Roman" w:hAnsi="Times New Roman" w:cs="Times New Roman" w:eastAsia="Times New Roman" w:hint="default"/>
          <w:spacing w:val="-2"/>
          <w:w w:val="100"/>
        </w:rPr>
        <w:t>0</w:t>
      </w:r>
      <w:r>
        <w:rPr>
          <w:rFonts w:ascii="Times New Roman" w:hAnsi="Times New Roman" w:cs="Times New Roman" w:eastAsia="Times New Roman" w:hint="default"/>
          <w:w w:val="100"/>
        </w:rPr>
        <w:t>00,0</w:t>
      </w:r>
      <w:r>
        <w:rPr>
          <w:rFonts w:ascii="Times New Roman" w:hAnsi="Times New Roman" w:cs="Times New Roman" w:eastAsia="Times New Roman" w:hint="default"/>
          <w:spacing w:val="-2"/>
          <w:w w:val="100"/>
        </w:rPr>
        <w:t>0</w:t>
      </w:r>
      <w:r>
        <w:rPr>
          <w:rFonts w:ascii="Times New Roman" w:hAnsi="Times New Roman" w:cs="Times New Roman" w:eastAsia="Times New Roman" w:hint="default"/>
          <w:w w:val="100"/>
        </w:rPr>
        <w:t>0.00</w:t>
      </w:r>
      <w:r>
        <w:rPr>
          <w:rFonts w:ascii="Times New Roman" w:hAnsi="Times New Roman" w:cs="Times New Roman" w:eastAsia="Times New Roman" w:hint="default"/>
          <w:spacing w:val="8"/>
        </w:rPr>
        <w:t> </w:t>
      </w:r>
      <w:r>
        <w:rPr>
          <w:spacing w:val="-2"/>
          <w:w w:val="100"/>
        </w:rPr>
        <w:t>元</w:t>
      </w:r>
      <w:r>
        <w:rPr>
          <w:w w:val="100"/>
        </w:rPr>
        <w:t>（</w:t>
      </w:r>
      <w:r>
        <w:rPr>
          <w:spacing w:val="-2"/>
          <w:w w:val="100"/>
        </w:rPr>
        <w:t>含</w:t>
      </w:r>
      <w:r>
        <w:rPr>
          <w:w w:val="100"/>
        </w:rPr>
        <w:t>税</w:t>
      </w:r>
      <w:r>
        <w:rPr>
          <w:spacing w:val="-116"/>
          <w:w w:val="100"/>
        </w:rPr>
        <w:t>）</w:t>
      </w:r>
      <w:r>
        <w:rPr>
          <w:w w:val="100"/>
        </w:rPr>
        <w:t>，</w:t>
      </w:r>
      <w:r>
        <w:rPr>
          <w:spacing w:val="-2"/>
          <w:w w:val="100"/>
        </w:rPr>
        <w:t>剩余</w:t>
      </w:r>
      <w:r>
        <w:rPr>
          <w:spacing w:val="1"/>
          <w:w w:val="100"/>
        </w:rPr>
        <w:t>未</w:t>
      </w:r>
      <w:r>
        <w:rPr>
          <w:w w:val="100"/>
        </w:rPr>
        <w:t>分</w:t>
      </w:r>
    </w:p>
    <w:p>
      <w:pPr>
        <w:pStyle w:val="BodyText"/>
        <w:spacing w:line="240" w:lineRule="auto" w:before="128"/>
        <w:ind w:right="0"/>
        <w:jc w:val="both"/>
      </w:pPr>
      <w:r>
        <w:rPr/>
        <w:t>配利润</w:t>
      </w:r>
      <w:r>
        <w:rPr>
          <w:spacing w:val="-60"/>
        </w:rPr>
        <w:t> </w:t>
      </w:r>
      <w:r>
        <w:rPr>
          <w:rFonts w:ascii="Times New Roman" w:hAnsi="Times New Roman" w:cs="Times New Roman" w:eastAsia="Times New Roman" w:hint="default"/>
        </w:rPr>
        <w:t>50,</w:t>
      </w:r>
      <w:r>
        <w:rPr>
          <w:rFonts w:ascii="Times New Roman" w:hAnsi="Times New Roman" w:cs="Times New Roman" w:eastAsia="Times New Roman" w:hint="default"/>
          <w:spacing w:val="-11"/>
        </w:rPr>
        <w:t> </w:t>
      </w:r>
      <w:r>
        <w:rPr>
          <w:rFonts w:ascii="Times New Roman" w:hAnsi="Times New Roman" w:cs="Times New Roman" w:eastAsia="Times New Roman" w:hint="default"/>
        </w:rPr>
        <w:t>649,967.54</w:t>
      </w:r>
      <w:r>
        <w:rPr>
          <w:rFonts w:ascii="Times New Roman" w:hAnsi="Times New Roman" w:cs="Times New Roman" w:eastAsia="Times New Roman" w:hint="default"/>
          <w:spacing w:val="-4"/>
        </w:rPr>
        <w:t> </w:t>
      </w:r>
      <w:r>
        <w:rPr/>
        <w:t>元结转以后年度。</w:t>
      </w:r>
    </w:p>
    <w:p>
      <w:pPr>
        <w:pStyle w:val="BodyText"/>
        <w:spacing w:line="348" w:lineRule="auto" w:before="129"/>
        <w:ind w:right="157" w:firstLine="459"/>
        <w:jc w:val="left"/>
      </w:pPr>
      <w:r>
        <w:rPr>
          <w:spacing w:val="-1"/>
          <w:w w:val="100"/>
        </w:rPr>
        <w:t>公司独立董事认为：公司</w:t>
      </w:r>
      <w:r>
        <w:rPr>
          <w:spacing w:val="-47"/>
          <w:w w:val="100"/>
        </w:rPr>
        <w:t> </w:t>
      </w:r>
      <w:r>
        <w:rPr>
          <w:rFonts w:ascii="Times New Roman" w:hAnsi="Times New Roman" w:cs="Times New Roman" w:eastAsia="Times New Roman" w:hint="default"/>
          <w:spacing w:val="-3"/>
          <w:w w:val="100"/>
        </w:rPr>
        <w:t>2011</w:t>
      </w:r>
      <w:r>
        <w:rPr>
          <w:rFonts w:ascii="Times New Roman" w:hAnsi="Times New Roman" w:cs="Times New Roman" w:eastAsia="Times New Roman" w:hint="default"/>
          <w:spacing w:val="8"/>
          <w:w w:val="100"/>
        </w:rPr>
        <w:t> </w:t>
      </w:r>
      <w:r>
        <w:rPr>
          <w:spacing w:val="-12"/>
          <w:w w:val="100"/>
        </w:rPr>
        <w:t>年度利润分配议案符合《公司法》、《公司章程》</w:t>
      </w:r>
      <w:r>
        <w:rPr>
          <w:w w:val="100"/>
        </w:rPr>
        <w:t> </w:t>
      </w:r>
      <w:r>
        <w:rPr/>
        <w:t>等相关规定，符合公司当前的实际情况，有利于公司的持续稳定健康发展，同意公</w:t>
      </w:r>
      <w:r>
        <w:rPr>
          <w:spacing w:val="-87"/>
        </w:rPr>
        <w:t> </w:t>
      </w:r>
      <w:r>
        <w:rPr>
          <w:spacing w:val="-87"/>
        </w:rPr>
      </w:r>
      <w:r>
        <w:rPr/>
        <w:t>司董事会提出的公司</w:t>
      </w:r>
      <w:r>
        <w:rPr>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年年度利润分配预案。</w:t>
      </w:r>
    </w:p>
    <w:p>
      <w:pPr>
        <w:pStyle w:val="BodyText"/>
        <w:spacing w:line="240" w:lineRule="auto" w:before="14"/>
        <w:ind w:left="557" w:right="115"/>
        <w:jc w:val="left"/>
      </w:pPr>
      <w:r>
        <w:rPr/>
        <w:t>本利润分配预案尚需提交公司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年度股东大会审议。</w:t>
      </w:r>
    </w:p>
    <w:p>
      <w:pPr>
        <w:spacing w:line="240" w:lineRule="auto" w:before="0"/>
        <w:rPr>
          <w:rFonts w:ascii="宋体" w:hAnsi="宋体" w:cs="宋体" w:eastAsia="宋体" w:hint="default"/>
          <w:sz w:val="24"/>
          <w:szCs w:val="24"/>
        </w:rPr>
      </w:pPr>
    </w:p>
    <w:p>
      <w:pPr>
        <w:pStyle w:val="Heading5"/>
        <w:spacing w:line="240" w:lineRule="auto" w:before="211"/>
        <w:ind w:right="0"/>
        <w:jc w:val="both"/>
        <w:rPr>
          <w:b w:val="0"/>
          <w:bCs w:val="0"/>
        </w:rPr>
      </w:pPr>
      <w:r>
        <w:rPr/>
        <w:t>七、报告期内，内幕信息知情人管理制度的建立和执行情况</w:t>
      </w:r>
      <w:r>
        <w:rPr>
          <w:b w:val="0"/>
          <w:bCs w:val="0"/>
        </w:rPr>
      </w:r>
    </w:p>
    <w:p>
      <w:pPr>
        <w:pStyle w:val="BodyText"/>
        <w:spacing w:line="240" w:lineRule="auto" w:before="146"/>
        <w:ind w:left="557" w:right="115"/>
        <w:jc w:val="left"/>
      </w:pPr>
      <w:r>
        <w:rPr/>
        <w:t>（一）内幕信息知情人管理制度的建设情况</w:t>
      </w:r>
    </w:p>
    <w:p>
      <w:pPr>
        <w:pStyle w:val="BodyText"/>
        <w:spacing w:line="352" w:lineRule="auto" w:before="146"/>
        <w:ind w:right="231" w:firstLine="535"/>
        <w:jc w:val="both"/>
      </w:pPr>
      <w:r>
        <w:rPr/>
        <w:t>公司自</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spacing w:val="-3"/>
        </w:rPr>
        <w:t>日在深圳证券交易所创业板上市以来，十分注重公司治</w:t>
      </w:r>
      <w:r>
        <w:rPr>
          <w:w w:val="100"/>
        </w:rPr>
        <w:t> </w:t>
      </w:r>
      <w:r>
        <w:rPr/>
        <w:t>理水平的不断提升与完善，尤其是内幕交易防控工作，现行与内幕交易防控相关的</w:t>
      </w:r>
      <w:r>
        <w:rPr>
          <w:spacing w:val="-87"/>
        </w:rPr>
        <w:t> </w:t>
      </w:r>
      <w:r>
        <w:rPr>
          <w:spacing w:val="-87"/>
        </w:rPr>
      </w:r>
      <w:r>
        <w:rPr>
          <w:spacing w:val="-18"/>
          <w:w w:val="100"/>
        </w:rPr>
        <w:t>制度主要包括：《公司章程》、《内幕信息知情人登记制度》、《董事、监事和高级管理</w:t>
      </w:r>
      <w:r>
        <w:rPr>
          <w:spacing w:val="-100"/>
          <w:w w:val="100"/>
        </w:rPr>
        <w:t> </w:t>
      </w:r>
      <w:r>
        <w:rPr>
          <w:spacing w:val="-100"/>
          <w:w w:val="100"/>
        </w:rPr>
      </w:r>
      <w:r>
        <w:rPr>
          <w:spacing w:val="-12"/>
          <w:w w:val="100"/>
        </w:rPr>
        <w:t>人员所持本公司股份及其变动管理制度》、《信息披露管理制度》、《投资者关系管理</w:t>
      </w:r>
      <w:r>
        <w:rPr>
          <w:spacing w:val="-106"/>
          <w:w w:val="100"/>
        </w:rPr>
        <w:t> </w:t>
      </w:r>
      <w:r>
        <w:rPr>
          <w:spacing w:val="-106"/>
          <w:w w:val="100"/>
        </w:rPr>
      </w:r>
      <w:r>
        <w:rPr>
          <w:spacing w:val="-12"/>
          <w:w w:val="100"/>
        </w:rPr>
        <w:t>制度》、《重大信息内部报告制度》、《年报信息披露重大差错责任追究制度》等公司</w:t>
      </w:r>
      <w:r>
        <w:rPr>
          <w:spacing w:val="-106"/>
          <w:w w:val="100"/>
        </w:rPr>
        <w:t> </w:t>
      </w:r>
      <w:r>
        <w:rPr>
          <w:spacing w:val="-106"/>
          <w:w w:val="100"/>
        </w:rPr>
      </w:r>
      <w:r>
        <w:rPr/>
        <w:t>治理、信息管理制度。</w:t>
      </w:r>
    </w:p>
    <w:p>
      <w:pPr>
        <w:pStyle w:val="BodyText"/>
        <w:spacing w:line="357" w:lineRule="auto" w:before="38"/>
        <w:ind w:right="115" w:firstLine="420"/>
        <w:jc w:val="left"/>
      </w:pPr>
      <w:r>
        <w:rPr>
          <w:spacing w:val="-2"/>
        </w:rPr>
        <w:t>为规范公司的内幕信息管理，加强内幕信息保密工作，以维护信息披露的公开、</w:t>
      </w:r>
      <w:r>
        <w:rPr>
          <w:w w:val="100"/>
        </w:rPr>
        <w:t> </w:t>
      </w:r>
      <w:r>
        <w:rPr>
          <w:spacing w:val="-12"/>
          <w:w w:val="100"/>
        </w:rPr>
        <w:t>公平、公正原则，保护广大投资者的合法权益，根据《公司法》、《证券法》、《上市</w:t>
      </w:r>
      <w:r>
        <w:rPr>
          <w:spacing w:val="-106"/>
          <w:w w:val="100"/>
        </w:rPr>
        <w:t> </w:t>
      </w:r>
      <w:r>
        <w:rPr>
          <w:spacing w:val="-106"/>
          <w:w w:val="100"/>
        </w:rPr>
      </w:r>
      <w:r>
        <w:rPr>
          <w:spacing w:val="-12"/>
          <w:w w:val="100"/>
        </w:rPr>
        <w:t>公司信息披露管理办法》、《深圳证券交易所创业板股票上市规则》、《深圳证券交易</w:t>
      </w:r>
      <w:r>
        <w:rPr>
          <w:spacing w:val="-106"/>
          <w:w w:val="100"/>
        </w:rPr>
        <w:t> </w:t>
      </w:r>
      <w:r>
        <w:rPr>
          <w:spacing w:val="-106"/>
          <w:w w:val="100"/>
        </w:rPr>
      </w:r>
      <w:r>
        <w:rPr/>
        <w:t>所创业板上市公司规范运作指引》及有关法律、法规和《公司章程》的相关规定，</w:t>
      </w:r>
      <w:r>
        <w:rPr>
          <w:spacing w:val="-87"/>
        </w:rPr>
        <w:t> </w:t>
      </w:r>
      <w:r>
        <w:rPr>
          <w:spacing w:val="-87"/>
        </w:rPr>
      </w:r>
      <w:r>
        <w:rPr>
          <w:spacing w:val="-8"/>
        </w:rPr>
        <w:t>结合公司实际情况，公司于</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日第一届董事会第十一次会议审议通过了</w:t>
      </w:r>
    </w:p>
    <w:p>
      <w:pPr>
        <w:pStyle w:val="BodyText"/>
        <w:spacing w:line="357" w:lineRule="auto" w:before="4"/>
        <w:ind w:right="233"/>
        <w:jc w:val="both"/>
      </w:pPr>
      <w:r>
        <w:rPr>
          <w:spacing w:val="-7"/>
          <w:w w:val="100"/>
        </w:rPr>
        <w:t>《内幕信息知情人登记制度》，作为内幕交易防控的专项制度文件。该制度明确界定</w:t>
      </w:r>
      <w:r>
        <w:rPr>
          <w:spacing w:val="-81"/>
          <w:w w:val="100"/>
        </w:rPr>
        <w:t> </w:t>
      </w:r>
      <w:r>
        <w:rPr>
          <w:spacing w:val="-81"/>
          <w:w w:val="100"/>
        </w:rPr>
      </w:r>
      <w:r>
        <w:rPr/>
        <w:t>了内幕信息和内幕信息知情人的范围，完善了内幕信息事项的研究、决策和审批程</w:t>
      </w:r>
      <w:r>
        <w:rPr>
          <w:spacing w:val="-87"/>
        </w:rPr>
        <w:t> </w:t>
      </w:r>
      <w:r>
        <w:rPr>
          <w:spacing w:val="-87"/>
        </w:rPr>
      </w:r>
      <w:r>
        <w:rPr/>
        <w:t>序，健全了内幕信息的保密措施，建立了内幕信息知情人登记管理措施等。</w:t>
      </w:r>
    </w:p>
    <w:p>
      <w:pPr>
        <w:spacing w:line="240" w:lineRule="auto" w:before="11"/>
        <w:rPr>
          <w:rFonts w:ascii="宋体" w:hAnsi="宋体" w:cs="宋体" w:eastAsia="宋体" w:hint="default"/>
          <w:sz w:val="32"/>
          <w:szCs w:val="32"/>
        </w:rPr>
      </w:pPr>
    </w:p>
    <w:p>
      <w:pPr>
        <w:pStyle w:val="BodyText"/>
        <w:spacing w:line="348" w:lineRule="auto"/>
        <w:ind w:left="557" w:right="115"/>
        <w:jc w:val="left"/>
      </w:pPr>
      <w:r>
        <w:rPr/>
        <w:t>（二）内幕信息知情人管理制度的执行情况</w:t>
      </w:r>
      <w:r>
        <w:rPr>
          <w:w w:val="100"/>
        </w:rPr>
        <w:t> </w:t>
      </w:r>
      <w:r>
        <w:rPr>
          <w:rFonts w:ascii="Times New Roman" w:hAnsi="Times New Roman" w:cs="Times New Roman" w:eastAsia="Times New Roman" w:hint="default"/>
        </w:rPr>
        <w:t>1</w:t>
      </w:r>
      <w:r>
        <w:rPr/>
        <w:t>．定期报告披露期间的信息保密工作</w:t>
      </w:r>
      <w:r>
        <w:rPr>
          <w:w w:val="100"/>
        </w:rPr>
        <w:t> </w:t>
      </w:r>
      <w:r>
        <w:rPr/>
        <w:t>报告期内，公司严格执行内幕信息保密制度，严格规范信息传递流程，在定期</w:t>
      </w:r>
    </w:p>
    <w:p>
      <w:pPr>
        <w:pStyle w:val="BodyText"/>
        <w:spacing w:line="240" w:lineRule="auto" w:before="43"/>
        <w:ind w:right="0"/>
        <w:jc w:val="both"/>
      </w:pPr>
      <w:r>
        <w:rPr/>
        <w:t>报告披露期间，对于未公开信息，公司董事会办公室都会严格控制知情人范围并做</w:t>
      </w:r>
    </w:p>
    <w:p>
      <w:pPr>
        <w:spacing w:after="0" w:line="240" w:lineRule="auto"/>
        <w:jc w:val="both"/>
        <w:sectPr>
          <w:pgSz w:w="11910" w:h="16840"/>
          <w:pgMar w:header="877" w:footer="982" w:top="1100" w:bottom="1180" w:left="1660" w:right="1560"/>
        </w:sectPr>
      </w:pPr>
    </w:p>
    <w:p>
      <w:pPr>
        <w:spacing w:line="240" w:lineRule="auto" w:before="4"/>
        <w:rPr>
          <w:rFonts w:ascii="宋体" w:hAnsi="宋体" w:cs="宋体" w:eastAsia="宋体" w:hint="default"/>
          <w:sz w:val="19"/>
          <w:szCs w:val="19"/>
        </w:rPr>
      </w:pPr>
    </w:p>
    <w:p>
      <w:pPr>
        <w:pStyle w:val="BodyText"/>
        <w:spacing w:line="357" w:lineRule="auto" w:before="29"/>
        <w:ind w:right="115"/>
        <w:jc w:val="left"/>
      </w:pPr>
      <w:r>
        <w:rPr/>
        <w:t>好相关内幕信息知情人登记工作，如实、完整记录上述信息在公开前的所有内幕信</w:t>
      </w:r>
      <w:r>
        <w:rPr>
          <w:spacing w:val="-87"/>
        </w:rPr>
        <w:t> </w:t>
      </w:r>
      <w:r>
        <w:rPr>
          <w:spacing w:val="-87"/>
        </w:rPr>
      </w:r>
      <w:r>
        <w:rPr>
          <w:spacing w:val="-3"/>
        </w:rPr>
        <w:t>息知情人名单，以及知情人知悉内幕信息的时间。经公司董事会办公室核实无误后，</w:t>
      </w:r>
      <w:r>
        <w:rPr>
          <w:spacing w:val="-97"/>
        </w:rPr>
        <w:t> </w:t>
      </w:r>
      <w:r>
        <w:rPr>
          <w:spacing w:val="-97"/>
        </w:rPr>
      </w:r>
      <w:r>
        <w:rPr/>
        <w:t>按照相关法规规定在向深圳证券交易所和深圳证监局报送定期报告相关资料的同时</w:t>
      </w:r>
      <w:r>
        <w:rPr>
          <w:spacing w:val="-87"/>
        </w:rPr>
        <w:t> </w:t>
      </w:r>
      <w:r>
        <w:rPr>
          <w:spacing w:val="-87"/>
        </w:rPr>
      </w:r>
      <w:r>
        <w:rPr/>
        <w:t>报备内幕信息知情人登记表。</w:t>
      </w:r>
    </w:p>
    <w:p>
      <w:pPr>
        <w:pStyle w:val="BodyText"/>
        <w:spacing w:line="338" w:lineRule="auto" w:before="32"/>
        <w:ind w:left="557" w:right="115" w:hanging="1"/>
        <w:jc w:val="left"/>
      </w:pPr>
      <w:r>
        <w:rPr>
          <w:rFonts w:ascii="Times New Roman" w:hAnsi="Times New Roman" w:cs="Times New Roman" w:eastAsia="Times New Roman" w:hint="default"/>
        </w:rPr>
        <w:t>2</w:t>
      </w:r>
      <w:r>
        <w:rPr/>
        <w:t>．投资者调研期间的信息保密工作</w:t>
      </w:r>
      <w:r>
        <w:rPr>
          <w:w w:val="100"/>
        </w:rPr>
        <w:t> </w:t>
      </w:r>
      <w:r>
        <w:rPr/>
        <w:t>在定期报告及重大事项披露期间，公司尽量避免接待投资者的调研，努力做好</w:t>
      </w:r>
    </w:p>
    <w:p>
      <w:pPr>
        <w:pStyle w:val="BodyText"/>
        <w:spacing w:line="357" w:lineRule="auto" w:before="52"/>
        <w:ind w:left="557" w:right="115" w:hanging="420"/>
        <w:jc w:val="left"/>
      </w:pPr>
      <w:r>
        <w:rPr/>
        <w:t>定期报告及重大事项披露期间的信息保密工作。</w:t>
      </w:r>
      <w:r>
        <w:rPr>
          <w:w w:val="100"/>
        </w:rPr>
        <w:t> </w:t>
      </w:r>
      <w:r>
        <w:rPr/>
        <w:t>在日常接待投资者调研时，公司董事会办公室负责履行相关的信息保密工作程</w:t>
      </w:r>
    </w:p>
    <w:p>
      <w:pPr>
        <w:pStyle w:val="BodyText"/>
        <w:spacing w:line="357" w:lineRule="auto" w:before="34"/>
        <w:ind w:right="233"/>
        <w:jc w:val="both"/>
      </w:pPr>
      <w:r>
        <w:rPr/>
        <w:t>序。在进行调研前，公司先对调研人员的个人信息进行备案，同时要求其签署投资</w:t>
      </w:r>
      <w:r>
        <w:rPr>
          <w:spacing w:val="-87"/>
        </w:rPr>
        <w:t> </w:t>
      </w:r>
      <w:r>
        <w:rPr>
          <w:spacing w:val="-87"/>
        </w:rPr>
      </w:r>
      <w:r>
        <w:rPr/>
        <w:t>者来访调研承诺书，其中要求承诺在调研公司后形成的投资价值分析报告、新闻稿</w:t>
      </w:r>
      <w:r>
        <w:rPr>
          <w:spacing w:val="-87"/>
        </w:rPr>
        <w:t> </w:t>
      </w:r>
      <w:r>
        <w:rPr>
          <w:spacing w:val="-87"/>
        </w:rPr>
      </w:r>
      <w:r>
        <w:rPr/>
        <w:t>等文件在对外发布或使用前知会本公司。在调研过程中，公司董事会办公室相关人</w:t>
      </w:r>
      <w:r>
        <w:rPr>
          <w:spacing w:val="-87"/>
        </w:rPr>
        <w:t> </w:t>
      </w:r>
      <w:r>
        <w:rPr>
          <w:spacing w:val="-87"/>
        </w:rPr>
      </w:r>
      <w:r>
        <w:rPr/>
        <w:t>员认真做好会议记录，并按照相关法规规定向深交所报备。</w:t>
      </w:r>
    </w:p>
    <w:p>
      <w:pPr>
        <w:pStyle w:val="BodyText"/>
        <w:spacing w:line="338" w:lineRule="auto" w:before="34"/>
        <w:ind w:left="557" w:right="115" w:firstLine="115"/>
        <w:jc w:val="left"/>
      </w:pPr>
      <w:r>
        <w:rPr>
          <w:rFonts w:ascii="Times New Roman" w:hAnsi="Times New Roman" w:cs="Times New Roman" w:eastAsia="Times New Roman" w:hint="default"/>
        </w:rPr>
        <w:t>3</w:t>
      </w:r>
      <w:r>
        <w:rPr/>
        <w:t>．其他重大事件的信息保密工作</w:t>
      </w:r>
      <w:r>
        <w:rPr>
          <w:w w:val="100"/>
        </w:rPr>
        <w:t> </w:t>
      </w:r>
      <w:r>
        <w:rPr/>
        <w:t>在其他重大事项（如对外投资等）未披露前，公司及相关信息披露义务人采取</w:t>
      </w:r>
    </w:p>
    <w:p>
      <w:pPr>
        <w:pStyle w:val="BodyText"/>
        <w:spacing w:line="240" w:lineRule="auto" w:before="52"/>
        <w:ind w:right="115"/>
        <w:jc w:val="left"/>
      </w:pPr>
      <w:r>
        <w:rPr/>
        <w:t>保密措施，签订相关保密协议，以保证信息处于可控范围。</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40" w:lineRule="auto" w:before="29"/>
        <w:ind w:left="672" w:right="115"/>
        <w:jc w:val="left"/>
      </w:pPr>
      <w:r>
        <w:rPr/>
        <w:t>（三）报告期内自查内幕信息知情人涉嫌内幕交易以及监管部门的查处和整改</w:t>
      </w:r>
    </w:p>
    <w:p>
      <w:pPr>
        <w:pStyle w:val="BodyText"/>
        <w:spacing w:line="240" w:lineRule="auto" w:before="146"/>
        <w:ind w:right="115"/>
        <w:jc w:val="left"/>
      </w:pPr>
      <w:r>
        <w:rPr/>
        <w:t>情况</w:t>
      </w:r>
    </w:p>
    <w:p>
      <w:pPr>
        <w:spacing w:line="240" w:lineRule="auto" w:before="13"/>
        <w:rPr>
          <w:rFonts w:ascii="宋体" w:hAnsi="宋体" w:cs="宋体" w:eastAsia="宋体" w:hint="default"/>
          <w:sz w:val="8"/>
          <w:szCs w:val="8"/>
        </w:rPr>
      </w:pPr>
    </w:p>
    <w:p>
      <w:pPr>
        <w:pStyle w:val="BodyText"/>
        <w:spacing w:line="357" w:lineRule="auto" w:before="29"/>
        <w:ind w:right="232" w:firstLine="420"/>
        <w:jc w:val="both"/>
      </w:pPr>
      <w:r>
        <w:rPr/>
        <w:t>报告期内，公司董事、监事及高级管理人员和其他相关知情人严格遵守了内幕</w:t>
      </w:r>
      <w:r>
        <w:rPr>
          <w:w w:val="100"/>
        </w:rPr>
        <w:t> </w:t>
      </w:r>
      <w:r>
        <w:rPr/>
        <w:t>信息知情人管理制度，未发现有内幕信息知情人利用内幕信息买卖本公司股份的情</w:t>
      </w:r>
      <w:r>
        <w:rPr>
          <w:spacing w:val="-87"/>
        </w:rPr>
        <w:t> </w:t>
      </w:r>
      <w:r>
        <w:rPr>
          <w:spacing w:val="-87"/>
        </w:rPr>
      </w:r>
      <w:r>
        <w:rPr/>
        <w:t>况。报告期内公司也未发生受到监管部门查处和整改的情形。</w:t>
      </w:r>
    </w:p>
    <w:p>
      <w:pPr>
        <w:pStyle w:val="BodyText"/>
        <w:spacing w:line="357" w:lineRule="auto" w:before="34"/>
        <w:ind w:right="232" w:firstLine="420"/>
        <w:jc w:val="both"/>
      </w:pPr>
      <w:r>
        <w:rPr/>
        <w:t>公司将继续遵守有关信息披露的法律规定并严格执行本公司《信息披露管理制</w:t>
      </w:r>
      <w:r>
        <w:rPr>
          <w:w w:val="100"/>
        </w:rPr>
        <w:t> </w:t>
      </w:r>
      <w:r>
        <w:rPr>
          <w:spacing w:val="-7"/>
          <w:w w:val="100"/>
        </w:rPr>
        <w:t>度》，组织有关信息披露规定的专题培训和深化学习，不断提高公司信息披露的质量</w:t>
      </w:r>
      <w:r>
        <w:rPr>
          <w:spacing w:val="-81"/>
          <w:w w:val="100"/>
        </w:rPr>
        <w:t> </w:t>
      </w:r>
      <w:r>
        <w:rPr>
          <w:spacing w:val="-81"/>
          <w:w w:val="100"/>
        </w:rPr>
      </w:r>
      <w:r>
        <w:rPr/>
        <w:t>和水平。</w:t>
      </w:r>
    </w:p>
    <w:p>
      <w:pPr>
        <w:spacing w:after="0" w:line="357" w:lineRule="auto"/>
        <w:jc w:val="both"/>
        <w:sectPr>
          <w:pgSz w:w="11910" w:h="16840"/>
          <w:pgMar w:header="877" w:footer="982" w:top="1100" w:bottom="1180" w:left="16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1"/>
        <w:spacing w:line="240" w:lineRule="auto"/>
        <w:ind w:left="3076" w:right="3172"/>
        <w:jc w:val="center"/>
      </w:pPr>
      <w:bookmarkStart w:name="_TOC_250006" w:id="4"/>
      <w:r>
        <w:rPr/>
        <w:t>第四节</w:t>
      </w:r>
      <w:r>
        <w:rPr>
          <w:spacing w:val="-4"/>
        </w:rPr>
        <w:t> </w:t>
      </w:r>
      <w:bookmarkEnd w:id="4"/>
      <w:r>
        <w:rPr/>
        <w:t>重要事项</w:t>
      </w:r>
    </w:p>
    <w:p>
      <w:pPr>
        <w:spacing w:line="240" w:lineRule="auto" w:before="0"/>
        <w:rPr>
          <w:rFonts w:ascii="黑体" w:hAnsi="黑体" w:cs="黑体" w:eastAsia="黑体" w:hint="default"/>
          <w:sz w:val="32"/>
          <w:szCs w:val="32"/>
        </w:rPr>
      </w:pPr>
    </w:p>
    <w:p>
      <w:pPr>
        <w:pStyle w:val="BodyText"/>
        <w:spacing w:line="451" w:lineRule="auto" w:before="248"/>
        <w:ind w:right="4313"/>
        <w:jc w:val="left"/>
      </w:pPr>
      <w:r>
        <w:rPr/>
        <w:t>一、</w:t>
      </w:r>
      <w:r>
        <w:rPr>
          <w:spacing w:val="-41"/>
        </w:rPr>
        <w:t> </w:t>
      </w:r>
      <w:r>
        <w:rPr/>
        <w:t>本年度公司无重大诉讼、仲裁事项。</w:t>
      </w:r>
      <w:r>
        <w:rPr>
          <w:w w:val="100"/>
        </w:rPr>
        <w:t> </w:t>
      </w:r>
      <w:r>
        <w:rPr/>
        <w:t>二、</w:t>
      </w:r>
      <w:r>
        <w:rPr>
          <w:spacing w:val="-38"/>
        </w:rPr>
        <w:t> </w:t>
      </w:r>
      <w:r>
        <w:rPr/>
        <w:t>本年度公司无破产相关事项。</w:t>
      </w:r>
    </w:p>
    <w:p>
      <w:pPr>
        <w:pStyle w:val="BodyText"/>
        <w:spacing w:line="453" w:lineRule="auto" w:before="64"/>
        <w:ind w:right="3164"/>
        <w:jc w:val="left"/>
      </w:pPr>
      <w:r>
        <w:rPr/>
        <w:t>三、</w:t>
      </w:r>
      <w:r>
        <w:rPr>
          <w:spacing w:val="-42"/>
        </w:rPr>
        <w:t> </w:t>
      </w:r>
      <w:r>
        <w:rPr/>
        <w:t>本年度公司无收购及出售资产、企业合并事项。</w:t>
      </w:r>
      <w:r>
        <w:rPr>
          <w:w w:val="100"/>
        </w:rPr>
        <w:t> </w:t>
      </w:r>
      <w:r>
        <w:rPr/>
        <w:t>四、</w:t>
      </w:r>
      <w:r>
        <w:rPr>
          <w:spacing w:val="-38"/>
        </w:rPr>
        <w:t> </w:t>
      </w:r>
      <w:r>
        <w:rPr/>
        <w:t>本年度公司未有股权激励事项。</w:t>
      </w:r>
    </w:p>
    <w:p>
      <w:pPr>
        <w:pStyle w:val="BodyText"/>
        <w:spacing w:line="453" w:lineRule="auto" w:before="62"/>
        <w:ind w:right="4082"/>
        <w:jc w:val="left"/>
      </w:pPr>
      <w:r>
        <w:rPr/>
        <w:t>五、</w:t>
      </w:r>
      <w:r>
        <w:rPr>
          <w:spacing w:val="-40"/>
        </w:rPr>
        <w:t> </w:t>
      </w:r>
      <w:r>
        <w:rPr/>
        <w:t>本年度公司未发生重大关联交易事项。</w:t>
      </w:r>
      <w:r>
        <w:rPr>
          <w:w w:val="100"/>
        </w:rPr>
        <w:t> </w:t>
      </w:r>
      <w:r>
        <w:rPr/>
        <w:t>六、</w:t>
      </w:r>
      <w:r>
        <w:rPr>
          <w:spacing w:val="-38"/>
        </w:rPr>
        <w:t> </w:t>
      </w:r>
      <w:r>
        <w:rPr/>
        <w:t>公司重大合同及其履行情况：</w:t>
      </w:r>
    </w:p>
    <w:p>
      <w:pPr>
        <w:pStyle w:val="BodyText"/>
        <w:spacing w:line="357" w:lineRule="auto" w:before="62"/>
        <w:ind w:right="115" w:firstLine="360"/>
        <w:jc w:val="left"/>
      </w:pPr>
      <w:r>
        <w:rPr/>
        <w:t>（一）</w:t>
      </w:r>
      <w:r>
        <w:rPr>
          <w:spacing w:val="-61"/>
        </w:rPr>
        <w:t> </w:t>
      </w:r>
      <w:r>
        <w:rPr>
          <w:spacing w:val="-2"/>
        </w:rPr>
        <w:t>报告期内，公司未发生也未有以前期间发生但延续到报告期的重大交易、</w:t>
      </w:r>
      <w:r>
        <w:rPr>
          <w:w w:val="100"/>
        </w:rPr>
        <w:t> </w:t>
      </w:r>
      <w:r>
        <w:rPr/>
        <w:t>托管、承包、租赁其他公司资产或其他公司托管、承包、租赁公司资产，且为公司</w:t>
      </w:r>
      <w:r>
        <w:rPr>
          <w:spacing w:val="-87"/>
        </w:rPr>
        <w:t> </w:t>
      </w:r>
      <w:r>
        <w:rPr>
          <w:spacing w:val="-87"/>
        </w:rPr>
      </w:r>
      <w:r>
        <w:rPr/>
        <w:t>带来的利润达到公司当年利润总额的</w:t>
      </w:r>
      <w:r>
        <w:rPr>
          <w:spacing w:val="-63"/>
        </w:rPr>
        <w:t> </w:t>
      </w:r>
      <w:r>
        <w:rPr>
          <w:rFonts w:ascii="Times New Roman" w:hAnsi="Times New Roman" w:cs="Times New Roman" w:eastAsia="Times New Roman" w:hint="default"/>
        </w:rPr>
        <w:t>10%</w:t>
      </w:r>
      <w:r>
        <w:rPr/>
        <w:t>以上（含</w:t>
      </w:r>
      <w:r>
        <w:rPr>
          <w:spacing w:val="-63"/>
        </w:rPr>
        <w:t> </w:t>
      </w:r>
      <w:r>
        <w:rPr>
          <w:rFonts w:ascii="Times New Roman" w:hAnsi="Times New Roman" w:cs="Times New Roman" w:eastAsia="Times New Roman" w:hint="default"/>
        </w:rPr>
        <w:t>10%</w:t>
      </w:r>
      <w:r>
        <w:rPr/>
        <w:t>）的事项。</w:t>
      </w:r>
    </w:p>
    <w:p>
      <w:pPr>
        <w:pStyle w:val="BodyText"/>
        <w:spacing w:line="240" w:lineRule="auto" w:before="4"/>
        <w:ind w:left="497" w:right="0"/>
        <w:jc w:val="left"/>
      </w:pPr>
      <w:r>
        <w:rPr/>
        <w:t>（二）</w:t>
      </w:r>
      <w:r>
        <w:rPr>
          <w:spacing w:val="-45"/>
        </w:rPr>
        <w:t> </w:t>
      </w:r>
      <w:r>
        <w:rPr>
          <w:spacing w:val="-2"/>
        </w:rPr>
        <w:t>报告期内，公司未发生或以前期间发生但延续到报告期的重大担保事项。</w:t>
      </w:r>
    </w:p>
    <w:p>
      <w:pPr>
        <w:pStyle w:val="BodyText"/>
        <w:spacing w:line="357" w:lineRule="auto" w:before="146"/>
        <w:ind w:right="115" w:firstLine="360"/>
        <w:jc w:val="left"/>
      </w:pPr>
      <w:r>
        <w:rPr/>
        <w:t>（三）</w:t>
      </w:r>
      <w:r>
        <w:rPr>
          <w:spacing w:val="-72"/>
        </w:rPr>
        <w:t> </w:t>
      </w:r>
      <w:r>
        <w:rPr>
          <w:spacing w:val="2"/>
        </w:rPr>
        <w:t>报告期内，公司未发生或以前期间发生但延续到报告期的重大委托他人</w:t>
      </w:r>
      <w:r>
        <w:rPr>
          <w:spacing w:val="3"/>
          <w:w w:val="100"/>
        </w:rPr>
        <w:t> </w:t>
      </w:r>
      <w:r>
        <w:rPr/>
        <w:t>进行现金资产管理的事项。</w:t>
      </w:r>
    </w:p>
    <w:p>
      <w:pPr>
        <w:pStyle w:val="BodyText"/>
        <w:spacing w:line="240" w:lineRule="auto" w:before="34"/>
        <w:ind w:left="497" w:right="115"/>
        <w:jc w:val="left"/>
      </w:pPr>
      <w:r>
        <w:rPr/>
        <w:t>（四）</w:t>
      </w:r>
      <w:r>
        <w:rPr>
          <w:spacing w:val="-87"/>
        </w:rPr>
        <w:t> </w:t>
      </w:r>
      <w:r>
        <w:rPr/>
        <w:t>其他重大合同：</w:t>
      </w:r>
    </w:p>
    <w:p>
      <w:pPr>
        <w:pStyle w:val="BodyText"/>
        <w:spacing w:line="240" w:lineRule="auto" w:before="146"/>
        <w:ind w:left="597" w:right="115"/>
        <w:jc w:val="left"/>
      </w:pPr>
      <w:r>
        <w:rPr>
          <w:rFonts w:ascii="Times New Roman" w:hAnsi="Times New Roman" w:cs="Times New Roman" w:eastAsia="Times New Roman" w:hint="default"/>
          <w:spacing w:val="2"/>
        </w:rPr>
        <w:t>1</w:t>
      </w:r>
      <w:r>
        <w:rPr>
          <w:spacing w:val="2"/>
        </w:rPr>
        <w:t>．中国银行</w:t>
      </w:r>
      <w:r>
        <w:rPr>
          <w:spacing w:val="-6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年度集中核准配套设备采购合同的执行情况</w:t>
      </w:r>
    </w:p>
    <w:p>
      <w:pPr>
        <w:pStyle w:val="BodyText"/>
        <w:spacing w:line="240" w:lineRule="auto" w:before="128"/>
        <w:ind w:left="557" w:right="0"/>
        <w:jc w:val="left"/>
      </w:pPr>
      <w:r>
        <w:rPr>
          <w:rFonts w:ascii="Times New Roman" w:hAnsi="Times New Roman" w:cs="Times New Roman" w:eastAsia="Times New Roman" w:hint="default"/>
        </w:rPr>
        <w:t>2011 </w:t>
      </w:r>
      <w:r>
        <w:rPr>
          <w:rFonts w:ascii="Times New Roman" w:hAnsi="Times New Roman" w:cs="Times New Roman" w:eastAsia="Times New Roman" w:hint="default"/>
          <w:spacing w:val="8"/>
        </w:rPr>
        <w:t> </w:t>
      </w:r>
      <w:r>
        <w:rPr/>
        <w:t>年</w:t>
      </w:r>
      <w:r>
        <w:rPr>
          <w:spacing w:val="-54"/>
        </w:rPr>
        <w:t> </w:t>
      </w:r>
      <w:r>
        <w:rPr>
          <w:rFonts w:ascii="Times New Roman" w:hAnsi="Times New Roman" w:cs="Times New Roman" w:eastAsia="Times New Roman" w:hint="default"/>
        </w:rPr>
        <w:t>5 </w:t>
      </w:r>
      <w:r>
        <w:rPr>
          <w:rFonts w:ascii="Times New Roman" w:hAnsi="Times New Roman" w:cs="Times New Roman" w:eastAsia="Times New Roman" w:hint="default"/>
          <w:spacing w:val="5"/>
        </w:rPr>
        <w:t> </w:t>
      </w:r>
      <w:r>
        <w:rPr/>
        <w:t>月</w:t>
      </w:r>
      <w:r>
        <w:rPr>
          <w:spacing w:val="-54"/>
        </w:rPr>
        <w:t> </w:t>
      </w:r>
      <w:r>
        <w:rPr>
          <w:rFonts w:ascii="Times New Roman" w:hAnsi="Times New Roman" w:cs="Times New Roman" w:eastAsia="Times New Roman" w:hint="default"/>
        </w:rPr>
        <w:t>3 </w:t>
      </w:r>
      <w:r>
        <w:rPr>
          <w:rFonts w:ascii="Times New Roman" w:hAnsi="Times New Roman" w:cs="Times New Roman" w:eastAsia="Times New Roman" w:hint="default"/>
          <w:spacing w:val="8"/>
        </w:rPr>
        <w:t> </w:t>
      </w:r>
      <w:r>
        <w:rPr>
          <w:spacing w:val="-3"/>
        </w:rPr>
        <w:t>日，公司中标中国银行股份有限公司（以下简称“中国银行”）</w:t>
      </w:r>
    </w:p>
    <w:p>
      <w:pPr>
        <w:pStyle w:val="BodyText"/>
        <w:spacing w:line="240" w:lineRule="auto" w:before="129"/>
        <w:ind w:right="115"/>
        <w:jc w:val="left"/>
      </w:pPr>
      <w:r>
        <w:rPr>
          <w:rFonts w:ascii="Times New Roman" w:hAnsi="Times New Roman" w:cs="Times New Roman" w:eastAsia="Times New Roman" w:hint="default"/>
        </w:rPr>
        <w:t>2011 </w:t>
      </w:r>
      <w:r>
        <w:rPr>
          <w:rFonts w:ascii="Times New Roman" w:hAnsi="Times New Roman" w:cs="Times New Roman" w:eastAsia="Times New Roman" w:hint="default"/>
          <w:spacing w:val="6"/>
        </w:rPr>
        <w:t> </w:t>
      </w:r>
      <w:r>
        <w:rPr>
          <w:spacing w:val="-6"/>
        </w:rPr>
        <w:t>年度集中核准配套设备采购项目。公司已于</w:t>
      </w:r>
      <w:r>
        <w:rPr>
          <w:spacing w:val="-55"/>
        </w:rPr>
        <w:t> </w:t>
      </w:r>
      <w:r>
        <w:rPr>
          <w:rFonts w:ascii="Times New Roman" w:hAnsi="Times New Roman" w:cs="Times New Roman" w:eastAsia="Times New Roman" w:hint="default"/>
        </w:rPr>
        <w:t>2011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30 </w:t>
      </w:r>
      <w:r>
        <w:rPr/>
        <w:t>日与中国银行签订</w:t>
      </w:r>
    </w:p>
    <w:p>
      <w:pPr>
        <w:pStyle w:val="BodyText"/>
        <w:spacing w:line="240" w:lineRule="auto" w:before="129"/>
        <w:ind w:right="115"/>
        <w:jc w:val="left"/>
      </w:pPr>
      <w:r>
        <w:rPr/>
        <w:t>了《中国银行股份有限公司 </w:t>
      </w:r>
      <w:r>
        <w:rPr>
          <w:rFonts w:ascii="Times New Roman" w:hAnsi="Times New Roman" w:cs="Times New Roman" w:eastAsia="Times New Roman" w:hint="default"/>
        </w:rPr>
        <w:t>2011 </w:t>
      </w:r>
      <w:r>
        <w:rPr>
          <w:rFonts w:ascii="Times New Roman" w:hAnsi="Times New Roman" w:cs="Times New Roman" w:eastAsia="Times New Roman" w:hint="default"/>
          <w:spacing w:val="26"/>
        </w:rPr>
        <w:t> </w:t>
      </w:r>
      <w:r>
        <w:rPr/>
        <w:t>年度集中核准配套设备项目采购合同》，合同总</w:t>
      </w:r>
    </w:p>
    <w:p>
      <w:pPr>
        <w:pStyle w:val="BodyText"/>
        <w:spacing w:line="240" w:lineRule="auto" w:before="129"/>
        <w:ind w:right="115"/>
        <w:jc w:val="left"/>
      </w:pPr>
      <w:r>
        <w:rPr/>
        <w:t>价款为</w:t>
      </w:r>
      <w:r>
        <w:rPr>
          <w:spacing w:val="-65"/>
        </w:rPr>
        <w:t> </w:t>
      </w:r>
      <w:r>
        <w:rPr>
          <w:rFonts w:ascii="Times New Roman" w:hAnsi="Times New Roman" w:cs="Times New Roman" w:eastAsia="Times New Roman" w:hint="default"/>
        </w:rPr>
        <w:t>960.00</w:t>
      </w:r>
      <w:r>
        <w:rPr>
          <w:rFonts w:ascii="Times New Roman" w:hAnsi="Times New Roman" w:cs="Times New Roman" w:eastAsia="Times New Roman" w:hint="default"/>
          <w:spacing w:val="-7"/>
        </w:rPr>
        <w:t> </w:t>
      </w:r>
      <w:r>
        <w:rPr/>
        <w:t>万元，经过工程实施，该合同已于</w:t>
      </w:r>
      <w:r>
        <w:rPr>
          <w:spacing w:val="-6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月执行完成，实现营业</w:t>
      </w:r>
    </w:p>
    <w:p>
      <w:pPr>
        <w:pStyle w:val="BodyText"/>
        <w:spacing w:line="240" w:lineRule="auto" w:before="129"/>
        <w:ind w:right="115"/>
        <w:jc w:val="left"/>
      </w:pPr>
      <w:r>
        <w:rPr/>
        <w:t>收入</w:t>
      </w:r>
      <w:r>
        <w:rPr>
          <w:spacing w:val="-58"/>
        </w:rPr>
        <w:t> </w:t>
      </w:r>
      <w:r>
        <w:rPr>
          <w:rFonts w:ascii="Times New Roman" w:hAnsi="Times New Roman" w:cs="Times New Roman" w:eastAsia="Times New Roman" w:hint="default"/>
        </w:rPr>
        <w:t>820.51</w:t>
      </w:r>
      <w:r>
        <w:rPr>
          <w:rFonts w:ascii="Times New Roman" w:hAnsi="Times New Roman" w:cs="Times New Roman" w:eastAsia="Times New Roman" w:hint="default"/>
          <w:spacing w:val="-2"/>
        </w:rPr>
        <w:t> </w:t>
      </w:r>
      <w:r>
        <w:rPr/>
        <w:t>万元。</w:t>
      </w:r>
    </w:p>
    <w:p>
      <w:pPr>
        <w:pStyle w:val="BodyText"/>
        <w:spacing w:line="240" w:lineRule="auto" w:before="129"/>
        <w:ind w:left="597" w:right="115"/>
        <w:jc w:val="left"/>
      </w:pPr>
      <w:r>
        <w:rPr>
          <w:rFonts w:ascii="Times New Roman" w:hAnsi="Times New Roman" w:cs="Times New Roman" w:eastAsia="Times New Roman" w:hint="default"/>
        </w:rPr>
        <w:t>2</w:t>
      </w:r>
      <w:r>
        <w:rPr/>
        <w:t>．房产租赁合同</w:t>
      </w:r>
    </w:p>
    <w:p>
      <w:pPr>
        <w:pStyle w:val="BodyText"/>
        <w:spacing w:line="336" w:lineRule="auto" w:before="129"/>
        <w:ind w:right="232" w:firstLine="48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spacing w:val="-3"/>
        </w:rPr>
        <w:t>月，公司与廖珮怡、廖珮雯签订了《房屋租赁合同》，约定将</w:t>
      </w:r>
      <w:r>
        <w:rPr>
          <w:w w:val="100"/>
        </w:rPr>
        <w:t> </w:t>
      </w:r>
      <w:r>
        <w:rPr/>
        <w:t>廖珮怡、廖珮雯位于深圳市福田区车公庙天安数码城天祥大厦</w:t>
      </w:r>
      <w:r>
        <w:rPr>
          <w:spacing w:val="-56"/>
        </w:rPr>
        <w:t> </w:t>
      </w:r>
      <w:r>
        <w:rPr>
          <w:rFonts w:ascii="Times New Roman" w:hAnsi="Times New Roman" w:cs="Times New Roman" w:eastAsia="Times New Roman" w:hint="default"/>
        </w:rPr>
        <w:t>AB</w:t>
      </w:r>
      <w:r>
        <w:rPr>
          <w:rFonts w:ascii="Times New Roman" w:hAnsi="Times New Roman" w:cs="Times New Roman" w:eastAsia="Times New Roman" w:hint="default"/>
          <w:spacing w:val="1"/>
        </w:rPr>
        <w:t> </w:t>
      </w:r>
      <w:r>
        <w:rPr/>
        <w:t>座</w:t>
      </w:r>
      <w:r>
        <w:rPr>
          <w:spacing w:val="-57"/>
        </w:rPr>
        <w:t> </w:t>
      </w:r>
      <w:r>
        <w:rPr>
          <w:rFonts w:ascii="Times New Roman" w:hAnsi="Times New Roman" w:cs="Times New Roman" w:eastAsia="Times New Roman" w:hint="default"/>
        </w:rPr>
        <w:t>5B2</w:t>
      </w:r>
      <w:r>
        <w:rPr>
          <w:rFonts w:ascii="Times New Roman" w:hAnsi="Times New Roman" w:cs="Times New Roman" w:eastAsia="Times New Roman" w:hint="default"/>
          <w:spacing w:val="1"/>
        </w:rPr>
        <w:t> </w:t>
      </w:r>
      <w:r>
        <w:rPr/>
        <w:t>的房产出</w:t>
      </w:r>
      <w:r>
        <w:rPr>
          <w:w w:val="100"/>
        </w:rPr>
        <w:t> </w:t>
      </w:r>
      <w:r>
        <w:rPr/>
        <w:t>租给公司办公，租赁面积为</w:t>
      </w:r>
      <w:r>
        <w:rPr>
          <w:spacing w:val="-64"/>
        </w:rPr>
        <w:t> </w:t>
      </w:r>
      <w:r>
        <w:rPr>
          <w:rFonts w:ascii="Times New Roman" w:hAnsi="Times New Roman" w:cs="Times New Roman" w:eastAsia="Times New Roman" w:hint="default"/>
        </w:rPr>
        <w:t>588.82</w:t>
      </w:r>
      <w:r>
        <w:rPr>
          <w:rFonts w:ascii="Times New Roman" w:hAnsi="Times New Roman" w:cs="Times New Roman" w:eastAsia="Times New Roman" w:hint="default"/>
          <w:spacing w:val="-8"/>
        </w:rPr>
        <w:t> </w:t>
      </w:r>
      <w:r>
        <w:rPr/>
        <w:t>平方米，月租金</w:t>
      </w:r>
      <w:r>
        <w:rPr>
          <w:spacing w:val="-64"/>
        </w:rPr>
        <w:t> </w:t>
      </w:r>
      <w:r>
        <w:rPr>
          <w:rFonts w:ascii="Times New Roman" w:hAnsi="Times New Roman" w:cs="Times New Roman" w:eastAsia="Times New Roman" w:hint="default"/>
        </w:rPr>
        <w:t>42,984.00</w:t>
      </w:r>
      <w:r>
        <w:rPr>
          <w:rFonts w:ascii="Times New Roman" w:hAnsi="Times New Roman" w:cs="Times New Roman" w:eastAsia="Times New Roman" w:hint="default"/>
          <w:spacing w:val="-6"/>
        </w:rPr>
        <w:t> </w:t>
      </w:r>
      <w:r>
        <w:rPr/>
        <w:t>元，租赁期自</w:t>
      </w:r>
      <w:r>
        <w:rPr>
          <w:spacing w:val="-6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w:t>
      </w:r>
    </w:p>
    <w:p>
      <w:pPr>
        <w:pStyle w:val="BodyText"/>
        <w:spacing w:line="240" w:lineRule="auto" w:before="27"/>
        <w:ind w:right="115"/>
        <w:jc w:val="left"/>
      </w:pPr>
      <w:r>
        <w:rPr>
          <w:rFonts w:ascii="Times New Roman" w:hAnsi="Times New Roman" w:cs="Times New Roman" w:eastAsia="Times New Roman" w:hint="default"/>
        </w:rPr>
        <w:t>12 </w:t>
      </w:r>
      <w:r>
        <w:rPr/>
        <w:t>月</w:t>
      </w:r>
      <w:r>
        <w:rPr>
          <w:spacing w:val="-58"/>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日起至</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 </w:t>
      </w:r>
      <w:r>
        <w:rPr/>
        <w:t>月</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日止。</w:t>
      </w:r>
    </w:p>
    <w:p>
      <w:pPr>
        <w:pStyle w:val="BodyText"/>
        <w:spacing w:line="338" w:lineRule="auto" w:before="129"/>
        <w:ind w:right="232" w:firstLine="48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12"/>
        </w:rPr>
        <w:t> </w:t>
      </w:r>
      <w:r>
        <w:rPr/>
        <w:t>月</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t>日，公司与廖珮怡、廖珮雯签订了《房屋租赁合同》，约定将</w:t>
      </w:r>
      <w:r>
        <w:rPr>
          <w:w w:val="100"/>
        </w:rPr>
        <w:t> </w:t>
      </w:r>
      <w:r>
        <w:rPr/>
        <w:t>廖珮怡、廖珮雯位于深圳市福田区车公庙天安数码城天祥大厦</w:t>
      </w:r>
      <w:r>
        <w:rPr>
          <w:spacing w:val="-56"/>
        </w:rPr>
        <w:t> </w:t>
      </w:r>
      <w:r>
        <w:rPr>
          <w:rFonts w:ascii="Times New Roman" w:hAnsi="Times New Roman" w:cs="Times New Roman" w:eastAsia="Times New Roman" w:hint="default"/>
        </w:rPr>
        <w:t>AB</w:t>
      </w:r>
      <w:r>
        <w:rPr>
          <w:rFonts w:ascii="Times New Roman" w:hAnsi="Times New Roman" w:cs="Times New Roman" w:eastAsia="Times New Roman" w:hint="default"/>
          <w:spacing w:val="1"/>
        </w:rPr>
        <w:t> </w:t>
      </w:r>
      <w:r>
        <w:rPr/>
        <w:t>座</w:t>
      </w:r>
      <w:r>
        <w:rPr>
          <w:spacing w:val="-57"/>
        </w:rPr>
        <w:t> </w:t>
      </w:r>
      <w:r>
        <w:rPr>
          <w:rFonts w:ascii="Times New Roman" w:hAnsi="Times New Roman" w:cs="Times New Roman" w:eastAsia="Times New Roman" w:hint="default"/>
        </w:rPr>
        <w:t>5B2</w:t>
      </w:r>
      <w:r>
        <w:rPr>
          <w:rFonts w:ascii="Times New Roman" w:hAnsi="Times New Roman" w:cs="Times New Roman" w:eastAsia="Times New Roman" w:hint="default"/>
          <w:spacing w:val="1"/>
        </w:rPr>
        <w:t> </w:t>
      </w:r>
      <w:r>
        <w:rPr/>
        <w:t>的房产出</w:t>
      </w:r>
    </w:p>
    <w:p>
      <w:pPr>
        <w:spacing w:after="0" w:line="338" w:lineRule="auto"/>
        <w:jc w:val="both"/>
        <w:sectPr>
          <w:pgSz w:w="11910" w:h="16840"/>
          <w:pgMar w:header="877" w:footer="982" w:top="1100" w:bottom="1180" w:left="1660" w:right="1560"/>
        </w:sectPr>
      </w:pPr>
    </w:p>
    <w:p>
      <w:pPr>
        <w:spacing w:line="240" w:lineRule="auto" w:before="4"/>
        <w:rPr>
          <w:rFonts w:ascii="宋体" w:hAnsi="宋体" w:cs="宋体" w:eastAsia="宋体" w:hint="default"/>
          <w:sz w:val="19"/>
          <w:szCs w:val="19"/>
        </w:rPr>
      </w:pPr>
    </w:p>
    <w:p>
      <w:pPr>
        <w:pStyle w:val="BodyText"/>
        <w:spacing w:line="240" w:lineRule="auto" w:before="29"/>
        <w:ind w:right="0"/>
        <w:jc w:val="both"/>
      </w:pPr>
      <w:r>
        <w:rPr/>
        <w:t>租给公司办公，租赁面积为</w:t>
      </w:r>
      <w:r>
        <w:rPr>
          <w:spacing w:val="-64"/>
        </w:rPr>
        <w:t> </w:t>
      </w:r>
      <w:r>
        <w:rPr>
          <w:rFonts w:ascii="Times New Roman" w:hAnsi="Times New Roman" w:cs="Times New Roman" w:eastAsia="Times New Roman" w:hint="default"/>
        </w:rPr>
        <w:t>588.82</w:t>
      </w:r>
      <w:r>
        <w:rPr>
          <w:rFonts w:ascii="Times New Roman" w:hAnsi="Times New Roman" w:cs="Times New Roman" w:eastAsia="Times New Roman" w:hint="default"/>
          <w:spacing w:val="-8"/>
        </w:rPr>
        <w:t> </w:t>
      </w:r>
      <w:r>
        <w:rPr/>
        <w:t>平方米，月租金</w:t>
      </w:r>
      <w:r>
        <w:rPr>
          <w:spacing w:val="-64"/>
        </w:rPr>
        <w:t> </w:t>
      </w:r>
      <w:r>
        <w:rPr>
          <w:rFonts w:ascii="Times New Roman" w:hAnsi="Times New Roman" w:cs="Times New Roman" w:eastAsia="Times New Roman" w:hint="default"/>
        </w:rPr>
        <w:t>76,546.00</w:t>
      </w:r>
      <w:r>
        <w:rPr>
          <w:rFonts w:ascii="Times New Roman" w:hAnsi="Times New Roman" w:cs="Times New Roman" w:eastAsia="Times New Roman" w:hint="default"/>
          <w:spacing w:val="-6"/>
        </w:rPr>
        <w:t> </w:t>
      </w:r>
      <w:r>
        <w:rPr/>
        <w:t>元，租赁期自</w:t>
      </w:r>
      <w:r>
        <w:rPr>
          <w:spacing w:val="-6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p>
    <w:p>
      <w:pPr>
        <w:pStyle w:val="BodyText"/>
        <w:spacing w:line="338" w:lineRule="auto" w:before="129"/>
        <w:ind w:right="232" w:hanging="1"/>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2"/>
        </w:rPr>
        <w:t> </w:t>
      </w:r>
      <w:r>
        <w:rPr>
          <w:rFonts w:ascii="Times New Roman" w:hAnsi="Times New Roman" w:cs="Times New Roman" w:eastAsia="Times New Roman" w:hint="default"/>
        </w:rPr>
        <w:t>11</w:t>
      </w:r>
      <w:r>
        <w:rPr>
          <w:rFonts w:ascii="Times New Roman" w:hAnsi="Times New Roman" w:cs="Times New Roman" w:eastAsia="Times New Roman" w:hint="default"/>
          <w:spacing w:val="-6"/>
        </w:rPr>
        <w:t> </w:t>
      </w:r>
      <w:r>
        <w:rPr/>
        <w:t>日起至</w:t>
      </w:r>
      <w:r>
        <w:rPr>
          <w:spacing w:val="-62"/>
        </w:rPr>
        <w:t> </w:t>
      </w: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日止。该房屋租赁合同已经深圳市福田区房屋租赁</w:t>
      </w:r>
      <w:r>
        <w:rPr>
          <w:w w:val="100"/>
        </w:rPr>
        <w:t> </w:t>
      </w:r>
      <w:r>
        <w:rPr/>
        <w:t>管理局备案，合同登记备案号为</w:t>
      </w:r>
      <w:r>
        <w:rPr>
          <w:rFonts w:ascii="Times New Roman" w:hAnsi="Times New Roman" w:cs="Times New Roman" w:eastAsia="Times New Roman" w:hint="default"/>
        </w:rPr>
        <w:t>“</w:t>
      </w:r>
      <w:r>
        <w:rPr/>
        <w:t>福</w:t>
      </w:r>
      <w:r>
        <w:rPr>
          <w:spacing w:val="-66"/>
        </w:rPr>
        <w:t> </w:t>
      </w:r>
      <w:r>
        <w:rPr>
          <w:rFonts w:ascii="Times New Roman" w:hAnsi="Times New Roman" w:cs="Times New Roman" w:eastAsia="Times New Roman" w:hint="default"/>
        </w:rPr>
        <w:t>EK046075”</w:t>
      </w:r>
      <w:r>
        <w:rPr/>
        <w:t>。</w:t>
      </w:r>
    </w:p>
    <w:p>
      <w:pPr>
        <w:pStyle w:val="BodyText"/>
        <w:spacing w:line="240" w:lineRule="auto" w:before="24"/>
        <w:ind w:left="617" w:right="115"/>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月，公司与咏传电子科技（上海）有限公司深圳分公司签署深</w:t>
      </w:r>
    </w:p>
    <w:p>
      <w:pPr>
        <w:pStyle w:val="BodyText"/>
        <w:spacing w:line="338" w:lineRule="auto" w:before="128"/>
        <w:ind w:right="232"/>
        <w:jc w:val="both"/>
      </w:pPr>
      <w:r>
        <w:rPr/>
        <w:t>（福）</w:t>
      </w:r>
      <w:r>
        <w:rPr>
          <w:rFonts w:ascii="Times New Roman" w:hAnsi="Times New Roman" w:cs="Times New Roman" w:eastAsia="Times New Roman" w:hint="default"/>
        </w:rPr>
        <w:t>0205343</w:t>
      </w:r>
      <w:r>
        <w:rPr>
          <w:rFonts w:ascii="Times New Roman" w:hAnsi="Times New Roman" w:cs="Times New Roman" w:eastAsia="Times New Roman" w:hint="default"/>
          <w:spacing w:val="24"/>
        </w:rPr>
        <w:t> </w:t>
      </w:r>
      <w:r>
        <w:rPr/>
        <w:t>号《深圳市房地产租赁合同》，约定将公司位于深圳市福田区深南</w:t>
      </w:r>
      <w:r>
        <w:rPr>
          <w:spacing w:val="-113"/>
        </w:rPr>
        <w:t> </w:t>
      </w:r>
      <w:r>
        <w:rPr>
          <w:spacing w:val="-113"/>
        </w:rPr>
      </w:r>
      <w:r>
        <w:rPr/>
        <w:t>中路的金运世纪大厦</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层</w:t>
      </w:r>
      <w:r>
        <w:rPr>
          <w:spacing w:val="-49"/>
        </w:rPr>
        <w:t> </w:t>
      </w:r>
      <w:r>
        <w:rPr>
          <w:rFonts w:ascii="Times New Roman" w:hAnsi="Times New Roman" w:cs="Times New Roman" w:eastAsia="Times New Roman" w:hint="default"/>
        </w:rPr>
        <w:t>A—L</w:t>
      </w:r>
      <w:r>
        <w:rPr>
          <w:rFonts w:ascii="Times New Roman" w:hAnsi="Times New Roman" w:cs="Times New Roman" w:eastAsia="Times New Roman" w:hint="default"/>
          <w:spacing w:val="8"/>
        </w:rPr>
        <w:t> </w:t>
      </w:r>
      <w:r>
        <w:rPr/>
        <w:t>号共</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套房产出租给咏传电子科技（上海）有限</w:t>
      </w:r>
      <w:r>
        <w:rPr>
          <w:w w:val="100"/>
        </w:rPr>
        <w:t> </w:t>
      </w:r>
      <w:r>
        <w:rPr/>
        <w:t>公司深圳分公司，租赁面积为</w:t>
      </w:r>
      <w:r>
        <w:rPr>
          <w:spacing w:val="-53"/>
        </w:rPr>
        <w:t> </w:t>
      </w:r>
      <w:r>
        <w:rPr>
          <w:rFonts w:ascii="Times New Roman" w:hAnsi="Times New Roman" w:cs="Times New Roman" w:eastAsia="Times New Roman" w:hint="default"/>
        </w:rPr>
        <w:t>1,722.60</w:t>
      </w:r>
      <w:r>
        <w:rPr>
          <w:rFonts w:ascii="Times New Roman" w:hAnsi="Times New Roman" w:cs="Times New Roman" w:eastAsia="Times New Roman" w:hint="default"/>
          <w:spacing w:val="5"/>
        </w:rPr>
        <w:t> </w:t>
      </w:r>
      <w:r>
        <w:rPr/>
        <w:t>平方米，月租金为</w:t>
      </w:r>
      <w:r>
        <w:rPr>
          <w:spacing w:val="-53"/>
        </w:rPr>
        <w:t> </w:t>
      </w:r>
      <w:r>
        <w:rPr>
          <w:rFonts w:ascii="Times New Roman" w:hAnsi="Times New Roman" w:cs="Times New Roman" w:eastAsia="Times New Roman" w:hint="default"/>
        </w:rPr>
        <w:t>163,647.00</w:t>
      </w:r>
      <w:r>
        <w:rPr>
          <w:rFonts w:ascii="Times New Roman" w:hAnsi="Times New Roman" w:cs="Times New Roman" w:eastAsia="Times New Roman" w:hint="default"/>
          <w:spacing w:val="5"/>
        </w:rPr>
        <w:t> </w:t>
      </w:r>
      <w:r>
        <w:rPr/>
        <w:t>元，租赁期自</w:t>
      </w:r>
    </w:p>
    <w:p>
      <w:pPr>
        <w:pStyle w:val="BodyText"/>
        <w:spacing w:line="338" w:lineRule="auto" w:before="24"/>
        <w:ind w:right="232"/>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5 </w:t>
      </w:r>
      <w:r>
        <w:rPr/>
        <w:t>月</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日起至</w:t>
      </w:r>
      <w:r>
        <w:rPr>
          <w:spacing w:val="-56"/>
        </w:rPr>
        <w:t> </w:t>
      </w:r>
      <w:r>
        <w:rPr>
          <w:rFonts w:ascii="Times New Roman" w:hAnsi="Times New Roman" w:cs="Times New Roman" w:eastAsia="Times New Roman" w:hint="default"/>
        </w:rPr>
        <w:t>2013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3"/>
        </w:rPr>
        <w:t>日止。该房屋租赁合同已经深圳市福田区房</w:t>
      </w:r>
      <w:r>
        <w:rPr>
          <w:w w:val="100"/>
        </w:rPr>
        <w:t> </w:t>
      </w:r>
      <w:r>
        <w:rPr/>
        <w:t>屋租赁管理局备案，合同登记备案号为</w:t>
      </w:r>
      <w:r>
        <w:rPr>
          <w:rFonts w:ascii="Times New Roman" w:hAnsi="Times New Roman" w:cs="Times New Roman" w:eastAsia="Times New Roman" w:hint="default"/>
        </w:rPr>
        <w:t>“</w:t>
      </w:r>
      <w:r>
        <w:rPr/>
        <w:t>深（福）</w:t>
      </w:r>
      <w:r>
        <w:rPr>
          <w:rFonts w:ascii="Times New Roman" w:hAnsi="Times New Roman" w:cs="Times New Roman" w:eastAsia="Times New Roman" w:hint="default"/>
        </w:rPr>
        <w:t>0205343”</w:t>
      </w:r>
      <w:r>
        <w:rPr/>
        <w:t>。</w:t>
      </w:r>
    </w:p>
    <w:p>
      <w:pPr>
        <w:pStyle w:val="BodyText"/>
        <w:spacing w:line="240" w:lineRule="auto" w:before="24"/>
        <w:ind w:left="617" w:right="115"/>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月</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日，公司与深圳科技工业园有限公司签署了《房屋租赁合</w:t>
      </w:r>
    </w:p>
    <w:p>
      <w:pPr>
        <w:pStyle w:val="BodyText"/>
        <w:spacing w:line="240" w:lineRule="auto" w:before="129"/>
        <w:ind w:right="0"/>
        <w:jc w:val="both"/>
      </w:pPr>
      <w:r>
        <w:rPr/>
        <w:t>同》，约定公司向深圳科技工业园有限公司租赁科技园金融服务技术创新基地</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栋</w:t>
      </w:r>
    </w:p>
    <w:p>
      <w:pPr>
        <w:pStyle w:val="BodyText"/>
        <w:spacing w:line="240" w:lineRule="auto" w:before="128"/>
        <w:ind w:right="0"/>
        <w:jc w:val="both"/>
        <w:rPr>
          <w:rFonts w:ascii="Times New Roman" w:hAnsi="Times New Roman" w:cs="Times New Roman" w:eastAsia="Times New Roman" w:hint="default"/>
        </w:rPr>
      </w:pPr>
      <w:r>
        <w:rPr/>
        <w:t>第</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层</w:t>
      </w:r>
      <w:r>
        <w:rPr>
          <w:spacing w:val="-52"/>
        </w:rPr>
        <w:t> </w:t>
      </w:r>
      <w:r>
        <w:rPr>
          <w:rFonts w:ascii="Times New Roman" w:hAnsi="Times New Roman" w:cs="Times New Roman" w:eastAsia="Times New Roman" w:hint="default"/>
        </w:rPr>
        <w:t>F</w:t>
      </w:r>
      <w:r>
        <w:rPr>
          <w:rFonts w:ascii="Times New Roman" w:hAnsi="Times New Roman" w:cs="Times New Roman" w:eastAsia="Times New Roman" w:hint="default"/>
          <w:spacing w:val="6"/>
        </w:rPr>
        <w:t> </w:t>
      </w:r>
      <w:r>
        <w:rPr/>
        <w:t>单元，建筑面积为</w:t>
      </w:r>
      <w:r>
        <w:rPr>
          <w:spacing w:val="-52"/>
        </w:rPr>
        <w:t> </w:t>
      </w:r>
      <w:r>
        <w:rPr>
          <w:rFonts w:ascii="Times New Roman" w:hAnsi="Times New Roman" w:cs="Times New Roman" w:eastAsia="Times New Roman" w:hint="default"/>
        </w:rPr>
        <w:t>1,034.83</w:t>
      </w:r>
      <w:r>
        <w:rPr>
          <w:rFonts w:ascii="Times New Roman" w:hAnsi="Times New Roman" w:cs="Times New Roman" w:eastAsia="Times New Roman" w:hint="default"/>
          <w:spacing w:val="6"/>
        </w:rPr>
        <w:t> </w:t>
      </w:r>
      <w:r>
        <w:rPr/>
        <w:t>平方米，租金为</w:t>
      </w:r>
      <w:r>
        <w:rPr>
          <w:spacing w:val="-52"/>
        </w:rPr>
        <w:t> </w:t>
      </w:r>
      <w:r>
        <w:rPr>
          <w:rFonts w:ascii="Times New Roman" w:hAnsi="Times New Roman" w:cs="Times New Roman" w:eastAsia="Times New Roman" w:hint="default"/>
        </w:rPr>
        <w:t>41,393</w:t>
      </w:r>
      <w:r>
        <w:rPr>
          <w:rFonts w:ascii="Times New Roman" w:hAnsi="Times New Roman" w:cs="Times New Roman" w:eastAsia="Times New Roman" w:hint="default"/>
          <w:spacing w:val="6"/>
        </w:rPr>
        <w:t> </w:t>
      </w:r>
      <w:r>
        <w:rPr/>
        <w:t>元</w:t>
      </w:r>
      <w:r>
        <w:rPr>
          <w:rFonts w:ascii="Times New Roman" w:hAnsi="Times New Roman" w:cs="Times New Roman" w:eastAsia="Times New Roman" w:hint="default"/>
        </w:rPr>
        <w:t>/</w:t>
      </w:r>
      <w:r>
        <w:rPr/>
        <w:t>月，租赁期自</w:t>
      </w:r>
      <w:r>
        <w:rPr>
          <w:spacing w:val="-52"/>
        </w:rPr>
        <w:t> </w:t>
      </w:r>
      <w:r>
        <w:rPr>
          <w:rFonts w:ascii="Times New Roman" w:hAnsi="Times New Roman" w:cs="Times New Roman" w:eastAsia="Times New Roman" w:hint="default"/>
        </w:rPr>
        <w:t>2010</w:t>
      </w:r>
    </w:p>
    <w:p>
      <w:pPr>
        <w:pStyle w:val="BodyText"/>
        <w:spacing w:line="338" w:lineRule="auto" w:before="129"/>
        <w:ind w:right="232"/>
        <w:jc w:val="both"/>
      </w:pP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日起至</w:t>
      </w:r>
      <w:r>
        <w:rPr>
          <w:spacing w:val="-5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日止。该房屋租赁合同已经深圳市南山区房屋租赁</w:t>
      </w:r>
      <w:r>
        <w:rPr>
          <w:w w:val="100"/>
        </w:rPr>
        <w:t> </w:t>
      </w:r>
      <w:r>
        <w:rPr/>
        <w:t>管理办公室备案，合同登记备案号为</w:t>
      </w:r>
      <w:r>
        <w:rPr>
          <w:rFonts w:ascii="Times New Roman" w:hAnsi="Times New Roman" w:cs="Times New Roman" w:eastAsia="Times New Roman" w:hint="default"/>
        </w:rPr>
        <w:t>“</w:t>
      </w:r>
      <w:r>
        <w:rPr/>
        <w:t>南</w:t>
      </w:r>
      <w:r>
        <w:rPr>
          <w:spacing w:val="-72"/>
        </w:rPr>
        <w:t> </w:t>
      </w:r>
      <w:r>
        <w:rPr>
          <w:rFonts w:ascii="Times New Roman" w:hAnsi="Times New Roman" w:cs="Times New Roman" w:eastAsia="Times New Roman" w:hint="default"/>
        </w:rPr>
        <w:t>HB008993</w:t>
      </w:r>
      <w:r>
        <w:rPr/>
        <w:t>（备）</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31"/>
          <w:szCs w:val="31"/>
        </w:rPr>
      </w:pPr>
    </w:p>
    <w:p>
      <w:pPr>
        <w:pStyle w:val="BodyText"/>
        <w:spacing w:line="338" w:lineRule="auto"/>
        <w:ind w:left="677" w:right="229" w:hanging="540"/>
        <w:jc w:val="left"/>
      </w:pPr>
      <w:r>
        <w:rPr/>
        <w:t>七、</w:t>
      </w:r>
      <w:r>
        <w:rPr>
          <w:spacing w:val="-30"/>
        </w:rPr>
        <w:t> </w:t>
      </w:r>
      <w:r>
        <w:rPr/>
        <w:t>公司或持有公司股份</w:t>
      </w:r>
      <w:r>
        <w:rPr>
          <w:spacing w:val="-55"/>
        </w:rPr>
        <w:t> </w:t>
      </w:r>
      <w:r>
        <w:rPr>
          <w:rFonts w:ascii="Times New Roman" w:hAnsi="Times New Roman" w:cs="Times New Roman" w:eastAsia="Times New Roman" w:hint="default"/>
          <w:spacing w:val="-5"/>
        </w:rPr>
        <w:t>5%</w:t>
      </w:r>
      <w:r>
        <w:rPr>
          <w:spacing w:val="-5"/>
        </w:rPr>
        <w:t>以上（含</w:t>
      </w:r>
      <w:r>
        <w:rPr>
          <w:spacing w:val="-55"/>
        </w:rPr>
        <w:t> </w:t>
      </w:r>
      <w:r>
        <w:rPr>
          <w:rFonts w:ascii="Times New Roman" w:hAnsi="Times New Roman" w:cs="Times New Roman" w:eastAsia="Times New Roman" w:hint="default"/>
          <w:spacing w:val="-4"/>
        </w:rPr>
        <w:t>5%</w:t>
      </w:r>
      <w:r>
        <w:rPr>
          <w:spacing w:val="-4"/>
        </w:rPr>
        <w:t>）的股东及作为股东的董事、监事、高级</w:t>
      </w:r>
      <w:r>
        <w:rPr>
          <w:w w:val="100"/>
        </w:rPr>
        <w:t> </w:t>
      </w:r>
      <w:r>
        <w:rPr/>
        <w:t>管理人员在报告期内发生或持续到报告期内的承诺事项</w:t>
      </w:r>
    </w:p>
    <w:p>
      <w:pPr>
        <w:pStyle w:val="BodyText"/>
        <w:spacing w:line="240" w:lineRule="auto" w:before="172"/>
        <w:ind w:right="0"/>
        <w:jc w:val="both"/>
      </w:pPr>
      <w:r>
        <w:rPr/>
        <w:t>（一）</w:t>
      </w:r>
      <w:r>
        <w:rPr>
          <w:spacing w:val="-67"/>
        </w:rPr>
        <w:t> </w:t>
      </w:r>
      <w:r>
        <w:rPr>
          <w:spacing w:val="-1"/>
        </w:rPr>
        <w:t>公司股票上市前股东所持股份的流通限制和自愿锁定股份的承诺</w:t>
      </w:r>
    </w:p>
    <w:p>
      <w:pPr>
        <w:spacing w:line="240" w:lineRule="auto" w:before="5"/>
        <w:rPr>
          <w:rFonts w:ascii="宋体" w:hAnsi="宋体" w:cs="宋体" w:eastAsia="宋体" w:hint="default"/>
          <w:sz w:val="20"/>
          <w:szCs w:val="20"/>
        </w:rPr>
      </w:pPr>
    </w:p>
    <w:p>
      <w:pPr>
        <w:pStyle w:val="BodyText"/>
        <w:spacing w:line="352" w:lineRule="auto"/>
        <w:ind w:right="115" w:firstLine="538"/>
        <w:jc w:val="left"/>
      </w:pPr>
      <w:r>
        <w:rPr>
          <w:rFonts w:ascii="Times New Roman" w:hAnsi="Times New Roman" w:cs="Times New Roman" w:eastAsia="Times New Roman" w:hint="default"/>
        </w:rPr>
        <w:t>1</w:t>
      </w:r>
      <w:r>
        <w:rPr/>
        <w:t>．本公司持有公司股份</w:t>
      </w:r>
      <w:r>
        <w:rPr>
          <w:spacing w:val="-30"/>
        </w:rPr>
        <w:t> </w:t>
      </w:r>
      <w:r>
        <w:rPr>
          <w:rFonts w:ascii="Times New Roman" w:hAnsi="Times New Roman" w:cs="Times New Roman" w:eastAsia="Times New Roman" w:hint="default"/>
          <w:spacing w:val="-9"/>
        </w:rPr>
        <w:t>5%</w:t>
      </w:r>
      <w:r>
        <w:rPr>
          <w:spacing w:val="-9"/>
        </w:rPr>
        <w:t>以上的股东的张学君、陈向军、李军、何晔均承诺：</w:t>
      </w:r>
      <w:r>
        <w:rPr>
          <w:w w:val="100"/>
        </w:rPr>
        <w:t> </w:t>
      </w:r>
      <w:r>
        <w:rPr/>
        <w:t>自公司股票上市之日起三十六个月内，不转让或者委托他人管理其公司首次公开发</w:t>
      </w:r>
      <w:r>
        <w:rPr>
          <w:spacing w:val="-87"/>
        </w:rPr>
        <w:t> </w:t>
      </w:r>
      <w:r>
        <w:rPr>
          <w:spacing w:val="-87"/>
        </w:rPr>
      </w:r>
      <w:r>
        <w:rPr/>
        <w:t>行股票发行前所直接和间接持有的本公司股份，也不由公司回购其持有的股份。同</w:t>
      </w:r>
      <w:r>
        <w:rPr>
          <w:spacing w:val="-87"/>
        </w:rPr>
        <w:t> </w:t>
      </w:r>
      <w:r>
        <w:rPr>
          <w:spacing w:val="-87"/>
        </w:rPr>
      </w:r>
      <w:r>
        <w:rPr/>
        <w:t>时，作为公司董事或高级管理人员，张学君、陈向军、李军、何晔还承诺：三十六</w:t>
      </w:r>
      <w:r>
        <w:rPr>
          <w:spacing w:val="-87"/>
        </w:rPr>
        <w:t> </w:t>
      </w:r>
      <w:r>
        <w:rPr>
          <w:spacing w:val="-87"/>
        </w:rPr>
      </w:r>
      <w:r>
        <w:rPr/>
        <w:t>个月的锁定期满后，在本人任职期间，每年转让所持有的公司股份不超过本人所持</w:t>
      </w:r>
      <w:r>
        <w:rPr>
          <w:spacing w:val="-87"/>
        </w:rPr>
        <w:t> </w:t>
      </w:r>
      <w:r>
        <w:rPr>
          <w:spacing w:val="-87"/>
        </w:rPr>
      </w:r>
      <w:r>
        <w:rPr/>
        <w:t>公司股份数的百分之二十五；本人离职后半年内，不转让所持有的公司股份。</w:t>
      </w:r>
    </w:p>
    <w:p>
      <w:pPr>
        <w:pStyle w:val="BodyText"/>
        <w:spacing w:line="352" w:lineRule="auto" w:before="38"/>
        <w:ind w:right="233" w:firstLine="538"/>
        <w:jc w:val="both"/>
      </w:pPr>
      <w:r>
        <w:rPr>
          <w:rFonts w:ascii="Times New Roman" w:hAnsi="Times New Roman" w:cs="Times New Roman" w:eastAsia="Times New Roman" w:hint="default"/>
        </w:rPr>
        <w:t>2</w:t>
      </w:r>
      <w:r>
        <w:rPr/>
        <w:t>．本公司股东周峰和杨金敏作为公司监事，刘奕、许秋江、唐劲星和彭建文</w:t>
      </w:r>
      <w:r>
        <w:rPr>
          <w:w w:val="100"/>
        </w:rPr>
        <w:t> </w:t>
      </w:r>
      <w:r>
        <w:rPr/>
        <w:t>作为公司高级管理人员承诺：自公司股票上市之日起十二个月内，不转让或者委托</w:t>
      </w:r>
      <w:r>
        <w:rPr>
          <w:spacing w:val="-87"/>
        </w:rPr>
        <w:t> </w:t>
      </w:r>
      <w:r>
        <w:rPr>
          <w:spacing w:val="-87"/>
        </w:rPr>
      </w:r>
      <w:r>
        <w:rPr/>
        <w:t>他人管理其公司首次公开发行股票发行前所直接和间接持有的公司股份，也不由公</w:t>
      </w:r>
      <w:r>
        <w:rPr>
          <w:spacing w:val="-87"/>
        </w:rPr>
        <w:t> </w:t>
      </w:r>
      <w:r>
        <w:rPr>
          <w:spacing w:val="-87"/>
        </w:rPr>
      </w:r>
      <w:r>
        <w:rPr/>
        <w:t>司回购其持有的股份；在本人任职期间每年转让所持有的公司股份不超过本人所持</w:t>
      </w:r>
      <w:r>
        <w:rPr>
          <w:spacing w:val="-87"/>
        </w:rPr>
        <w:t> </w:t>
      </w:r>
      <w:r>
        <w:rPr>
          <w:spacing w:val="-87"/>
        </w:rPr>
      </w:r>
      <w:r>
        <w:rPr/>
        <w:t>公司股份总数的百分之二十五；本人离职后半年内，不转让所持有的公司股份。</w:t>
      </w:r>
    </w:p>
    <w:p>
      <w:pPr>
        <w:pStyle w:val="BodyText"/>
        <w:spacing w:line="240" w:lineRule="auto" w:before="158"/>
        <w:ind w:left="597" w:right="115"/>
        <w:jc w:val="left"/>
      </w:pPr>
      <w:r>
        <w:rPr/>
        <w:t>截止报告期末，公司上述股东均遵守以上承诺，未有违反上述承诺的情况。</w:t>
      </w:r>
    </w:p>
    <w:p>
      <w:pPr>
        <w:spacing w:after="0" w:line="240" w:lineRule="auto"/>
        <w:jc w:val="left"/>
        <w:sectPr>
          <w:pgSz w:w="11910" w:h="16840"/>
          <w:pgMar w:header="877" w:footer="982" w:top="1100" w:bottom="1180" w:left="1660" w:right="1560"/>
        </w:sectPr>
      </w:pPr>
    </w:p>
    <w:p>
      <w:pPr>
        <w:spacing w:line="240" w:lineRule="auto" w:before="4"/>
        <w:rPr>
          <w:rFonts w:ascii="宋体" w:hAnsi="宋体" w:cs="宋体" w:eastAsia="宋体" w:hint="default"/>
          <w:sz w:val="19"/>
          <w:szCs w:val="19"/>
        </w:rPr>
      </w:pPr>
    </w:p>
    <w:p>
      <w:pPr>
        <w:pStyle w:val="BodyText"/>
        <w:spacing w:line="240" w:lineRule="auto" w:before="29"/>
        <w:ind w:right="95"/>
        <w:jc w:val="left"/>
      </w:pPr>
      <w:r>
        <w:rPr/>
        <w:t>（二）</w:t>
      </w:r>
      <w:r>
        <w:rPr>
          <w:spacing w:val="-87"/>
        </w:rPr>
        <w:t> </w:t>
      </w:r>
      <w:r>
        <w:rPr/>
        <w:t>避免同业竞争的承诺</w:t>
      </w:r>
    </w:p>
    <w:p>
      <w:pPr>
        <w:spacing w:line="240" w:lineRule="auto" w:before="5"/>
        <w:rPr>
          <w:rFonts w:ascii="宋体" w:hAnsi="宋体" w:cs="宋体" w:eastAsia="宋体" w:hint="default"/>
          <w:sz w:val="20"/>
          <w:szCs w:val="20"/>
        </w:rPr>
      </w:pPr>
    </w:p>
    <w:p>
      <w:pPr>
        <w:pStyle w:val="BodyText"/>
        <w:spacing w:line="338" w:lineRule="auto"/>
        <w:ind w:right="95" w:firstLine="459"/>
        <w:jc w:val="left"/>
      </w:pPr>
      <w:r>
        <w:rPr>
          <w:spacing w:val="-10"/>
          <w:w w:val="100"/>
        </w:rPr>
        <w:t>公司共同控制人张学君、陈向军和李军，以及持有公司</w:t>
      </w:r>
      <w:r>
        <w:rPr>
          <w:spacing w:val="-51"/>
          <w:w w:val="100"/>
        </w:rPr>
        <w:t> </w:t>
      </w:r>
      <w:r>
        <w:rPr>
          <w:rFonts w:ascii="Times New Roman" w:hAnsi="Times New Roman" w:cs="Times New Roman" w:eastAsia="Times New Roman" w:hint="default"/>
          <w:spacing w:val="-1"/>
          <w:w w:val="100"/>
        </w:rPr>
        <w:t>5%</w:t>
      </w:r>
      <w:r>
        <w:rPr>
          <w:spacing w:val="-1"/>
          <w:w w:val="100"/>
        </w:rPr>
        <w:t>以上股份的股东何晔，</w:t>
      </w:r>
      <w:r>
        <w:rPr>
          <w:w w:val="100"/>
        </w:rPr>
        <w:t> </w:t>
      </w:r>
      <w:r>
        <w:rPr/>
        <w:t>就避免同业竞争作出了以下承诺：</w:t>
      </w:r>
    </w:p>
    <w:p>
      <w:pPr>
        <w:pStyle w:val="BodyText"/>
        <w:spacing w:line="345" w:lineRule="auto" w:before="52"/>
        <w:ind w:right="211" w:firstLine="459"/>
        <w:jc w:val="both"/>
      </w:pPr>
      <w:r>
        <w:rPr>
          <w:rFonts w:ascii="Times New Roman" w:hAnsi="Times New Roman" w:cs="Times New Roman" w:eastAsia="Times New Roman" w:hint="default"/>
        </w:rPr>
        <w:t>“1</w:t>
      </w:r>
      <w:r>
        <w:rPr/>
        <w:t>、本人目前没有在中国境内任何地方或中国境外，直接或间接发展、经营或</w:t>
      </w:r>
      <w:r>
        <w:rPr>
          <w:spacing w:val="1"/>
          <w:w w:val="100"/>
        </w:rPr>
        <w:t> </w:t>
      </w:r>
      <w:r>
        <w:rPr/>
        <w:t>协助经营或参与与公司业务存在竞争的任何活动，亦没有在任何与公司业务有直接</w:t>
      </w:r>
      <w:r>
        <w:rPr>
          <w:spacing w:val="-87"/>
        </w:rPr>
        <w:t> </w:t>
      </w:r>
      <w:r>
        <w:rPr>
          <w:spacing w:val="-87"/>
        </w:rPr>
      </w:r>
      <w:r>
        <w:rPr/>
        <w:t>或间接竞争关系的公司或企业拥有任何直接或间接权益。</w:t>
      </w:r>
    </w:p>
    <w:p>
      <w:pPr>
        <w:pStyle w:val="BodyText"/>
        <w:spacing w:line="348" w:lineRule="auto" w:before="45"/>
        <w:ind w:right="212" w:firstLine="459"/>
        <w:jc w:val="both"/>
      </w:pPr>
      <w:r>
        <w:rPr>
          <w:rFonts w:ascii="Times New Roman" w:hAnsi="Times New Roman" w:cs="Times New Roman" w:eastAsia="Times New Roman" w:hint="default"/>
          <w:spacing w:val="-3"/>
        </w:rPr>
        <w:t>2</w:t>
      </w:r>
      <w:r>
        <w:rPr>
          <w:spacing w:val="-3"/>
        </w:rPr>
        <w:t>、自本承诺函签署之日起，本人将不直接或间接经营任何与股份公司经营的业</w:t>
      </w:r>
      <w:r>
        <w:rPr>
          <w:w w:val="100"/>
        </w:rPr>
        <w:t> </w:t>
      </w:r>
      <w:r>
        <w:rPr/>
        <w:t>务构成竞争或可能构成竞争的业务，也不参与投资任何与股份公司生产的产品或经</w:t>
      </w:r>
      <w:r>
        <w:rPr>
          <w:spacing w:val="-87"/>
        </w:rPr>
        <w:t> </w:t>
      </w:r>
      <w:r>
        <w:rPr>
          <w:spacing w:val="-87"/>
        </w:rPr>
      </w:r>
      <w:r>
        <w:rPr/>
        <w:t>营的业务构成竞争或可能构成竞争的其他企业。</w:t>
      </w:r>
    </w:p>
    <w:p>
      <w:pPr>
        <w:pStyle w:val="BodyText"/>
        <w:spacing w:line="338" w:lineRule="auto" w:before="43"/>
        <w:ind w:right="212" w:firstLine="459"/>
        <w:jc w:val="both"/>
      </w:pPr>
      <w:r>
        <w:rPr>
          <w:rFonts w:ascii="Times New Roman" w:hAnsi="Times New Roman" w:cs="Times New Roman" w:eastAsia="Times New Roman" w:hint="default"/>
          <w:spacing w:val="-3"/>
        </w:rPr>
        <w:t>3</w:t>
      </w:r>
      <w:r>
        <w:rPr>
          <w:spacing w:val="-3"/>
        </w:rPr>
        <w:t>、自本承诺函签署之日起，本人将不会利用公司股东的身份进行损害公司及其</w:t>
      </w:r>
      <w:r>
        <w:rPr>
          <w:w w:val="100"/>
        </w:rPr>
        <w:t> </w:t>
      </w:r>
      <w:r>
        <w:rPr/>
        <w:t>它股东利益的经营活动。</w:t>
      </w:r>
    </w:p>
    <w:p>
      <w:pPr>
        <w:pStyle w:val="BodyText"/>
        <w:spacing w:line="338" w:lineRule="auto" w:before="51"/>
        <w:ind w:right="212" w:firstLine="459"/>
        <w:jc w:val="both"/>
        <w:rPr>
          <w:rFonts w:ascii="Times New Roman" w:hAnsi="Times New Roman" w:cs="Times New Roman" w:eastAsia="Times New Roman" w:hint="default"/>
        </w:rPr>
      </w:pPr>
      <w:r>
        <w:rPr>
          <w:rFonts w:ascii="Times New Roman" w:hAnsi="Times New Roman" w:cs="Times New Roman" w:eastAsia="Times New Roman" w:hint="default"/>
          <w:spacing w:val="-3"/>
        </w:rPr>
        <w:t>4</w:t>
      </w:r>
      <w:r>
        <w:rPr>
          <w:spacing w:val="-3"/>
        </w:rPr>
        <w:t>、如上述承诺被证明是不真实的或未被遵守，本人将向公司赔偿一切直接或间</w:t>
      </w:r>
      <w:r>
        <w:rPr>
          <w:w w:val="100"/>
        </w:rPr>
        <w:t> </w:t>
      </w:r>
      <w:r>
        <w:rPr/>
        <w:t>接的损失，并承担相应法律责任。</w:t>
      </w:r>
      <w:r>
        <w:rPr>
          <w:rFonts w:ascii="Times New Roman" w:hAnsi="Times New Roman" w:cs="Times New Roman" w:eastAsia="Times New Roman" w:hint="default"/>
        </w:rPr>
        <w:t>”</w:t>
      </w:r>
    </w:p>
    <w:p>
      <w:pPr>
        <w:pStyle w:val="BodyText"/>
        <w:spacing w:line="240" w:lineRule="auto" w:before="144"/>
        <w:ind w:left="597" w:right="95"/>
        <w:jc w:val="left"/>
      </w:pPr>
      <w:r>
        <w:rPr/>
        <w:t>截止报告期末，公司上述股东均遵守以上承诺，未有违反上述承诺的情况。</w:t>
      </w:r>
    </w:p>
    <w:p>
      <w:pPr>
        <w:spacing w:line="240" w:lineRule="auto" w:before="5"/>
        <w:rPr>
          <w:rFonts w:ascii="宋体" w:hAnsi="宋体" w:cs="宋体" w:eastAsia="宋体" w:hint="default"/>
          <w:sz w:val="20"/>
          <w:szCs w:val="20"/>
        </w:rPr>
      </w:pPr>
    </w:p>
    <w:p>
      <w:pPr>
        <w:pStyle w:val="BodyText"/>
        <w:spacing w:line="240" w:lineRule="auto"/>
        <w:ind w:right="95"/>
        <w:jc w:val="left"/>
      </w:pPr>
      <w:r>
        <w:rPr/>
        <w:t>（三）</w:t>
      </w:r>
      <w:r>
        <w:rPr>
          <w:spacing w:val="-88"/>
        </w:rPr>
        <w:t> </w:t>
      </w:r>
      <w:r>
        <w:rPr/>
        <w:t>缴纳个人所得税的承诺</w:t>
      </w:r>
    </w:p>
    <w:p>
      <w:pPr>
        <w:spacing w:line="240" w:lineRule="auto" w:before="5"/>
        <w:rPr>
          <w:rFonts w:ascii="宋体" w:hAnsi="宋体" w:cs="宋体" w:eastAsia="宋体" w:hint="default"/>
          <w:sz w:val="20"/>
          <w:szCs w:val="20"/>
        </w:rPr>
      </w:pPr>
    </w:p>
    <w:p>
      <w:pPr>
        <w:pStyle w:val="BodyText"/>
        <w:spacing w:line="348" w:lineRule="auto"/>
        <w:ind w:right="212" w:firstLine="459"/>
        <w:jc w:val="both"/>
        <w:rPr>
          <w:rFonts w:ascii="Times New Roman" w:hAnsi="Times New Roman" w:cs="Times New Roman" w:eastAsia="Times New Roman" w:hint="default"/>
        </w:rPr>
      </w:pPr>
      <w:r>
        <w:rPr>
          <w:rFonts w:ascii="Times New Roman" w:hAnsi="Times New Roman" w:cs="Times New Roman" w:eastAsia="Times New Roman" w:hint="default"/>
        </w:rPr>
        <w:t>1</w:t>
      </w:r>
      <w:r>
        <w:rPr/>
        <w:t>．公司 </w:t>
      </w:r>
      <w:r>
        <w:rPr>
          <w:rFonts w:ascii="Times New Roman" w:hAnsi="Times New Roman" w:cs="Times New Roman" w:eastAsia="Times New Roman" w:hint="default"/>
        </w:rPr>
        <w:t>45</w:t>
      </w:r>
      <w:r>
        <w:rPr>
          <w:rFonts w:ascii="Times New Roman" w:hAnsi="Times New Roman" w:cs="Times New Roman" w:eastAsia="Times New Roman" w:hint="default"/>
          <w:spacing w:val="-33"/>
        </w:rPr>
        <w:t> </w:t>
      </w:r>
      <w:r>
        <w:rPr/>
        <w:t>名上市前自然人股东就银之杰有限整体变更为股份公司所涉及的个</w:t>
      </w:r>
      <w:r>
        <w:rPr>
          <w:w w:val="100"/>
        </w:rPr>
        <w:t> </w:t>
      </w:r>
      <w:r>
        <w:rPr>
          <w:spacing w:val="-3"/>
        </w:rPr>
        <w:t>人所得税问题已作出如下承诺：</w:t>
      </w:r>
      <w:r>
        <w:rPr>
          <w:rFonts w:ascii="Times New Roman" w:hAnsi="Times New Roman" w:cs="Times New Roman" w:eastAsia="Times New Roman" w:hint="default"/>
          <w:spacing w:val="-3"/>
        </w:rPr>
        <w:t>“</w:t>
      </w:r>
      <w:r>
        <w:rPr>
          <w:spacing w:val="-3"/>
        </w:rPr>
        <w:t>如因有关税务部门要求或决定，公司需要补缴或被</w:t>
      </w:r>
      <w:r>
        <w:rPr>
          <w:spacing w:val="-86"/>
        </w:rPr>
        <w:t> </w:t>
      </w:r>
      <w:r>
        <w:rPr>
          <w:spacing w:val="-86"/>
        </w:rPr>
      </w:r>
      <w:r>
        <w:rPr/>
        <w:t>追缴整体变更时全体自然人股东以净资产折股所涉及的个人所得税，或因公司当时</w:t>
      </w:r>
      <w:r>
        <w:rPr>
          <w:spacing w:val="-87"/>
        </w:rPr>
        <w:t> </w:t>
      </w:r>
      <w:r>
        <w:rPr>
          <w:spacing w:val="-87"/>
        </w:rPr>
      </w:r>
      <w:r>
        <w:rPr/>
        <w:t>未履行代扣代缴义务而承担罚款或损失，我们将按照整体变更时持有的公司股权比</w:t>
      </w:r>
      <w:r>
        <w:rPr>
          <w:spacing w:val="-87"/>
        </w:rPr>
        <w:t> </w:t>
      </w:r>
      <w:r>
        <w:rPr>
          <w:spacing w:val="-87"/>
        </w:rPr>
      </w:r>
      <w:r>
        <w:rPr/>
        <w:t>例承担公司补缴（被追缴）的上述个人所得税款及其相关费用和损失。</w:t>
      </w:r>
      <w:r>
        <w:rPr>
          <w:rFonts w:ascii="Times New Roman" w:hAnsi="Times New Roman" w:cs="Times New Roman" w:eastAsia="Times New Roman" w:hint="default"/>
        </w:rPr>
        <w:t>”</w:t>
      </w:r>
    </w:p>
    <w:p>
      <w:pPr>
        <w:pStyle w:val="BodyText"/>
        <w:spacing w:line="343" w:lineRule="auto" w:before="14"/>
        <w:ind w:right="212" w:firstLine="459"/>
        <w:jc w:val="both"/>
        <w:rPr>
          <w:rFonts w:ascii="Times New Roman" w:hAnsi="Times New Roman" w:cs="Times New Roman" w:eastAsia="Times New Roman" w:hint="default"/>
        </w:rPr>
      </w:pPr>
      <w:r>
        <w:rPr>
          <w:rFonts w:ascii="Times New Roman" w:hAnsi="Times New Roman" w:cs="Times New Roman" w:eastAsia="Times New Roman" w:hint="default"/>
          <w:spacing w:val="-4"/>
        </w:rPr>
        <w:t>2</w:t>
      </w:r>
      <w:r>
        <w:rPr>
          <w:spacing w:val="-4"/>
        </w:rPr>
        <w:t>．公司实际控制人张学君、李军、陈向军就银之杰有限整体变更为股份公司所</w:t>
      </w:r>
      <w:r>
        <w:rPr>
          <w:w w:val="100"/>
        </w:rPr>
        <w:t> </w:t>
      </w:r>
      <w:r>
        <w:rPr>
          <w:spacing w:val="-3"/>
        </w:rPr>
        <w:t>涉及的个人所得税问题已作出了承诺：</w:t>
      </w:r>
      <w:r>
        <w:rPr>
          <w:rFonts w:ascii="Times New Roman" w:hAnsi="Times New Roman" w:cs="Times New Roman" w:eastAsia="Times New Roman" w:hint="default"/>
          <w:spacing w:val="-3"/>
        </w:rPr>
        <w:t>“</w:t>
      </w:r>
      <w:r>
        <w:rPr>
          <w:spacing w:val="-3"/>
        </w:rPr>
        <w:t>如有任何股东因任何原因导致其没有及时缴</w:t>
      </w:r>
      <w:r>
        <w:rPr>
          <w:spacing w:val="-87"/>
        </w:rPr>
        <w:t> </w:t>
      </w:r>
      <w:r>
        <w:rPr>
          <w:spacing w:val="-87"/>
        </w:rPr>
      </w:r>
      <w:r>
        <w:rPr/>
        <w:t>纳或支付上述因公司整体变更涉及的应承担的个人所得税及相关费用和损失，我们</w:t>
      </w:r>
      <w:r>
        <w:rPr>
          <w:spacing w:val="-87"/>
        </w:rPr>
        <w:t> </w:t>
      </w:r>
      <w:r>
        <w:rPr>
          <w:spacing w:val="-87"/>
        </w:rPr>
      </w:r>
      <w:r>
        <w:rPr/>
        <w:t>承担连带责任。</w:t>
      </w:r>
      <w:r>
        <w:rPr>
          <w:rFonts w:ascii="Times New Roman" w:hAnsi="Times New Roman" w:cs="Times New Roman" w:eastAsia="Times New Roman" w:hint="default"/>
        </w:rPr>
        <w:t>”</w:t>
      </w:r>
    </w:p>
    <w:p>
      <w:pPr>
        <w:pStyle w:val="BodyText"/>
        <w:spacing w:line="348" w:lineRule="auto" w:before="18"/>
        <w:ind w:right="212" w:firstLine="459"/>
        <w:jc w:val="both"/>
      </w:pPr>
      <w:r>
        <w:rPr/>
        <w:t>截止报告期末，公司上述股东均遵守以上承诺，未有违反上述承诺的情况。公</w:t>
      </w:r>
      <w:r>
        <w:rPr>
          <w:w w:val="100"/>
        </w:rPr>
        <w:t> </w:t>
      </w:r>
      <w:r>
        <w:rPr/>
        <w:t>司以上股东已于</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日完成了整体变更为股份公司的个人所得税的缴纳</w:t>
      </w:r>
      <w:r>
        <w:rPr>
          <w:w w:val="100"/>
        </w:rPr>
        <w:t> </w:t>
      </w:r>
      <w:r>
        <w:rPr/>
        <w:t>工作。</w:t>
      </w:r>
    </w:p>
    <w:p>
      <w:pPr>
        <w:pStyle w:val="BodyText"/>
        <w:spacing w:line="240" w:lineRule="auto" w:before="163"/>
        <w:ind w:right="95"/>
        <w:jc w:val="left"/>
      </w:pPr>
      <w:r>
        <w:rPr/>
        <w:t>（四）</w:t>
      </w:r>
      <w:r>
        <w:rPr>
          <w:spacing w:val="-88"/>
        </w:rPr>
        <w:t> </w:t>
      </w:r>
      <w:r>
        <w:rPr/>
        <w:t>缴纳住房公积金的承诺</w:t>
      </w:r>
    </w:p>
    <w:p>
      <w:pPr>
        <w:spacing w:line="240" w:lineRule="auto" w:before="5"/>
        <w:rPr>
          <w:rFonts w:ascii="宋体" w:hAnsi="宋体" w:cs="宋体" w:eastAsia="宋体" w:hint="default"/>
          <w:sz w:val="20"/>
          <w:szCs w:val="20"/>
        </w:rPr>
      </w:pPr>
    </w:p>
    <w:p>
      <w:pPr>
        <w:pStyle w:val="BodyText"/>
        <w:spacing w:line="240" w:lineRule="auto"/>
        <w:ind w:left="597" w:right="95"/>
        <w:jc w:val="left"/>
      </w:pPr>
      <w:r>
        <w:rPr>
          <w:rFonts w:ascii="Times New Roman" w:hAnsi="Times New Roman" w:cs="Times New Roman" w:eastAsia="Times New Roman" w:hint="default"/>
        </w:rPr>
        <w:t>1</w:t>
      </w:r>
      <w:r>
        <w:rPr/>
        <w:t>．公司承诺：</w:t>
      </w:r>
      <w:r>
        <w:rPr>
          <w:rFonts w:ascii="Times New Roman" w:hAnsi="Times New Roman" w:cs="Times New Roman" w:eastAsia="Times New Roman" w:hint="default"/>
        </w:rPr>
        <w:t>“</w:t>
      </w:r>
      <w:r>
        <w:rPr/>
        <w:t>如果深圳市关于住房公积金管理的专项规定颁布，公司将根据</w:t>
      </w:r>
    </w:p>
    <w:p>
      <w:pPr>
        <w:spacing w:after="0" w:line="240" w:lineRule="auto"/>
        <w:jc w:val="left"/>
        <w:sectPr>
          <w:pgSz w:w="11910" w:h="16840"/>
          <w:pgMar w:header="877" w:footer="982" w:top="1100" w:bottom="1180" w:left="1660" w:right="1580"/>
        </w:sectPr>
      </w:pPr>
    </w:p>
    <w:p>
      <w:pPr>
        <w:spacing w:line="240" w:lineRule="auto" w:before="4"/>
        <w:rPr>
          <w:rFonts w:ascii="宋体" w:hAnsi="宋体" w:cs="宋体" w:eastAsia="宋体" w:hint="default"/>
          <w:sz w:val="19"/>
          <w:szCs w:val="19"/>
        </w:rPr>
      </w:pPr>
    </w:p>
    <w:p>
      <w:pPr>
        <w:pStyle w:val="BodyText"/>
        <w:spacing w:line="338" w:lineRule="auto" w:before="29"/>
        <w:ind w:left="597" w:right="117" w:hanging="460"/>
        <w:jc w:val="left"/>
      </w:pPr>
      <w:r>
        <w:rPr/>
        <w:t>有关规定为员工缴纳住房公积金。</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rFonts w:ascii="Times New Roman" w:hAnsi="Times New Roman" w:cs="Times New Roman" w:eastAsia="Times New Roman" w:hint="default"/>
          <w:spacing w:val="-10"/>
          <w:w w:val="100"/>
        </w:rPr>
        <w:t>2</w:t>
      </w:r>
      <w:r>
        <w:rPr>
          <w:spacing w:val="-10"/>
          <w:w w:val="100"/>
        </w:rPr>
        <w:t>．公司的实际控制人张学君、陈向军和李军三人于</w:t>
      </w:r>
      <w:r>
        <w:rPr>
          <w:spacing w:val="-55"/>
          <w:w w:val="100"/>
        </w:rPr>
        <w:t> </w:t>
      </w:r>
      <w:r>
        <w:rPr>
          <w:rFonts w:ascii="Times New Roman" w:hAnsi="Times New Roman" w:cs="Times New Roman" w:eastAsia="Times New Roman" w:hint="default"/>
          <w:spacing w:val="-1"/>
          <w:w w:val="100"/>
        </w:rPr>
        <w:t>2010</w:t>
      </w:r>
      <w:r>
        <w:rPr>
          <w:rFonts w:ascii="Times New Roman" w:hAnsi="Times New Roman" w:cs="Times New Roman" w:eastAsia="Times New Roman" w:hint="default"/>
          <w:spacing w:val="1"/>
          <w:w w:val="100"/>
        </w:rPr>
        <w:t> </w:t>
      </w:r>
      <w:r>
        <w:rPr>
          <w:w w:val="100"/>
        </w:rPr>
        <w:t>年</w:t>
      </w:r>
      <w:r>
        <w:rPr>
          <w:spacing w:val="-55"/>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 </w:t>
      </w:r>
      <w:r>
        <w:rPr>
          <w:w w:val="100"/>
        </w:rPr>
        <w:t>月</w:t>
      </w:r>
      <w:r>
        <w:rPr>
          <w:spacing w:val="-55"/>
          <w:w w:val="100"/>
        </w:rPr>
        <w:t> </w:t>
      </w:r>
      <w:r>
        <w:rPr>
          <w:rFonts w:ascii="Times New Roman" w:hAnsi="Times New Roman" w:cs="Times New Roman" w:eastAsia="Times New Roman" w:hint="default"/>
          <w:spacing w:val="-1"/>
          <w:w w:val="100"/>
        </w:rPr>
        <w:t>10</w:t>
      </w:r>
      <w:r>
        <w:rPr>
          <w:rFonts w:ascii="Times New Roman" w:hAnsi="Times New Roman" w:cs="Times New Roman" w:eastAsia="Times New Roman" w:hint="default"/>
          <w:spacing w:val="1"/>
          <w:w w:val="100"/>
        </w:rPr>
        <w:t> </w:t>
      </w:r>
      <w:r>
        <w:rPr>
          <w:spacing w:val="-1"/>
          <w:w w:val="100"/>
        </w:rPr>
        <w:t>日作出承诺：</w:t>
      </w:r>
    </w:p>
    <w:p>
      <w:pPr>
        <w:pStyle w:val="BodyText"/>
        <w:spacing w:line="345" w:lineRule="auto" w:before="24"/>
        <w:ind w:right="233"/>
        <w:jc w:val="both"/>
        <w:rPr>
          <w:rFonts w:ascii="Times New Roman" w:hAnsi="Times New Roman" w:cs="Times New Roman" w:eastAsia="Times New Roman" w:hint="default"/>
        </w:rPr>
      </w:pPr>
      <w:r>
        <w:rPr>
          <w:rFonts w:ascii="Times New Roman" w:hAnsi="Times New Roman" w:cs="Times New Roman" w:eastAsia="Times New Roman" w:hint="default"/>
          <w:spacing w:val="2"/>
        </w:rPr>
        <w:t>“</w:t>
      </w:r>
      <w:r>
        <w:rPr>
          <w:spacing w:val="2"/>
        </w:rPr>
        <w:t>如有关社保主管部门在任何时候依法要求公司需为员工补缴其首次公开发行股票</w:t>
      </w:r>
      <w:r>
        <w:rPr>
          <w:spacing w:val="-53"/>
        </w:rPr>
        <w:t> </w:t>
      </w:r>
      <w:r>
        <w:rPr>
          <w:spacing w:val="-53"/>
        </w:rPr>
      </w:r>
      <w:r>
        <w:rPr/>
        <w:t>之前任何期间内应缴的住房公积金、或公司因未为员工缴纳住房公积金而承担任何</w:t>
      </w:r>
      <w:r>
        <w:rPr>
          <w:spacing w:val="-87"/>
        </w:rPr>
        <w:t> </w:t>
      </w:r>
      <w:r>
        <w:rPr>
          <w:spacing w:val="-87"/>
        </w:rPr>
      </w:r>
      <w:r>
        <w:rPr/>
        <w:t>罚款或损失，我们愿在毋须公司支付对价的情况下承担所有相关的赔偿责任。</w:t>
      </w:r>
      <w:r>
        <w:rPr>
          <w:rFonts w:ascii="Times New Roman" w:hAnsi="Times New Roman" w:cs="Times New Roman" w:eastAsia="Times New Roman" w:hint="default"/>
        </w:rPr>
        <w:t>”</w:t>
      </w:r>
    </w:p>
    <w:p>
      <w:pPr>
        <w:pStyle w:val="BodyText"/>
        <w:spacing w:line="338" w:lineRule="auto" w:before="137"/>
        <w:ind w:right="115" w:firstLine="459"/>
        <w:jc w:val="left"/>
      </w:pPr>
      <w:r>
        <w:rPr/>
        <w:t>截止报告期末，公司上述股东未有违反上述承诺的情况。</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0"/>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w:t>
      </w:r>
      <w:r>
        <w:rPr>
          <w:w w:val="100"/>
        </w:rPr>
        <w:t> </w:t>
      </w:r>
      <w:r>
        <w:rPr>
          <w:spacing w:val="-3"/>
        </w:rPr>
        <w:t>深圳市住房公积金管理中心颁布了《深圳市住房公积金缴存管理暂行规定（试行）》</w:t>
      </w:r>
    </w:p>
    <w:p>
      <w:pPr>
        <w:pStyle w:val="BodyText"/>
        <w:spacing w:line="338" w:lineRule="auto" w:before="52"/>
        <w:ind w:right="233"/>
        <w:jc w:val="both"/>
      </w:pPr>
      <w:r>
        <w:rPr/>
        <w:t>（深公积金</w:t>
      </w:r>
      <w:r>
        <w:rPr>
          <w:rFonts w:ascii="Times New Roman" w:hAnsi="Times New Roman" w:cs="Times New Roman" w:eastAsia="Times New Roman" w:hint="default"/>
        </w:rPr>
        <w:t>[2010]28 </w:t>
      </w:r>
      <w:r>
        <w:rPr>
          <w:spacing w:val="-15"/>
        </w:rPr>
        <w:t>号），具体规定了住房公积金的缴存管理办法，并规定应在“《深</w:t>
      </w:r>
      <w:r>
        <w:rPr>
          <w:spacing w:val="-107"/>
        </w:rPr>
        <w:t> </w:t>
      </w:r>
      <w:r>
        <w:rPr>
          <w:spacing w:val="-107"/>
        </w:rPr>
      </w:r>
      <w:r>
        <w:rPr/>
        <w:t>圳市住房公积金管理暂行办法》实施之日起</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个月内”，办理住房公积金缴存登记</w:t>
      </w:r>
    </w:p>
    <w:p>
      <w:pPr>
        <w:pStyle w:val="BodyText"/>
        <w:spacing w:line="240" w:lineRule="auto" w:before="24"/>
        <w:ind w:right="0"/>
        <w:jc w:val="both"/>
      </w:pPr>
      <w:r>
        <w:rPr/>
        <w:t>手续。公司已于</w:t>
      </w:r>
      <w:r>
        <w:rPr>
          <w:spacing w:val="-6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日完成住房公积金缴存登记工作。</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1"/>
          <w:szCs w:val="31"/>
        </w:rPr>
      </w:pPr>
    </w:p>
    <w:p>
      <w:pPr>
        <w:pStyle w:val="BodyText"/>
        <w:spacing w:line="240" w:lineRule="auto"/>
        <w:ind w:right="0"/>
        <w:jc w:val="both"/>
      </w:pPr>
      <w:r>
        <w:rPr/>
        <w:t>八、</w:t>
      </w:r>
      <w:r>
        <w:rPr>
          <w:spacing w:val="-38"/>
        </w:rPr>
        <w:t> </w:t>
      </w:r>
      <w:r>
        <w:rPr/>
        <w:t>解聘、聘任会计师事务所情况</w:t>
      </w:r>
    </w:p>
    <w:p>
      <w:pPr>
        <w:spacing w:line="240" w:lineRule="auto" w:before="5"/>
        <w:rPr>
          <w:rFonts w:ascii="宋体" w:hAnsi="宋体" w:cs="宋体" w:eastAsia="宋体" w:hint="default"/>
          <w:sz w:val="20"/>
          <w:szCs w:val="20"/>
        </w:rPr>
      </w:pPr>
    </w:p>
    <w:p>
      <w:pPr>
        <w:pStyle w:val="BodyText"/>
        <w:spacing w:line="338" w:lineRule="auto"/>
        <w:ind w:right="232" w:firstLine="459"/>
        <w:jc w:val="both"/>
      </w:pPr>
      <w:r>
        <w:rPr/>
        <w:t>经公司</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spacing w:val="-4"/>
        </w:rPr>
        <w:t>年度股东大会审议通过，公司聘任深圳市鹏城会计师事务所有限公</w:t>
      </w:r>
      <w:r>
        <w:rPr>
          <w:w w:val="100"/>
        </w:rPr>
        <w:t> </w:t>
      </w:r>
      <w:r>
        <w:rPr>
          <w:spacing w:val="-4"/>
        </w:rPr>
        <w:t>司（</w:t>
      </w:r>
      <w:r>
        <w:rPr>
          <w:rFonts w:ascii="Times New Roman" w:hAnsi="Times New Roman" w:cs="Times New Roman" w:eastAsia="Times New Roman" w:hint="default"/>
          <w:spacing w:val="-4"/>
        </w:rPr>
        <w:t>“</w:t>
      </w:r>
      <w:r>
        <w:rPr>
          <w:spacing w:val="-4"/>
        </w:rPr>
        <w:t>鹏城会计师事务所</w:t>
      </w:r>
      <w:r>
        <w:rPr>
          <w:rFonts w:ascii="Times New Roman" w:hAnsi="Times New Roman" w:cs="Times New Roman" w:eastAsia="Times New Roman" w:hint="default"/>
          <w:spacing w:val="-4"/>
        </w:rPr>
        <w:t>”</w:t>
      </w:r>
      <w:r>
        <w:rPr>
          <w:spacing w:val="-4"/>
        </w:rPr>
        <w:t>）为公司</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spacing w:val="-5"/>
        </w:rPr>
        <w:t>年度审计机构，聘期一年。</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7"/>
        </w:rPr>
        <w:t> </w:t>
      </w:r>
      <w:r>
        <w:rPr/>
        <w:t>年度审计费</w:t>
      </w:r>
      <w:r>
        <w:rPr>
          <w:spacing w:val="-112"/>
        </w:rPr>
        <w:t> </w:t>
      </w:r>
      <w:r>
        <w:rPr>
          <w:spacing w:val="-112"/>
        </w:rPr>
      </w:r>
      <w:r>
        <w:rPr/>
        <w:t>用为</w:t>
      </w:r>
      <w:r>
        <w:rPr>
          <w:spacing w:val="-52"/>
        </w:rPr>
        <w:t> </w:t>
      </w:r>
      <w:r>
        <w:rPr>
          <w:rFonts w:ascii="Times New Roman" w:hAnsi="Times New Roman" w:cs="Times New Roman" w:eastAsia="Times New Roman" w:hint="default"/>
        </w:rPr>
        <w:t>38</w:t>
      </w:r>
      <w:r>
        <w:rPr>
          <w:rFonts w:ascii="Times New Roman" w:hAnsi="Times New Roman" w:cs="Times New Roman" w:eastAsia="Times New Roman" w:hint="default"/>
          <w:spacing w:val="5"/>
        </w:rPr>
        <w:t> </w:t>
      </w:r>
      <w:r>
        <w:rPr/>
        <w:t>万元。鹏城会计师事务所自</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年度开始，已连续五年为公司提供了审计</w:t>
      </w:r>
      <w:r>
        <w:rPr>
          <w:w w:val="100"/>
        </w:rPr>
        <w:t> </w:t>
      </w:r>
      <w:r>
        <w:rPr/>
        <w:t>服务。</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8"/>
          <w:szCs w:val="18"/>
        </w:rPr>
      </w:pPr>
    </w:p>
    <w:p>
      <w:pPr>
        <w:pStyle w:val="BodyText"/>
        <w:spacing w:line="453" w:lineRule="auto"/>
        <w:ind w:left="597" w:right="115" w:hanging="460"/>
        <w:jc w:val="left"/>
      </w:pPr>
      <w:r>
        <w:rPr/>
        <w:t>九、</w:t>
      </w:r>
      <w:r>
        <w:rPr>
          <w:spacing w:val="-37"/>
        </w:rPr>
        <w:t> </w:t>
      </w:r>
      <w:r>
        <w:rPr/>
        <w:t>受监管部门处罚、通报批评、公开谴责等情况</w:t>
      </w:r>
      <w:r>
        <w:rPr>
          <w:w w:val="100"/>
        </w:rPr>
        <w:t> </w:t>
      </w:r>
      <w:r>
        <w:rPr/>
        <w:t>报告期内，公司及其董事、监事、高级管理人员、公司控股股东、实际控制人</w:t>
      </w:r>
    </w:p>
    <w:p>
      <w:pPr>
        <w:pStyle w:val="BodyText"/>
        <w:spacing w:line="243" w:lineRule="exact"/>
        <w:ind w:right="0"/>
        <w:jc w:val="both"/>
      </w:pPr>
      <w:r>
        <w:rPr/>
        <w:t>不存在受有权机关调查、司法纪检部门采取强制措施、被移送司法机关或追究刑事</w:t>
      </w:r>
    </w:p>
    <w:p>
      <w:pPr>
        <w:pStyle w:val="BodyText"/>
        <w:spacing w:line="357" w:lineRule="auto" w:before="146"/>
        <w:ind w:right="233"/>
        <w:jc w:val="both"/>
      </w:pPr>
      <w:r>
        <w:rPr/>
        <w:t>责任、中国证监会稽查、中国证监会行政处罚、证券市场禁入、认定为不适当人选</w:t>
      </w:r>
      <w:r>
        <w:rPr>
          <w:spacing w:val="-87"/>
        </w:rPr>
        <w:t> </w:t>
      </w:r>
      <w:r>
        <w:rPr>
          <w:spacing w:val="-87"/>
        </w:rPr>
      </w:r>
      <w:r>
        <w:rPr/>
        <w:t>被其他行政管理部门处罚及证券交易所公开谴责的情形，公司也没有被中国证监会</w:t>
      </w:r>
      <w:r>
        <w:rPr>
          <w:spacing w:val="-87"/>
        </w:rPr>
        <w:t> </w:t>
      </w:r>
      <w:r>
        <w:rPr>
          <w:spacing w:val="-87"/>
        </w:rPr>
      </w:r>
      <w:r>
        <w:rPr/>
        <w:t>及其派出机构提出整改意见的情况。</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7"/>
          <w:szCs w:val="17"/>
        </w:rPr>
      </w:pPr>
    </w:p>
    <w:p>
      <w:pPr>
        <w:pStyle w:val="BodyText"/>
        <w:spacing w:line="357" w:lineRule="auto"/>
        <w:ind w:left="677" w:right="230" w:hanging="540"/>
        <w:jc w:val="both"/>
      </w:pPr>
      <w:r>
        <w:rPr>
          <w:w w:val="100"/>
        </w:rPr>
        <w:t>十、</w:t>
      </w:r>
      <w:r>
        <w:rPr>
          <w:spacing w:val="-37"/>
          <w:w w:val="100"/>
        </w:rPr>
        <w:t> </w:t>
      </w:r>
      <w:r>
        <w:rPr>
          <w:spacing w:val="-2"/>
          <w:w w:val="100"/>
        </w:rPr>
        <w:t>报告期内，公司和子公司没有发生《证券法》第六十七条、《上市公司信息披</w:t>
      </w:r>
      <w:r>
        <w:rPr>
          <w:w w:val="100"/>
        </w:rPr>
        <w:t> </w:t>
      </w:r>
      <w:r>
        <w:rPr>
          <w:spacing w:val="-3"/>
        </w:rPr>
        <w:t>露管理办法》第三十条所列的重大事件，以及其他公司董事会判断为重大事件</w:t>
      </w:r>
      <w:r>
        <w:rPr>
          <w:w w:val="100"/>
        </w:rPr>
        <w:t> </w:t>
      </w:r>
      <w:r>
        <w:rPr/>
        <w:t>的事项。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2"/>
          <w:szCs w:val="32"/>
        </w:rPr>
      </w:pPr>
    </w:p>
    <w:p>
      <w:pPr>
        <w:pStyle w:val="BodyText"/>
        <w:spacing w:line="240" w:lineRule="auto"/>
        <w:ind w:right="0"/>
        <w:jc w:val="both"/>
      </w:pPr>
      <w:r>
        <w:rPr/>
        <w:t>十一、</w:t>
      </w:r>
      <w:r>
        <w:rPr>
          <w:spacing w:val="31"/>
        </w:rPr>
        <w:t> </w:t>
      </w:r>
      <w:r>
        <w:rPr/>
        <w:t>报告期内公司重要公告索引</w:t>
      </w:r>
    </w:p>
    <w:p>
      <w:pPr>
        <w:spacing w:after="0" w:line="240" w:lineRule="auto"/>
        <w:jc w:val="both"/>
        <w:sectPr>
          <w:pgSz w:w="11910" w:h="16840"/>
          <w:pgMar w:header="877" w:footer="982" w:top="1100" w:bottom="1180" w:left="1660" w:right="1560"/>
        </w:sectPr>
      </w:pPr>
    </w:p>
    <w:p>
      <w:pPr>
        <w:spacing w:line="240" w:lineRule="auto" w:before="10"/>
        <w:rPr>
          <w:rFonts w:ascii="Times New Roman" w:hAnsi="Times New Roman" w:cs="Times New Roman" w:eastAsia="Times New Roman"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1188"/>
        <w:gridCol w:w="1348"/>
        <w:gridCol w:w="4412"/>
        <w:gridCol w:w="1620"/>
      </w:tblGrid>
      <w:tr>
        <w:trPr>
          <w:trHeight w:val="378" w:hRule="exact"/>
        </w:trPr>
        <w:tc>
          <w:tcPr>
            <w:tcW w:w="118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left="169" w:right="0"/>
              <w:jc w:val="left"/>
              <w:rPr>
                <w:rFonts w:ascii="宋体" w:hAnsi="宋体" w:cs="宋体" w:eastAsia="宋体" w:hint="default"/>
                <w:sz w:val="21"/>
                <w:szCs w:val="21"/>
              </w:rPr>
            </w:pPr>
            <w:r>
              <w:rPr>
                <w:rFonts w:ascii="宋体" w:hAnsi="宋体" w:cs="宋体" w:eastAsia="宋体" w:hint="default"/>
                <w:sz w:val="21"/>
                <w:szCs w:val="21"/>
              </w:rPr>
              <w:t>公告编号</w:t>
            </w:r>
          </w:p>
        </w:tc>
        <w:tc>
          <w:tcPr>
            <w:tcW w:w="13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247"/>
              <w:jc w:val="right"/>
              <w:rPr>
                <w:rFonts w:ascii="宋体" w:hAnsi="宋体" w:cs="宋体" w:eastAsia="宋体" w:hint="default"/>
                <w:sz w:val="21"/>
                <w:szCs w:val="21"/>
              </w:rPr>
            </w:pPr>
            <w:r>
              <w:rPr>
                <w:rFonts w:ascii="宋体" w:hAnsi="宋体" w:cs="宋体" w:eastAsia="宋体" w:hint="default"/>
                <w:sz w:val="21"/>
                <w:szCs w:val="21"/>
              </w:rPr>
              <w:t>公告日期</w:t>
            </w:r>
          </w:p>
        </w:tc>
        <w:tc>
          <w:tcPr>
            <w:tcW w:w="441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left="1" w:right="0"/>
              <w:jc w:val="center"/>
              <w:rPr>
                <w:rFonts w:ascii="宋体" w:hAnsi="宋体" w:cs="宋体" w:eastAsia="宋体" w:hint="default"/>
                <w:sz w:val="21"/>
                <w:szCs w:val="21"/>
              </w:rPr>
            </w:pPr>
            <w:r>
              <w:rPr>
                <w:rFonts w:ascii="宋体" w:hAnsi="宋体" w:cs="宋体" w:eastAsia="宋体" w:hint="default"/>
                <w:sz w:val="21"/>
                <w:szCs w:val="21"/>
              </w:rPr>
              <w:t>公告内容</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刊登媒体</w:t>
            </w:r>
          </w:p>
        </w:tc>
      </w:tr>
      <w:tr>
        <w:trPr>
          <w:trHeight w:val="379"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21"/>
                <w:szCs w:val="21"/>
              </w:rPr>
            </w:pPr>
            <w:r>
              <w:rPr>
                <w:rFonts w:ascii="Times New Roman"/>
                <w:sz w:val="21"/>
              </w:rPr>
              <w:t>2011-001</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9"/>
              <w:jc w:val="right"/>
              <w:rPr>
                <w:rFonts w:ascii="Times New Roman" w:hAnsi="Times New Roman" w:cs="Times New Roman" w:eastAsia="Times New Roman" w:hint="default"/>
                <w:sz w:val="21"/>
                <w:szCs w:val="21"/>
              </w:rPr>
            </w:pPr>
            <w:r>
              <w:rPr>
                <w:rFonts w:ascii="Times New Roman"/>
                <w:spacing w:val="-1"/>
                <w:w w:val="95"/>
                <w:sz w:val="21"/>
              </w:rPr>
              <w:t>2011-02-22</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年度业绩快报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5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21"/>
                <w:szCs w:val="21"/>
              </w:rPr>
            </w:pPr>
            <w:r>
              <w:rPr>
                <w:rFonts w:ascii="Times New Roman"/>
                <w:sz w:val="21"/>
              </w:rPr>
              <w:t>2011-002</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9"/>
              <w:jc w:val="right"/>
              <w:rPr>
                <w:rFonts w:ascii="Times New Roman" w:hAnsi="Times New Roman" w:cs="Times New Roman" w:eastAsia="Times New Roman" w:hint="default"/>
                <w:sz w:val="21"/>
                <w:szCs w:val="21"/>
              </w:rPr>
            </w:pPr>
            <w:r>
              <w:rPr>
                <w:rFonts w:ascii="Times New Roman"/>
                <w:spacing w:val="-1"/>
                <w:w w:val="95"/>
                <w:sz w:val="21"/>
              </w:rPr>
              <w:t>2011-02-25</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0"/>
              <w:ind w:left="103" w:right="101"/>
              <w:jc w:val="left"/>
              <w:rPr>
                <w:rFonts w:ascii="宋体" w:hAnsi="宋体" w:cs="宋体" w:eastAsia="宋体" w:hint="default"/>
                <w:sz w:val="21"/>
                <w:szCs w:val="21"/>
              </w:rPr>
            </w:pPr>
            <w:r>
              <w:rPr>
                <w:rFonts w:ascii="宋体" w:hAnsi="宋体" w:cs="宋体" w:eastAsia="宋体" w:hint="default"/>
                <w:sz w:val="21"/>
                <w:szCs w:val="21"/>
              </w:rPr>
              <w:t>关于被认定为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年度国家规划布局内重点 软件企业的公告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7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21"/>
                <w:szCs w:val="21"/>
              </w:rPr>
            </w:pPr>
            <w:r>
              <w:rPr>
                <w:rFonts w:ascii="Times New Roman"/>
                <w:sz w:val="21"/>
              </w:rPr>
              <w:t>2011-003</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9"/>
              <w:jc w:val="right"/>
              <w:rPr>
                <w:rFonts w:ascii="Times New Roman" w:hAnsi="Times New Roman" w:cs="Times New Roman" w:eastAsia="Times New Roman" w:hint="default"/>
                <w:sz w:val="21"/>
                <w:szCs w:val="21"/>
              </w:rPr>
            </w:pPr>
            <w:r>
              <w:rPr>
                <w:rFonts w:ascii="Times New Roman"/>
                <w:spacing w:val="-1"/>
                <w:w w:val="95"/>
                <w:sz w:val="21"/>
              </w:rPr>
              <w:t>2011-03-10</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第二届董事会第二次会议决议公告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7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21"/>
                <w:szCs w:val="21"/>
              </w:rPr>
            </w:pPr>
            <w:r>
              <w:rPr>
                <w:rFonts w:ascii="Times New Roman"/>
                <w:sz w:val="21"/>
              </w:rPr>
              <w:t>2011-004</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9"/>
              <w:jc w:val="right"/>
              <w:rPr>
                <w:rFonts w:ascii="Times New Roman" w:hAnsi="Times New Roman" w:cs="Times New Roman" w:eastAsia="Times New Roman" w:hint="default"/>
                <w:sz w:val="21"/>
                <w:szCs w:val="21"/>
              </w:rPr>
            </w:pPr>
            <w:r>
              <w:rPr>
                <w:rFonts w:ascii="Times New Roman"/>
                <w:spacing w:val="-1"/>
                <w:w w:val="95"/>
                <w:sz w:val="21"/>
              </w:rPr>
              <w:t>2011-03-10</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第二届监事会第二次会议决议公告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79"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21"/>
                <w:szCs w:val="21"/>
              </w:rPr>
            </w:pPr>
            <w:r>
              <w:rPr>
                <w:rFonts w:ascii="Times New Roman"/>
                <w:sz w:val="21"/>
              </w:rPr>
              <w:t>2011-005</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9"/>
              <w:jc w:val="right"/>
              <w:rPr>
                <w:rFonts w:ascii="Times New Roman" w:hAnsi="Times New Roman" w:cs="Times New Roman" w:eastAsia="Times New Roman" w:hint="default"/>
                <w:sz w:val="21"/>
                <w:szCs w:val="21"/>
              </w:rPr>
            </w:pPr>
            <w:r>
              <w:rPr>
                <w:rFonts w:ascii="Times New Roman"/>
                <w:spacing w:val="-1"/>
                <w:w w:val="95"/>
                <w:sz w:val="21"/>
              </w:rPr>
              <w:t>2011-03-10</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年度募集资金存放与使用情况专项报告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7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21"/>
                <w:szCs w:val="21"/>
              </w:rPr>
            </w:pPr>
            <w:r>
              <w:rPr>
                <w:rFonts w:ascii="Times New Roman"/>
                <w:sz w:val="21"/>
              </w:rPr>
              <w:t>2011-006</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9"/>
              <w:jc w:val="right"/>
              <w:rPr>
                <w:rFonts w:ascii="Times New Roman" w:hAnsi="Times New Roman" w:cs="Times New Roman" w:eastAsia="Times New Roman" w:hint="default"/>
                <w:sz w:val="21"/>
                <w:szCs w:val="21"/>
              </w:rPr>
            </w:pPr>
            <w:r>
              <w:rPr>
                <w:rFonts w:ascii="Times New Roman"/>
                <w:spacing w:val="-1"/>
                <w:w w:val="95"/>
                <w:sz w:val="21"/>
              </w:rPr>
              <w:t>2011-03-10</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年度股东大会的通知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7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21"/>
                <w:szCs w:val="21"/>
              </w:rPr>
            </w:pPr>
            <w:r>
              <w:rPr>
                <w:rFonts w:ascii="Times New Roman"/>
                <w:sz w:val="21"/>
              </w:rPr>
              <w:t>2011-007</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9"/>
              <w:jc w:val="right"/>
              <w:rPr>
                <w:rFonts w:ascii="Times New Roman" w:hAnsi="Times New Roman" w:cs="Times New Roman" w:eastAsia="Times New Roman" w:hint="default"/>
                <w:sz w:val="21"/>
                <w:szCs w:val="21"/>
              </w:rPr>
            </w:pPr>
            <w:r>
              <w:rPr>
                <w:rFonts w:ascii="Times New Roman"/>
                <w:spacing w:val="-1"/>
                <w:w w:val="95"/>
                <w:sz w:val="21"/>
              </w:rPr>
              <w:t>2011-03-10</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年年度报告摘要</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5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21"/>
                <w:szCs w:val="21"/>
              </w:rPr>
            </w:pPr>
            <w:r>
              <w:rPr>
                <w:rFonts w:ascii="Times New Roman"/>
                <w:sz w:val="21"/>
              </w:rPr>
              <w:t>2011-008</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9"/>
              <w:jc w:val="right"/>
              <w:rPr>
                <w:rFonts w:ascii="Times New Roman" w:hAnsi="Times New Roman" w:cs="Times New Roman" w:eastAsia="Times New Roman" w:hint="default"/>
                <w:sz w:val="21"/>
                <w:szCs w:val="21"/>
              </w:rPr>
            </w:pPr>
            <w:r>
              <w:rPr>
                <w:rFonts w:ascii="Times New Roman"/>
                <w:spacing w:val="-1"/>
                <w:w w:val="95"/>
                <w:sz w:val="21"/>
              </w:rPr>
              <w:t>2011-03-10</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0"/>
              <w:ind w:left="103" w:right="101"/>
              <w:jc w:val="left"/>
              <w:rPr>
                <w:rFonts w:ascii="宋体" w:hAnsi="宋体" w:cs="宋体" w:eastAsia="宋体" w:hint="default"/>
                <w:sz w:val="21"/>
                <w:szCs w:val="21"/>
              </w:rPr>
            </w:pPr>
            <w:r>
              <w:rPr>
                <w:rFonts w:ascii="宋体" w:hAnsi="宋体" w:cs="宋体" w:eastAsia="宋体" w:hint="default"/>
                <w:sz w:val="21"/>
                <w:szCs w:val="21"/>
              </w:rPr>
              <w:t>关于《第二届董事会第二次会议决议公告》的 更正公告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79"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21"/>
                <w:szCs w:val="21"/>
              </w:rPr>
            </w:pPr>
            <w:r>
              <w:rPr>
                <w:rFonts w:ascii="Times New Roman"/>
                <w:sz w:val="21"/>
              </w:rPr>
              <w:t>2011-009</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9"/>
              <w:jc w:val="right"/>
              <w:rPr>
                <w:rFonts w:ascii="Times New Roman" w:hAnsi="Times New Roman" w:cs="Times New Roman" w:eastAsia="Times New Roman" w:hint="default"/>
                <w:sz w:val="21"/>
                <w:szCs w:val="21"/>
              </w:rPr>
            </w:pPr>
            <w:r>
              <w:rPr>
                <w:rFonts w:ascii="Times New Roman"/>
                <w:spacing w:val="-1"/>
                <w:w w:val="95"/>
                <w:sz w:val="21"/>
              </w:rPr>
              <w:t>2011-03-22</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关于延期召开</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年度股东大会的公告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7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21"/>
                <w:szCs w:val="21"/>
              </w:rPr>
            </w:pPr>
            <w:r>
              <w:rPr>
                <w:rFonts w:ascii="Times New Roman"/>
                <w:sz w:val="21"/>
              </w:rPr>
              <w:t>2011-010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9"/>
              <w:jc w:val="right"/>
              <w:rPr>
                <w:rFonts w:ascii="Times New Roman" w:hAnsi="Times New Roman" w:cs="Times New Roman" w:eastAsia="Times New Roman" w:hint="default"/>
                <w:sz w:val="21"/>
                <w:szCs w:val="21"/>
              </w:rPr>
            </w:pPr>
            <w:r>
              <w:rPr>
                <w:rFonts w:ascii="Times New Roman"/>
                <w:spacing w:val="-1"/>
                <w:w w:val="95"/>
                <w:sz w:val="21"/>
              </w:rPr>
              <w:t>2011-03-24</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关于举行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年度业绩网上说明会的通知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7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21"/>
                <w:szCs w:val="21"/>
              </w:rPr>
            </w:pPr>
            <w:r>
              <w:rPr>
                <w:rFonts w:ascii="Times New Roman"/>
                <w:spacing w:val="-3"/>
                <w:sz w:val="21"/>
              </w:rPr>
              <w:t>2011-011</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61"/>
              <w:jc w:val="right"/>
              <w:rPr>
                <w:rFonts w:ascii="Times New Roman" w:hAnsi="Times New Roman" w:cs="Times New Roman" w:eastAsia="Times New Roman" w:hint="default"/>
                <w:sz w:val="21"/>
                <w:szCs w:val="21"/>
              </w:rPr>
            </w:pPr>
            <w:r>
              <w:rPr>
                <w:rFonts w:ascii="Times New Roman"/>
                <w:spacing w:val="-1"/>
                <w:w w:val="95"/>
                <w:sz w:val="21"/>
              </w:rPr>
              <w:t>2011-04-12</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年度股东大会决议公告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79"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21"/>
                <w:szCs w:val="21"/>
              </w:rPr>
            </w:pPr>
            <w:r>
              <w:rPr>
                <w:rFonts w:ascii="Times New Roman"/>
                <w:sz w:val="21"/>
              </w:rPr>
              <w:t>2011-012</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9"/>
              <w:jc w:val="right"/>
              <w:rPr>
                <w:rFonts w:ascii="Times New Roman" w:hAnsi="Times New Roman" w:cs="Times New Roman" w:eastAsia="Times New Roman" w:hint="default"/>
                <w:sz w:val="21"/>
                <w:szCs w:val="21"/>
              </w:rPr>
            </w:pPr>
            <w:r>
              <w:rPr>
                <w:rFonts w:ascii="Times New Roman"/>
                <w:spacing w:val="-1"/>
                <w:w w:val="95"/>
                <w:sz w:val="21"/>
              </w:rPr>
              <w:t>2011-04-26</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年第一季度报告正文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7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21"/>
                <w:szCs w:val="21"/>
              </w:rPr>
            </w:pPr>
            <w:r>
              <w:rPr>
                <w:rFonts w:ascii="Times New Roman"/>
                <w:sz w:val="21"/>
              </w:rPr>
              <w:t>2011-013</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9"/>
              <w:jc w:val="right"/>
              <w:rPr>
                <w:rFonts w:ascii="Times New Roman" w:hAnsi="Times New Roman" w:cs="Times New Roman" w:eastAsia="Times New Roman" w:hint="default"/>
                <w:sz w:val="21"/>
                <w:szCs w:val="21"/>
              </w:rPr>
            </w:pPr>
            <w:r>
              <w:rPr>
                <w:rFonts w:ascii="Times New Roman"/>
                <w:spacing w:val="-1"/>
                <w:w w:val="95"/>
                <w:sz w:val="21"/>
              </w:rPr>
              <w:t>2011-05-06</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关于中标中国银行项目的公告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5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21"/>
                <w:szCs w:val="21"/>
              </w:rPr>
            </w:pPr>
            <w:r>
              <w:rPr>
                <w:rFonts w:ascii="Times New Roman"/>
                <w:sz w:val="21"/>
              </w:rPr>
              <w:t>2011-014</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9"/>
              <w:jc w:val="right"/>
              <w:rPr>
                <w:rFonts w:ascii="Times New Roman" w:hAnsi="Times New Roman" w:cs="Times New Roman" w:eastAsia="Times New Roman" w:hint="default"/>
                <w:sz w:val="21"/>
                <w:szCs w:val="21"/>
              </w:rPr>
            </w:pPr>
            <w:r>
              <w:rPr>
                <w:rFonts w:ascii="Times New Roman"/>
                <w:spacing w:val="-1"/>
                <w:w w:val="95"/>
                <w:sz w:val="21"/>
              </w:rPr>
              <w:t>2011-05-23</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0"/>
              <w:ind w:left="103" w:right="86"/>
              <w:jc w:val="left"/>
              <w:rPr>
                <w:rFonts w:ascii="宋体" w:hAnsi="宋体" w:cs="宋体" w:eastAsia="宋体" w:hint="default"/>
                <w:sz w:val="21"/>
                <w:szCs w:val="21"/>
              </w:rPr>
            </w:pPr>
            <w:r>
              <w:rPr>
                <w:rFonts w:ascii="宋体" w:hAnsi="宋体" w:cs="宋体" w:eastAsia="宋体" w:hint="default"/>
                <w:spacing w:val="11"/>
                <w:sz w:val="21"/>
                <w:szCs w:val="21"/>
              </w:rPr>
              <w:t>首次公开发行前已发行股份上市流通提示性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7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21"/>
                <w:szCs w:val="21"/>
              </w:rPr>
            </w:pPr>
            <w:r>
              <w:rPr>
                <w:rFonts w:ascii="Times New Roman"/>
                <w:sz w:val="21"/>
              </w:rPr>
              <w:t>2011-015</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9"/>
              <w:jc w:val="right"/>
              <w:rPr>
                <w:rFonts w:ascii="Times New Roman" w:hAnsi="Times New Roman" w:cs="Times New Roman" w:eastAsia="Times New Roman" w:hint="default"/>
                <w:sz w:val="21"/>
                <w:szCs w:val="21"/>
              </w:rPr>
            </w:pPr>
            <w:r>
              <w:rPr>
                <w:rFonts w:ascii="Times New Roman"/>
                <w:spacing w:val="-1"/>
                <w:w w:val="95"/>
                <w:sz w:val="21"/>
              </w:rPr>
              <w:t>2011-05-30</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年度权益分派实施公告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21"/>
                <w:szCs w:val="21"/>
              </w:rPr>
            </w:pPr>
            <w:r>
              <w:rPr>
                <w:rFonts w:ascii="Times New Roman"/>
                <w:sz w:val="21"/>
              </w:rPr>
              <w:t>2011-016</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9"/>
              <w:jc w:val="right"/>
              <w:rPr>
                <w:rFonts w:ascii="Times New Roman" w:hAnsi="Times New Roman" w:cs="Times New Roman" w:eastAsia="Times New Roman" w:hint="default"/>
                <w:sz w:val="21"/>
                <w:szCs w:val="21"/>
              </w:rPr>
            </w:pPr>
            <w:r>
              <w:rPr>
                <w:rFonts w:ascii="Times New Roman"/>
                <w:spacing w:val="-1"/>
                <w:w w:val="95"/>
                <w:sz w:val="21"/>
              </w:rPr>
              <w:t>2011-07-07</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关于完成工商变更登记的公告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21"/>
                <w:szCs w:val="21"/>
              </w:rPr>
            </w:pPr>
            <w:r>
              <w:rPr>
                <w:rFonts w:ascii="Times New Roman"/>
                <w:sz w:val="21"/>
              </w:rPr>
              <w:t>2011-017</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9"/>
              <w:jc w:val="right"/>
              <w:rPr>
                <w:rFonts w:ascii="Times New Roman" w:hAnsi="Times New Roman" w:cs="Times New Roman" w:eastAsia="Times New Roman" w:hint="default"/>
                <w:sz w:val="21"/>
                <w:szCs w:val="21"/>
              </w:rPr>
            </w:pPr>
            <w:r>
              <w:rPr>
                <w:rFonts w:ascii="Times New Roman"/>
                <w:spacing w:val="-1"/>
                <w:w w:val="95"/>
                <w:sz w:val="21"/>
              </w:rPr>
              <w:t>2011-07-27</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4"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年半年度业绩快报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7"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21"/>
                <w:szCs w:val="21"/>
              </w:rPr>
            </w:pPr>
            <w:r>
              <w:rPr>
                <w:rFonts w:ascii="Times New Roman"/>
                <w:sz w:val="21"/>
              </w:rPr>
              <w:t>2011-018</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9"/>
              <w:jc w:val="right"/>
              <w:rPr>
                <w:rFonts w:ascii="Times New Roman" w:hAnsi="Times New Roman" w:cs="Times New Roman" w:eastAsia="Times New Roman" w:hint="default"/>
                <w:sz w:val="21"/>
                <w:szCs w:val="21"/>
              </w:rPr>
            </w:pPr>
            <w:r>
              <w:rPr>
                <w:rFonts w:ascii="Times New Roman"/>
                <w:spacing w:val="-1"/>
                <w:w w:val="95"/>
                <w:sz w:val="21"/>
              </w:rPr>
              <w:t>2011-08-23</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4"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年半年度报告摘要</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21"/>
                <w:szCs w:val="21"/>
              </w:rPr>
            </w:pPr>
            <w:r>
              <w:rPr>
                <w:rFonts w:ascii="Times New Roman"/>
                <w:sz w:val="21"/>
              </w:rPr>
              <w:t>2011-019</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9"/>
              <w:jc w:val="right"/>
              <w:rPr>
                <w:rFonts w:ascii="Times New Roman" w:hAnsi="Times New Roman" w:cs="Times New Roman" w:eastAsia="Times New Roman" w:hint="default"/>
                <w:sz w:val="21"/>
                <w:szCs w:val="21"/>
              </w:rPr>
            </w:pPr>
            <w:r>
              <w:rPr>
                <w:rFonts w:ascii="Times New Roman"/>
                <w:spacing w:val="-1"/>
                <w:w w:val="95"/>
                <w:sz w:val="21"/>
              </w:rPr>
              <w:t>2011-10-25</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4"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年第三季度季度报告正文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7"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21"/>
                <w:szCs w:val="21"/>
              </w:rPr>
            </w:pPr>
            <w:r>
              <w:rPr>
                <w:rFonts w:ascii="Times New Roman"/>
                <w:sz w:val="21"/>
              </w:rPr>
              <w:t>2011-020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66"/>
              <w:jc w:val="right"/>
              <w:rPr>
                <w:rFonts w:ascii="Times New Roman" w:hAnsi="Times New Roman" w:cs="Times New Roman" w:eastAsia="Times New Roman" w:hint="default"/>
                <w:sz w:val="21"/>
                <w:szCs w:val="21"/>
              </w:rPr>
            </w:pPr>
            <w:r>
              <w:rPr>
                <w:rFonts w:ascii="Times New Roman"/>
                <w:spacing w:val="-2"/>
                <w:sz w:val="21"/>
              </w:rPr>
              <w:t>2011-11-07</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关于股东股权质押的公告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21"/>
                <w:szCs w:val="21"/>
              </w:rPr>
            </w:pPr>
            <w:r>
              <w:rPr>
                <w:rFonts w:ascii="Times New Roman"/>
                <w:sz w:val="21"/>
              </w:rPr>
              <w:t>2011-021</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66"/>
              <w:jc w:val="right"/>
              <w:rPr>
                <w:rFonts w:ascii="Times New Roman" w:hAnsi="Times New Roman" w:cs="Times New Roman" w:eastAsia="Times New Roman" w:hint="default"/>
                <w:sz w:val="21"/>
                <w:szCs w:val="21"/>
              </w:rPr>
            </w:pPr>
            <w:r>
              <w:rPr>
                <w:rFonts w:ascii="Times New Roman"/>
                <w:spacing w:val="-2"/>
                <w:sz w:val="21"/>
              </w:rPr>
              <w:t>2011-11-08</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关于保荐机构变更的公告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72" w:lineRule="exact"/>
        <w:jc w:val="center"/>
        <w:rPr>
          <w:rFonts w:ascii="宋体" w:hAnsi="宋体" w:cs="宋体" w:eastAsia="宋体" w:hint="default"/>
          <w:sz w:val="21"/>
          <w:szCs w:val="21"/>
        </w:rPr>
        <w:sectPr>
          <w:pgSz w:w="11910" w:h="16840"/>
          <w:pgMar w:header="877" w:footer="982" w:top="1100" w:bottom="1180" w:left="1580" w:right="15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79"/>
        <w:ind w:left="2658" w:right="2674"/>
        <w:jc w:val="center"/>
      </w:pPr>
      <w:bookmarkStart w:name="_TOC_250005" w:id="5"/>
      <w:r>
        <w:rPr/>
        <w:t>第五节</w:t>
      </w:r>
      <w:r>
        <w:rPr>
          <w:spacing w:val="-9"/>
        </w:rPr>
        <w:t> </w:t>
      </w:r>
      <w:bookmarkEnd w:id="5"/>
      <w:r>
        <w:rPr/>
        <w:t>股本变动和主要股东持股情况</w:t>
      </w:r>
    </w:p>
    <w:p>
      <w:pPr>
        <w:spacing w:line="240" w:lineRule="auto" w:before="0"/>
        <w:rPr>
          <w:rFonts w:ascii="黑体" w:hAnsi="黑体" w:cs="黑体" w:eastAsia="黑体" w:hint="default"/>
          <w:sz w:val="32"/>
          <w:szCs w:val="32"/>
        </w:rPr>
      </w:pPr>
    </w:p>
    <w:p>
      <w:pPr>
        <w:pStyle w:val="Heading5"/>
        <w:spacing w:line="240" w:lineRule="auto" w:before="248"/>
        <w:ind w:left="1157" w:right="0"/>
        <w:jc w:val="left"/>
        <w:rPr>
          <w:b w:val="0"/>
          <w:bCs w:val="0"/>
        </w:rPr>
      </w:pPr>
      <w:r>
        <w:rPr/>
        <w:t>一、</w:t>
      </w:r>
      <w:r>
        <w:rPr>
          <w:spacing w:val="-38"/>
        </w:rPr>
        <w:t> </w:t>
      </w:r>
      <w:r>
        <w:rPr/>
        <w:t>股本变动情况（截至</w:t>
      </w:r>
      <w:r>
        <w:rPr>
          <w:spacing w:val="-58"/>
        </w:rPr>
        <w:t> </w:t>
      </w:r>
      <w:r>
        <w:rPr>
          <w:rFonts w:ascii="Times New Roman" w:hAnsi="Times New Roman" w:cs="Times New Roman" w:eastAsia="Times New Roman" w:hint="default"/>
          <w:spacing w:val="-5"/>
        </w:rPr>
        <w:t>2011</w:t>
      </w:r>
      <w:r>
        <w:rPr>
          <w:rFonts w:ascii="Times New Roman" w:hAnsi="Times New Roman" w:cs="Times New Roman" w:eastAsia="Times New Roman" w:hint="default"/>
        </w:rPr>
        <w:t> </w:t>
      </w:r>
      <w:r>
        <w:rPr/>
        <w:t>年</w:t>
      </w:r>
      <w:r>
        <w:rPr>
          <w:spacing w:val="-58"/>
        </w:rPr>
        <w:t> </w:t>
      </w:r>
      <w:r>
        <w:rPr>
          <w:rFonts w:ascii="Times New Roman" w:hAnsi="Times New Roman" w:cs="Times New Roman" w:eastAsia="Times New Roman" w:hint="default"/>
        </w:rPr>
        <w:t>12 </w:t>
      </w:r>
      <w:r>
        <w:rPr/>
        <w:t>月</w:t>
      </w:r>
      <w:r>
        <w:rPr>
          <w:spacing w:val="-59"/>
        </w:rPr>
        <w:t> </w:t>
      </w:r>
      <w:r>
        <w:rPr>
          <w:rFonts w:ascii="Times New Roman" w:hAnsi="Times New Roman" w:cs="Times New Roman" w:eastAsia="Times New Roman" w:hint="default"/>
        </w:rPr>
        <w:t>31 </w:t>
      </w:r>
      <w:r>
        <w:rPr/>
        <w:t>日）</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ind w:left="1157" w:right="0"/>
        <w:jc w:val="left"/>
      </w:pPr>
      <w:r>
        <w:rPr/>
        <w:t>（一）</w:t>
      </w:r>
      <w:r>
        <w:rPr>
          <w:spacing w:val="-87"/>
        </w:rPr>
        <w:t> </w:t>
      </w:r>
      <w:r>
        <w:rPr/>
        <w:t>股份变动情况表</w:t>
      </w:r>
    </w:p>
    <w:p>
      <w:pPr>
        <w:spacing w:line="240" w:lineRule="auto" w:before="5"/>
        <w:rPr>
          <w:rFonts w:ascii="宋体" w:hAnsi="宋体" w:cs="宋体" w:eastAsia="宋体" w:hint="default"/>
          <w:sz w:val="20"/>
          <w:szCs w:val="20"/>
        </w:rPr>
      </w:pPr>
    </w:p>
    <w:p>
      <w:pPr>
        <w:pStyle w:val="BodyText"/>
        <w:spacing w:line="240" w:lineRule="auto"/>
        <w:ind w:left="0" w:right="1172"/>
        <w:jc w:val="right"/>
      </w:pPr>
      <w:r>
        <w:rPr/>
        <w:t>公司</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年度权益分配方案经</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4"/>
        </w:rPr>
        <w:t> </w:t>
      </w:r>
      <w:r>
        <w:rPr/>
        <w:t>日召开的</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年度股东大会审</w:t>
      </w:r>
    </w:p>
    <w:p>
      <w:pPr>
        <w:pStyle w:val="BodyText"/>
        <w:spacing w:line="240" w:lineRule="auto" w:before="129"/>
        <w:ind w:left="1157" w:right="0"/>
        <w:jc w:val="left"/>
      </w:pPr>
      <w:r>
        <w:rPr>
          <w:spacing w:val="-6"/>
        </w:rPr>
        <w:t>议通过后，公司于</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日实施了</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spacing w:val="-4"/>
        </w:rPr>
        <w:t>年度权益分派方案，以公司</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p>
    <w:p>
      <w:pPr>
        <w:pStyle w:val="BodyText"/>
        <w:spacing w:line="240" w:lineRule="auto" w:before="129"/>
        <w:ind w:left="1157" w:right="0"/>
        <w:jc w:val="left"/>
      </w:pPr>
      <w:r>
        <w:rPr>
          <w:rFonts w:ascii="Times New Roman" w:hAnsi="Times New Roman" w:cs="Times New Roman" w:eastAsia="Times New Roman" w:hint="default"/>
          <w:w w:val="100"/>
        </w:rPr>
        <w:t>12</w:t>
      </w:r>
      <w:r>
        <w:rPr>
          <w:rFonts w:ascii="Times New Roman" w:hAnsi="Times New Roman" w:cs="Times New Roman" w:eastAsia="Times New Roman" w:hint="default"/>
          <w:spacing w:val="-23"/>
        </w:rPr>
        <w:t> </w:t>
      </w:r>
      <w:r>
        <w:rPr>
          <w:w w:val="100"/>
        </w:rPr>
        <w:t>月</w:t>
      </w:r>
      <w:r>
        <w:rPr>
          <w:spacing w:val="-79"/>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23"/>
        </w:rPr>
        <w:t> </w:t>
      </w:r>
      <w:r>
        <w:rPr>
          <w:spacing w:val="-2"/>
          <w:w w:val="100"/>
        </w:rPr>
        <w:t>日</w:t>
      </w:r>
      <w:r>
        <w:rPr>
          <w:w w:val="100"/>
        </w:rPr>
        <w:t>的总</w:t>
      </w:r>
      <w:r>
        <w:rPr>
          <w:spacing w:val="-2"/>
          <w:w w:val="100"/>
        </w:rPr>
        <w:t>股</w:t>
      </w:r>
      <w:r>
        <w:rPr>
          <w:w w:val="100"/>
        </w:rPr>
        <w:t>本</w:t>
      </w:r>
      <w:r>
        <w:rPr>
          <w:spacing w:val="-79"/>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2"/>
          <w:w w:val="100"/>
        </w:rPr>
        <w:t>0</w:t>
      </w:r>
      <w:r>
        <w:rPr>
          <w:rFonts w:ascii="Times New Roman" w:hAnsi="Times New Roman" w:cs="Times New Roman" w:eastAsia="Times New Roman" w:hint="default"/>
          <w:w w:val="100"/>
        </w:rPr>
        <w:t>,000,0</w:t>
      </w:r>
      <w:r>
        <w:rPr>
          <w:rFonts w:ascii="Times New Roman" w:hAnsi="Times New Roman" w:cs="Times New Roman" w:eastAsia="Times New Roman" w:hint="default"/>
          <w:spacing w:val="-2"/>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spacing w:val="-22"/>
        </w:rPr>
        <w:t> </w:t>
      </w:r>
      <w:r>
        <w:rPr>
          <w:spacing w:val="-2"/>
          <w:w w:val="100"/>
        </w:rPr>
        <w:t>股</w:t>
      </w:r>
      <w:r>
        <w:rPr>
          <w:w w:val="100"/>
        </w:rPr>
        <w:t>为基数</w:t>
      </w:r>
      <w:r>
        <w:rPr>
          <w:spacing w:val="-2"/>
          <w:w w:val="100"/>
        </w:rPr>
        <w:t>向全</w:t>
      </w:r>
      <w:r>
        <w:rPr>
          <w:w w:val="100"/>
        </w:rPr>
        <w:t>体股</w:t>
      </w:r>
      <w:r>
        <w:rPr>
          <w:spacing w:val="-2"/>
          <w:w w:val="100"/>
        </w:rPr>
        <w:t>东</w:t>
      </w:r>
      <w:r>
        <w:rPr>
          <w:w w:val="100"/>
        </w:rPr>
        <w:t>每</w:t>
      </w:r>
      <w:r>
        <w:rPr>
          <w:spacing w:val="-79"/>
        </w:rPr>
        <w:t> </w:t>
      </w:r>
      <w:r>
        <w:rPr>
          <w:rFonts w:ascii="Times New Roman" w:hAnsi="Times New Roman" w:cs="Times New Roman" w:eastAsia="Times New Roman" w:hint="default"/>
          <w:spacing w:val="-2"/>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23"/>
        </w:rPr>
        <w:t> </w:t>
      </w:r>
      <w:r>
        <w:rPr>
          <w:w w:val="100"/>
        </w:rPr>
        <w:t>股派人</w:t>
      </w:r>
      <w:r>
        <w:rPr>
          <w:spacing w:val="-2"/>
          <w:w w:val="100"/>
        </w:rPr>
        <w:t>民</w:t>
      </w:r>
      <w:r>
        <w:rPr>
          <w:w w:val="100"/>
        </w:rPr>
        <w:t>币</w:t>
      </w:r>
      <w:r>
        <w:rPr>
          <w:spacing w:val="-81"/>
        </w:rPr>
        <w:t> </w:t>
      </w:r>
      <w:r>
        <w:rPr>
          <w:rFonts w:ascii="Times New Roman" w:hAnsi="Times New Roman" w:cs="Times New Roman" w:eastAsia="Times New Roman" w:hint="default"/>
          <w:w w:val="100"/>
        </w:rPr>
        <w:t>6.00</w:t>
      </w:r>
      <w:r>
        <w:rPr>
          <w:rFonts w:ascii="Times New Roman" w:hAnsi="Times New Roman" w:cs="Times New Roman" w:eastAsia="Times New Roman" w:hint="default"/>
          <w:spacing w:val="-22"/>
        </w:rPr>
        <w:t> </w:t>
      </w:r>
      <w:r>
        <w:rPr>
          <w:spacing w:val="-2"/>
          <w:w w:val="100"/>
        </w:rPr>
        <w:t>元</w:t>
      </w:r>
      <w:r>
        <w:rPr>
          <w:w w:val="100"/>
        </w:rPr>
        <w:t>现</w:t>
      </w:r>
      <w:r>
        <w:rPr>
          <w:spacing w:val="-117"/>
          <w:w w:val="100"/>
        </w:rPr>
        <w:t>金</w:t>
      </w:r>
      <w:r>
        <w:rPr>
          <w:spacing w:val="1"/>
          <w:w w:val="100"/>
        </w:rPr>
        <w:t>（含</w:t>
      </w:r>
      <w:r>
        <w:rPr>
          <w:w w:val="100"/>
        </w:rPr>
      </w:r>
    </w:p>
    <w:p>
      <w:pPr>
        <w:pStyle w:val="BodyText"/>
        <w:spacing w:line="240" w:lineRule="auto" w:before="129"/>
        <w:ind w:left="1157" w:right="0"/>
        <w:jc w:val="left"/>
      </w:pPr>
      <w:r>
        <w:rPr>
          <w:w w:val="100"/>
        </w:rPr>
        <w:t>税</w:t>
      </w:r>
      <w:r>
        <w:rPr>
          <w:spacing w:val="-116"/>
          <w:w w:val="100"/>
        </w:rPr>
        <w:t>）</w:t>
      </w:r>
      <w:r>
        <w:rPr>
          <w:w w:val="100"/>
        </w:rPr>
        <w:t>，</w:t>
      </w:r>
      <w:r>
        <w:rPr>
          <w:spacing w:val="-2"/>
          <w:w w:val="100"/>
        </w:rPr>
        <w:t>同时</w:t>
      </w:r>
      <w:r>
        <w:rPr>
          <w:w w:val="100"/>
        </w:rPr>
        <w:t>以资本</w:t>
      </w:r>
      <w:r>
        <w:rPr>
          <w:spacing w:val="-2"/>
          <w:w w:val="100"/>
        </w:rPr>
        <w:t>公积</w:t>
      </w:r>
      <w:r>
        <w:rPr>
          <w:w w:val="100"/>
        </w:rPr>
        <w:t>金向全</w:t>
      </w:r>
      <w:r>
        <w:rPr>
          <w:spacing w:val="-2"/>
          <w:w w:val="100"/>
        </w:rPr>
        <w:t>体股</w:t>
      </w:r>
      <w:r>
        <w:rPr>
          <w:w w:val="100"/>
        </w:rPr>
        <w:t>东每</w:t>
      </w:r>
      <w:r>
        <w:rPr>
          <w:spacing w:val="-21"/>
        </w:rPr>
        <w:t> </w:t>
      </w:r>
      <w:r>
        <w:rPr>
          <w:rFonts w:ascii="Times New Roman" w:hAnsi="Times New Roman" w:cs="Times New Roman" w:eastAsia="Times New Roman" w:hint="default"/>
          <w:spacing w:val="-2"/>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rFonts w:ascii="Times New Roman" w:hAnsi="Times New Roman" w:cs="Times New Roman" w:eastAsia="Times New Roman" w:hint="default"/>
          <w:spacing w:val="-21"/>
        </w:rPr>
        <w:t> </w:t>
      </w:r>
      <w:r>
        <w:rPr>
          <w:spacing w:val="-2"/>
          <w:w w:val="100"/>
        </w:rPr>
        <w:t>股</w:t>
      </w:r>
      <w:r>
        <w:rPr>
          <w:w w:val="100"/>
        </w:rPr>
        <w:t>转增</w:t>
      </w:r>
      <w:r>
        <w:rPr>
          <w:spacing w:val="-21"/>
        </w:rPr>
        <w:t> </w:t>
      </w:r>
      <w:r>
        <w:rPr>
          <w:rFonts w:ascii="Times New Roman" w:hAnsi="Times New Roman" w:cs="Times New Roman" w:eastAsia="Times New Roman" w:hint="default"/>
          <w:spacing w:val="-2"/>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rFonts w:ascii="Times New Roman" w:hAnsi="Times New Roman" w:cs="Times New Roman" w:eastAsia="Times New Roman" w:hint="default"/>
          <w:spacing w:val="-21"/>
        </w:rPr>
        <w:t> </w:t>
      </w:r>
      <w:r>
        <w:rPr>
          <w:spacing w:val="-2"/>
          <w:w w:val="100"/>
        </w:rPr>
        <w:t>股</w:t>
      </w:r>
      <w:r>
        <w:rPr>
          <w:w w:val="100"/>
        </w:rPr>
        <w:t>。本次</w:t>
      </w:r>
      <w:r>
        <w:rPr>
          <w:spacing w:val="-2"/>
          <w:w w:val="100"/>
        </w:rPr>
        <w:t>分红</w:t>
      </w:r>
      <w:r>
        <w:rPr>
          <w:w w:val="100"/>
        </w:rPr>
        <w:t>前公司</w:t>
      </w:r>
      <w:r>
        <w:rPr>
          <w:spacing w:val="-2"/>
          <w:w w:val="100"/>
        </w:rPr>
        <w:t>总股</w:t>
      </w:r>
      <w:r>
        <w:rPr>
          <w:spacing w:val="1"/>
          <w:w w:val="100"/>
        </w:rPr>
        <w:t>本</w:t>
      </w:r>
      <w:r>
        <w:rPr>
          <w:w w:val="100"/>
        </w:rPr>
        <w:t>为</w:t>
      </w:r>
    </w:p>
    <w:p>
      <w:pPr>
        <w:pStyle w:val="BodyText"/>
        <w:spacing w:line="240" w:lineRule="auto" w:before="129"/>
        <w:ind w:left="1157" w:right="0"/>
        <w:jc w:val="left"/>
      </w:pPr>
      <w:r>
        <w:rPr>
          <w:rFonts w:ascii="Times New Roman" w:hAnsi="Times New Roman" w:cs="Times New Roman" w:eastAsia="Times New Roman" w:hint="default"/>
        </w:rPr>
        <w:t>60,000,000</w:t>
      </w:r>
      <w:r>
        <w:rPr>
          <w:rFonts w:ascii="Times New Roman" w:hAnsi="Times New Roman" w:cs="Times New Roman" w:eastAsia="Times New Roman" w:hint="default"/>
          <w:spacing w:val="-4"/>
        </w:rPr>
        <w:t> </w:t>
      </w:r>
      <w:r>
        <w:rPr/>
        <w:t>股，分红后总股本增至</w:t>
      </w:r>
      <w:r>
        <w:rPr>
          <w:spacing w:val="-61"/>
        </w:rPr>
        <w:t> </w:t>
      </w:r>
      <w:r>
        <w:rPr>
          <w:rFonts w:ascii="Times New Roman" w:hAnsi="Times New Roman" w:cs="Times New Roman" w:eastAsia="Times New Roman" w:hint="default"/>
        </w:rPr>
        <w:t>120,000,000</w:t>
      </w:r>
      <w:r>
        <w:rPr>
          <w:rFonts w:ascii="Times New Roman" w:hAnsi="Times New Roman" w:cs="Times New Roman" w:eastAsia="Times New Roman" w:hint="default"/>
          <w:spacing w:val="-4"/>
        </w:rPr>
        <w:t> </w:t>
      </w:r>
      <w:r>
        <w:rPr/>
        <w:t>股。股本结构变动情况如下：</w:t>
      </w:r>
    </w:p>
    <w:p>
      <w:pPr>
        <w:pStyle w:val="BodyText"/>
        <w:spacing w:line="240" w:lineRule="auto" w:before="128"/>
        <w:ind w:left="0" w:right="1172"/>
        <w:jc w:val="right"/>
      </w:pPr>
      <w:r>
        <w:rPr/>
        <w:t>单位：股</w:t>
      </w:r>
    </w:p>
    <w:p>
      <w:pPr>
        <w:spacing w:line="240" w:lineRule="auto" w:before="6"/>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1940"/>
        <w:gridCol w:w="1092"/>
        <w:gridCol w:w="900"/>
        <w:gridCol w:w="540"/>
        <w:gridCol w:w="540"/>
        <w:gridCol w:w="1080"/>
        <w:gridCol w:w="1080"/>
        <w:gridCol w:w="1096"/>
        <w:gridCol w:w="1260"/>
        <w:gridCol w:w="900"/>
      </w:tblGrid>
      <w:tr>
        <w:trPr>
          <w:trHeight w:val="282" w:hRule="exact"/>
        </w:trPr>
        <w:tc>
          <w:tcPr>
            <w:tcW w:w="19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70"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336"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21"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550"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40" w:hRule="exact"/>
        </w:trPr>
        <w:tc>
          <w:tcPr>
            <w:tcW w:w="1940" w:type="dxa"/>
            <w:vMerge w:val="restart"/>
            <w:tcBorders>
              <w:top w:val="nil" w:sz="6" w:space="0" w:color="auto"/>
              <w:left w:val="single" w:sz="4" w:space="0" w:color="000000"/>
              <w:right w:val="single" w:sz="4" w:space="0" w:color="000000"/>
            </w:tcBorders>
            <w:shd w:val="clear" w:color="auto" w:fill="DCDCDC"/>
          </w:tcPr>
          <w:p>
            <w:pPr/>
          </w:p>
        </w:tc>
        <w:tc>
          <w:tcPr>
            <w:tcW w:w="1092" w:type="dxa"/>
            <w:tcBorders>
              <w:top w:val="single" w:sz="4" w:space="0" w:color="000000"/>
              <w:left w:val="single" w:sz="4" w:space="0" w:color="000000"/>
              <w:bottom w:val="nil" w:sz="6" w:space="0" w:color="auto"/>
              <w:right w:val="single" w:sz="4" w:space="0" w:color="000000"/>
            </w:tcBorders>
            <w:shd w:val="clear" w:color="auto" w:fill="DCDCDC"/>
          </w:tcPr>
          <w:p>
            <w:pPr/>
          </w:p>
        </w:tc>
        <w:tc>
          <w:tcPr>
            <w:tcW w:w="900" w:type="dxa"/>
            <w:tcBorders>
              <w:top w:val="single" w:sz="4" w:space="0" w:color="000000"/>
              <w:left w:val="single" w:sz="4" w:space="0" w:color="000000"/>
              <w:bottom w:val="nil" w:sz="6" w:space="0" w:color="auto"/>
              <w:right w:val="single" w:sz="4" w:space="0" w:color="000000"/>
            </w:tcBorders>
            <w:shd w:val="clear" w:color="auto" w:fill="DCDCDC"/>
          </w:tcPr>
          <w:p>
            <w:pPr/>
          </w:p>
        </w:tc>
        <w:tc>
          <w:tcPr>
            <w:tcW w:w="540"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52"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52"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540" w:type="dxa"/>
            <w:vMerge w:val="restart"/>
            <w:tcBorders>
              <w:top w:val="single" w:sz="58" w:space="0" w:color="DCDCDC"/>
              <w:left w:val="single" w:sz="10" w:space="0" w:color="DCDCDC"/>
              <w:right w:val="single" w:sz="10" w:space="0" w:color="DCDCDC"/>
            </w:tcBorders>
          </w:tcPr>
          <w:p>
            <w:pPr>
              <w:pStyle w:val="TableParagraph"/>
              <w:spacing w:line="240" w:lineRule="auto" w:before="32"/>
              <w:ind w:left="4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CDCDC" w:color="auto" w:val="clear"/>
              </w:rPr>
              <w:t>送股</w:t>
            </w:r>
            <w:r>
              <w:rPr>
                <w:rFonts w:ascii="宋体" w:hAnsi="宋体" w:cs="宋体" w:eastAsia="宋体" w:hint="default"/>
                <w:sz w:val="21"/>
                <w:szCs w:val="21"/>
              </w:rPr>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公积金转</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96"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90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2" w:hRule="exact"/>
        </w:trPr>
        <w:tc>
          <w:tcPr>
            <w:tcW w:w="1940" w:type="dxa"/>
            <w:vMerge/>
            <w:tcBorders>
              <w:left w:val="single" w:sz="4" w:space="0" w:color="000000"/>
              <w:bottom w:val="nil" w:sz="6" w:space="0" w:color="auto"/>
              <w:right w:val="single" w:sz="4" w:space="0" w:color="000000"/>
            </w:tcBorders>
            <w:shd w:val="clear" w:color="auto" w:fill="DCDCDC"/>
          </w:tcPr>
          <w:p>
            <w:pPr/>
          </w:p>
        </w:tc>
        <w:tc>
          <w:tcPr>
            <w:tcW w:w="109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334"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40" w:type="dxa"/>
            <w:vMerge/>
            <w:tcBorders>
              <w:left w:val="single" w:sz="4" w:space="0" w:color="000000"/>
              <w:right w:val="single" w:sz="4" w:space="0" w:color="000000"/>
            </w:tcBorders>
            <w:shd w:val="clear" w:color="auto" w:fill="DCDCDC"/>
          </w:tcPr>
          <w:p>
            <w:pPr/>
          </w:p>
        </w:tc>
        <w:tc>
          <w:tcPr>
            <w:tcW w:w="540" w:type="dxa"/>
            <w:vMerge/>
            <w:tcBorders>
              <w:left w:val="single" w:sz="10" w:space="0" w:color="DCDCDC"/>
              <w:right w:val="single" w:sz="10" w:space="0" w:color="DCDCDC"/>
            </w:tcBorders>
          </w:tcPr>
          <w:p>
            <w:pPr/>
          </w:p>
        </w:tc>
        <w:tc>
          <w:tcPr>
            <w:tcW w:w="1080" w:type="dxa"/>
            <w:vMerge/>
            <w:tcBorders>
              <w:left w:val="single" w:sz="4" w:space="0" w:color="000000"/>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3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9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33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6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41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3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60" w:hRule="exact"/>
        </w:trPr>
        <w:tc>
          <w:tcPr>
            <w:tcW w:w="1940" w:type="dxa"/>
            <w:vMerge w:val="restart"/>
            <w:tcBorders>
              <w:top w:val="nil" w:sz="6" w:space="0" w:color="auto"/>
              <w:left w:val="single" w:sz="4" w:space="0" w:color="000000"/>
              <w:right w:val="single" w:sz="4" w:space="0" w:color="000000"/>
            </w:tcBorders>
            <w:shd w:val="clear" w:color="auto" w:fill="DCDCDC"/>
          </w:tcPr>
          <w:p>
            <w:pPr/>
          </w:p>
        </w:tc>
        <w:tc>
          <w:tcPr>
            <w:tcW w:w="1092"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540" w:type="dxa"/>
            <w:vMerge/>
            <w:tcBorders>
              <w:left w:val="single" w:sz="10" w:space="0" w:color="DCDCDC"/>
              <w:bottom w:val="nil" w:sz="6" w:space="0" w:color="auto"/>
              <w:right w:val="single" w:sz="10" w:space="0" w:color="DCDCDC"/>
            </w:tcBorders>
          </w:tcPr>
          <w:p>
            <w:pPr/>
          </w:p>
        </w:tc>
        <w:tc>
          <w:tcPr>
            <w:tcW w:w="1080"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1096" w:type="dxa"/>
            <w:vMerge/>
            <w:tcBorders>
              <w:left w:val="single" w:sz="4" w:space="0" w:color="000000"/>
              <w:bottom w:val="nil" w:sz="6" w:space="0" w:color="auto"/>
              <w:right w:val="single" w:sz="4" w:space="0" w:color="000000"/>
            </w:tcBorders>
            <w:shd w:val="clear" w:color="auto" w:fill="DCDCDC"/>
          </w:tcPr>
          <w:p>
            <w:pPr/>
          </w:p>
        </w:tc>
        <w:tc>
          <w:tcPr>
            <w:tcW w:w="1260"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r>
      <w:tr>
        <w:trPr>
          <w:trHeight w:val="143" w:hRule="exact"/>
        </w:trPr>
        <w:tc>
          <w:tcPr>
            <w:tcW w:w="1940" w:type="dxa"/>
            <w:vMerge/>
            <w:tcBorders>
              <w:left w:val="single" w:sz="4" w:space="0" w:color="000000"/>
              <w:bottom w:val="single" w:sz="4" w:space="0" w:color="000000"/>
              <w:right w:val="single" w:sz="4" w:space="0" w:color="000000"/>
            </w:tcBorders>
            <w:shd w:val="clear" w:color="auto" w:fill="DCDCDC"/>
          </w:tcPr>
          <w:p>
            <w:pPr/>
          </w:p>
        </w:tc>
        <w:tc>
          <w:tcPr>
            <w:tcW w:w="1092"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single" w:sz="4" w:space="0" w:color="000000"/>
              <w:right w:val="single" w:sz="4" w:space="0" w:color="000000"/>
            </w:tcBorders>
            <w:shd w:val="clear" w:color="auto" w:fill="DCDCDC"/>
          </w:tcPr>
          <w:p>
            <w:pPr/>
          </w:p>
        </w:tc>
        <w:tc>
          <w:tcPr>
            <w:tcW w:w="540" w:type="dxa"/>
            <w:vMerge/>
            <w:tcBorders>
              <w:left w:val="single" w:sz="4" w:space="0" w:color="000000"/>
              <w:bottom w:val="single" w:sz="4" w:space="0" w:color="000000"/>
              <w:right w:val="single" w:sz="4" w:space="0" w:color="000000"/>
            </w:tcBorders>
            <w:shd w:val="clear" w:color="auto" w:fill="DCDCDC"/>
          </w:tcPr>
          <w:p>
            <w:pPr/>
          </w:p>
        </w:tc>
        <w:tc>
          <w:tcPr>
            <w:tcW w:w="5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96"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2" w:hRule="exact"/>
        </w:trPr>
        <w:tc>
          <w:tcPr>
            <w:tcW w:w="19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75.00%</w:t>
            </w:r>
          </w:p>
        </w:tc>
        <w:tc>
          <w:tcPr>
            <w:tcW w:w="540" w:type="dxa"/>
            <w:tcBorders>
              <w:top w:val="single" w:sz="5"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13"/>
              <w:ind w:right="63"/>
              <w:jc w:val="right"/>
              <w:rPr>
                <w:rFonts w:ascii="Times New Roman" w:hAnsi="Times New Roman" w:cs="Times New Roman" w:eastAsia="Times New Roman" w:hint="default"/>
                <w:sz w:val="21"/>
                <w:szCs w:val="21"/>
              </w:rPr>
            </w:pPr>
            <w:r>
              <w:rPr>
                <w:rFonts w:ascii="Times New Roman"/>
                <w:spacing w:val="-1"/>
                <w:sz w:val="21"/>
              </w:rPr>
              <w:t>45,000,000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-7,870,500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37,129,500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82,129,500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68.44%</w:t>
            </w:r>
          </w:p>
        </w:tc>
      </w:tr>
      <w:tr>
        <w:trPr>
          <w:trHeight w:val="282" w:hRule="exact"/>
        </w:trPr>
        <w:tc>
          <w:tcPr>
            <w:tcW w:w="19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09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09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75.00%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63"/>
              <w:jc w:val="right"/>
              <w:rPr>
                <w:rFonts w:ascii="Times New Roman" w:hAnsi="Times New Roman" w:cs="Times New Roman" w:eastAsia="Times New Roman" w:hint="default"/>
                <w:sz w:val="21"/>
                <w:szCs w:val="21"/>
              </w:rPr>
            </w:pPr>
            <w:r>
              <w:rPr>
                <w:rFonts w:ascii="Times New Roman"/>
                <w:spacing w:val="-1"/>
                <w:sz w:val="21"/>
              </w:rPr>
              <w:t>45,000,000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-10,260,000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34,740,000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79,740,000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66.45%</w:t>
            </w:r>
          </w:p>
        </w:tc>
      </w:tr>
      <w:tr>
        <w:trPr>
          <w:trHeight w:val="554" w:hRule="exact"/>
        </w:trPr>
        <w:tc>
          <w:tcPr>
            <w:tcW w:w="19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7"/>
                <w:sz w:val="21"/>
                <w:szCs w:val="21"/>
              </w:rPr>
              <w:t>：</w:t>
            </w:r>
            <w:r>
              <w:rPr>
                <w:rFonts w:ascii="宋体" w:hAnsi="宋体" w:cs="宋体" w:eastAsia="宋体" w:hint="default"/>
                <w:sz w:val="21"/>
                <w:szCs w:val="21"/>
              </w:rPr>
              <w:t>境</w:t>
            </w:r>
            <w:r>
              <w:rPr>
                <w:rFonts w:ascii="宋体" w:hAnsi="宋体" w:cs="宋体" w:eastAsia="宋体" w:hint="default"/>
                <w:spacing w:val="-2"/>
                <w:sz w:val="21"/>
                <w:szCs w:val="21"/>
              </w:rPr>
              <w:t>内</w:t>
            </w:r>
            <w:r>
              <w:rPr>
                <w:rFonts w:ascii="宋体" w:hAnsi="宋体" w:cs="宋体" w:eastAsia="宋体" w:hint="default"/>
                <w:sz w:val="21"/>
                <w:szCs w:val="21"/>
              </w:rPr>
              <w:t>非国有法</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09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75.00%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45,000,000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-10,260,000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34,740,000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79,740,000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66.45%</w:t>
            </w:r>
          </w:p>
        </w:tc>
      </w:tr>
      <w:tr>
        <w:trPr>
          <w:trHeight w:val="283" w:hRule="exact"/>
        </w:trPr>
        <w:tc>
          <w:tcPr>
            <w:tcW w:w="19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09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7"/>
                <w:sz w:val="21"/>
                <w:szCs w:val="21"/>
              </w:rPr>
              <w:t>：</w:t>
            </w:r>
            <w:r>
              <w:rPr>
                <w:rFonts w:ascii="宋体" w:hAnsi="宋体" w:cs="宋体" w:eastAsia="宋体" w:hint="default"/>
                <w:sz w:val="21"/>
                <w:szCs w:val="21"/>
              </w:rPr>
              <w:t>境</w:t>
            </w:r>
            <w:r>
              <w:rPr>
                <w:rFonts w:ascii="宋体" w:hAnsi="宋体" w:cs="宋体" w:eastAsia="宋体" w:hint="default"/>
                <w:spacing w:val="-2"/>
                <w:sz w:val="21"/>
                <w:szCs w:val="21"/>
              </w:rPr>
              <w:t>外</w:t>
            </w:r>
            <w:r>
              <w:rPr>
                <w:rFonts w:ascii="宋体" w:hAnsi="宋体" w:cs="宋体" w:eastAsia="宋体" w:hint="default"/>
                <w:sz w:val="21"/>
                <w:szCs w:val="21"/>
              </w:rPr>
              <w:t>法人持股</w:t>
            </w:r>
          </w:p>
        </w:tc>
        <w:tc>
          <w:tcPr>
            <w:tcW w:w="109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09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09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2,389,500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2,389,500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2,389,500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1.99%</w:t>
            </w:r>
          </w:p>
        </w:tc>
      </w:tr>
      <w:tr>
        <w:trPr>
          <w:trHeight w:val="283" w:hRule="exact"/>
        </w:trPr>
        <w:tc>
          <w:tcPr>
            <w:tcW w:w="19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25.00%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15,000,000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7,870,500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22,870,500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37,870,500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31.55%</w:t>
            </w:r>
          </w:p>
        </w:tc>
      </w:tr>
      <w:tr>
        <w:trPr>
          <w:trHeight w:val="282" w:hRule="exact"/>
        </w:trPr>
        <w:tc>
          <w:tcPr>
            <w:tcW w:w="19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25.00%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15,000,000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7,870,500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22,870,500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37,870,500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31.55%</w:t>
            </w:r>
          </w:p>
        </w:tc>
      </w:tr>
      <w:tr>
        <w:trPr>
          <w:trHeight w:val="282" w:hRule="exact"/>
        </w:trPr>
        <w:tc>
          <w:tcPr>
            <w:tcW w:w="19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87"/>
                <w:sz w:val="21"/>
                <w:szCs w:val="21"/>
              </w:rPr>
              <w:t>、</w:t>
            </w:r>
            <w:r>
              <w:rPr>
                <w:rFonts w:ascii="宋体" w:hAnsi="宋体" w:cs="宋体" w:eastAsia="宋体" w:hint="default"/>
                <w:sz w:val="21"/>
                <w:szCs w:val="21"/>
              </w:rPr>
              <w:t>境内上</w:t>
            </w:r>
            <w:r>
              <w:rPr>
                <w:rFonts w:ascii="宋体" w:hAnsi="宋体" w:cs="宋体" w:eastAsia="宋体" w:hint="default"/>
                <w:spacing w:val="-2"/>
                <w:sz w:val="21"/>
                <w:szCs w:val="21"/>
              </w:rPr>
              <w:t>市</w:t>
            </w:r>
            <w:r>
              <w:rPr>
                <w:rFonts w:ascii="宋体" w:hAnsi="宋体" w:cs="宋体" w:eastAsia="宋体" w:hint="default"/>
                <w:sz w:val="21"/>
                <w:szCs w:val="21"/>
              </w:rPr>
              <w:t>的外资股</w:t>
            </w:r>
          </w:p>
        </w:tc>
        <w:tc>
          <w:tcPr>
            <w:tcW w:w="109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87"/>
                <w:sz w:val="21"/>
                <w:szCs w:val="21"/>
              </w:rPr>
              <w:t>、</w:t>
            </w:r>
            <w:r>
              <w:rPr>
                <w:rFonts w:ascii="宋体" w:hAnsi="宋体" w:cs="宋体" w:eastAsia="宋体" w:hint="default"/>
                <w:sz w:val="21"/>
                <w:szCs w:val="21"/>
              </w:rPr>
              <w:t>境外上</w:t>
            </w:r>
            <w:r>
              <w:rPr>
                <w:rFonts w:ascii="宋体" w:hAnsi="宋体" w:cs="宋体" w:eastAsia="宋体" w:hint="default"/>
                <w:spacing w:val="-2"/>
                <w:sz w:val="21"/>
                <w:szCs w:val="21"/>
              </w:rPr>
              <w:t>市</w:t>
            </w:r>
            <w:r>
              <w:rPr>
                <w:rFonts w:ascii="宋体" w:hAnsi="宋体" w:cs="宋体" w:eastAsia="宋体" w:hint="default"/>
                <w:sz w:val="21"/>
                <w:szCs w:val="21"/>
              </w:rPr>
              <w:t>的外资股</w:t>
            </w:r>
          </w:p>
        </w:tc>
        <w:tc>
          <w:tcPr>
            <w:tcW w:w="109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09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5"/>
              <w:jc w:val="right"/>
              <w:rPr>
                <w:rFonts w:ascii="Times New Roman" w:hAnsi="Times New Roman" w:cs="Times New Roman" w:eastAsia="Times New Roman" w:hint="default"/>
                <w:sz w:val="21"/>
                <w:szCs w:val="21"/>
              </w:rPr>
            </w:pPr>
            <w:r>
              <w:rPr>
                <w:rFonts w:ascii="Times New Roman"/>
                <w:spacing w:val="-1"/>
                <w:sz w:val="21"/>
              </w:rPr>
              <w:t>60,000,000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60,000,000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60,000,000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120,000,000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0"/>
        <w:rPr>
          <w:rFonts w:ascii="宋体" w:hAnsi="宋体" w:cs="宋体" w:eastAsia="宋体" w:hint="default"/>
          <w:sz w:val="20"/>
          <w:szCs w:val="20"/>
        </w:rPr>
      </w:pPr>
    </w:p>
    <w:p>
      <w:pPr>
        <w:pStyle w:val="BodyText"/>
        <w:spacing w:line="240" w:lineRule="auto" w:before="182"/>
        <w:ind w:left="1157" w:right="0"/>
        <w:jc w:val="left"/>
      </w:pPr>
      <w:r>
        <w:rPr/>
        <w:t>（二）</w:t>
      </w:r>
      <w:r>
        <w:rPr>
          <w:spacing w:val="-87"/>
        </w:rPr>
        <w:t> </w:t>
      </w:r>
      <w:r>
        <w:rPr/>
        <w:t>限售股份变动情况表</w:t>
      </w:r>
    </w:p>
    <w:p>
      <w:pPr>
        <w:spacing w:line="240" w:lineRule="auto" w:before="2"/>
        <w:rPr>
          <w:rFonts w:ascii="宋体" w:hAnsi="宋体" w:cs="宋体" w:eastAsia="宋体" w:hint="default"/>
          <w:sz w:val="18"/>
          <w:szCs w:val="18"/>
        </w:rPr>
      </w:pPr>
    </w:p>
    <w:p>
      <w:pPr>
        <w:pStyle w:val="BodyText"/>
        <w:spacing w:line="240" w:lineRule="auto" w:before="29"/>
        <w:ind w:left="0" w:right="1172"/>
        <w:jc w:val="right"/>
      </w:pPr>
      <w:r>
        <w:rPr/>
        <w:t>单位：股</w:t>
      </w:r>
    </w:p>
    <w:p>
      <w:pPr>
        <w:spacing w:line="240" w:lineRule="auto" w:before="6"/>
        <w:rPr>
          <w:rFonts w:ascii="宋体" w:hAnsi="宋体" w:cs="宋体" w:eastAsia="宋体" w:hint="default"/>
          <w:sz w:val="6"/>
          <w:szCs w:val="6"/>
        </w:rPr>
      </w:pPr>
    </w:p>
    <w:tbl>
      <w:tblPr>
        <w:tblW w:w="0" w:type="auto"/>
        <w:jc w:val="left"/>
        <w:tblInd w:w="750" w:type="dxa"/>
        <w:tblLayout w:type="fixed"/>
        <w:tblCellMar>
          <w:top w:w="0" w:type="dxa"/>
          <w:left w:w="0" w:type="dxa"/>
          <w:bottom w:w="0" w:type="dxa"/>
          <w:right w:w="0" w:type="dxa"/>
        </w:tblCellMar>
        <w:tblLook w:val="01E0"/>
      </w:tblPr>
      <w:tblGrid>
        <w:gridCol w:w="1260"/>
        <w:gridCol w:w="1080"/>
        <w:gridCol w:w="1080"/>
        <w:gridCol w:w="1260"/>
        <w:gridCol w:w="1435"/>
        <w:gridCol w:w="1560"/>
        <w:gridCol w:w="1440"/>
      </w:tblGrid>
      <w:tr>
        <w:trPr>
          <w:trHeight w:val="554" w:hRule="exact"/>
        </w:trPr>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20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年初限售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3" w:right="0"/>
              <w:jc w:val="left"/>
              <w:rPr>
                <w:rFonts w:ascii="宋体" w:hAnsi="宋体" w:cs="宋体" w:eastAsia="宋体" w:hint="default"/>
                <w:sz w:val="21"/>
                <w:szCs w:val="21"/>
              </w:rPr>
            </w:pPr>
            <w:r>
              <w:rPr>
                <w:rFonts w:ascii="宋体" w:hAnsi="宋体" w:cs="宋体" w:eastAsia="宋体" w:hint="default"/>
                <w:sz w:val="21"/>
                <w:szCs w:val="21"/>
              </w:rPr>
              <w:t>本期解除</w:t>
            </w:r>
          </w:p>
          <w:p>
            <w:pPr>
              <w:pStyle w:val="TableParagraph"/>
              <w:spacing w:line="274" w:lineRule="exact"/>
              <w:ind w:left="113"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04" w:right="0"/>
              <w:jc w:val="left"/>
              <w:rPr>
                <w:rFonts w:ascii="宋体" w:hAnsi="宋体" w:cs="宋体" w:eastAsia="宋体" w:hint="default"/>
                <w:sz w:val="21"/>
                <w:szCs w:val="21"/>
              </w:rPr>
            </w:pPr>
            <w:r>
              <w:rPr>
                <w:rFonts w:ascii="宋体" w:hAnsi="宋体" w:cs="宋体" w:eastAsia="宋体" w:hint="default"/>
                <w:sz w:val="21"/>
                <w:szCs w:val="21"/>
              </w:rPr>
              <w:t>本期增加</w:t>
            </w:r>
          </w:p>
          <w:p>
            <w:pPr>
              <w:pStyle w:val="TableParagraph"/>
              <w:spacing w:line="274" w:lineRule="exact"/>
              <w:ind w:left="204"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4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期末限售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354"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84"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张学君</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13,954,500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13,954,500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27,909,000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2013-05-26</w:t>
            </w: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何晔</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2"/>
                <w:sz w:val="21"/>
              </w:rPr>
              <w:t>11,961,000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2"/>
                <w:sz w:val="21"/>
              </w:rPr>
              <w:t>11,961,000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23,922,000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2013-05-26</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陈向军</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5,980,500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5,980,500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2"/>
                <w:sz w:val="21"/>
              </w:rPr>
              <w:t>11,961,000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2013-05-26</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640" w:right="62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1260"/>
        <w:gridCol w:w="1080"/>
        <w:gridCol w:w="1080"/>
        <w:gridCol w:w="1260"/>
        <w:gridCol w:w="1435"/>
        <w:gridCol w:w="1560"/>
        <w:gridCol w:w="1440"/>
      </w:tblGrid>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李军</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5,980,500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5,980,500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2"/>
                <w:sz w:val="21"/>
              </w:rPr>
              <w:t>11,961,000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2013-05-26</w:t>
            </w: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汪旻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1,993,500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1,993,500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3,987,000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2013-05-26</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刘奕</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432,000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432,000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648,000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648,000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高管锁定股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许秋江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432,000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432,000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648,000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648,000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高管锁定股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唐劲星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351,000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351,000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526,500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526,500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高管锁定股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彭建文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301,500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301,500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452,250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452,250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高管锁定股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杨金敏</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54,000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54,000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81,000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81,000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高管锁定股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周峰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22,500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22,500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33,750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33,750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高管锁定股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41,463,000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1,593,000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42,259,500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82,129,500</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348" w:lineRule="auto" w:before="86"/>
        <w:ind w:left="517" w:right="511" w:firstLine="420"/>
        <w:jc w:val="both"/>
        <w:rPr>
          <w:rFonts w:ascii="宋体" w:hAnsi="宋体" w:cs="宋体" w:eastAsia="宋体" w:hint="default"/>
          <w:sz w:val="21"/>
          <w:szCs w:val="21"/>
        </w:rPr>
      </w:pPr>
      <w:r>
        <w:rPr>
          <w:rFonts w:ascii="宋体" w:hAnsi="宋体" w:cs="宋体" w:eastAsia="宋体" w:hint="default"/>
          <w:spacing w:val="-3"/>
          <w:sz w:val="21"/>
          <w:szCs w:val="21"/>
        </w:rPr>
        <w:t>注：公司高级管理人员刘奕、许秋江、唐劲星、彭建文、杨金敏、周峰六人所持股份于</w:t>
      </w:r>
      <w:r>
        <w:rPr>
          <w:rFonts w:ascii="宋体" w:hAnsi="宋体" w:cs="宋体" w:eastAsia="宋体" w:hint="default"/>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日解除限售后，依照《深圳证券交易所创业板上市公司规范运作指引》的相 关规定，在其任职期间所持有的公司股票每年按上年末持股总数的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75%</w:t>
      </w:r>
      <w:r>
        <w:rPr>
          <w:rFonts w:ascii="宋体" w:hAnsi="宋体" w:cs="宋体" w:eastAsia="宋体" w:hint="default"/>
          <w:sz w:val="21"/>
          <w:szCs w:val="21"/>
        </w:rPr>
        <w:t>予以锁定。</w:t>
      </w:r>
    </w:p>
    <w:p>
      <w:pPr>
        <w:pStyle w:val="Heading5"/>
        <w:spacing w:line="240" w:lineRule="auto" w:before="128"/>
        <w:ind w:left="517" w:right="0"/>
        <w:jc w:val="left"/>
        <w:rPr>
          <w:b w:val="0"/>
          <w:bCs w:val="0"/>
        </w:rPr>
      </w:pPr>
      <w:r>
        <w:rPr/>
        <w:t>二、</w:t>
      </w:r>
      <w:r>
        <w:rPr>
          <w:spacing w:val="-42"/>
        </w:rPr>
        <w:t> </w:t>
      </w:r>
      <w:r>
        <w:rPr/>
        <w:t>前</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spacing w:val="-6"/>
        </w:rPr>
        <w:t>名股东、前</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名无限售流通股股东情况介绍（截至</w:t>
      </w:r>
      <w:r>
        <w:rPr>
          <w:spacing w:val="-61"/>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r>
        <w:rPr>
          <w:b w:val="0"/>
          <w:bCs w:val="0"/>
        </w:rPr>
      </w:r>
    </w:p>
    <w:p>
      <w:pPr>
        <w:pStyle w:val="BodyText"/>
        <w:spacing w:line="240" w:lineRule="auto" w:before="129"/>
        <w:ind w:left="0" w:right="512"/>
        <w:jc w:val="right"/>
      </w:pPr>
      <w:r>
        <w:rPr/>
        <w:t>单位：股</w:t>
      </w:r>
    </w:p>
    <w:p>
      <w:pPr>
        <w:spacing w:line="240" w:lineRule="auto" w:before="6"/>
        <w:rPr>
          <w:rFonts w:ascii="宋体" w:hAnsi="宋体" w:cs="宋体" w:eastAsia="宋体" w:hint="default"/>
          <w:sz w:val="6"/>
          <w:szCs w:val="6"/>
        </w:rPr>
      </w:pPr>
    </w:p>
    <w:tbl>
      <w:tblPr>
        <w:tblW w:w="0" w:type="auto"/>
        <w:jc w:val="left"/>
        <w:tblInd w:w="332" w:type="dxa"/>
        <w:tblLayout w:type="fixed"/>
        <w:tblCellMar>
          <w:top w:w="0" w:type="dxa"/>
          <w:left w:w="0" w:type="dxa"/>
          <w:bottom w:w="0" w:type="dxa"/>
          <w:right w:w="0" w:type="dxa"/>
        </w:tblCellMar>
        <w:tblLook w:val="01E0"/>
      </w:tblPr>
      <w:tblGrid>
        <w:gridCol w:w="1980"/>
        <w:gridCol w:w="1260"/>
        <w:gridCol w:w="1031"/>
        <w:gridCol w:w="229"/>
        <w:gridCol w:w="1440"/>
        <w:gridCol w:w="588"/>
        <w:gridCol w:w="852"/>
        <w:gridCol w:w="1440"/>
      </w:tblGrid>
      <w:tr>
        <w:trPr>
          <w:trHeight w:val="140" w:hRule="exact"/>
        </w:trPr>
        <w:tc>
          <w:tcPr>
            <w:tcW w:w="1980" w:type="dxa"/>
            <w:tcBorders>
              <w:top w:val="single" w:sz="4" w:space="0" w:color="000000"/>
              <w:left w:val="single" w:sz="4" w:space="0" w:color="000000"/>
              <w:bottom w:val="nil" w:sz="6" w:space="0" w:color="auto"/>
              <w:right w:val="single" w:sz="4" w:space="0" w:color="000000"/>
            </w:tcBorders>
            <w:shd w:val="clear" w:color="auto" w:fill="DCDCDC"/>
          </w:tcPr>
          <w:p>
            <w:pPr/>
          </w:p>
        </w:tc>
        <w:tc>
          <w:tcPr>
            <w:tcW w:w="2291" w:type="dxa"/>
            <w:gridSpan w:val="2"/>
            <w:vMerge w:val="restart"/>
            <w:tcBorders>
              <w:top w:val="single" w:sz="4" w:space="0" w:color="000000"/>
              <w:left w:val="single" w:sz="13" w:space="0" w:color="DCDCDC"/>
              <w:right w:val="single" w:sz="12" w:space="0" w:color="DCDCDC"/>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9,686</w:t>
            </w:r>
          </w:p>
        </w:tc>
        <w:tc>
          <w:tcPr>
            <w:tcW w:w="2257"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本年度报告公布日前一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个月末股东总数</w:t>
            </w:r>
          </w:p>
        </w:tc>
        <w:tc>
          <w:tcPr>
            <w:tcW w:w="2292" w:type="dxa"/>
            <w:gridSpan w:val="2"/>
            <w:vMerge w:val="restart"/>
            <w:tcBorders>
              <w:top w:val="single" w:sz="4" w:space="0" w:color="000000"/>
              <w:left w:val="single" w:sz="13" w:space="0" w:color="DCDCDC"/>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9,488</w:t>
            </w:r>
          </w:p>
        </w:tc>
      </w:tr>
      <w:tr>
        <w:trPr>
          <w:trHeight w:val="272" w:hRule="exact"/>
        </w:trPr>
        <w:tc>
          <w:tcPr>
            <w:tcW w:w="19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right="565"/>
              <w:jc w:val="right"/>
              <w:rPr>
                <w:rFonts w:ascii="宋体" w:hAnsi="宋体" w:cs="宋体" w:eastAsia="宋体" w:hint="default"/>
                <w:sz w:val="21"/>
                <w:szCs w:val="21"/>
              </w:rPr>
            </w:pPr>
            <w:r>
              <w:rPr>
                <w:rFonts w:ascii="宋体" w:hAnsi="宋体" w:cs="宋体" w:eastAsia="宋体" w:hint="default"/>
                <w:sz w:val="21"/>
                <w:szCs w:val="21"/>
              </w:rPr>
              <w:t>股东总数</w:t>
            </w:r>
          </w:p>
        </w:tc>
        <w:tc>
          <w:tcPr>
            <w:tcW w:w="2291" w:type="dxa"/>
            <w:gridSpan w:val="2"/>
            <w:vMerge/>
            <w:tcBorders>
              <w:left w:val="single" w:sz="13" w:space="0" w:color="DCDCDC"/>
              <w:right w:val="single" w:sz="12" w:space="0" w:color="DCDCDC"/>
            </w:tcBorders>
          </w:tcPr>
          <w:p>
            <w:pPr/>
          </w:p>
        </w:tc>
        <w:tc>
          <w:tcPr>
            <w:tcW w:w="2257" w:type="dxa"/>
            <w:gridSpan w:val="3"/>
            <w:vMerge/>
            <w:tcBorders>
              <w:left w:val="single" w:sz="4" w:space="0" w:color="000000"/>
              <w:right w:val="single" w:sz="4" w:space="0" w:color="000000"/>
            </w:tcBorders>
            <w:shd w:val="clear" w:color="auto" w:fill="DCDCDC"/>
          </w:tcPr>
          <w:p>
            <w:pPr/>
          </w:p>
        </w:tc>
        <w:tc>
          <w:tcPr>
            <w:tcW w:w="2292" w:type="dxa"/>
            <w:gridSpan w:val="2"/>
            <w:vMerge/>
            <w:tcBorders>
              <w:left w:val="single" w:sz="13" w:space="0" w:color="DCDCDC"/>
              <w:right w:val="single" w:sz="4" w:space="0" w:color="000000"/>
            </w:tcBorders>
          </w:tcPr>
          <w:p>
            <w:pPr/>
          </w:p>
        </w:tc>
      </w:tr>
      <w:tr>
        <w:trPr>
          <w:trHeight w:val="142" w:hRule="exact"/>
        </w:trPr>
        <w:tc>
          <w:tcPr>
            <w:tcW w:w="1980" w:type="dxa"/>
            <w:tcBorders>
              <w:top w:val="nil" w:sz="6" w:space="0" w:color="auto"/>
              <w:left w:val="single" w:sz="4" w:space="0" w:color="000000"/>
              <w:bottom w:val="single" w:sz="4" w:space="0" w:color="000000"/>
              <w:right w:val="single" w:sz="4" w:space="0" w:color="000000"/>
            </w:tcBorders>
            <w:shd w:val="clear" w:color="auto" w:fill="DCDCDC"/>
          </w:tcPr>
          <w:p>
            <w:pPr/>
          </w:p>
        </w:tc>
        <w:tc>
          <w:tcPr>
            <w:tcW w:w="2291" w:type="dxa"/>
            <w:gridSpan w:val="2"/>
            <w:vMerge/>
            <w:tcBorders>
              <w:left w:val="single" w:sz="13" w:space="0" w:color="DCDCDC"/>
              <w:bottom w:val="single" w:sz="4" w:space="0" w:color="000000"/>
              <w:right w:val="single" w:sz="12" w:space="0" w:color="DCDCDC"/>
            </w:tcBorders>
          </w:tcPr>
          <w:p>
            <w:pPr/>
          </w:p>
        </w:tc>
        <w:tc>
          <w:tcPr>
            <w:tcW w:w="2257" w:type="dxa"/>
            <w:gridSpan w:val="3"/>
            <w:vMerge/>
            <w:tcBorders>
              <w:left w:val="single" w:sz="4" w:space="0" w:color="000000"/>
              <w:bottom w:val="single" w:sz="4" w:space="0" w:color="000000"/>
              <w:right w:val="single" w:sz="4" w:space="0" w:color="000000"/>
            </w:tcBorders>
            <w:shd w:val="clear" w:color="auto" w:fill="DCDCDC"/>
          </w:tcPr>
          <w:p>
            <w:pPr/>
          </w:p>
        </w:tc>
        <w:tc>
          <w:tcPr>
            <w:tcW w:w="2292" w:type="dxa"/>
            <w:gridSpan w:val="2"/>
            <w:vMerge/>
            <w:tcBorders>
              <w:left w:val="single" w:sz="13" w:space="0" w:color="DCDCDC"/>
              <w:bottom w:val="single" w:sz="4" w:space="0" w:color="000000"/>
              <w:right w:val="single" w:sz="4" w:space="0" w:color="000000"/>
            </w:tcBorders>
          </w:tcPr>
          <w:p>
            <w:pPr/>
          </w:p>
        </w:tc>
      </w:tr>
      <w:tr>
        <w:trPr>
          <w:trHeight w:val="282" w:hRule="exact"/>
        </w:trPr>
        <w:tc>
          <w:tcPr>
            <w:tcW w:w="8820"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right="2"/>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名股东持股情况</w:t>
            </w:r>
          </w:p>
        </w:tc>
      </w:tr>
      <w:tr>
        <w:trPr>
          <w:trHeight w:val="140" w:hRule="exact"/>
        </w:trPr>
        <w:tc>
          <w:tcPr>
            <w:tcW w:w="19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持有有限售条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件股份数量</w:t>
            </w: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质押或冻结的</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股份数量</w:t>
            </w:r>
          </w:p>
        </w:tc>
      </w:tr>
      <w:tr>
        <w:trPr>
          <w:trHeight w:val="272" w:hRule="exact"/>
        </w:trPr>
        <w:tc>
          <w:tcPr>
            <w:tcW w:w="19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right="565"/>
              <w:jc w:val="right"/>
              <w:rPr>
                <w:rFonts w:ascii="宋体" w:hAnsi="宋体" w:cs="宋体" w:eastAsia="宋体" w:hint="default"/>
                <w:sz w:val="21"/>
                <w:szCs w:val="21"/>
              </w:rPr>
            </w:pPr>
            <w:r>
              <w:rPr>
                <w:rFonts w:ascii="宋体" w:hAnsi="宋体" w:cs="宋体" w:eastAsia="宋体" w:hint="default"/>
                <w:sz w:val="21"/>
                <w:szCs w:val="21"/>
              </w:rPr>
              <w:t>股东名称</w:t>
            </w:r>
          </w:p>
        </w:tc>
        <w:tc>
          <w:tcPr>
            <w:tcW w:w="12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right="205"/>
              <w:jc w:val="right"/>
              <w:rPr>
                <w:rFonts w:ascii="宋体" w:hAnsi="宋体" w:cs="宋体" w:eastAsia="宋体" w:hint="default"/>
                <w:sz w:val="21"/>
                <w:szCs w:val="21"/>
              </w:rPr>
            </w:pPr>
            <w:r>
              <w:rPr>
                <w:rFonts w:ascii="宋体" w:hAnsi="宋体" w:cs="宋体" w:eastAsia="宋体" w:hint="default"/>
                <w:sz w:val="21"/>
                <w:szCs w:val="21"/>
              </w:rPr>
              <w:t>股东性质</w:t>
            </w:r>
          </w:p>
        </w:tc>
        <w:tc>
          <w:tcPr>
            <w:tcW w:w="126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left="202"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4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left="292"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440" w:type="dxa"/>
            <w:gridSpan w:val="2"/>
            <w:vMerge/>
            <w:tcBorders>
              <w:left w:val="single" w:sz="4" w:space="0" w:color="000000"/>
              <w:right w:val="single" w:sz="4" w:space="0" w:color="000000"/>
            </w:tcBorders>
            <w:shd w:val="clear" w:color="auto" w:fill="DCDCDC"/>
          </w:tcPr>
          <w:p>
            <w:pPr/>
          </w:p>
        </w:tc>
        <w:tc>
          <w:tcPr>
            <w:tcW w:w="1440" w:type="dxa"/>
            <w:vMerge/>
            <w:tcBorders>
              <w:left w:val="single" w:sz="4" w:space="0" w:color="000000"/>
              <w:right w:val="single" w:sz="4" w:space="0" w:color="000000"/>
            </w:tcBorders>
            <w:shd w:val="clear" w:color="auto" w:fill="DCDCDC"/>
          </w:tcPr>
          <w:p>
            <w:pPr/>
          </w:p>
        </w:tc>
      </w:tr>
      <w:tr>
        <w:trPr>
          <w:trHeight w:val="142" w:hRule="exact"/>
        </w:trPr>
        <w:tc>
          <w:tcPr>
            <w:tcW w:w="19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gridSpan w:val="2"/>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张学君</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6"/>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77" w:right="0"/>
              <w:jc w:val="left"/>
              <w:rPr>
                <w:rFonts w:ascii="Times New Roman" w:hAnsi="Times New Roman" w:cs="Times New Roman" w:eastAsia="Times New Roman" w:hint="default"/>
                <w:sz w:val="21"/>
                <w:szCs w:val="21"/>
              </w:rPr>
            </w:pPr>
            <w:r>
              <w:rPr>
                <w:rFonts w:ascii="Times New Roman"/>
                <w:sz w:val="21"/>
              </w:rPr>
              <w:t>23.26%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27,909,000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59" w:right="0"/>
              <w:jc w:val="left"/>
              <w:rPr>
                <w:rFonts w:ascii="Times New Roman" w:hAnsi="Times New Roman" w:cs="Times New Roman" w:eastAsia="Times New Roman" w:hint="default"/>
                <w:sz w:val="21"/>
                <w:szCs w:val="21"/>
              </w:rPr>
            </w:pPr>
            <w:r>
              <w:rPr>
                <w:rFonts w:ascii="Times New Roman"/>
                <w:sz w:val="21"/>
              </w:rPr>
              <w:t>27,909,000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
              <w:jc w:val="center"/>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何晔</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6"/>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77" w:right="0"/>
              <w:jc w:val="left"/>
              <w:rPr>
                <w:rFonts w:ascii="Times New Roman" w:hAnsi="Times New Roman" w:cs="Times New Roman" w:eastAsia="Times New Roman" w:hint="default"/>
                <w:sz w:val="21"/>
                <w:szCs w:val="21"/>
              </w:rPr>
            </w:pPr>
            <w:r>
              <w:rPr>
                <w:rFonts w:ascii="Times New Roman"/>
                <w:sz w:val="21"/>
              </w:rPr>
              <w:t>19.94%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23,922,000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59" w:right="0"/>
              <w:jc w:val="left"/>
              <w:rPr>
                <w:rFonts w:ascii="Times New Roman" w:hAnsi="Times New Roman" w:cs="Times New Roman" w:eastAsia="Times New Roman" w:hint="default"/>
                <w:sz w:val="21"/>
                <w:szCs w:val="21"/>
              </w:rPr>
            </w:pPr>
            <w:r>
              <w:rPr>
                <w:rFonts w:ascii="Times New Roman"/>
                <w:sz w:val="21"/>
              </w:rPr>
              <w:t>23,922,000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
              <w:jc w:val="center"/>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陈向军</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6"/>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81" w:right="0"/>
              <w:jc w:val="left"/>
              <w:rPr>
                <w:rFonts w:ascii="Times New Roman" w:hAnsi="Times New Roman" w:cs="Times New Roman" w:eastAsia="Times New Roman" w:hint="default"/>
                <w:sz w:val="21"/>
                <w:szCs w:val="21"/>
              </w:rPr>
            </w:pPr>
            <w:r>
              <w:rPr>
                <w:rFonts w:ascii="Times New Roman"/>
                <w:sz w:val="21"/>
              </w:rPr>
              <w:t>9.97%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2"/>
                <w:sz w:val="21"/>
              </w:rPr>
              <w:t>11,961,000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66" w:right="0"/>
              <w:jc w:val="left"/>
              <w:rPr>
                <w:rFonts w:ascii="Times New Roman" w:hAnsi="Times New Roman" w:cs="Times New Roman" w:eastAsia="Times New Roman" w:hint="default"/>
                <w:sz w:val="21"/>
                <w:szCs w:val="21"/>
              </w:rPr>
            </w:pPr>
            <w:r>
              <w:rPr>
                <w:rFonts w:ascii="Times New Roman"/>
                <w:sz w:val="21"/>
              </w:rPr>
              <w:t>11,961,000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
              <w:jc w:val="center"/>
              <w:rPr>
                <w:rFonts w:ascii="Times New Roman" w:hAnsi="Times New Roman" w:cs="Times New Roman" w:eastAsia="Times New Roman" w:hint="default"/>
                <w:sz w:val="21"/>
                <w:szCs w:val="21"/>
              </w:rPr>
            </w:pPr>
            <w:r>
              <w:rPr>
                <w:rFonts w:ascii="Times New Roman"/>
                <w:sz w:val="21"/>
              </w:rPr>
              <w:t>1,400,000</w:t>
            </w: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李军</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6"/>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81" w:right="0"/>
              <w:jc w:val="left"/>
              <w:rPr>
                <w:rFonts w:ascii="Times New Roman" w:hAnsi="Times New Roman" w:cs="Times New Roman" w:eastAsia="Times New Roman" w:hint="default"/>
                <w:sz w:val="21"/>
                <w:szCs w:val="21"/>
              </w:rPr>
            </w:pPr>
            <w:r>
              <w:rPr>
                <w:rFonts w:ascii="Times New Roman"/>
                <w:sz w:val="21"/>
              </w:rPr>
              <w:t>9.97%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2"/>
                <w:sz w:val="21"/>
              </w:rPr>
              <w:t>11,961,000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66" w:right="0"/>
              <w:jc w:val="left"/>
              <w:rPr>
                <w:rFonts w:ascii="Times New Roman" w:hAnsi="Times New Roman" w:cs="Times New Roman" w:eastAsia="Times New Roman" w:hint="default"/>
                <w:sz w:val="21"/>
                <w:szCs w:val="21"/>
              </w:rPr>
            </w:pPr>
            <w:r>
              <w:rPr>
                <w:rFonts w:ascii="Times New Roman"/>
                <w:sz w:val="21"/>
              </w:rPr>
              <w:t>11,961,000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
              <w:jc w:val="center"/>
              <w:rPr>
                <w:rFonts w:ascii="Times New Roman" w:hAnsi="Times New Roman" w:cs="Times New Roman" w:eastAsia="Times New Roman" w:hint="default"/>
                <w:sz w:val="21"/>
                <w:szCs w:val="21"/>
              </w:rPr>
            </w:pPr>
            <w:r>
              <w:rPr>
                <w:rFonts w:ascii="Times New Roman"/>
                <w:sz w:val="21"/>
              </w:rPr>
              <w:t>2,400,000</w:t>
            </w:r>
          </w:p>
        </w:tc>
      </w:tr>
      <w:tr>
        <w:trPr>
          <w:trHeight w:val="28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汪旻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6"/>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81" w:right="0"/>
              <w:jc w:val="left"/>
              <w:rPr>
                <w:rFonts w:ascii="Times New Roman" w:hAnsi="Times New Roman" w:cs="Times New Roman" w:eastAsia="Times New Roman" w:hint="default"/>
                <w:sz w:val="21"/>
                <w:szCs w:val="21"/>
              </w:rPr>
            </w:pPr>
            <w:r>
              <w:rPr>
                <w:rFonts w:ascii="Times New Roman"/>
                <w:sz w:val="21"/>
              </w:rPr>
              <w:t>3.32%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3,987,000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64" w:right="0"/>
              <w:jc w:val="left"/>
              <w:rPr>
                <w:rFonts w:ascii="Times New Roman" w:hAnsi="Times New Roman" w:cs="Times New Roman" w:eastAsia="Times New Roman" w:hint="default"/>
                <w:sz w:val="21"/>
                <w:szCs w:val="21"/>
              </w:rPr>
            </w:pPr>
            <w:r>
              <w:rPr>
                <w:rFonts w:ascii="Times New Roman"/>
                <w:sz w:val="21"/>
              </w:rPr>
              <w:t>3,987,000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刘奕</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6"/>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81" w:right="0"/>
              <w:jc w:val="left"/>
              <w:rPr>
                <w:rFonts w:ascii="Times New Roman" w:hAnsi="Times New Roman" w:cs="Times New Roman" w:eastAsia="Times New Roman" w:hint="default"/>
                <w:sz w:val="21"/>
                <w:szCs w:val="21"/>
              </w:rPr>
            </w:pPr>
            <w:r>
              <w:rPr>
                <w:rFonts w:ascii="Times New Roman"/>
                <w:sz w:val="21"/>
              </w:rPr>
              <w:t>0.62%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748,000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21" w:right="0"/>
              <w:jc w:val="left"/>
              <w:rPr>
                <w:rFonts w:ascii="Times New Roman" w:hAnsi="Times New Roman" w:cs="Times New Roman" w:eastAsia="Times New Roman" w:hint="default"/>
                <w:sz w:val="21"/>
                <w:szCs w:val="21"/>
              </w:rPr>
            </w:pPr>
            <w:r>
              <w:rPr>
                <w:rFonts w:ascii="Times New Roman"/>
                <w:sz w:val="21"/>
              </w:rPr>
              <w:t>648,000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王连益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6"/>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81" w:right="0"/>
              <w:jc w:val="left"/>
              <w:rPr>
                <w:rFonts w:ascii="Times New Roman" w:hAnsi="Times New Roman" w:cs="Times New Roman" w:eastAsia="Times New Roman" w:hint="default"/>
                <w:sz w:val="21"/>
                <w:szCs w:val="21"/>
              </w:rPr>
            </w:pPr>
            <w:r>
              <w:rPr>
                <w:rFonts w:ascii="Times New Roman"/>
                <w:sz w:val="21"/>
              </w:rPr>
              <w:t>0.61%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730,701</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0</w:t>
            </w: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许秋江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6"/>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81" w:right="0"/>
              <w:jc w:val="left"/>
              <w:rPr>
                <w:rFonts w:ascii="Times New Roman" w:hAnsi="Times New Roman" w:cs="Times New Roman" w:eastAsia="Times New Roman" w:hint="default"/>
                <w:sz w:val="21"/>
                <w:szCs w:val="21"/>
              </w:rPr>
            </w:pPr>
            <w:r>
              <w:rPr>
                <w:rFonts w:ascii="Times New Roman"/>
                <w:sz w:val="21"/>
              </w:rPr>
              <w:t>0.54%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648,000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21" w:right="0"/>
              <w:jc w:val="left"/>
              <w:rPr>
                <w:rFonts w:ascii="Times New Roman" w:hAnsi="Times New Roman" w:cs="Times New Roman" w:eastAsia="Times New Roman" w:hint="default"/>
                <w:sz w:val="21"/>
                <w:szCs w:val="21"/>
              </w:rPr>
            </w:pPr>
            <w:r>
              <w:rPr>
                <w:rFonts w:ascii="Times New Roman"/>
                <w:sz w:val="21"/>
              </w:rPr>
              <w:t>648,000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唐劲星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6"/>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81" w:right="0"/>
              <w:jc w:val="left"/>
              <w:rPr>
                <w:rFonts w:ascii="Times New Roman" w:hAnsi="Times New Roman" w:cs="Times New Roman" w:eastAsia="Times New Roman" w:hint="default"/>
                <w:sz w:val="21"/>
                <w:szCs w:val="21"/>
              </w:rPr>
            </w:pPr>
            <w:r>
              <w:rPr>
                <w:rFonts w:ascii="Times New Roman"/>
                <w:sz w:val="21"/>
              </w:rPr>
              <w:t>0.50%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598,400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21" w:right="0"/>
              <w:jc w:val="left"/>
              <w:rPr>
                <w:rFonts w:ascii="Times New Roman" w:hAnsi="Times New Roman" w:cs="Times New Roman" w:eastAsia="Times New Roman" w:hint="default"/>
                <w:sz w:val="21"/>
                <w:szCs w:val="21"/>
              </w:rPr>
            </w:pPr>
            <w:r>
              <w:rPr>
                <w:rFonts w:ascii="Times New Roman"/>
                <w:sz w:val="21"/>
              </w:rPr>
              <w:t>526,500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彭建文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6"/>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81" w:right="0"/>
              <w:jc w:val="left"/>
              <w:rPr>
                <w:rFonts w:ascii="Times New Roman" w:hAnsi="Times New Roman" w:cs="Times New Roman" w:eastAsia="Times New Roman" w:hint="default"/>
                <w:sz w:val="21"/>
                <w:szCs w:val="21"/>
              </w:rPr>
            </w:pPr>
            <w:r>
              <w:rPr>
                <w:rFonts w:ascii="Times New Roman"/>
                <w:sz w:val="21"/>
              </w:rPr>
              <w:t>0.42%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502,250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21" w:right="0"/>
              <w:jc w:val="left"/>
              <w:rPr>
                <w:rFonts w:ascii="Times New Roman" w:hAnsi="Times New Roman" w:cs="Times New Roman" w:eastAsia="Times New Roman" w:hint="default"/>
                <w:sz w:val="21"/>
                <w:szCs w:val="21"/>
              </w:rPr>
            </w:pPr>
            <w:r>
              <w:rPr>
                <w:rFonts w:ascii="Times New Roman"/>
                <w:sz w:val="21"/>
              </w:rPr>
              <w:t>452,250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0</w:t>
            </w:r>
          </w:p>
        </w:tc>
      </w:tr>
      <w:tr>
        <w:trPr>
          <w:trHeight w:val="283" w:hRule="exact"/>
        </w:trPr>
        <w:tc>
          <w:tcPr>
            <w:tcW w:w="8820"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2881"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名无限售条件股东持股情况</w:t>
            </w:r>
          </w:p>
        </w:tc>
      </w:tr>
      <w:tr>
        <w:trPr>
          <w:trHeight w:val="282" w:hRule="exact"/>
        </w:trPr>
        <w:tc>
          <w:tcPr>
            <w:tcW w:w="32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70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88"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88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282" w:hRule="exact"/>
        </w:trPr>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王连益</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730,701</w:t>
            </w:r>
          </w:p>
        </w:tc>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0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韩强</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333,000</w:t>
            </w:r>
          </w:p>
        </w:tc>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0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周力军</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303,600</w:t>
            </w:r>
          </w:p>
        </w:tc>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0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曾钰雯</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296,761</w:t>
            </w:r>
          </w:p>
        </w:tc>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0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刘东才</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203,000</w:t>
            </w:r>
          </w:p>
        </w:tc>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0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蒋红霞</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200,000</w:t>
            </w:r>
          </w:p>
        </w:tc>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0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何迁</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186,500</w:t>
            </w:r>
          </w:p>
        </w:tc>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0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 w:right="0"/>
              <w:jc w:val="left"/>
              <w:rPr>
                <w:rFonts w:ascii="宋体" w:hAnsi="宋体" w:cs="宋体" w:eastAsia="宋体" w:hint="default"/>
                <w:sz w:val="21"/>
                <w:szCs w:val="21"/>
              </w:rPr>
            </w:pPr>
            <w:r>
              <w:rPr>
                <w:rFonts w:ascii="宋体" w:hAnsi="宋体" w:cs="宋体" w:eastAsia="宋体" w:hint="default"/>
                <w:sz w:val="21"/>
                <w:szCs w:val="21"/>
              </w:rPr>
              <w:t>齐鲁证券有限公司客户信用交易担</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保证券账户</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180,000</w:t>
            </w:r>
          </w:p>
        </w:tc>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0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王旭东</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175,700</w:t>
            </w:r>
          </w:p>
        </w:tc>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0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高向群</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163,300</w:t>
            </w:r>
          </w:p>
        </w:tc>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0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1099" w:hRule="exact"/>
        </w:trPr>
        <w:tc>
          <w:tcPr>
            <w:tcW w:w="32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508" w:right="41" w:hanging="147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 明</w:t>
            </w:r>
          </w:p>
        </w:tc>
        <w:tc>
          <w:tcPr>
            <w:tcW w:w="5580" w:type="dxa"/>
            <w:gridSpan w:val="6"/>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 w:right="0"/>
              <w:jc w:val="both"/>
              <w:rPr>
                <w:rFonts w:ascii="宋体" w:hAnsi="宋体" w:cs="宋体" w:eastAsia="宋体" w:hint="default"/>
                <w:sz w:val="21"/>
                <w:szCs w:val="21"/>
              </w:rPr>
            </w:pPr>
            <w:r>
              <w:rPr>
                <w:rFonts w:ascii="宋体" w:hAnsi="宋体" w:cs="宋体" w:eastAsia="宋体" w:hint="default"/>
                <w:sz w:val="21"/>
                <w:szCs w:val="21"/>
              </w:rPr>
              <w:t>公司前十名股东之间，何晔和许秋江为配偶关系；张学君、</w:t>
            </w:r>
          </w:p>
          <w:p>
            <w:pPr>
              <w:pStyle w:val="TableParagraph"/>
              <w:spacing w:line="237" w:lineRule="auto" w:before="1"/>
              <w:ind w:left="21" w:right="86"/>
              <w:jc w:val="both"/>
              <w:rPr>
                <w:rFonts w:ascii="宋体" w:hAnsi="宋体" w:cs="宋体" w:eastAsia="宋体" w:hint="default"/>
                <w:sz w:val="21"/>
                <w:szCs w:val="21"/>
              </w:rPr>
            </w:pPr>
            <w:r>
              <w:rPr>
                <w:rFonts w:ascii="宋体" w:hAnsi="宋体" w:cs="宋体" w:eastAsia="宋体" w:hint="default"/>
                <w:sz w:val="21"/>
                <w:szCs w:val="21"/>
              </w:rPr>
              <w:t>陈向军、李军三人为公司共同实际控制人、一致行动人。除 此以外，公司未知其他股东之间是否存在关联关系，是否属 于一致行动人。</w:t>
            </w:r>
          </w:p>
        </w:tc>
      </w:tr>
    </w:tbl>
    <w:p>
      <w:pPr>
        <w:spacing w:after="0" w:line="237" w:lineRule="auto"/>
        <w:jc w:val="both"/>
        <w:rPr>
          <w:rFonts w:ascii="宋体" w:hAnsi="宋体" w:cs="宋体" w:eastAsia="宋体" w:hint="default"/>
          <w:sz w:val="21"/>
          <w:szCs w:val="21"/>
        </w:rPr>
        <w:sectPr>
          <w:pgSz w:w="11910" w:h="16840"/>
          <w:pgMar w:header="877" w:footer="982" w:top="1100" w:bottom="1180" w:left="128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line="453" w:lineRule="auto" w:before="29"/>
        <w:ind w:left="597" w:right="0" w:hanging="460"/>
        <w:jc w:val="left"/>
        <w:rPr>
          <w:rFonts w:ascii="宋体" w:hAnsi="宋体" w:cs="宋体" w:eastAsia="宋体" w:hint="default"/>
          <w:sz w:val="23"/>
          <w:szCs w:val="23"/>
        </w:rPr>
      </w:pPr>
      <w:r>
        <w:rPr>
          <w:rFonts w:ascii="宋体" w:hAnsi="宋体" w:cs="宋体" w:eastAsia="宋体" w:hint="default"/>
          <w:b/>
          <w:bCs/>
          <w:sz w:val="23"/>
          <w:szCs w:val="23"/>
        </w:rPr>
        <w:t>三、</w:t>
      </w:r>
      <w:r>
        <w:rPr>
          <w:rFonts w:ascii="宋体" w:hAnsi="宋体" w:cs="宋体" w:eastAsia="宋体" w:hint="default"/>
          <w:b/>
          <w:bCs/>
          <w:spacing w:val="-38"/>
          <w:sz w:val="23"/>
          <w:szCs w:val="23"/>
        </w:rPr>
        <w:t> </w:t>
      </w:r>
      <w:r>
        <w:rPr>
          <w:rFonts w:ascii="宋体" w:hAnsi="宋体" w:cs="宋体" w:eastAsia="宋体" w:hint="default"/>
          <w:b/>
          <w:bCs/>
          <w:sz w:val="23"/>
          <w:szCs w:val="23"/>
        </w:rPr>
        <w:t>公司控股股东、实际控制人情况</w:t>
      </w:r>
      <w:r>
        <w:rPr>
          <w:rFonts w:ascii="宋体" w:hAnsi="宋体" w:cs="宋体" w:eastAsia="宋体" w:hint="default"/>
          <w:b/>
          <w:bCs/>
          <w:w w:val="99"/>
          <w:sz w:val="23"/>
          <w:szCs w:val="23"/>
        </w:rPr>
        <w:t> </w:t>
      </w:r>
      <w:r>
        <w:rPr>
          <w:rFonts w:ascii="宋体" w:hAnsi="宋体" w:cs="宋体" w:eastAsia="宋体" w:hint="default"/>
          <w:sz w:val="23"/>
          <w:szCs w:val="23"/>
        </w:rPr>
        <w:t>本公司由张学君、陈向军、李军三人以一致行动的方式对公司实施共同控制。</w:t>
      </w:r>
    </w:p>
    <w:p>
      <w:pPr>
        <w:pStyle w:val="BodyText"/>
        <w:spacing w:line="243" w:lineRule="exact"/>
        <w:ind w:right="0"/>
        <w:jc w:val="both"/>
      </w:pPr>
      <w:r>
        <w:rPr/>
        <w:t>报告期内，公司实际控制人未发生变化。</w:t>
      </w:r>
    </w:p>
    <w:p>
      <w:pPr>
        <w:spacing w:line="240" w:lineRule="auto" w:before="4"/>
        <w:rPr>
          <w:rFonts w:ascii="宋体" w:hAnsi="宋体" w:cs="宋体" w:eastAsia="宋体" w:hint="default"/>
          <w:sz w:val="20"/>
          <w:szCs w:val="20"/>
        </w:rPr>
      </w:pPr>
    </w:p>
    <w:p>
      <w:pPr>
        <w:pStyle w:val="BodyText"/>
        <w:spacing w:line="240" w:lineRule="auto"/>
        <w:ind w:right="0"/>
        <w:jc w:val="both"/>
      </w:pPr>
      <w:r>
        <w:rPr/>
        <w:t>（一）</w:t>
      </w:r>
      <w:r>
        <w:rPr>
          <w:spacing w:val="-90"/>
        </w:rPr>
        <w:t> </w:t>
      </w:r>
      <w:r>
        <w:rPr/>
        <w:t>实际控制人具体情况介绍</w:t>
      </w:r>
    </w:p>
    <w:p>
      <w:pPr>
        <w:spacing w:line="240" w:lineRule="auto" w:before="5"/>
        <w:rPr>
          <w:rFonts w:ascii="宋体" w:hAnsi="宋体" w:cs="宋体" w:eastAsia="宋体" w:hint="default"/>
          <w:sz w:val="20"/>
          <w:szCs w:val="20"/>
        </w:rPr>
      </w:pPr>
    </w:p>
    <w:p>
      <w:pPr>
        <w:pStyle w:val="BodyText"/>
        <w:spacing w:line="338" w:lineRule="auto"/>
        <w:ind w:right="152" w:firstLine="459"/>
        <w:jc w:val="both"/>
      </w:pPr>
      <w:r>
        <w:rPr/>
        <w:t>张学君现任公司董事，报告期末持有本公司股份 </w:t>
      </w:r>
      <w:r>
        <w:rPr>
          <w:rFonts w:ascii="Times New Roman" w:hAnsi="Times New Roman" w:cs="Times New Roman" w:eastAsia="Times New Roman" w:hint="default"/>
        </w:rPr>
        <w:t>27,909,000</w:t>
      </w:r>
      <w:r>
        <w:rPr>
          <w:rFonts w:ascii="Times New Roman" w:hAnsi="Times New Roman" w:cs="Times New Roman" w:eastAsia="Times New Roman" w:hint="default"/>
          <w:spacing w:val="-33"/>
        </w:rPr>
        <w:t> </w:t>
      </w:r>
      <w:r>
        <w:rPr/>
        <w:t>股，占公司总股本</w:t>
      </w:r>
      <w:r>
        <w:rPr>
          <w:w w:val="100"/>
        </w:rPr>
        <w:t> </w:t>
      </w:r>
      <w:r>
        <w:rPr/>
        <w:t>的</w:t>
      </w:r>
      <w:r>
        <w:rPr>
          <w:spacing w:val="-44"/>
        </w:rPr>
        <w:t> </w:t>
      </w:r>
      <w:r>
        <w:rPr>
          <w:rFonts w:ascii="Times New Roman" w:hAnsi="Times New Roman" w:cs="Times New Roman" w:eastAsia="Times New Roman" w:hint="default"/>
          <w:spacing w:val="-2"/>
        </w:rPr>
        <w:t>23.26%</w:t>
      </w:r>
      <w:r>
        <w:rPr>
          <w:spacing w:val="-2"/>
        </w:rPr>
        <w:t>，为本公司第一大股东；陈向军现任公司董事长，报告期末持有公司股份</w:t>
      </w:r>
      <w:r>
        <w:rPr>
          <w:spacing w:val="-110"/>
        </w:rPr>
        <w:t> </w:t>
      </w:r>
      <w:r>
        <w:rPr>
          <w:spacing w:val="-110"/>
        </w:rPr>
      </w:r>
      <w:r>
        <w:rPr>
          <w:rFonts w:ascii="Times New Roman" w:hAnsi="Times New Roman" w:cs="Times New Roman" w:eastAsia="Times New Roman" w:hint="default"/>
        </w:rPr>
        <w:t>11,961,000</w:t>
      </w:r>
      <w:r>
        <w:rPr>
          <w:rFonts w:ascii="Times New Roman" w:hAnsi="Times New Roman" w:cs="Times New Roman" w:eastAsia="Times New Roman" w:hint="default"/>
          <w:spacing w:val="5"/>
        </w:rPr>
        <w:t> </w:t>
      </w:r>
      <w:r>
        <w:rPr>
          <w:spacing w:val="-3"/>
        </w:rPr>
        <w:t>股，占公司总股本的</w:t>
      </w:r>
      <w:r>
        <w:rPr>
          <w:spacing w:val="-51"/>
        </w:rPr>
        <w:t> </w:t>
      </w:r>
      <w:r>
        <w:rPr>
          <w:rFonts w:ascii="Times New Roman" w:hAnsi="Times New Roman" w:cs="Times New Roman" w:eastAsia="Times New Roman" w:hint="default"/>
          <w:spacing w:val="-4"/>
        </w:rPr>
        <w:t>9.97%</w:t>
      </w:r>
      <w:r>
        <w:rPr>
          <w:spacing w:val="-4"/>
        </w:rPr>
        <w:t>；李军现任公司董事、总经理，报告期末持有</w:t>
      </w:r>
      <w:r>
        <w:rPr>
          <w:spacing w:val="-113"/>
        </w:rPr>
        <w:t> </w:t>
      </w:r>
      <w:r>
        <w:rPr>
          <w:spacing w:val="-113"/>
        </w:rPr>
      </w:r>
      <w:r>
        <w:rPr/>
        <w:t>公司股份 </w:t>
      </w:r>
      <w:r>
        <w:rPr>
          <w:rFonts w:ascii="Times New Roman" w:hAnsi="Times New Roman" w:cs="Times New Roman" w:eastAsia="Times New Roman" w:hint="default"/>
        </w:rPr>
        <w:t>11,961,000 </w:t>
      </w:r>
      <w:r>
        <w:rPr/>
        <w:t>股，占公司总股本的</w:t>
      </w:r>
      <w:r>
        <w:rPr>
          <w:spacing w:val="-55"/>
        </w:rPr>
        <w:t> </w:t>
      </w:r>
      <w:r>
        <w:rPr>
          <w:rFonts w:ascii="Times New Roman" w:hAnsi="Times New Roman" w:cs="Times New Roman" w:eastAsia="Times New Roman" w:hint="default"/>
        </w:rPr>
        <w:t>9.97%</w:t>
      </w:r>
      <w:r>
        <w:rPr/>
        <w:t>。报告期末，张学君、陈向军、李</w:t>
      </w:r>
      <w:r>
        <w:rPr>
          <w:w w:val="100"/>
        </w:rPr>
        <w:t> </w:t>
      </w:r>
      <w:r>
        <w:rPr/>
        <w:t>军三人合计持有公司股份</w:t>
      </w:r>
      <w:r>
        <w:rPr>
          <w:spacing w:val="-61"/>
        </w:rPr>
        <w:t> </w:t>
      </w:r>
      <w:r>
        <w:rPr>
          <w:rFonts w:ascii="Times New Roman" w:hAnsi="Times New Roman" w:cs="Times New Roman" w:eastAsia="Times New Roman" w:hint="default"/>
        </w:rPr>
        <w:t>51,831,000</w:t>
      </w:r>
      <w:r>
        <w:rPr>
          <w:rFonts w:ascii="Times New Roman" w:hAnsi="Times New Roman" w:cs="Times New Roman" w:eastAsia="Times New Roman" w:hint="default"/>
          <w:spacing w:val="-3"/>
        </w:rPr>
        <w:t> </w:t>
      </w:r>
      <w:r>
        <w:rPr/>
        <w:t>股，占公司总股本的</w:t>
      </w:r>
      <w:r>
        <w:rPr>
          <w:spacing w:val="-62"/>
        </w:rPr>
        <w:t> </w:t>
      </w:r>
      <w:r>
        <w:rPr>
          <w:rFonts w:ascii="Times New Roman" w:hAnsi="Times New Roman" w:cs="Times New Roman" w:eastAsia="Times New Roman" w:hint="default"/>
        </w:rPr>
        <w:t>43.19%</w:t>
      </w:r>
      <w:r>
        <w:rPr/>
        <w:t>。</w:t>
      </w:r>
    </w:p>
    <w:p>
      <w:pPr>
        <w:pStyle w:val="BodyText"/>
        <w:spacing w:line="240" w:lineRule="auto" w:before="24"/>
        <w:ind w:left="597" w:right="0"/>
        <w:jc w:val="left"/>
      </w:pPr>
      <w:r>
        <w:rPr/>
        <w:t>自</w:t>
      </w:r>
      <w:r>
        <w:rPr>
          <w:spacing w:val="-51"/>
        </w:rPr>
        <w:t> </w:t>
      </w:r>
      <w:r>
        <w:rPr>
          <w:rFonts w:ascii="Times New Roman" w:hAnsi="Times New Roman" w:cs="Times New Roman" w:eastAsia="Times New Roman" w:hint="default"/>
        </w:rPr>
        <w:t>2000</w:t>
      </w:r>
      <w:r>
        <w:rPr>
          <w:rFonts w:ascii="Times New Roman" w:hAnsi="Times New Roman" w:cs="Times New Roman" w:eastAsia="Times New Roman" w:hint="default"/>
          <w:spacing w:val="5"/>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spacing w:val="-4"/>
        </w:rPr>
        <w:t>月以来，张学君、陈向军、李军三人一直保持着对本公司的共同控</w:t>
      </w:r>
    </w:p>
    <w:p>
      <w:pPr>
        <w:pStyle w:val="BodyText"/>
        <w:spacing w:line="350" w:lineRule="auto" w:before="128"/>
        <w:ind w:right="127"/>
        <w:jc w:val="both"/>
      </w:pPr>
      <w:r>
        <w:rPr>
          <w:spacing w:val="-1"/>
          <w:w w:val="100"/>
        </w:rPr>
        <w:t>制关系。</w:t>
      </w:r>
      <w:r>
        <w:rPr>
          <w:rFonts w:ascii="Times New Roman" w:hAnsi="Times New Roman" w:cs="Times New Roman" w:eastAsia="Times New Roman" w:hint="default"/>
          <w:spacing w:val="-1"/>
          <w:w w:val="100"/>
        </w:rPr>
        <w:t>2008</w:t>
      </w:r>
      <w:r>
        <w:rPr>
          <w:rFonts w:ascii="Times New Roman" w:hAnsi="Times New Roman" w:cs="Times New Roman" w:eastAsia="Times New Roman" w:hint="default"/>
          <w:spacing w:val="5"/>
          <w:w w:val="100"/>
        </w:rPr>
        <w:t> </w:t>
      </w:r>
      <w:r>
        <w:rPr>
          <w:w w:val="100"/>
        </w:rPr>
        <w:t>年</w:t>
      </w:r>
      <w:r>
        <w:rPr>
          <w:spacing w:val="-54"/>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2"/>
          <w:w w:val="100"/>
        </w:rPr>
        <w:t> </w:t>
      </w:r>
      <w:r>
        <w:rPr>
          <w:w w:val="100"/>
        </w:rPr>
        <w:t>月</w:t>
      </w:r>
      <w:r>
        <w:rPr>
          <w:spacing w:val="-54"/>
          <w:w w:val="100"/>
        </w:rPr>
        <w:t> </w:t>
      </w:r>
      <w:r>
        <w:rPr>
          <w:rFonts w:ascii="Times New Roman" w:hAnsi="Times New Roman" w:cs="Times New Roman" w:eastAsia="Times New Roman" w:hint="default"/>
          <w:spacing w:val="-1"/>
          <w:w w:val="100"/>
        </w:rPr>
        <w:t>15</w:t>
      </w:r>
      <w:r>
        <w:rPr>
          <w:rFonts w:ascii="Times New Roman" w:hAnsi="Times New Roman" w:cs="Times New Roman" w:eastAsia="Times New Roman" w:hint="default"/>
          <w:spacing w:val="5"/>
          <w:w w:val="100"/>
        </w:rPr>
        <w:t> </w:t>
      </w:r>
      <w:r>
        <w:rPr>
          <w:spacing w:val="-6"/>
          <w:w w:val="100"/>
        </w:rPr>
        <w:t>日，张学君、陈向军、李军三人签订《共同控制协议书》，</w:t>
      </w:r>
      <w:r>
        <w:rPr>
          <w:w w:val="100"/>
        </w:rPr>
        <w:t> </w:t>
      </w:r>
      <w:r>
        <w:rPr/>
        <w:t>确认三人继续采用对公司重大事务决策保持一致的方式对公司进行共同控制，在有</w:t>
      </w:r>
      <w:r>
        <w:rPr>
          <w:spacing w:val="-87"/>
        </w:rPr>
        <w:t> </w:t>
      </w:r>
      <w:r>
        <w:rPr>
          <w:spacing w:val="-87"/>
        </w:rPr>
      </w:r>
      <w:r>
        <w:rPr/>
        <w:t>关股东会或董事会上，三人均应保持一致意见，如果出现意见不统一时，三人承诺</w:t>
      </w:r>
      <w:r>
        <w:rPr>
          <w:spacing w:val="-87"/>
        </w:rPr>
        <w:t> </w:t>
      </w:r>
      <w:r>
        <w:rPr>
          <w:spacing w:val="-87"/>
        </w:rPr>
      </w:r>
      <w:r>
        <w:rPr/>
        <w:t>无条件服从时任公司董事长的意见。该协议自签订之日起生效，至公司首次公开发</w:t>
      </w:r>
      <w:r>
        <w:rPr>
          <w:spacing w:val="-87"/>
        </w:rPr>
        <w:t> </w:t>
      </w:r>
      <w:r>
        <w:rPr>
          <w:spacing w:val="-87"/>
        </w:rPr>
      </w:r>
      <w:r>
        <w:rPr>
          <w:spacing w:val="-3"/>
        </w:rPr>
        <w:t>行股票并上市满三年之日终止。本公司《公司章程》中明确：</w:t>
      </w:r>
      <w:r>
        <w:rPr>
          <w:rFonts w:ascii="Times New Roman" w:hAnsi="Times New Roman" w:cs="Times New Roman" w:eastAsia="Times New Roman" w:hint="default"/>
          <w:spacing w:val="-3"/>
        </w:rPr>
        <w:t>“</w:t>
      </w:r>
      <w:r>
        <w:rPr>
          <w:spacing w:val="-3"/>
        </w:rPr>
        <w:t>自公司股票发行上市</w:t>
      </w:r>
      <w:r>
        <w:rPr>
          <w:spacing w:val="-84"/>
        </w:rPr>
        <w:t> </w:t>
      </w:r>
      <w:r>
        <w:rPr>
          <w:spacing w:val="-84"/>
        </w:rPr>
      </w:r>
      <w:r>
        <w:rPr/>
        <w:t>后三年内，公司发起人股东张学君、李军、陈向军三人采用对公司重大事务决策发</w:t>
      </w:r>
      <w:r>
        <w:rPr>
          <w:spacing w:val="-87"/>
        </w:rPr>
        <w:t> </w:t>
      </w:r>
      <w:r>
        <w:rPr>
          <w:spacing w:val="-87"/>
        </w:rPr>
      </w:r>
      <w:r>
        <w:rPr/>
        <w:t>表统一意见的方式维持对公司的共同控制</w:t>
      </w:r>
      <w:r>
        <w:rPr>
          <w:rFonts w:ascii="Times New Roman" w:hAnsi="Times New Roman" w:cs="Times New Roman" w:eastAsia="Times New Roman" w:hint="default"/>
        </w:rPr>
        <w:t>”</w:t>
      </w:r>
      <w:r>
        <w:rPr/>
        <w:t>。</w:t>
      </w:r>
    </w:p>
    <w:p>
      <w:pPr>
        <w:pStyle w:val="BodyText"/>
        <w:spacing w:line="338" w:lineRule="auto" w:before="12"/>
        <w:ind w:right="152" w:firstLine="459"/>
        <w:jc w:val="both"/>
      </w:pPr>
      <w:r>
        <w:rPr>
          <w:spacing w:val="-3"/>
        </w:rPr>
        <w:t>张学君、陈向军、李军三人的简历详见本报告第六节</w:t>
      </w:r>
      <w:r>
        <w:rPr>
          <w:rFonts w:ascii="Times New Roman" w:hAnsi="Times New Roman" w:cs="Times New Roman" w:eastAsia="Times New Roman" w:hint="default"/>
          <w:spacing w:val="-3"/>
        </w:rPr>
        <w:t>“</w:t>
      </w:r>
      <w:r>
        <w:rPr>
          <w:spacing w:val="-3"/>
        </w:rPr>
        <w:t>董事、监事、高级管理人</w:t>
      </w:r>
      <w:r>
        <w:rPr>
          <w:w w:val="100"/>
        </w:rPr>
        <w:t> </w:t>
      </w:r>
      <w:r>
        <w:rPr/>
        <w:t>员和员工情况</w:t>
      </w:r>
      <w:r>
        <w:rPr>
          <w:rFonts w:ascii="Times New Roman" w:hAnsi="Times New Roman" w:cs="Times New Roman" w:eastAsia="Times New Roman" w:hint="default"/>
        </w:rPr>
        <w:t>”</w:t>
      </w:r>
      <w:r>
        <w:rPr/>
        <w:t>的介绍。</w:t>
      </w:r>
    </w:p>
    <w:p>
      <w:pPr>
        <w:pStyle w:val="BodyText"/>
        <w:spacing w:line="240" w:lineRule="auto" w:before="24"/>
        <w:ind w:left="597" w:right="0"/>
        <w:jc w:val="left"/>
      </w:pPr>
      <w:r>
        <w:rPr/>
        <w:t>除持有本公司股份外，张学君、陈向军、李军均没有控股、参股其他企业。</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8"/>
          <w:szCs w:val="28"/>
        </w:rPr>
      </w:pPr>
    </w:p>
    <w:p>
      <w:pPr>
        <w:pStyle w:val="BodyText"/>
        <w:spacing w:line="240" w:lineRule="auto"/>
        <w:ind w:right="0"/>
        <w:jc w:val="both"/>
      </w:pPr>
      <w:r>
        <w:rPr/>
        <w:t>（二）</w:t>
      </w:r>
      <w:r>
        <w:rPr>
          <w:spacing w:val="-92"/>
        </w:rPr>
        <w:t> </w:t>
      </w:r>
      <w:r>
        <w:rPr/>
        <w:t>公司与实际控制人之间产权及控制关系方框图</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line="468" w:lineRule="exact"/>
        <w:ind w:left="1576"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261pt;height:23.4pt;mso-position-horizontal-relative:char;mso-position-vertical-relative:line" type="#_x0000_t202" filled="false" stroked="true" strokeweight=".75pt" strokecolor="#000000">
            <w10:anchorlock/>
            <v:textbox inset="0,0,0,0">
              <w:txbxContent>
                <w:p>
                  <w:pPr>
                    <w:pStyle w:val="BodyText"/>
                    <w:spacing w:line="240" w:lineRule="auto" w:before="36"/>
                    <w:ind w:left="419" w:right="0"/>
                    <w:jc w:val="left"/>
                    <w:rPr>
                      <w:rFonts w:ascii="Times New Roman" w:hAnsi="Times New Roman" w:cs="Times New Roman" w:eastAsia="Times New Roman" w:hint="default"/>
                    </w:rPr>
                  </w:pPr>
                  <w:r>
                    <w:rPr/>
                    <w:t>张学君</w:t>
                  </w:r>
                  <w:r>
                    <w:rPr>
                      <w:spacing w:val="-62"/>
                    </w:rPr>
                    <w:t> </w:t>
                  </w:r>
                  <w:r>
                    <w:rPr>
                      <w:rFonts w:ascii="Times New Roman" w:hAnsi="Times New Roman" w:cs="Times New Roman" w:eastAsia="Times New Roman" w:hint="default"/>
                    </w:rPr>
                    <w:t>23.26%</w:t>
                  </w:r>
                  <w:r>
                    <w:rPr/>
                    <w:t>、陈向军</w:t>
                  </w:r>
                  <w:r>
                    <w:rPr>
                      <w:spacing w:val="-62"/>
                    </w:rPr>
                    <w:t> </w:t>
                  </w:r>
                  <w:r>
                    <w:rPr>
                      <w:rFonts w:ascii="Times New Roman" w:hAnsi="Times New Roman" w:cs="Times New Roman" w:eastAsia="Times New Roman" w:hint="default"/>
                    </w:rPr>
                    <w:t>9.97%</w:t>
                  </w:r>
                  <w:r>
                    <w:rPr/>
                    <w:t>、李军</w:t>
                  </w:r>
                  <w:r>
                    <w:rPr>
                      <w:spacing w:val="-62"/>
                    </w:rPr>
                    <w:t> </w:t>
                  </w:r>
                  <w:r>
                    <w:rPr>
                      <w:rFonts w:ascii="Times New Roman" w:hAnsi="Times New Roman" w:cs="Times New Roman" w:eastAsia="Times New Roman" w:hint="default"/>
                    </w:rPr>
                    <w:t>9.97%</w:t>
                  </w:r>
                </w:p>
              </w:txbxContent>
            </v:textbox>
          </v:shape>
        </w:pict>
      </w:r>
      <w:r>
        <w:rPr>
          <w:rFonts w:ascii="宋体" w:hAnsi="宋体" w:cs="宋体" w:eastAsia="宋体" w:hint="default"/>
          <w:position w:val="-8"/>
          <w:sz w:val="20"/>
          <w:szCs w:val="20"/>
        </w:rPr>
      </w:r>
    </w:p>
    <w:p>
      <w:pPr>
        <w:spacing w:line="240" w:lineRule="auto" w:before="0"/>
        <w:rPr>
          <w:rFonts w:ascii="宋体" w:hAnsi="宋体" w:cs="宋体" w:eastAsia="宋体" w:hint="default"/>
          <w:sz w:val="12"/>
          <w:szCs w:val="12"/>
        </w:rPr>
      </w:pPr>
    </w:p>
    <w:p>
      <w:pPr>
        <w:pStyle w:val="BodyText"/>
        <w:spacing w:line="240" w:lineRule="auto" w:before="70"/>
        <w:ind w:left="3241" w:right="2931"/>
        <w:jc w:val="center"/>
        <w:rPr>
          <w:rFonts w:ascii="Times New Roman" w:hAnsi="Times New Roman" w:cs="Times New Roman" w:eastAsia="Times New Roman" w:hint="default"/>
        </w:rPr>
      </w:pPr>
      <w:r>
        <w:rPr/>
        <w:pict>
          <v:group style="position:absolute;margin-left:280.859985pt;margin-top:-8.863376pt;width:6pt;height:39.4pt;mso-position-horizontal-relative:page;mso-position-vertical-relative:paragraph;z-index:-614272" coordorigin="5617,-177" coordsize="120,788">
            <v:shape style="position:absolute;left:5617;top:-177;width:120;height:788" coordorigin="5617,-177" coordsize="120,788" path="m5670,490l5617,490,5677,610,5723,518,5677,518,5671,515,5670,510,5670,490xe" filled="true" fillcolor="#000000" stroked="false">
              <v:path arrowok="t"/>
              <v:fill type="solid"/>
            </v:shape>
            <v:shape style="position:absolute;left:5617;top:-177;width:120;height:788" coordorigin="5617,-177" coordsize="120,788" path="m5677,-177l5671,-175,5670,-170,5670,510,5671,515,5677,518,5682,515,5684,510,5684,-170,5682,-175,5677,-177xe" filled="true" fillcolor="#000000" stroked="false">
              <v:path arrowok="t"/>
              <v:fill type="solid"/>
            </v:shape>
            <v:shape style="position:absolute;left:5617;top:-177;width:120;height:788" coordorigin="5617,-177" coordsize="120,788" path="m5737,490l5684,490,5684,510,5682,515,5677,518,5723,518,5737,490xe" filled="true" fillcolor="#000000" stroked="false">
              <v:path arrowok="t"/>
              <v:fill type="solid"/>
            </v:shape>
            <w10:wrap type="none"/>
          </v:group>
        </w:pict>
      </w:r>
      <w:r>
        <w:rPr>
          <w:rFonts w:ascii="Times New Roman"/>
        </w:rPr>
        <w:t>43.19%</w:t>
      </w:r>
    </w:p>
    <w:p>
      <w:pPr>
        <w:spacing w:line="240" w:lineRule="auto" w:before="11"/>
        <w:rPr>
          <w:rFonts w:ascii="Times New Roman" w:hAnsi="Times New Roman" w:cs="Times New Roman" w:eastAsia="Times New Roman" w:hint="default"/>
          <w:sz w:val="24"/>
          <w:szCs w:val="24"/>
        </w:rPr>
      </w:pPr>
    </w:p>
    <w:p>
      <w:pPr>
        <w:spacing w:line="468" w:lineRule="exact"/>
        <w:ind w:left="229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shape style="width:189pt;height:23.4pt;mso-position-horizontal-relative:char;mso-position-vertical-relative:line" type="#_x0000_t202" filled="false" stroked="true" strokeweight=".75pt" strokecolor="#000000">
            <w10:anchorlock/>
            <v:textbox inset="0,0,0,0">
              <w:txbxContent>
                <w:p>
                  <w:pPr>
                    <w:pStyle w:val="BodyText"/>
                    <w:spacing w:line="240" w:lineRule="auto" w:before="36"/>
                    <w:ind w:left="273" w:right="0"/>
                    <w:jc w:val="left"/>
                  </w:pPr>
                  <w:r>
                    <w:rPr/>
                    <w:t>深圳市银之杰科技股份有限公司</w:t>
                  </w:r>
                </w:p>
              </w:txbxContent>
            </v:textbox>
          </v:shape>
        </w:pict>
      </w:r>
      <w:r>
        <w:rPr>
          <w:rFonts w:ascii="Times New Roman" w:hAnsi="Times New Roman" w:cs="Times New Roman" w:eastAsia="Times New Roman" w:hint="default"/>
          <w:position w:val="-8"/>
          <w:sz w:val="20"/>
          <w:szCs w:val="20"/>
        </w:rPr>
      </w:r>
    </w:p>
    <w:p>
      <w:pPr>
        <w:spacing w:after="0" w:line="468" w:lineRule="exact"/>
        <w:rPr>
          <w:rFonts w:ascii="Times New Roman" w:hAnsi="Times New Roman" w:cs="Times New Roman" w:eastAsia="Times New Roman" w:hint="default"/>
          <w:sz w:val="20"/>
          <w:szCs w:val="20"/>
        </w:rPr>
        <w:sectPr>
          <w:pgSz w:w="11910" w:h="16840"/>
          <w:pgMar w:header="877" w:footer="982" w:top="1100" w:bottom="1180" w:left="1660" w:right="16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p>
      <w:pPr>
        <w:pStyle w:val="Heading1"/>
        <w:spacing w:line="240" w:lineRule="auto"/>
        <w:ind w:left="1693" w:right="0"/>
        <w:jc w:val="left"/>
      </w:pPr>
      <w:bookmarkStart w:name="_TOC_250004" w:id="6"/>
      <w:r>
        <w:rPr/>
        <w:t>第六节</w:t>
      </w:r>
      <w:r>
        <w:rPr>
          <w:spacing w:val="-11"/>
        </w:rPr>
        <w:t> </w:t>
      </w:r>
      <w:bookmarkEnd w:id="6"/>
      <w:r>
        <w:rPr/>
        <w:t>董事、监事、高级管理人员和员工情况</w:t>
      </w:r>
    </w:p>
    <w:p>
      <w:pPr>
        <w:spacing w:line="240" w:lineRule="auto" w:before="0"/>
        <w:rPr>
          <w:rFonts w:ascii="黑体" w:hAnsi="黑体" w:cs="黑体" w:eastAsia="黑体" w:hint="default"/>
          <w:sz w:val="32"/>
          <w:szCs w:val="32"/>
        </w:rPr>
      </w:pPr>
    </w:p>
    <w:p>
      <w:pPr>
        <w:pStyle w:val="Heading5"/>
        <w:spacing w:line="240" w:lineRule="auto" w:before="247"/>
        <w:ind w:left="817" w:right="0"/>
        <w:jc w:val="left"/>
        <w:rPr>
          <w:b w:val="0"/>
          <w:bCs w:val="0"/>
        </w:rPr>
      </w:pPr>
      <w:r>
        <w:rPr/>
        <w:t>一、</w:t>
      </w:r>
      <w:r>
        <w:rPr>
          <w:spacing w:val="-40"/>
        </w:rPr>
        <w:t> </w:t>
      </w:r>
      <w:r>
        <w:rPr/>
        <w:t>董事、监事、高级管理人员的情况</w:t>
      </w:r>
      <w:r>
        <w:rPr>
          <w:b w:val="0"/>
          <w:bCs w:val="0"/>
        </w:rPr>
      </w:r>
    </w:p>
    <w:p>
      <w:pPr>
        <w:spacing w:line="240" w:lineRule="auto" w:before="5"/>
        <w:rPr>
          <w:rFonts w:ascii="宋体" w:hAnsi="宋体" w:cs="宋体" w:eastAsia="宋体" w:hint="default"/>
          <w:b/>
          <w:bCs/>
          <w:sz w:val="20"/>
          <w:szCs w:val="20"/>
        </w:rPr>
      </w:pPr>
    </w:p>
    <w:p>
      <w:pPr>
        <w:pStyle w:val="BodyText"/>
        <w:spacing w:line="240" w:lineRule="auto"/>
        <w:ind w:left="817" w:right="0"/>
        <w:jc w:val="left"/>
      </w:pPr>
      <w:r>
        <w:rPr/>
        <w:t>（一）</w:t>
      </w:r>
      <w:r>
        <w:rPr>
          <w:spacing w:val="-94"/>
        </w:rPr>
        <w:t> </w:t>
      </w:r>
      <w:r>
        <w:rPr/>
        <w:t>董事、监事和高级管理人员持股变动及报酬情况</w:t>
      </w:r>
    </w:p>
    <w:p>
      <w:pPr>
        <w:spacing w:line="240" w:lineRule="auto" w:before="4"/>
        <w:rPr>
          <w:rFonts w:ascii="宋体" w:hAnsi="宋体" w:cs="宋体" w:eastAsia="宋体"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900"/>
        <w:gridCol w:w="1080"/>
        <w:gridCol w:w="540"/>
        <w:gridCol w:w="540"/>
        <w:gridCol w:w="1080"/>
        <w:gridCol w:w="1080"/>
        <w:gridCol w:w="900"/>
        <w:gridCol w:w="900"/>
        <w:gridCol w:w="900"/>
        <w:gridCol w:w="900"/>
        <w:gridCol w:w="900"/>
      </w:tblGrid>
      <w:tr>
        <w:trPr>
          <w:trHeight w:val="1321" w:hRule="exact"/>
        </w:trPr>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63"/>
              <w:jc w:val="right"/>
              <w:rPr>
                <w:rFonts w:ascii="宋体" w:hAnsi="宋体" w:cs="宋体" w:eastAsia="宋体" w:hint="default"/>
                <w:sz w:val="18"/>
                <w:szCs w:val="18"/>
              </w:rPr>
            </w:pPr>
            <w:r>
              <w:rPr>
                <w:rFonts w:ascii="宋体" w:hAnsi="宋体" w:cs="宋体" w:eastAsia="宋体" w:hint="default"/>
                <w:sz w:val="18"/>
                <w:szCs w:val="18"/>
              </w:rPr>
              <w:t>姓名</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355" w:right="173"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355" w:right="173"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175" w:right="173" w:firstLine="90"/>
              <w:jc w:val="left"/>
              <w:rPr>
                <w:rFonts w:ascii="宋体" w:hAnsi="宋体" w:cs="宋体" w:eastAsia="宋体" w:hint="default"/>
                <w:sz w:val="18"/>
                <w:szCs w:val="18"/>
              </w:rPr>
            </w:pPr>
            <w:r>
              <w:rPr>
                <w:rFonts w:ascii="宋体" w:hAnsi="宋体" w:cs="宋体" w:eastAsia="宋体" w:hint="default"/>
                <w:sz w:val="18"/>
                <w:szCs w:val="18"/>
              </w:rPr>
              <w:t>年初 持股数</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175" w:right="173" w:firstLine="90"/>
              <w:jc w:val="left"/>
              <w:rPr>
                <w:rFonts w:ascii="宋体" w:hAnsi="宋体" w:cs="宋体" w:eastAsia="宋体" w:hint="default"/>
                <w:sz w:val="18"/>
                <w:szCs w:val="18"/>
              </w:rPr>
            </w:pPr>
            <w:r>
              <w:rPr>
                <w:rFonts w:ascii="宋体" w:hAnsi="宋体" w:cs="宋体" w:eastAsia="宋体" w:hint="default"/>
                <w:sz w:val="18"/>
                <w:szCs w:val="18"/>
              </w:rPr>
              <w:t>年末 持股数</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65" w:right="263"/>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auto" w:before="46"/>
              <w:ind w:left="85"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报告期内 从公司领 取的报酬 总额</w:t>
            </w:r>
            <w:r>
              <w:rPr>
                <w:rFonts w:ascii="Times New Roman" w:hAnsi="Times New Roman" w:cs="Times New Roman" w:eastAsia="Times New Roman" w:hint="default"/>
                <w:sz w:val="18"/>
                <w:szCs w:val="18"/>
              </w:rPr>
              <w:t>(</w:t>
            </w:r>
            <w:r>
              <w:rPr>
                <w:rFonts w:ascii="宋体" w:hAnsi="宋体" w:cs="宋体" w:eastAsia="宋体" w:hint="default"/>
                <w:sz w:val="18"/>
                <w:szCs w:val="18"/>
              </w:rPr>
              <w:t>万 元</w:t>
            </w:r>
            <w:r>
              <w:rPr>
                <w:rFonts w:ascii="Times New Roman" w:hAnsi="Times New Roman" w:cs="Times New Roman" w:eastAsia="Times New Roman" w:hint="default"/>
                <w:sz w:val="18"/>
                <w:szCs w:val="18"/>
              </w:rPr>
              <w:t>)(</w:t>
            </w:r>
            <w:r>
              <w:rPr>
                <w:rFonts w:ascii="宋体" w:hAnsi="宋体" w:cs="宋体" w:eastAsia="宋体" w:hint="default"/>
                <w:sz w:val="18"/>
                <w:szCs w:val="18"/>
              </w:rPr>
              <w:t>税前</w:t>
            </w:r>
            <w:r>
              <w:rPr>
                <w:rFonts w:ascii="Times New Roman" w:hAnsi="Times New Roman" w:cs="Times New Roman" w:eastAsia="Times New Roman" w:hint="default"/>
                <w:sz w:val="18"/>
                <w:szCs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44"/>
              <w:ind w:left="85" w:right="83"/>
              <w:jc w:val="center"/>
              <w:rPr>
                <w:rFonts w:ascii="宋体" w:hAnsi="宋体" w:cs="宋体" w:eastAsia="宋体" w:hint="default"/>
                <w:sz w:val="18"/>
                <w:szCs w:val="18"/>
              </w:rPr>
            </w:pPr>
            <w:r>
              <w:rPr>
                <w:rFonts w:ascii="宋体" w:hAnsi="宋体" w:cs="宋体" w:eastAsia="宋体" w:hint="default"/>
                <w:sz w:val="18"/>
                <w:szCs w:val="18"/>
              </w:rPr>
              <w:t>是否在股 东单位或 其他关联 单位领取 薪酬</w:t>
            </w:r>
          </w:p>
        </w:tc>
      </w:tr>
      <w:tr>
        <w:trPr>
          <w:trHeight w:val="388"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48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Times New Roman" w:hAnsi="Times New Roman" w:cs="Times New Roman" w:eastAsia="Times New Roman" w:hint="default"/>
                <w:sz w:val="18"/>
                <w:szCs w:val="18"/>
              </w:rPr>
            </w:pPr>
            <w:r>
              <w:rPr>
                <w:rFonts w:ascii="Times New Roman"/>
                <w:sz w:val="18"/>
              </w:rPr>
              <w:t>2010-12-10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Times New Roman" w:hAnsi="Times New Roman" w:cs="Times New Roman" w:eastAsia="Times New Roman" w:hint="default"/>
                <w:sz w:val="18"/>
                <w:szCs w:val="18"/>
              </w:rPr>
            </w:pPr>
            <w:r>
              <w:rPr>
                <w:rFonts w:ascii="Times New Roman"/>
                <w:sz w:val="18"/>
              </w:rPr>
              <w:t>2013-12-09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5,980,500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11,961,000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权益分派</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17.25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8"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3" w:right="0"/>
              <w:jc w:val="left"/>
              <w:rPr>
                <w:rFonts w:ascii="宋体" w:hAnsi="宋体" w:cs="宋体" w:eastAsia="宋体" w:hint="default"/>
                <w:sz w:val="18"/>
                <w:szCs w:val="18"/>
              </w:rPr>
            </w:pPr>
            <w:r>
              <w:rPr>
                <w:rFonts w:ascii="宋体" w:hAnsi="宋体" w:cs="宋体" w:eastAsia="宋体" w:hint="default"/>
                <w:spacing w:val="-10"/>
                <w:sz w:val="18"/>
                <w:szCs w:val="18"/>
              </w:rPr>
              <w:t>董事、总经理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Times New Roman" w:hAnsi="Times New Roman" w:cs="Times New Roman" w:eastAsia="Times New Roman" w:hint="default"/>
                <w:sz w:val="18"/>
                <w:szCs w:val="18"/>
              </w:rPr>
            </w:pPr>
            <w:r>
              <w:rPr>
                <w:rFonts w:ascii="Times New Roman"/>
                <w:sz w:val="18"/>
              </w:rPr>
              <w:t>2010-12-10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Times New Roman" w:hAnsi="Times New Roman" w:cs="Times New Roman" w:eastAsia="Times New Roman" w:hint="default"/>
                <w:sz w:val="18"/>
                <w:szCs w:val="18"/>
              </w:rPr>
            </w:pPr>
            <w:r>
              <w:rPr>
                <w:rFonts w:ascii="Times New Roman"/>
                <w:sz w:val="18"/>
              </w:rPr>
              <w:t>2013-12-09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5,980,500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11,961,000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权益分派</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17.25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8"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72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Times New Roman" w:hAnsi="Times New Roman" w:cs="Times New Roman" w:eastAsia="Times New Roman" w:hint="default"/>
                <w:sz w:val="18"/>
                <w:szCs w:val="18"/>
              </w:rPr>
            </w:pPr>
            <w:r>
              <w:rPr>
                <w:rFonts w:ascii="Times New Roman"/>
                <w:sz w:val="18"/>
              </w:rPr>
              <w:t>2010-12-10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Times New Roman" w:hAnsi="Times New Roman" w:cs="Times New Roman" w:eastAsia="Times New Roman" w:hint="default"/>
                <w:sz w:val="18"/>
                <w:szCs w:val="18"/>
              </w:rPr>
            </w:pPr>
            <w:r>
              <w:rPr>
                <w:rFonts w:ascii="Times New Roman"/>
                <w:sz w:val="18"/>
              </w:rPr>
              <w:t>2013-12-09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13,954,500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27,909,000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权益分派</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何晔</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Times New Roman" w:hAnsi="Times New Roman" w:cs="Times New Roman" w:eastAsia="Times New Roman" w:hint="default"/>
                <w:sz w:val="18"/>
                <w:szCs w:val="18"/>
              </w:rPr>
            </w:pPr>
            <w:r>
              <w:rPr>
                <w:rFonts w:ascii="Times New Roman"/>
                <w:sz w:val="18"/>
              </w:rPr>
              <w:t>2010-12-10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Times New Roman" w:hAnsi="Times New Roman" w:cs="Times New Roman" w:eastAsia="Times New Roman" w:hint="default"/>
                <w:sz w:val="18"/>
                <w:szCs w:val="18"/>
              </w:rPr>
            </w:pPr>
            <w:r>
              <w:rPr>
                <w:rFonts w:ascii="Times New Roman"/>
                <w:sz w:val="18"/>
              </w:rPr>
              <w:t>2013-12-09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11,961,000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23,922,000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权益分派</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8"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宋靖雁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48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Times New Roman" w:hAnsi="Times New Roman" w:cs="Times New Roman" w:eastAsia="Times New Roman" w:hint="default"/>
                <w:sz w:val="18"/>
                <w:szCs w:val="18"/>
              </w:rPr>
            </w:pPr>
            <w:r>
              <w:rPr>
                <w:rFonts w:ascii="Times New Roman"/>
                <w:sz w:val="18"/>
              </w:rPr>
              <w:t>2010-12-10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Times New Roman" w:hAnsi="Times New Roman" w:cs="Times New Roman" w:eastAsia="Times New Roman" w:hint="default"/>
                <w:sz w:val="18"/>
                <w:szCs w:val="18"/>
              </w:rPr>
            </w:pPr>
            <w:r>
              <w:rPr>
                <w:rFonts w:ascii="Times New Roman"/>
                <w:sz w:val="18"/>
              </w:rPr>
              <w:t>2013-12-09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无变动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6.00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8"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单怀光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71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Times New Roman" w:hAnsi="Times New Roman" w:cs="Times New Roman" w:eastAsia="Times New Roman" w:hint="default"/>
                <w:sz w:val="18"/>
                <w:szCs w:val="18"/>
              </w:rPr>
            </w:pPr>
            <w:r>
              <w:rPr>
                <w:rFonts w:ascii="Times New Roman"/>
                <w:sz w:val="18"/>
              </w:rPr>
              <w:t>2010-12-10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Times New Roman" w:hAnsi="Times New Roman" w:cs="Times New Roman" w:eastAsia="Times New Roman" w:hint="default"/>
                <w:sz w:val="18"/>
                <w:szCs w:val="18"/>
              </w:rPr>
            </w:pPr>
            <w:r>
              <w:rPr>
                <w:rFonts w:ascii="Times New Roman"/>
                <w:sz w:val="18"/>
              </w:rPr>
              <w:t>2013-12-09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无变动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6.00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8"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朱厚佳</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Times New Roman" w:hAnsi="Times New Roman" w:cs="Times New Roman" w:eastAsia="Times New Roman" w:hint="default"/>
                <w:sz w:val="18"/>
                <w:szCs w:val="18"/>
              </w:rPr>
            </w:pPr>
            <w:r>
              <w:rPr>
                <w:rFonts w:ascii="Times New Roman"/>
                <w:sz w:val="18"/>
              </w:rPr>
              <w:t>2010-12-10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Times New Roman" w:hAnsi="Times New Roman" w:cs="Times New Roman" w:eastAsia="Times New Roman" w:hint="default"/>
                <w:sz w:val="18"/>
                <w:szCs w:val="18"/>
              </w:rPr>
            </w:pPr>
            <w:r>
              <w:rPr>
                <w:rFonts w:ascii="Times New Roman"/>
                <w:sz w:val="18"/>
              </w:rPr>
              <w:t>2013-12-09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无变动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6.00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8"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汪婉欣</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37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Times New Roman" w:hAnsi="Times New Roman" w:cs="Times New Roman" w:eastAsia="Times New Roman" w:hint="default"/>
                <w:sz w:val="18"/>
                <w:szCs w:val="18"/>
              </w:rPr>
            </w:pPr>
            <w:r>
              <w:rPr>
                <w:rFonts w:ascii="Times New Roman"/>
                <w:sz w:val="18"/>
              </w:rPr>
              <w:t>2010-12-10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Times New Roman" w:hAnsi="Times New Roman" w:cs="Times New Roman" w:eastAsia="Times New Roman" w:hint="default"/>
                <w:sz w:val="18"/>
                <w:szCs w:val="18"/>
              </w:rPr>
            </w:pPr>
            <w:r>
              <w:rPr>
                <w:rFonts w:ascii="Times New Roman"/>
                <w:sz w:val="18"/>
              </w:rPr>
              <w:t>2013-12-09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无变动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6.00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2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周峰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2010-12-10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2013-12-09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24" w:right="-34"/>
              <w:jc w:val="left"/>
              <w:rPr>
                <w:rFonts w:ascii="宋体" w:hAnsi="宋体" w:cs="宋体" w:eastAsia="宋体" w:hint="default"/>
                <w:sz w:val="18"/>
                <w:szCs w:val="18"/>
              </w:rPr>
            </w:pPr>
            <w:r>
              <w:rPr>
                <w:rFonts w:ascii="宋体" w:hAnsi="宋体" w:cs="宋体" w:eastAsia="宋体" w:hint="default"/>
                <w:sz w:val="18"/>
                <w:szCs w:val="18"/>
              </w:rPr>
              <w:t>权益分派、 减持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19.30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杨金敏</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2010-12-10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2013-12-09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34"/>
              <w:jc w:val="left"/>
              <w:rPr>
                <w:rFonts w:ascii="宋体" w:hAnsi="宋体" w:cs="宋体" w:eastAsia="宋体" w:hint="default"/>
                <w:sz w:val="18"/>
                <w:szCs w:val="18"/>
              </w:rPr>
            </w:pPr>
            <w:r>
              <w:rPr>
                <w:rFonts w:ascii="宋体" w:hAnsi="宋体" w:cs="宋体" w:eastAsia="宋体" w:hint="default"/>
                <w:sz w:val="18"/>
                <w:szCs w:val="18"/>
              </w:rPr>
              <w:t>权益分派、 减持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9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1"/>
              <w:ind w:left="23" w:right="144"/>
              <w:jc w:val="left"/>
              <w:rPr>
                <w:rFonts w:ascii="宋体" w:hAnsi="宋体" w:cs="宋体" w:eastAsia="宋体" w:hint="default"/>
                <w:sz w:val="18"/>
                <w:szCs w:val="18"/>
              </w:rPr>
            </w:pPr>
            <w:r>
              <w:rPr>
                <w:rFonts w:ascii="宋体" w:hAnsi="宋体" w:cs="宋体" w:eastAsia="宋体" w:hint="default"/>
                <w:sz w:val="18"/>
                <w:szCs w:val="18"/>
              </w:rPr>
              <w:t>副总经理、 董事会秘书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2010-12-10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2013-12-09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748,000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2"/>
              <w:ind w:left="24" w:right="-34"/>
              <w:jc w:val="left"/>
              <w:rPr>
                <w:rFonts w:ascii="宋体" w:hAnsi="宋体" w:cs="宋体" w:eastAsia="宋体" w:hint="default"/>
                <w:sz w:val="18"/>
                <w:szCs w:val="18"/>
              </w:rPr>
            </w:pPr>
            <w:r>
              <w:rPr>
                <w:rFonts w:ascii="宋体" w:hAnsi="宋体" w:cs="宋体" w:eastAsia="宋体" w:hint="default"/>
                <w:sz w:val="18"/>
                <w:szCs w:val="18"/>
              </w:rPr>
              <w:t>权益分派、 减持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许秋江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2010-12-10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2013-12-09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648,000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34"/>
              <w:jc w:val="left"/>
              <w:rPr>
                <w:rFonts w:ascii="宋体" w:hAnsi="宋体" w:cs="宋体" w:eastAsia="宋体" w:hint="default"/>
                <w:sz w:val="18"/>
                <w:szCs w:val="18"/>
              </w:rPr>
            </w:pPr>
            <w:r>
              <w:rPr>
                <w:rFonts w:ascii="宋体" w:hAnsi="宋体" w:cs="宋体" w:eastAsia="宋体" w:hint="default"/>
                <w:sz w:val="18"/>
                <w:szCs w:val="18"/>
              </w:rPr>
              <w:t>权益分派、 减持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2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彭建文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2010-12-10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2013-12-09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301,500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502,250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24" w:right="-34"/>
              <w:jc w:val="left"/>
              <w:rPr>
                <w:rFonts w:ascii="宋体" w:hAnsi="宋体" w:cs="宋体" w:eastAsia="宋体" w:hint="default"/>
                <w:sz w:val="18"/>
                <w:szCs w:val="18"/>
              </w:rPr>
            </w:pPr>
            <w:r>
              <w:rPr>
                <w:rFonts w:ascii="宋体" w:hAnsi="宋体" w:cs="宋体" w:eastAsia="宋体" w:hint="default"/>
                <w:sz w:val="18"/>
                <w:szCs w:val="18"/>
              </w:rPr>
              <w:t>权益分派、 减持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27"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唐劲星</w:t>
            </w:r>
          </w:p>
        </w:tc>
        <w:tc>
          <w:tcPr>
            <w:tcW w:w="108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108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2010-12-10</w:t>
            </w:r>
          </w:p>
        </w:tc>
        <w:tc>
          <w:tcPr>
            <w:tcW w:w="108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2013-12-09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351,000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598,400</w:t>
            </w:r>
          </w:p>
        </w:tc>
        <w:tc>
          <w:tcPr>
            <w:tcW w:w="900" w:type="dxa"/>
            <w:tcBorders>
              <w:top w:val="single" w:sz="4" w:space="0" w:color="000000"/>
              <w:left w:val="single" w:sz="4" w:space="0" w:color="000000"/>
              <w:bottom w:val="single" w:sz="9" w:space="0" w:color="DCDCDC"/>
              <w:right w:val="single" w:sz="4" w:space="0" w:color="000000"/>
            </w:tcBorders>
          </w:tcPr>
          <w:p>
            <w:pPr>
              <w:pStyle w:val="TableParagraph"/>
              <w:spacing w:line="232" w:lineRule="exact" w:before="66"/>
              <w:ind w:left="24" w:right="-34"/>
              <w:jc w:val="left"/>
              <w:rPr>
                <w:rFonts w:ascii="宋体" w:hAnsi="宋体" w:cs="宋体" w:eastAsia="宋体" w:hint="default"/>
                <w:sz w:val="18"/>
                <w:szCs w:val="18"/>
              </w:rPr>
            </w:pPr>
            <w:r>
              <w:rPr>
                <w:rFonts w:ascii="宋体" w:hAnsi="宋体" w:cs="宋体" w:eastAsia="宋体" w:hint="default"/>
                <w:sz w:val="18"/>
                <w:szCs w:val="18"/>
              </w:rPr>
              <w:t>权益分派、 减持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12.72</w:t>
            </w:r>
          </w:p>
        </w:tc>
        <w:tc>
          <w:tcPr>
            <w:tcW w:w="90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5" w:hRule="exact"/>
        </w:trPr>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5"/>
              <w:ind w:right="263"/>
              <w:jc w:val="right"/>
              <w:rPr>
                <w:rFonts w:ascii="宋体" w:hAnsi="宋体" w:cs="宋体" w:eastAsia="宋体" w:hint="default"/>
                <w:sz w:val="18"/>
                <w:szCs w:val="18"/>
              </w:rPr>
            </w:pPr>
            <w:r>
              <w:rPr>
                <w:rFonts w:ascii="宋体" w:hAnsi="宋体" w:cs="宋体" w:eastAsia="宋体" w:hint="default"/>
                <w:sz w:val="18"/>
                <w:szCs w:val="18"/>
              </w:rPr>
              <w:t>合计</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39,469,500</w:t>
            </w:r>
          </w:p>
        </w:tc>
        <w:tc>
          <w:tcPr>
            <w:tcW w:w="900" w:type="dxa"/>
            <w:tcBorders>
              <w:top w:val="single" w:sz="4" w:space="0" w:color="000000"/>
              <w:left w:val="single" w:sz="4" w:space="0" w:color="000000"/>
              <w:bottom w:val="single" w:sz="4" w:space="0" w:color="000000"/>
              <w:right w:val="single" w:sz="13" w:space="0" w:color="DCDCDC"/>
            </w:tcBorders>
          </w:tcPr>
          <w:p>
            <w:pPr>
              <w:pStyle w:val="TableParagraph"/>
              <w:spacing w:line="240" w:lineRule="auto" w:before="73"/>
              <w:ind w:right="9"/>
              <w:jc w:val="right"/>
              <w:rPr>
                <w:rFonts w:ascii="Times New Roman" w:hAnsi="Times New Roman" w:cs="Times New Roman" w:eastAsia="Times New Roman" w:hint="default"/>
                <w:sz w:val="18"/>
                <w:szCs w:val="18"/>
              </w:rPr>
            </w:pPr>
            <w:r>
              <w:rPr>
                <w:rFonts w:ascii="Times New Roman"/>
                <w:sz w:val="18"/>
              </w:rPr>
              <w:t>78,364,400</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153.23</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350" w:lineRule="auto" w:before="29"/>
        <w:ind w:left="817" w:right="812" w:firstLine="459"/>
        <w:jc w:val="both"/>
      </w:pPr>
      <w:r>
        <w:rPr/>
        <w:t>报告期内，公司董事、监事和高级管理人员的薪酬根据其在公司担任的行政职</w:t>
      </w:r>
      <w:r>
        <w:rPr>
          <w:w w:val="100"/>
        </w:rPr>
        <w:t> </w:t>
      </w:r>
      <w:r>
        <w:rPr/>
        <w:t>务结合公司年度业绩情况确定。独立董事津贴标准为</w:t>
      </w:r>
      <w:r>
        <w:rPr>
          <w:spacing w:val="-76"/>
        </w:rPr>
        <w:t> </w:t>
      </w:r>
      <w:r>
        <w:rPr>
          <w:rFonts w:ascii="Times New Roman" w:hAnsi="Times New Roman" w:cs="Times New Roman" w:eastAsia="Times New Roman" w:hint="default"/>
        </w:rPr>
        <w:t>6</w:t>
      </w:r>
      <w:r>
        <w:rPr>
          <w:rFonts w:ascii="Times New Roman" w:hAnsi="Times New Roman" w:cs="Times New Roman" w:eastAsia="Times New Roman" w:hint="default"/>
          <w:spacing w:val="-20"/>
        </w:rPr>
        <w:t> </w:t>
      </w:r>
      <w:r>
        <w:rPr/>
        <w:t>万元</w:t>
      </w:r>
      <w:r>
        <w:rPr>
          <w:rFonts w:ascii="Times New Roman" w:hAnsi="Times New Roman" w:cs="Times New Roman" w:eastAsia="Times New Roman" w:hint="default"/>
        </w:rPr>
        <w:t>/</w:t>
      </w:r>
      <w:r>
        <w:rPr/>
        <w:t>年，以现金形式每月发</w:t>
      </w:r>
      <w:r>
        <w:rPr>
          <w:w w:val="100"/>
        </w:rPr>
        <w:t> </w:t>
      </w:r>
      <w:r>
        <w:rPr/>
        <w:t>放一次。独立董事参加会议发生的差旅费，办公费等履职费用由本公司承担。公司</w:t>
      </w:r>
      <w:r>
        <w:rPr>
          <w:spacing w:val="-87"/>
        </w:rPr>
        <w:t> </w:t>
      </w:r>
      <w:r>
        <w:rPr>
          <w:spacing w:val="-87"/>
        </w:rPr>
      </w:r>
      <w:r>
        <w:rPr/>
        <w:t>全体董事、监事和高级管理人员合计在公司领取报酬</w:t>
      </w:r>
      <w:r>
        <w:rPr>
          <w:spacing w:val="-63"/>
        </w:rPr>
        <w:t> </w:t>
      </w:r>
      <w:r>
        <w:rPr>
          <w:rFonts w:ascii="Times New Roman" w:hAnsi="Times New Roman" w:cs="Times New Roman" w:eastAsia="Times New Roman" w:hint="default"/>
        </w:rPr>
        <w:t>153.23</w:t>
      </w:r>
      <w:r>
        <w:rPr>
          <w:rFonts w:ascii="Times New Roman" w:hAnsi="Times New Roman" w:cs="Times New Roman" w:eastAsia="Times New Roman" w:hint="default"/>
          <w:spacing w:val="-5"/>
        </w:rPr>
        <w:t> </w:t>
      </w:r>
      <w:r>
        <w:rPr/>
        <w:t>万元。</w:t>
      </w:r>
    </w:p>
    <w:p>
      <w:pPr>
        <w:spacing w:after="0" w:line="350" w:lineRule="auto"/>
        <w:jc w:val="both"/>
        <w:sectPr>
          <w:pgSz w:w="11910" w:h="16840"/>
          <w:pgMar w:header="877" w:footer="982" w:top="1100" w:bottom="1180" w:left="980" w:right="980"/>
        </w:sectPr>
      </w:pPr>
    </w:p>
    <w:p>
      <w:pPr>
        <w:spacing w:line="240" w:lineRule="auto" w:before="4"/>
        <w:rPr>
          <w:rFonts w:ascii="宋体" w:hAnsi="宋体" w:cs="宋体" w:eastAsia="宋体" w:hint="default"/>
          <w:sz w:val="19"/>
          <w:szCs w:val="19"/>
        </w:rPr>
      </w:pPr>
    </w:p>
    <w:p>
      <w:pPr>
        <w:pStyle w:val="BodyText"/>
        <w:spacing w:line="357" w:lineRule="auto" w:before="29"/>
        <w:ind w:right="186" w:firstLine="459"/>
        <w:jc w:val="left"/>
      </w:pPr>
      <w:r>
        <w:rPr/>
        <w:t>董事、监事和高级管理人员在报告期内未获得限制性股票及股票期权，也没有</w:t>
      </w:r>
      <w:r>
        <w:rPr>
          <w:w w:val="100"/>
        </w:rPr>
        <w:t> </w:t>
      </w:r>
      <w:r>
        <w:rPr/>
        <w:t>在股东单位或其他关联单位领取报酬、津贴的情况。</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0"/>
          <w:szCs w:val="20"/>
        </w:rPr>
      </w:pPr>
    </w:p>
    <w:p>
      <w:pPr>
        <w:pStyle w:val="BodyText"/>
        <w:spacing w:line="240" w:lineRule="auto"/>
        <w:ind w:right="0"/>
        <w:jc w:val="both"/>
      </w:pPr>
      <w:r>
        <w:rPr/>
        <w:t>（二）</w:t>
      </w:r>
      <w:r>
        <w:rPr>
          <w:spacing w:val="-89"/>
        </w:rPr>
        <w:t> </w:t>
      </w:r>
      <w:r>
        <w:rPr/>
        <w:t>现任董事、监事、高级管理人员最近</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年的主要工作经历</w:t>
      </w:r>
    </w:p>
    <w:p>
      <w:pPr>
        <w:spacing w:line="240" w:lineRule="auto" w:before="1"/>
        <w:rPr>
          <w:rFonts w:ascii="宋体" w:hAnsi="宋体" w:cs="宋体" w:eastAsia="宋体" w:hint="default"/>
          <w:sz w:val="19"/>
          <w:szCs w:val="19"/>
        </w:rPr>
      </w:pPr>
    </w:p>
    <w:p>
      <w:pPr>
        <w:pStyle w:val="Heading5"/>
        <w:spacing w:line="240" w:lineRule="auto"/>
        <w:ind w:left="596" w:right="186"/>
        <w:jc w:val="left"/>
        <w:rPr>
          <w:b w:val="0"/>
          <w:bCs w:val="0"/>
        </w:rPr>
      </w:pPr>
      <w:r>
        <w:rPr>
          <w:rFonts w:ascii="Times New Roman" w:hAnsi="Times New Roman" w:cs="Times New Roman" w:eastAsia="Times New Roman" w:hint="default"/>
          <w:spacing w:val="4"/>
        </w:rPr>
        <w:t>1</w:t>
      </w:r>
      <w:r>
        <w:rPr>
          <w:spacing w:val="4"/>
        </w:rPr>
        <w:t>．董事</w:t>
      </w:r>
      <w:r>
        <w:rPr>
          <w:b w:val="0"/>
          <w:bCs w:val="0"/>
        </w:rPr>
      </w:r>
    </w:p>
    <w:p>
      <w:pPr>
        <w:spacing w:line="240" w:lineRule="auto" w:before="1"/>
        <w:rPr>
          <w:rFonts w:ascii="宋体" w:hAnsi="宋体" w:cs="宋体" w:eastAsia="宋体" w:hint="default"/>
          <w:b/>
          <w:bCs/>
          <w:sz w:val="19"/>
          <w:szCs w:val="19"/>
        </w:rPr>
      </w:pPr>
    </w:p>
    <w:p>
      <w:pPr>
        <w:pStyle w:val="BodyText"/>
        <w:spacing w:line="338" w:lineRule="auto"/>
        <w:ind w:left="588" w:right="186" w:firstLine="8"/>
        <w:jc w:val="left"/>
      </w:pPr>
      <w:r>
        <w:rPr/>
        <w:t>公司董事会由</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名董事组成，其中独立董事</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名，具体如下：</w:t>
      </w:r>
      <w:r>
        <w:rPr>
          <w:w w:val="100"/>
        </w:rPr>
        <w:t> </w:t>
      </w:r>
      <w:r>
        <w:rPr>
          <w:spacing w:val="-3"/>
        </w:rPr>
        <w:t>陈向军先生，公司董事长，中国籍，</w:t>
      </w:r>
      <w:r>
        <w:rPr>
          <w:rFonts w:ascii="Times New Roman" w:hAnsi="Times New Roman" w:cs="Times New Roman" w:eastAsia="Times New Roman" w:hint="default"/>
          <w:spacing w:val="-3"/>
        </w:rPr>
        <w:t>1964 </w:t>
      </w:r>
      <w:r>
        <w:rPr>
          <w:spacing w:val="-3"/>
        </w:rPr>
        <w:t>年出生，研究生学历。</w:t>
      </w:r>
      <w:r>
        <w:rPr>
          <w:rFonts w:ascii="Times New Roman" w:hAnsi="Times New Roman" w:cs="Times New Roman" w:eastAsia="Times New Roman" w:hint="default"/>
          <w:spacing w:val="-3"/>
        </w:rPr>
        <w:t>1988</w:t>
      </w:r>
      <w:r>
        <w:rPr>
          <w:rFonts w:ascii="Times New Roman" w:hAnsi="Times New Roman" w:cs="Times New Roman" w:eastAsia="Times New Roman" w:hint="default"/>
          <w:spacing w:val="20"/>
        </w:rPr>
        <w:t> </w:t>
      </w:r>
      <w:r>
        <w:rPr/>
        <w:t>年毕业于</w:t>
      </w:r>
    </w:p>
    <w:p>
      <w:pPr>
        <w:pStyle w:val="BodyText"/>
        <w:spacing w:line="240" w:lineRule="auto" w:before="24"/>
        <w:ind w:right="0"/>
        <w:jc w:val="both"/>
      </w:pPr>
      <w:r>
        <w:rPr/>
        <w:t>清华大学自动化系，获学士学位，</w:t>
      </w:r>
      <w:r>
        <w:rPr>
          <w:rFonts w:ascii="Times New Roman" w:hAnsi="Times New Roman" w:cs="Times New Roman" w:eastAsia="Times New Roman" w:hint="default"/>
        </w:rPr>
        <w:t>1993</w:t>
      </w:r>
      <w:r>
        <w:rPr>
          <w:rFonts w:ascii="Times New Roman" w:hAnsi="Times New Roman" w:cs="Times New Roman" w:eastAsia="Times New Roman" w:hint="default"/>
          <w:spacing w:val="-10"/>
        </w:rPr>
        <w:t> </w:t>
      </w:r>
      <w:r>
        <w:rPr/>
        <w:t>年毕业于清华大学自动化系，获硕士学位。</w:t>
      </w:r>
    </w:p>
    <w:p>
      <w:pPr>
        <w:pStyle w:val="BodyText"/>
        <w:spacing w:line="240" w:lineRule="auto" w:before="129"/>
        <w:ind w:right="0"/>
        <w:jc w:val="both"/>
      </w:pPr>
      <w:r>
        <w:rPr>
          <w:rFonts w:ascii="Times New Roman" w:hAnsi="Times New Roman" w:cs="Times New Roman" w:eastAsia="Times New Roman" w:hint="default"/>
        </w:rPr>
        <w:t>1993</w:t>
      </w:r>
      <w:r>
        <w:rPr>
          <w:rFonts w:ascii="Times New Roman" w:hAnsi="Times New Roman" w:cs="Times New Roman" w:eastAsia="Times New Roman" w:hint="default"/>
          <w:spacing w:val="2"/>
        </w:rPr>
        <w:t> </w:t>
      </w:r>
      <w:r>
        <w:rPr/>
        <w:t>年至</w:t>
      </w:r>
      <w:r>
        <w:rPr>
          <w:spacing w:val="-55"/>
        </w:rPr>
        <w:t> </w:t>
      </w:r>
      <w:r>
        <w:rPr>
          <w:rFonts w:ascii="Times New Roman" w:hAnsi="Times New Roman" w:cs="Times New Roman" w:eastAsia="Times New Roman" w:hint="default"/>
        </w:rPr>
        <w:t>1998</w:t>
      </w:r>
      <w:r>
        <w:rPr>
          <w:rFonts w:ascii="Times New Roman" w:hAnsi="Times New Roman" w:cs="Times New Roman" w:eastAsia="Times New Roman" w:hint="default"/>
          <w:spacing w:val="2"/>
        </w:rPr>
        <w:t> </w:t>
      </w:r>
      <w:r>
        <w:rPr/>
        <w:t>年任中国电子器件工业深圳公司技术经理。</w:t>
      </w:r>
      <w:r>
        <w:rPr>
          <w:rFonts w:ascii="Times New Roman" w:hAnsi="Times New Roman" w:cs="Times New Roman" w:eastAsia="Times New Roman" w:hint="default"/>
        </w:rPr>
        <w:t>1998</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月至</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p>
    <w:p>
      <w:pPr>
        <w:pStyle w:val="BodyText"/>
        <w:spacing w:line="240" w:lineRule="auto" w:before="128"/>
        <w:ind w:right="0"/>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月任公司董事、技术总监；</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月起任公司董事长。陈向军先生本届任期</w:t>
      </w:r>
    </w:p>
    <w:p>
      <w:pPr>
        <w:pStyle w:val="BodyText"/>
        <w:spacing w:line="240" w:lineRule="auto" w:before="129"/>
        <w:ind w:right="0"/>
        <w:jc w:val="both"/>
      </w:pPr>
      <w:r>
        <w:rPr/>
        <w:t>至</w:t>
      </w:r>
      <w:r>
        <w:rPr>
          <w:spacing w:val="-5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w:t>
      </w:r>
    </w:p>
    <w:p>
      <w:pPr>
        <w:pStyle w:val="BodyText"/>
        <w:spacing w:line="338" w:lineRule="auto" w:before="129"/>
        <w:ind w:right="192" w:firstLine="451"/>
        <w:jc w:val="both"/>
      </w:pPr>
      <w:r>
        <w:rPr>
          <w:spacing w:val="-4"/>
        </w:rPr>
        <w:t>李军先生，公司董事、总经理，中国籍，</w:t>
      </w:r>
      <w:r>
        <w:rPr>
          <w:rFonts w:ascii="Times New Roman" w:hAnsi="Times New Roman" w:cs="Times New Roman" w:eastAsia="Times New Roman" w:hint="default"/>
          <w:spacing w:val="-4"/>
        </w:rPr>
        <w:t>1970</w:t>
      </w:r>
      <w:r>
        <w:rPr>
          <w:rFonts w:ascii="Times New Roman" w:hAnsi="Times New Roman" w:cs="Times New Roman" w:eastAsia="Times New Roman" w:hint="default"/>
          <w:spacing w:val="-10"/>
        </w:rPr>
        <w:t> </w:t>
      </w:r>
      <w:r>
        <w:rPr/>
        <w:t>年出生，研究生学历。</w:t>
      </w:r>
      <w:r>
        <w:rPr>
          <w:rFonts w:ascii="Times New Roman" w:hAnsi="Times New Roman" w:cs="Times New Roman" w:eastAsia="Times New Roman" w:hint="default"/>
        </w:rPr>
        <w:t>1991-1993</w:t>
      </w:r>
      <w:r>
        <w:rPr>
          <w:rFonts w:ascii="Times New Roman" w:hAnsi="Times New Roman" w:cs="Times New Roman" w:eastAsia="Times New Roman" w:hint="default"/>
          <w:w w:val="100"/>
        </w:rPr>
        <w:t> </w:t>
      </w:r>
      <w:r>
        <w:rPr>
          <w:spacing w:val="-5"/>
          <w:w w:val="100"/>
        </w:rPr>
        <w:t>年在南京理工大学电子工程系任教；</w:t>
      </w:r>
      <w:r>
        <w:rPr>
          <w:rFonts w:ascii="Times New Roman" w:hAnsi="Times New Roman" w:cs="Times New Roman" w:eastAsia="Times New Roman" w:hint="default"/>
          <w:spacing w:val="-5"/>
          <w:w w:val="100"/>
        </w:rPr>
        <w:t>1993-1998</w:t>
      </w:r>
      <w:r>
        <w:rPr>
          <w:rFonts w:ascii="Times New Roman" w:hAnsi="Times New Roman" w:cs="Times New Roman" w:eastAsia="Times New Roman" w:hint="default"/>
          <w:w w:val="100"/>
        </w:rPr>
        <w:t> </w:t>
      </w:r>
      <w:r>
        <w:rPr>
          <w:spacing w:val="-1"/>
          <w:w w:val="100"/>
        </w:rPr>
        <w:t>年任中国电子器件工业深圳公司客户</w:t>
      </w:r>
      <w:r>
        <w:rPr>
          <w:spacing w:val="-104"/>
          <w:w w:val="100"/>
        </w:rPr>
        <w:t> </w:t>
      </w:r>
      <w:r>
        <w:rPr>
          <w:spacing w:val="-104"/>
          <w:w w:val="100"/>
        </w:rPr>
      </w:r>
      <w:r>
        <w:rPr/>
        <w:t>经理。</w:t>
      </w:r>
      <w:r>
        <w:rPr>
          <w:rFonts w:ascii="Times New Roman" w:hAnsi="Times New Roman" w:cs="Times New Roman" w:eastAsia="Times New Roman" w:hint="default"/>
        </w:rPr>
        <w:t>1998</w:t>
      </w:r>
      <w:r>
        <w:rPr>
          <w:rFonts w:ascii="Times New Roman" w:hAnsi="Times New Roman" w:cs="Times New Roman" w:eastAsia="Times New Roman" w:hint="default"/>
          <w:spacing w:val="7"/>
        </w:rPr>
        <w:t>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月起至今一直任公司董事、总经理，其中</w:t>
      </w:r>
      <w:r>
        <w:rPr>
          <w:spacing w:val="-49"/>
        </w:rPr>
        <w:t> </w:t>
      </w:r>
      <w:r>
        <w:rPr>
          <w:rFonts w:ascii="Times New Roman" w:hAnsi="Times New Roman" w:cs="Times New Roman" w:eastAsia="Times New Roman" w:hint="default"/>
        </w:rPr>
        <w:t>2000</w:t>
      </w:r>
      <w:r>
        <w:rPr>
          <w:rFonts w:ascii="Times New Roman" w:hAnsi="Times New Roman" w:cs="Times New Roman" w:eastAsia="Times New Roman" w:hint="default"/>
          <w:spacing w:val="8"/>
        </w:rPr>
        <w:t>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月至</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w:t>
      </w:r>
    </w:p>
    <w:p>
      <w:pPr>
        <w:pStyle w:val="BodyText"/>
        <w:spacing w:line="338" w:lineRule="auto" w:before="24"/>
        <w:ind w:left="597" w:right="221" w:hanging="460"/>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月任公司董事长。李军先生本届任期至</w:t>
      </w:r>
      <w:r>
        <w:rPr>
          <w:spacing w:val="-5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日。</w:t>
      </w:r>
      <w:r>
        <w:rPr>
          <w:w w:val="100"/>
        </w:rPr>
        <w:t> </w:t>
      </w:r>
      <w:r>
        <w:rPr>
          <w:spacing w:val="-3"/>
        </w:rPr>
        <w:t>张学君女士，公司董事，中国籍，</w:t>
      </w:r>
      <w:r>
        <w:rPr>
          <w:rFonts w:ascii="Times New Roman" w:hAnsi="Times New Roman" w:cs="Times New Roman" w:eastAsia="Times New Roman" w:hint="default"/>
          <w:spacing w:val="-3"/>
        </w:rPr>
        <w:t>1940</w:t>
      </w:r>
      <w:r>
        <w:rPr>
          <w:spacing w:val="-3"/>
        </w:rPr>
        <w:t>年出生，大专学历。</w:t>
      </w:r>
      <w:r>
        <w:rPr>
          <w:rFonts w:ascii="Times New Roman" w:hAnsi="Times New Roman" w:cs="Times New Roman" w:eastAsia="Times New Roman" w:hint="default"/>
          <w:spacing w:val="-3"/>
        </w:rPr>
        <w:t>1963-1970</w:t>
      </w:r>
      <w:r>
        <w:rPr>
          <w:spacing w:val="-3"/>
        </w:rPr>
        <w:t>在天津强</w:t>
      </w:r>
    </w:p>
    <w:p>
      <w:pPr>
        <w:pStyle w:val="BodyText"/>
        <w:spacing w:line="338" w:lineRule="auto" w:before="23"/>
        <w:ind w:right="227"/>
        <w:jc w:val="both"/>
      </w:pPr>
      <w:r>
        <w:rPr/>
        <w:t>声无线电厂工作；</w:t>
      </w:r>
      <w:r>
        <w:rPr>
          <w:rFonts w:ascii="Times New Roman" w:hAnsi="Times New Roman" w:cs="Times New Roman" w:eastAsia="Times New Roman" w:hint="default"/>
        </w:rPr>
        <w:t>1970-1976</w:t>
      </w:r>
      <w:r>
        <w:rPr/>
        <w:t>年在天津红光无线电厂工作；</w:t>
      </w:r>
      <w:r>
        <w:rPr>
          <w:rFonts w:ascii="Times New Roman" w:hAnsi="Times New Roman" w:cs="Times New Roman" w:eastAsia="Times New Roman" w:hint="default"/>
        </w:rPr>
        <w:t>1976-1995</w:t>
      </w:r>
      <w:r>
        <w:rPr/>
        <w:t>年北京无线电</w:t>
      </w:r>
      <w:r>
        <w:rPr>
          <w:w w:val="100"/>
        </w:rPr>
        <w:t> </w:t>
      </w:r>
      <w:r>
        <w:rPr>
          <w:spacing w:val="-1"/>
        </w:rPr>
        <w:t>技术研究所工作。</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10</w:t>
      </w:r>
      <w:r>
        <w:rPr>
          <w:spacing w:val="-1"/>
        </w:rPr>
        <w:t>月至</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9</w:t>
      </w:r>
      <w:r>
        <w:rPr>
          <w:spacing w:val="-1"/>
        </w:rPr>
        <w:t>月任公司董事长；</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9</w:t>
      </w:r>
      <w:r>
        <w:rPr>
          <w:spacing w:val="-1"/>
        </w:rPr>
        <w:t>月至今任公司董</w:t>
      </w:r>
      <w:r>
        <w:rPr>
          <w:spacing w:val="-85"/>
        </w:rPr>
        <w:t> </w:t>
      </w:r>
      <w:r>
        <w:rPr>
          <w:spacing w:val="-85"/>
        </w:rPr>
      </w:r>
      <w:r>
        <w:rPr/>
        <w:t>事。张学君女士本届任期至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w:t>
      </w:r>
    </w:p>
    <w:p>
      <w:pPr>
        <w:pStyle w:val="BodyText"/>
        <w:spacing w:line="343" w:lineRule="auto" w:before="24"/>
        <w:ind w:right="0" w:firstLine="459"/>
        <w:jc w:val="left"/>
      </w:pPr>
      <w:r>
        <w:rPr>
          <w:spacing w:val="-4"/>
        </w:rPr>
        <w:t>何晔女士，公司董事，中国籍，</w:t>
      </w:r>
      <w:r>
        <w:rPr>
          <w:rFonts w:ascii="Times New Roman" w:hAnsi="Times New Roman" w:cs="Times New Roman" w:eastAsia="Times New Roman" w:hint="default"/>
          <w:spacing w:val="-4"/>
        </w:rPr>
        <w:t>1970</w:t>
      </w:r>
      <w:r>
        <w:rPr>
          <w:spacing w:val="-4"/>
        </w:rPr>
        <w:t>年出生，本科学历。</w:t>
      </w:r>
      <w:r>
        <w:rPr>
          <w:rFonts w:ascii="Times New Roman" w:hAnsi="Times New Roman" w:cs="Times New Roman" w:eastAsia="Times New Roman" w:hint="default"/>
          <w:spacing w:val="-4"/>
        </w:rPr>
        <w:t>2001</w:t>
      </w:r>
      <w:r>
        <w:rPr>
          <w:spacing w:val="-4"/>
        </w:rPr>
        <w:t>年</w:t>
      </w:r>
      <w:r>
        <w:rPr>
          <w:rFonts w:ascii="Times New Roman" w:hAnsi="Times New Roman" w:cs="Times New Roman" w:eastAsia="Times New Roman" w:hint="default"/>
          <w:spacing w:val="-4"/>
        </w:rPr>
        <w:t>4</w:t>
      </w:r>
      <w:r>
        <w:rPr>
          <w:spacing w:val="-4"/>
        </w:rPr>
        <w:t>月起在联合证</w:t>
      </w:r>
      <w:r>
        <w:rPr>
          <w:w w:val="100"/>
        </w:rPr>
        <w:t> </w:t>
      </w:r>
      <w:r>
        <w:rPr/>
        <w:t>券有限责任公司（华泰联合证券有限责任公司）工作，历任计划财务部职员、基金</w:t>
      </w:r>
      <w:r>
        <w:rPr>
          <w:w w:val="100"/>
        </w:rPr>
        <w:t> </w:t>
      </w:r>
      <w:r>
        <w:rPr>
          <w:spacing w:val="-7"/>
        </w:rPr>
        <w:t>业务小组组长助理、销售交易部总经理助理、销售交易部副总经理，</w:t>
      </w:r>
      <w:r>
        <w:rPr>
          <w:rFonts w:ascii="Times New Roman" w:hAnsi="Times New Roman" w:cs="Times New Roman" w:eastAsia="Times New Roman" w:hint="default"/>
          <w:spacing w:val="-7"/>
        </w:rPr>
        <w:t>2010</w:t>
      </w:r>
      <w:r>
        <w:rPr>
          <w:spacing w:val="-7"/>
        </w:rPr>
        <w:t>年</w:t>
      </w:r>
      <w:r>
        <w:rPr>
          <w:rFonts w:ascii="Times New Roman" w:hAnsi="Times New Roman" w:cs="Times New Roman" w:eastAsia="Times New Roman" w:hint="default"/>
          <w:spacing w:val="-7"/>
        </w:rPr>
        <w:t>3</w:t>
      </w:r>
      <w:r>
        <w:rPr>
          <w:spacing w:val="-7"/>
        </w:rPr>
        <w:t>月离职。</w:t>
      </w:r>
      <w:r>
        <w:rPr>
          <w:spacing w:val="-70"/>
        </w:rPr>
        <w:t> </w:t>
      </w:r>
      <w:r>
        <w:rPr>
          <w:spacing w:val="-70"/>
        </w:rPr>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月至今任本公司董事。何晔女士本届任期至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w:t>
      </w:r>
    </w:p>
    <w:p>
      <w:pPr>
        <w:pStyle w:val="BodyText"/>
        <w:spacing w:line="338" w:lineRule="auto" w:before="19"/>
        <w:ind w:right="0" w:firstLine="459"/>
        <w:jc w:val="left"/>
      </w:pPr>
      <w:r>
        <w:rPr>
          <w:spacing w:val="-9"/>
        </w:rPr>
        <w:t>单怀光先生，公司独立董事，中国籍，</w:t>
      </w:r>
      <w:r>
        <w:rPr>
          <w:rFonts w:ascii="Times New Roman" w:hAnsi="Times New Roman" w:cs="Times New Roman" w:eastAsia="Times New Roman" w:hint="default"/>
          <w:spacing w:val="-9"/>
        </w:rPr>
        <w:t>1941</w:t>
      </w:r>
      <w:r>
        <w:rPr>
          <w:spacing w:val="-9"/>
        </w:rPr>
        <w:t>年出生，本科学历。</w:t>
      </w:r>
      <w:r>
        <w:rPr>
          <w:rFonts w:ascii="Times New Roman" w:hAnsi="Times New Roman" w:cs="Times New Roman" w:eastAsia="Times New Roman" w:hint="default"/>
          <w:spacing w:val="-9"/>
        </w:rPr>
        <w:t>1970</w:t>
      </w:r>
      <w:r>
        <w:rPr>
          <w:spacing w:val="-9"/>
        </w:rPr>
        <w:t>年</w:t>
      </w:r>
      <w:r>
        <w:rPr>
          <w:rFonts w:ascii="Times New Roman" w:hAnsi="Times New Roman" w:cs="Times New Roman" w:eastAsia="Times New Roman" w:hint="default"/>
          <w:spacing w:val="-9"/>
        </w:rPr>
        <w:t>5</w:t>
      </w:r>
      <w:r>
        <w:rPr>
          <w:spacing w:val="-9"/>
        </w:rPr>
        <w:t>月至</w:t>
      </w:r>
      <w:r>
        <w:rPr>
          <w:rFonts w:ascii="Times New Roman" w:hAnsi="Times New Roman" w:cs="Times New Roman" w:eastAsia="Times New Roman" w:hint="default"/>
          <w:spacing w:val="-9"/>
        </w:rPr>
        <w:t>1977</w:t>
      </w:r>
      <w:r>
        <w:rPr>
          <w:rFonts w:ascii="Times New Roman" w:hAnsi="Times New Roman" w:cs="Times New Roman" w:eastAsia="Times New Roman" w:hint="default"/>
          <w:w w:val="100"/>
        </w:rPr>
        <w:t> </w:t>
      </w:r>
      <w:r>
        <w:rPr>
          <w:spacing w:val="-4"/>
        </w:rPr>
        <w:t>年</w:t>
      </w:r>
      <w:r>
        <w:rPr>
          <w:rFonts w:ascii="Times New Roman" w:hAnsi="Times New Roman" w:cs="Times New Roman" w:eastAsia="Times New Roman" w:hint="default"/>
          <w:spacing w:val="-4"/>
        </w:rPr>
        <w:t>3</w:t>
      </w:r>
      <w:r>
        <w:rPr>
          <w:spacing w:val="-4"/>
        </w:rPr>
        <w:t>月，任中科院计算所第九研究室项目负责人，</w:t>
      </w:r>
      <w:r>
        <w:rPr>
          <w:rFonts w:ascii="Times New Roman" w:hAnsi="Times New Roman" w:cs="Times New Roman" w:eastAsia="Times New Roman" w:hint="default"/>
          <w:spacing w:val="-4"/>
        </w:rPr>
        <w:t>1977</w:t>
      </w:r>
      <w:r>
        <w:rPr>
          <w:spacing w:val="-4"/>
        </w:rPr>
        <w:t>年</w:t>
      </w:r>
      <w:r>
        <w:rPr>
          <w:rFonts w:ascii="Times New Roman" w:hAnsi="Times New Roman" w:cs="Times New Roman" w:eastAsia="Times New Roman" w:hint="default"/>
          <w:spacing w:val="-4"/>
        </w:rPr>
        <w:t>3</w:t>
      </w:r>
      <w:r>
        <w:rPr>
          <w:spacing w:val="-4"/>
        </w:rPr>
        <w:t>月至</w:t>
      </w:r>
      <w:r>
        <w:rPr>
          <w:rFonts w:ascii="Times New Roman" w:hAnsi="Times New Roman" w:cs="Times New Roman" w:eastAsia="Times New Roman" w:hint="default"/>
          <w:spacing w:val="-4"/>
        </w:rPr>
        <w:t>1984</w:t>
      </w:r>
      <w:r>
        <w:rPr>
          <w:spacing w:val="-4"/>
        </w:rPr>
        <w:t>年</w:t>
      </w:r>
      <w:r>
        <w:rPr>
          <w:rFonts w:ascii="Times New Roman" w:hAnsi="Times New Roman" w:cs="Times New Roman" w:eastAsia="Times New Roman" w:hint="default"/>
          <w:spacing w:val="-4"/>
        </w:rPr>
        <w:t>1</w:t>
      </w:r>
      <w:r>
        <w:rPr>
          <w:spacing w:val="-4"/>
        </w:rPr>
        <w:t>月任香港中银</w:t>
      </w:r>
      <w:r>
        <w:rPr>
          <w:spacing w:val="-72"/>
        </w:rPr>
        <w:t> </w:t>
      </w:r>
      <w:r>
        <w:rPr>
          <w:spacing w:val="-72"/>
        </w:rPr>
      </w:r>
      <w:r>
        <w:rPr/>
        <w:t>集团电脑部系统开发部经理，</w:t>
      </w:r>
      <w:r>
        <w:rPr>
          <w:rFonts w:ascii="Times New Roman" w:hAnsi="Times New Roman" w:cs="Times New Roman" w:eastAsia="Times New Roman" w:hint="default"/>
        </w:rPr>
        <w:t>1984</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1985</w:t>
      </w:r>
      <w:r>
        <w:rPr/>
        <w:t>年</w:t>
      </w:r>
      <w:r>
        <w:rPr>
          <w:rFonts w:ascii="Times New Roman" w:hAnsi="Times New Roman" w:cs="Times New Roman" w:eastAsia="Times New Roman" w:hint="default"/>
        </w:rPr>
        <w:t>1</w:t>
      </w:r>
      <w:r>
        <w:rPr/>
        <w:t>月任中国银行南京分行电脑部负</w:t>
      </w:r>
      <w:r>
        <w:rPr>
          <w:w w:val="100"/>
        </w:rPr>
        <w:t> </w:t>
      </w:r>
      <w:r>
        <w:rPr>
          <w:spacing w:val="-4"/>
        </w:rPr>
        <w:t>责人，</w:t>
      </w:r>
      <w:r>
        <w:rPr>
          <w:rFonts w:ascii="Times New Roman" w:hAnsi="Times New Roman" w:cs="Times New Roman" w:eastAsia="Times New Roman" w:hint="default"/>
          <w:spacing w:val="-4"/>
        </w:rPr>
        <w:t>1985</w:t>
      </w:r>
      <w:r>
        <w:rPr>
          <w:spacing w:val="-4"/>
        </w:rPr>
        <w:t>年</w:t>
      </w:r>
      <w:r>
        <w:rPr>
          <w:rFonts w:ascii="Times New Roman" w:hAnsi="Times New Roman" w:cs="Times New Roman" w:eastAsia="Times New Roman" w:hint="default"/>
          <w:spacing w:val="-4"/>
        </w:rPr>
        <w:t>1</w:t>
      </w:r>
      <w:r>
        <w:rPr>
          <w:spacing w:val="-4"/>
        </w:rPr>
        <w:t>月至</w:t>
      </w:r>
      <w:r>
        <w:rPr>
          <w:rFonts w:ascii="Times New Roman" w:hAnsi="Times New Roman" w:cs="Times New Roman" w:eastAsia="Times New Roman" w:hint="default"/>
          <w:spacing w:val="-4"/>
        </w:rPr>
        <w:t>2001</w:t>
      </w:r>
      <w:r>
        <w:rPr>
          <w:spacing w:val="-4"/>
        </w:rPr>
        <w:t>年</w:t>
      </w:r>
      <w:r>
        <w:rPr>
          <w:rFonts w:ascii="Times New Roman" w:hAnsi="Times New Roman" w:cs="Times New Roman" w:eastAsia="Times New Roman" w:hint="default"/>
          <w:spacing w:val="-4"/>
        </w:rPr>
        <w:t>6</w:t>
      </w:r>
      <w:r>
        <w:rPr>
          <w:spacing w:val="-4"/>
        </w:rPr>
        <w:t>月历任中国工商银行科技部副主任、总工程师、总经理，</w:t>
      </w:r>
      <w:r>
        <w:rPr>
          <w:spacing w:val="-72"/>
        </w:rPr>
        <w:t> </w:t>
      </w:r>
      <w:r>
        <w:rPr>
          <w:spacing w:val="-72"/>
        </w:rPr>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月任中国工商银行海外数据中心总经理，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2004</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12</w:t>
      </w:r>
      <w:r>
        <w:rPr/>
        <w:t>月任中国银联首席技术顾问，</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月任银联数据服务公司总</w:t>
      </w:r>
      <w:r>
        <w:rPr>
          <w:w w:val="100"/>
        </w:rPr>
        <w:t> </w:t>
      </w:r>
      <w:r>
        <w:rPr>
          <w:spacing w:val="-4"/>
        </w:rPr>
        <w:t>裁，</w:t>
      </w:r>
      <w:r>
        <w:rPr>
          <w:rFonts w:ascii="Times New Roman" w:hAnsi="Times New Roman" w:cs="Times New Roman" w:eastAsia="Times New Roman" w:hint="default"/>
          <w:spacing w:val="-4"/>
        </w:rPr>
        <w:t>2009</w:t>
      </w:r>
      <w:r>
        <w:rPr>
          <w:spacing w:val="-4"/>
        </w:rPr>
        <w:t>年</w:t>
      </w:r>
      <w:r>
        <w:rPr>
          <w:rFonts w:ascii="Times New Roman" w:hAnsi="Times New Roman" w:cs="Times New Roman" w:eastAsia="Times New Roman" w:hint="default"/>
          <w:spacing w:val="-4"/>
        </w:rPr>
        <w:t>3</w:t>
      </w:r>
      <w:r>
        <w:rPr>
          <w:spacing w:val="-4"/>
        </w:rPr>
        <w:t>月至今任通联支付网络服务股份有限公司常务副总裁。</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12</w:t>
      </w:r>
      <w:r>
        <w:rPr>
          <w:spacing w:val="-4"/>
        </w:rPr>
        <w:t>月至今</w:t>
      </w:r>
      <w:r>
        <w:rPr/>
      </w:r>
    </w:p>
    <w:p>
      <w:pPr>
        <w:spacing w:after="0" w:line="338" w:lineRule="auto"/>
        <w:jc w:val="left"/>
        <w:sectPr>
          <w:pgSz w:w="11910" w:h="16840"/>
          <w:pgMar w:header="877" w:footer="982" w:top="1100" w:bottom="1180" w:left="1660" w:right="1600"/>
        </w:sectPr>
      </w:pPr>
    </w:p>
    <w:p>
      <w:pPr>
        <w:spacing w:line="240" w:lineRule="auto" w:before="4"/>
        <w:rPr>
          <w:rFonts w:ascii="宋体" w:hAnsi="宋体" w:cs="宋体" w:eastAsia="宋体" w:hint="default"/>
          <w:sz w:val="19"/>
          <w:szCs w:val="19"/>
        </w:rPr>
      </w:pPr>
    </w:p>
    <w:p>
      <w:pPr>
        <w:pStyle w:val="BodyText"/>
        <w:spacing w:line="338" w:lineRule="auto" w:before="29"/>
        <w:ind w:left="597" w:right="186" w:hanging="460"/>
        <w:jc w:val="left"/>
      </w:pPr>
      <w:r>
        <w:rPr/>
        <w:t>任本公司独立董事。单怀光先生本届任期至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w:t>
      </w:r>
      <w:r>
        <w:rPr>
          <w:w w:val="100"/>
        </w:rPr>
        <w:t> </w:t>
      </w:r>
      <w:r>
        <w:rPr>
          <w:spacing w:val="-4"/>
        </w:rPr>
        <w:t>宋靖雁先生，公司独立董事，中国籍，</w:t>
      </w:r>
      <w:r>
        <w:rPr>
          <w:rFonts w:ascii="Times New Roman" w:hAnsi="Times New Roman" w:cs="Times New Roman" w:eastAsia="Times New Roman" w:hint="default"/>
          <w:spacing w:val="-4"/>
        </w:rPr>
        <w:t>1964</w:t>
      </w:r>
      <w:r>
        <w:rPr>
          <w:spacing w:val="-4"/>
        </w:rPr>
        <w:t>年出生，博士学历。</w:t>
      </w:r>
      <w:r>
        <w:rPr>
          <w:rFonts w:ascii="Times New Roman" w:hAnsi="Times New Roman" w:cs="Times New Roman" w:eastAsia="Times New Roman" w:hint="default"/>
          <w:spacing w:val="-4"/>
        </w:rPr>
        <w:t>1988</w:t>
      </w:r>
      <w:r>
        <w:rPr>
          <w:spacing w:val="-4"/>
        </w:rPr>
        <w:t>年</w:t>
      </w:r>
      <w:r>
        <w:rPr>
          <w:rFonts w:ascii="Times New Roman" w:hAnsi="Times New Roman" w:cs="Times New Roman" w:eastAsia="Times New Roman" w:hint="default"/>
          <w:spacing w:val="-4"/>
        </w:rPr>
        <w:t>7</w:t>
      </w:r>
      <w:r>
        <w:rPr>
          <w:spacing w:val="-4"/>
        </w:rPr>
        <w:t>月至今</w:t>
      </w:r>
    </w:p>
    <w:p>
      <w:pPr>
        <w:pStyle w:val="BodyText"/>
        <w:spacing w:line="340" w:lineRule="auto" w:before="24"/>
        <w:ind w:right="214"/>
        <w:jc w:val="left"/>
      </w:pPr>
      <w:r>
        <w:rPr>
          <w:spacing w:val="-1"/>
        </w:rPr>
        <w:t>在清华大学工作，历任清华大学自动化系助教、讲师、副教授、教授、副系主任，</w:t>
      </w:r>
      <w:r>
        <w:rPr>
          <w:spacing w:val="-93"/>
        </w:rPr>
        <w:t> </w:t>
      </w:r>
      <w:r>
        <w:rPr>
          <w:spacing w:val="-93"/>
        </w:rPr>
      </w:r>
      <w:r>
        <w:rPr/>
        <w:t>其间</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12</w:t>
      </w:r>
      <w:r>
        <w:rPr/>
        <w:t>月任香港中文大学系统工程与工程管理学系研究助理，</w:t>
      </w:r>
      <w:r>
        <w:rPr>
          <w:w w:val="100"/>
        </w:rPr>
        <w:t> </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6</w:t>
      </w:r>
      <w:r>
        <w:rPr/>
        <w:t>月任美国加州大学伯克利分校</w:t>
      </w:r>
      <w:r>
        <w:rPr>
          <w:rFonts w:ascii="Times New Roman" w:hAnsi="Times New Roman" w:cs="Times New Roman" w:eastAsia="Times New Roman" w:hint="default"/>
        </w:rPr>
        <w:t>PATH</w:t>
      </w:r>
      <w:r>
        <w:rPr/>
        <w:t>研究中心访问学者，</w:t>
      </w:r>
      <w:r>
        <w:rPr>
          <w:rFonts w:ascii="Times New Roman" w:hAnsi="Times New Roman" w:cs="Times New Roman" w:eastAsia="Times New Roman" w:hint="default"/>
        </w:rPr>
        <w:t>2004</w:t>
      </w:r>
      <w:r>
        <w:rPr>
          <w:rFonts w:ascii="Times New Roman" w:hAnsi="Times New Roman" w:cs="Times New Roman" w:eastAsia="Times New Roman" w:hint="default"/>
          <w:w w:val="100"/>
        </w:rPr>
        <w:t> </w:t>
      </w:r>
      <w:r>
        <w:rPr>
          <w:spacing w:val="-4"/>
          <w:w w:val="100"/>
        </w:rPr>
        <w:t>年</w:t>
      </w:r>
      <w:r>
        <w:rPr>
          <w:rFonts w:ascii="Times New Roman" w:hAnsi="Times New Roman" w:cs="Times New Roman" w:eastAsia="Times New Roman" w:hint="default"/>
          <w:spacing w:val="-4"/>
          <w:w w:val="100"/>
        </w:rPr>
        <w:t>12</w:t>
      </w:r>
      <w:r>
        <w:rPr>
          <w:spacing w:val="-4"/>
          <w:w w:val="100"/>
        </w:rPr>
        <w:t>月至</w:t>
      </w:r>
      <w:r>
        <w:rPr>
          <w:rFonts w:ascii="Times New Roman" w:hAnsi="Times New Roman" w:cs="Times New Roman" w:eastAsia="Times New Roman" w:hint="default"/>
          <w:spacing w:val="-4"/>
          <w:w w:val="100"/>
        </w:rPr>
        <w:t>2005</w:t>
      </w:r>
      <w:r>
        <w:rPr>
          <w:spacing w:val="-4"/>
          <w:w w:val="100"/>
        </w:rPr>
        <w:t>年</w:t>
      </w:r>
      <w:r>
        <w:rPr>
          <w:rFonts w:ascii="Times New Roman" w:hAnsi="Times New Roman" w:cs="Times New Roman" w:eastAsia="Times New Roman" w:hint="default"/>
          <w:spacing w:val="-4"/>
          <w:w w:val="100"/>
        </w:rPr>
        <w:t>2</w:t>
      </w:r>
      <w:r>
        <w:rPr>
          <w:spacing w:val="-4"/>
          <w:w w:val="100"/>
        </w:rPr>
        <w:t>月任香港中文大学自动化与计算机辅助工程系副研究员，现任清华</w:t>
      </w:r>
      <w:r>
        <w:rPr>
          <w:spacing w:val="-94"/>
          <w:w w:val="100"/>
        </w:rPr>
        <w:t> </w:t>
      </w:r>
      <w:r>
        <w:rPr>
          <w:spacing w:val="-94"/>
          <w:w w:val="100"/>
        </w:rPr>
      </w:r>
      <w:r>
        <w:rPr>
          <w:spacing w:val="-6"/>
          <w:w w:val="100"/>
        </w:rPr>
        <w:t>大学自动化系教授。</w:t>
      </w:r>
      <w:r>
        <w:rPr>
          <w:rFonts w:ascii="Times New Roman" w:hAnsi="Times New Roman" w:cs="Times New Roman" w:eastAsia="Times New Roman" w:hint="default"/>
          <w:spacing w:val="-6"/>
          <w:w w:val="100"/>
        </w:rPr>
        <w:t>2007</w:t>
      </w:r>
      <w:r>
        <w:rPr>
          <w:spacing w:val="-6"/>
          <w:w w:val="100"/>
        </w:rPr>
        <w:t>年</w:t>
      </w:r>
      <w:r>
        <w:rPr>
          <w:rFonts w:ascii="Times New Roman" w:hAnsi="Times New Roman" w:cs="Times New Roman" w:eastAsia="Times New Roman" w:hint="default"/>
          <w:spacing w:val="-6"/>
          <w:w w:val="100"/>
        </w:rPr>
        <w:t>12</w:t>
      </w:r>
      <w:r>
        <w:rPr>
          <w:spacing w:val="-6"/>
          <w:w w:val="100"/>
        </w:rPr>
        <w:t>月至今任本公司独立董事。宋靖雁先生本届任期至</w:t>
      </w:r>
      <w:r>
        <w:rPr>
          <w:rFonts w:ascii="Times New Roman" w:hAnsi="Times New Roman" w:cs="Times New Roman" w:eastAsia="Times New Roman" w:hint="default"/>
          <w:spacing w:val="-6"/>
          <w:w w:val="100"/>
        </w:rPr>
        <w:t>2013</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w:t>
      </w:r>
    </w:p>
    <w:p>
      <w:pPr>
        <w:pStyle w:val="BodyText"/>
        <w:spacing w:line="338" w:lineRule="auto" w:before="22"/>
        <w:ind w:right="189" w:firstLine="459"/>
        <w:jc w:val="left"/>
        <w:rPr>
          <w:rFonts w:ascii="Times New Roman" w:hAnsi="Times New Roman" w:cs="Times New Roman" w:eastAsia="Times New Roman" w:hint="default"/>
        </w:rPr>
      </w:pPr>
      <w:r>
        <w:rPr>
          <w:spacing w:val="-3"/>
        </w:rPr>
        <w:t>朱厚佳先生，公司独立董事，中国籍，</w:t>
      </w:r>
      <w:r>
        <w:rPr>
          <w:rFonts w:ascii="Times New Roman" w:hAnsi="Times New Roman" w:cs="Times New Roman" w:eastAsia="Times New Roman" w:hint="default"/>
          <w:spacing w:val="-3"/>
        </w:rPr>
        <w:t>1965 </w:t>
      </w:r>
      <w:r>
        <w:rPr>
          <w:spacing w:val="-4"/>
        </w:rPr>
        <w:t>年出生，研究生学历。</w:t>
      </w:r>
      <w:r>
        <w:rPr>
          <w:rFonts w:ascii="Times New Roman" w:hAnsi="Times New Roman" w:cs="Times New Roman" w:eastAsia="Times New Roman" w:hint="default"/>
          <w:spacing w:val="-4"/>
        </w:rPr>
        <w:t>1990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月</w:t>
      </w:r>
      <w:r>
        <w:rPr>
          <w:w w:val="100"/>
        </w:rPr>
        <w:t> </w:t>
      </w:r>
      <w:r>
        <w:rPr/>
        <w:t>至</w:t>
      </w:r>
      <w:r>
        <w:rPr>
          <w:spacing w:val="-52"/>
        </w:rPr>
        <w:t> </w:t>
      </w:r>
      <w:r>
        <w:rPr>
          <w:rFonts w:ascii="Times New Roman" w:hAnsi="Times New Roman" w:cs="Times New Roman" w:eastAsia="Times New Roman" w:hint="default"/>
        </w:rPr>
        <w:t>1996</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月任蛇口中华会计师事务所、蛇口天健信德会计师事务所经理，</w:t>
      </w:r>
      <w:r>
        <w:rPr>
          <w:rFonts w:ascii="Times New Roman" w:hAnsi="Times New Roman" w:cs="Times New Roman" w:eastAsia="Times New Roman" w:hint="default"/>
        </w:rPr>
        <w:t>1996</w:t>
      </w:r>
    </w:p>
    <w:p>
      <w:pPr>
        <w:pStyle w:val="BodyText"/>
        <w:spacing w:line="336" w:lineRule="auto" w:before="24"/>
        <w:ind w:right="193"/>
        <w:jc w:val="both"/>
      </w:pPr>
      <w:r>
        <w:rPr/>
        <w:t>年</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月至</w:t>
      </w:r>
      <w:r>
        <w:rPr>
          <w:spacing w:val="-62"/>
        </w:rPr>
        <w:t> </w:t>
      </w:r>
      <w:r>
        <w:rPr>
          <w:rFonts w:ascii="Times New Roman" w:hAnsi="Times New Roman" w:cs="Times New Roman" w:eastAsia="Times New Roman" w:hint="default"/>
        </w:rPr>
        <w:t>2002</w:t>
      </w:r>
      <w:r>
        <w:rPr>
          <w:rFonts w:ascii="Times New Roman" w:hAnsi="Times New Roman" w:cs="Times New Roman" w:eastAsia="Times New Roman" w:hint="default"/>
          <w:spacing w:val="-4"/>
        </w:rPr>
        <w:t> </w:t>
      </w:r>
      <w:r>
        <w:rPr/>
        <w:t>年</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月任深圳同人会计师事务所合伙人，</w:t>
      </w:r>
      <w:r>
        <w:rPr>
          <w:rFonts w:ascii="Times New Roman" w:hAnsi="Times New Roman" w:cs="Times New Roman" w:eastAsia="Times New Roman" w:hint="default"/>
        </w:rPr>
        <w:t>2002</w:t>
      </w:r>
      <w:r>
        <w:rPr>
          <w:rFonts w:ascii="Times New Roman" w:hAnsi="Times New Roman" w:cs="Times New Roman" w:eastAsia="Times New Roman" w:hint="default"/>
          <w:spacing w:val="-4"/>
        </w:rPr>
        <w:t> </w:t>
      </w:r>
      <w:r>
        <w:rPr/>
        <w:t>年</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月至今任天健正</w:t>
      </w:r>
      <w:r>
        <w:rPr>
          <w:w w:val="100"/>
        </w:rPr>
        <w:t> </w:t>
      </w:r>
      <w:r>
        <w:rPr/>
        <w:t>信会计师事务所深圳分所副主任。</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21"/>
        </w:rPr>
        <w:t> </w:t>
      </w:r>
      <w:r>
        <w:rPr/>
        <w:t>月至今任本公司独立董事。朱厚佳先</w:t>
      </w:r>
      <w:r>
        <w:rPr>
          <w:w w:val="100"/>
        </w:rPr>
        <w:t> </w:t>
      </w:r>
      <w:r>
        <w:rPr/>
        <w:t>生本届任期至</w:t>
      </w:r>
      <w:r>
        <w:rPr>
          <w:spacing w:val="-5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w:t>
      </w:r>
    </w:p>
    <w:p>
      <w:pPr>
        <w:pStyle w:val="BodyText"/>
        <w:spacing w:line="427" w:lineRule="auto" w:before="147"/>
        <w:ind w:left="597" w:right="1062" w:hanging="2"/>
        <w:jc w:val="left"/>
      </w:pPr>
      <w:r>
        <w:rPr>
          <w:rFonts w:ascii="Times New Roman" w:hAnsi="Times New Roman" w:cs="Times New Roman" w:eastAsia="Times New Roman" w:hint="default"/>
          <w:b/>
          <w:bCs/>
          <w:spacing w:val="4"/>
        </w:rPr>
        <w:t>2</w:t>
      </w:r>
      <w:r>
        <w:rPr>
          <w:rFonts w:ascii="宋体" w:hAnsi="宋体" w:cs="宋体" w:eastAsia="宋体" w:hint="default"/>
          <w:b/>
          <w:bCs/>
          <w:spacing w:val="4"/>
        </w:rPr>
        <w:t>．监事</w:t>
      </w:r>
      <w:r>
        <w:rPr>
          <w:rFonts w:ascii="宋体" w:hAnsi="宋体" w:cs="宋体" w:eastAsia="宋体" w:hint="default"/>
          <w:b/>
          <w:bCs/>
          <w:spacing w:val="1"/>
          <w:w w:val="99"/>
        </w:rPr>
        <w:t> </w:t>
      </w:r>
      <w:r>
        <w:rPr>
          <w:spacing w:val="-1"/>
        </w:rPr>
        <w:t>公司监事会由三名监事组成，其中职工监事一人，具体如下：</w:t>
      </w:r>
    </w:p>
    <w:p>
      <w:pPr>
        <w:pStyle w:val="BodyText"/>
        <w:spacing w:line="286" w:lineRule="exact"/>
        <w:ind w:left="597" w:right="186"/>
        <w:jc w:val="left"/>
        <w:rPr>
          <w:rFonts w:ascii="Times New Roman" w:hAnsi="Times New Roman" w:cs="Times New Roman" w:eastAsia="Times New Roman" w:hint="default"/>
        </w:rPr>
      </w:pPr>
      <w:r>
        <w:rPr/>
        <w:t>汪婉欣女士，公司监事会主席，中国籍，</w:t>
      </w:r>
      <w:r>
        <w:rPr>
          <w:rFonts w:ascii="Times New Roman" w:hAnsi="Times New Roman" w:cs="Times New Roman" w:eastAsia="Times New Roman" w:hint="default"/>
        </w:rPr>
        <w:t>1975</w:t>
      </w:r>
      <w:r>
        <w:rPr/>
        <w:t>年出生，研究生学历。</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7</w:t>
      </w:r>
    </w:p>
    <w:p>
      <w:pPr>
        <w:pStyle w:val="BodyText"/>
        <w:spacing w:line="336" w:lineRule="auto" w:before="129"/>
        <w:ind w:right="223" w:hanging="1"/>
        <w:jc w:val="both"/>
      </w:pPr>
      <w:r>
        <w:rPr>
          <w:spacing w:val="-1"/>
        </w:rPr>
        <w:t>月至</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9</w:t>
      </w:r>
      <w:r>
        <w:rPr>
          <w:spacing w:val="-1"/>
        </w:rPr>
        <w:t>月任普华永道初级审计师，</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1</w:t>
      </w:r>
      <w:r>
        <w:rPr>
          <w:spacing w:val="-1"/>
        </w:rPr>
        <w:t>月至</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12</w:t>
      </w:r>
      <w:r>
        <w:rPr>
          <w:spacing w:val="-1"/>
        </w:rPr>
        <w:t>月任普华永道高级审</w:t>
      </w:r>
      <w:r>
        <w:rPr>
          <w:spacing w:val="-85"/>
        </w:rPr>
        <w:t> </w:t>
      </w:r>
      <w:r>
        <w:rPr>
          <w:spacing w:val="-85"/>
        </w:rPr>
      </w:r>
      <w:r>
        <w:rPr>
          <w:spacing w:val="-1"/>
        </w:rPr>
        <w:t>计师，</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1</w:t>
      </w:r>
      <w:r>
        <w:rPr>
          <w:spacing w:val="-1"/>
        </w:rPr>
        <w:t>月至</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w:t>
      </w:r>
      <w:r>
        <w:rPr>
          <w:spacing w:val="-1"/>
        </w:rPr>
        <w:t>月任可口可乐有限公司（美国）主任内部审计师，</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spacing w:val="-4"/>
          <w:w w:val="100"/>
        </w:rPr>
        <w:t>年</w:t>
      </w:r>
      <w:r>
        <w:rPr>
          <w:rFonts w:ascii="Times New Roman" w:hAnsi="Times New Roman" w:cs="Times New Roman" w:eastAsia="Times New Roman" w:hint="default"/>
          <w:spacing w:val="-4"/>
          <w:w w:val="100"/>
        </w:rPr>
        <w:t>1</w:t>
      </w:r>
      <w:r>
        <w:rPr>
          <w:spacing w:val="-4"/>
          <w:w w:val="100"/>
        </w:rPr>
        <w:t>月至</w:t>
      </w:r>
      <w:r>
        <w:rPr>
          <w:rFonts w:ascii="Times New Roman" w:hAnsi="Times New Roman" w:cs="Times New Roman" w:eastAsia="Times New Roman" w:hint="default"/>
          <w:spacing w:val="-4"/>
          <w:w w:val="100"/>
        </w:rPr>
        <w:t>2011</w:t>
      </w:r>
      <w:r>
        <w:rPr>
          <w:spacing w:val="-4"/>
          <w:w w:val="100"/>
        </w:rPr>
        <w:t>年</w:t>
      </w:r>
      <w:r>
        <w:rPr>
          <w:rFonts w:ascii="Times New Roman" w:hAnsi="Times New Roman" w:cs="Times New Roman" w:eastAsia="Times New Roman" w:hint="default"/>
          <w:spacing w:val="-4"/>
          <w:w w:val="100"/>
        </w:rPr>
        <w:t>3</w:t>
      </w:r>
      <w:r>
        <w:rPr>
          <w:spacing w:val="-4"/>
          <w:w w:val="100"/>
        </w:rPr>
        <w:t>月任北京诺华制药有限公司业务流程控制副总监，</w:t>
      </w:r>
      <w:r>
        <w:rPr>
          <w:rFonts w:ascii="Times New Roman" w:hAnsi="Times New Roman" w:cs="Times New Roman" w:eastAsia="Times New Roman" w:hint="default"/>
          <w:spacing w:val="-4"/>
          <w:w w:val="100"/>
        </w:rPr>
        <w:t>2011</w:t>
      </w:r>
      <w:r>
        <w:rPr>
          <w:spacing w:val="-4"/>
          <w:w w:val="100"/>
        </w:rPr>
        <w:t>年</w:t>
      </w:r>
      <w:r>
        <w:rPr>
          <w:rFonts w:ascii="Times New Roman" w:hAnsi="Times New Roman" w:cs="Times New Roman" w:eastAsia="Times New Roman" w:hint="default"/>
          <w:spacing w:val="-4"/>
          <w:w w:val="100"/>
        </w:rPr>
        <w:t>7</w:t>
      </w:r>
      <w:r>
        <w:rPr>
          <w:spacing w:val="-4"/>
          <w:w w:val="100"/>
        </w:rPr>
        <w:t>月至今任</w:t>
      </w:r>
      <w:r>
        <w:rPr>
          <w:spacing w:val="-89"/>
          <w:w w:val="100"/>
        </w:rPr>
        <w:t> </w:t>
      </w:r>
      <w:r>
        <w:rPr>
          <w:spacing w:val="-89"/>
          <w:w w:val="100"/>
        </w:rPr>
      </w:r>
      <w:r>
        <w:rPr/>
        <w:t>施耐德电气</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t>有限公司财务经理。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月至今任本公司监事会主席。汪婉</w:t>
      </w:r>
      <w:r>
        <w:rPr>
          <w:w w:val="100"/>
        </w:rPr>
        <w:t> </w:t>
      </w:r>
      <w:r>
        <w:rPr/>
        <w:t>欣女士本届任期至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w:t>
      </w:r>
    </w:p>
    <w:p>
      <w:pPr>
        <w:pStyle w:val="BodyText"/>
        <w:spacing w:line="338" w:lineRule="auto" w:before="27"/>
        <w:ind w:right="221" w:firstLine="459"/>
        <w:jc w:val="both"/>
      </w:pPr>
      <w:r>
        <w:rPr>
          <w:spacing w:val="-3"/>
        </w:rPr>
        <w:t>杨金敏女士，公司监事，中国籍，</w:t>
      </w:r>
      <w:r>
        <w:rPr>
          <w:rFonts w:ascii="Times New Roman" w:hAnsi="Times New Roman" w:cs="Times New Roman" w:eastAsia="Times New Roman" w:hint="default"/>
          <w:spacing w:val="-3"/>
        </w:rPr>
        <w:t>1979</w:t>
      </w:r>
      <w:r>
        <w:rPr>
          <w:spacing w:val="-3"/>
        </w:rPr>
        <w:t>年出生，大专学历。</w:t>
      </w:r>
      <w:r>
        <w:rPr>
          <w:rFonts w:ascii="Times New Roman" w:hAnsi="Times New Roman" w:cs="Times New Roman" w:eastAsia="Times New Roman" w:hint="default"/>
          <w:spacing w:val="-3"/>
        </w:rPr>
        <w:t>1998-1999</w:t>
      </w:r>
      <w:r>
        <w:rPr>
          <w:spacing w:val="-3"/>
        </w:rPr>
        <w:t>年在深圳</w:t>
      </w:r>
      <w:r>
        <w:rPr>
          <w:w w:val="100"/>
        </w:rPr>
        <w:t> </w:t>
      </w:r>
      <w:r>
        <w:rPr>
          <w:spacing w:val="-1"/>
        </w:rPr>
        <w:t>市同洲电子股份有限公司工作。</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10</w:t>
      </w:r>
      <w:r>
        <w:rPr>
          <w:spacing w:val="-1"/>
        </w:rPr>
        <w:t>月至今任本公司出纳；</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12</w:t>
      </w:r>
      <w:r>
        <w:rPr>
          <w:spacing w:val="-1"/>
        </w:rPr>
        <w:t>月至今任</w:t>
      </w:r>
      <w:r>
        <w:rPr>
          <w:spacing w:val="-89"/>
        </w:rPr>
        <w:t> </w:t>
      </w:r>
      <w:r>
        <w:rPr>
          <w:spacing w:val="-89"/>
        </w:rPr>
      </w:r>
      <w:r>
        <w:rPr/>
        <w:t>本公司监事。杨金敏女士本届任期至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w:t>
      </w:r>
    </w:p>
    <w:p>
      <w:pPr>
        <w:pStyle w:val="BodyText"/>
        <w:spacing w:line="338" w:lineRule="auto" w:before="23"/>
        <w:ind w:right="186" w:firstLine="459"/>
        <w:jc w:val="left"/>
      </w:pPr>
      <w:r>
        <w:rPr/>
        <w:t>周峰先生，公司职工代表监事，中国籍，</w:t>
      </w:r>
      <w:r>
        <w:rPr>
          <w:rFonts w:ascii="Times New Roman" w:hAnsi="Times New Roman" w:cs="Times New Roman" w:eastAsia="Times New Roman" w:hint="default"/>
        </w:rPr>
        <w:t>1976</w:t>
      </w:r>
      <w:r>
        <w:rPr/>
        <w:t>年出生，本科学历。</w:t>
      </w:r>
      <w:r>
        <w:rPr>
          <w:rFonts w:ascii="Times New Roman" w:hAnsi="Times New Roman" w:cs="Times New Roman" w:eastAsia="Times New Roman" w:hint="default"/>
        </w:rPr>
        <w:t>2000-2006</w:t>
      </w:r>
      <w:r>
        <w:rPr>
          <w:rFonts w:ascii="Times New Roman" w:hAnsi="Times New Roman" w:cs="Times New Roman" w:eastAsia="Times New Roman" w:hint="default"/>
          <w:w w:val="100"/>
        </w:rPr>
        <w:t> </w:t>
      </w:r>
      <w:r>
        <w:rPr>
          <w:spacing w:val="-4"/>
        </w:rPr>
        <w:t>年在深圳市西奥科技有限公司工作，历任人力资源部副经理、行政部经理；</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6</w:t>
      </w:r>
      <w:r>
        <w:rPr>
          <w:rFonts w:ascii="Times New Roman" w:hAnsi="Times New Roman" w:cs="Times New Roman" w:eastAsia="Times New Roman" w:hint="default"/>
          <w:spacing w:val="-26"/>
        </w:rPr>
        <w:t> </w:t>
      </w:r>
      <w:r>
        <w:rPr>
          <w:spacing w:val="-1"/>
        </w:rPr>
        <w:t>月至今在本公司工作，历任行政人事部经理、综合管理部经理。</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12</w:t>
      </w:r>
      <w:r>
        <w:rPr>
          <w:spacing w:val="-1"/>
        </w:rPr>
        <w:t>月至今任</w:t>
      </w:r>
      <w:r>
        <w:rPr>
          <w:spacing w:val="-93"/>
        </w:rPr>
        <w:t> </w:t>
      </w:r>
      <w:r>
        <w:rPr>
          <w:spacing w:val="-93"/>
        </w:rPr>
      </w:r>
      <w:r>
        <w:rPr/>
        <w:t>本公司职工代表监事。周峰先生本届任期至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w:t>
      </w:r>
    </w:p>
    <w:p>
      <w:pPr>
        <w:spacing w:line="427" w:lineRule="auto" w:before="144"/>
        <w:ind w:left="597" w:right="0" w:hanging="2"/>
        <w:jc w:val="left"/>
        <w:rPr>
          <w:rFonts w:ascii="宋体" w:hAnsi="宋体" w:cs="宋体" w:eastAsia="宋体" w:hint="default"/>
          <w:sz w:val="23"/>
          <w:szCs w:val="23"/>
        </w:rPr>
      </w:pPr>
      <w:r>
        <w:rPr>
          <w:rFonts w:ascii="Times New Roman" w:hAnsi="Times New Roman" w:cs="Times New Roman" w:eastAsia="Times New Roman" w:hint="default"/>
          <w:b/>
          <w:bCs/>
          <w:sz w:val="23"/>
          <w:szCs w:val="23"/>
        </w:rPr>
        <w:t>3</w:t>
      </w:r>
      <w:r>
        <w:rPr>
          <w:rFonts w:ascii="宋体" w:hAnsi="宋体" w:cs="宋体" w:eastAsia="宋体" w:hint="default"/>
          <w:b/>
          <w:bCs/>
          <w:sz w:val="23"/>
          <w:szCs w:val="23"/>
        </w:rPr>
        <w:t>．其他高级管理人员</w:t>
      </w:r>
      <w:r>
        <w:rPr>
          <w:rFonts w:ascii="宋体" w:hAnsi="宋体" w:cs="宋体" w:eastAsia="宋体" w:hint="default"/>
          <w:b/>
          <w:bCs/>
          <w:spacing w:val="-103"/>
          <w:sz w:val="23"/>
          <w:szCs w:val="23"/>
        </w:rPr>
        <w:t> </w:t>
      </w:r>
      <w:r>
        <w:rPr>
          <w:rFonts w:ascii="宋体" w:hAnsi="宋体" w:cs="宋体" w:eastAsia="宋体" w:hint="default"/>
          <w:b/>
          <w:bCs/>
          <w:spacing w:val="-103"/>
          <w:sz w:val="23"/>
          <w:szCs w:val="23"/>
        </w:rPr>
      </w:r>
      <w:r>
        <w:rPr>
          <w:rFonts w:ascii="宋体" w:hAnsi="宋体" w:cs="宋体" w:eastAsia="宋体" w:hint="default"/>
          <w:spacing w:val="-4"/>
          <w:sz w:val="23"/>
          <w:szCs w:val="23"/>
        </w:rPr>
        <w:t>刘奕先生：中国籍，</w:t>
      </w:r>
      <w:r>
        <w:rPr>
          <w:rFonts w:ascii="Times New Roman" w:hAnsi="Times New Roman" w:cs="Times New Roman" w:eastAsia="Times New Roman" w:hint="default"/>
          <w:spacing w:val="-4"/>
          <w:sz w:val="23"/>
          <w:szCs w:val="23"/>
        </w:rPr>
        <w:t>1971</w:t>
      </w:r>
      <w:r>
        <w:rPr>
          <w:rFonts w:ascii="宋体" w:hAnsi="宋体" w:cs="宋体" w:eastAsia="宋体" w:hint="default"/>
          <w:spacing w:val="-4"/>
          <w:sz w:val="23"/>
          <w:szCs w:val="23"/>
        </w:rPr>
        <w:t>年出生，研究生学历。</w:t>
      </w:r>
      <w:r>
        <w:rPr>
          <w:rFonts w:ascii="Times New Roman" w:hAnsi="Times New Roman" w:cs="Times New Roman" w:eastAsia="Times New Roman" w:hint="default"/>
          <w:spacing w:val="-4"/>
          <w:sz w:val="23"/>
          <w:szCs w:val="23"/>
        </w:rPr>
        <w:t>1998</w:t>
      </w:r>
      <w:r>
        <w:rPr>
          <w:rFonts w:ascii="宋体" w:hAnsi="宋体" w:cs="宋体" w:eastAsia="宋体" w:hint="default"/>
          <w:spacing w:val="-4"/>
          <w:sz w:val="23"/>
          <w:szCs w:val="23"/>
        </w:rPr>
        <w:t>年</w:t>
      </w:r>
      <w:r>
        <w:rPr>
          <w:rFonts w:ascii="Times New Roman" w:hAnsi="Times New Roman" w:cs="Times New Roman" w:eastAsia="Times New Roman" w:hint="default"/>
          <w:spacing w:val="-4"/>
          <w:sz w:val="23"/>
          <w:szCs w:val="23"/>
        </w:rPr>
        <w:t>10</w:t>
      </w:r>
      <w:r>
        <w:rPr>
          <w:rFonts w:ascii="宋体" w:hAnsi="宋体" w:cs="宋体" w:eastAsia="宋体" w:hint="default"/>
          <w:spacing w:val="-4"/>
          <w:sz w:val="23"/>
          <w:szCs w:val="23"/>
        </w:rPr>
        <w:t>月至今在本公司工作，</w:t>
      </w:r>
    </w:p>
    <w:p>
      <w:pPr>
        <w:spacing w:after="0" w:line="427" w:lineRule="auto"/>
        <w:jc w:val="left"/>
        <w:rPr>
          <w:rFonts w:ascii="宋体" w:hAnsi="宋体" w:cs="宋体" w:eastAsia="宋体" w:hint="default"/>
          <w:sz w:val="23"/>
          <w:szCs w:val="23"/>
        </w:rPr>
        <w:sectPr>
          <w:pgSz w:w="11910" w:h="16840"/>
          <w:pgMar w:header="877" w:footer="982" w:top="1100" w:bottom="1180" w:left="1660" w:right="1600"/>
        </w:sectPr>
      </w:pPr>
    </w:p>
    <w:p>
      <w:pPr>
        <w:spacing w:line="240" w:lineRule="auto" w:before="4"/>
        <w:rPr>
          <w:rFonts w:ascii="宋体" w:hAnsi="宋体" w:cs="宋体" w:eastAsia="宋体" w:hint="default"/>
          <w:sz w:val="19"/>
          <w:szCs w:val="19"/>
        </w:rPr>
      </w:pPr>
    </w:p>
    <w:p>
      <w:pPr>
        <w:pStyle w:val="BodyText"/>
        <w:spacing w:line="338" w:lineRule="auto" w:before="29"/>
        <w:ind w:left="597" w:right="115" w:hanging="460"/>
        <w:jc w:val="left"/>
      </w:pPr>
      <w:r>
        <w:rPr/>
        <w:t>历任总经理助理、副总经理。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月至今任公司副总经理、董事会秘书。</w:t>
      </w:r>
      <w:r>
        <w:rPr>
          <w:w w:val="100"/>
        </w:rPr>
        <w:t> </w:t>
      </w:r>
      <w:r>
        <w:rPr>
          <w:spacing w:val="-1"/>
        </w:rPr>
        <w:t>许秋江先生：中国籍，</w:t>
      </w:r>
      <w:r>
        <w:rPr>
          <w:rFonts w:ascii="Times New Roman" w:hAnsi="Times New Roman" w:cs="Times New Roman" w:eastAsia="Times New Roman" w:hint="default"/>
          <w:spacing w:val="-1"/>
        </w:rPr>
        <w:t>1973</w:t>
      </w:r>
      <w:r>
        <w:rPr>
          <w:spacing w:val="-1"/>
        </w:rPr>
        <w:t>年出生，大专学历。</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3</w:t>
      </w:r>
      <w:r>
        <w:rPr>
          <w:spacing w:val="-1"/>
        </w:rPr>
        <w:t>月至今在本公司工作，</w:t>
      </w:r>
    </w:p>
    <w:p>
      <w:pPr>
        <w:pStyle w:val="BodyText"/>
        <w:spacing w:line="357" w:lineRule="auto" w:before="24"/>
        <w:ind w:left="597" w:right="115" w:hanging="460"/>
        <w:jc w:val="left"/>
      </w:pPr>
      <w:r>
        <w:rPr/>
        <w:t>历任公司财务经理、财务总监。现任公司财务总监。</w:t>
      </w:r>
      <w:r>
        <w:rPr>
          <w:w w:val="100"/>
        </w:rPr>
        <w:t> </w:t>
      </w:r>
      <w:r>
        <w:rPr>
          <w:spacing w:val="-1"/>
        </w:rPr>
        <w:t>彭建文先生：中国籍，</w:t>
      </w:r>
      <w:r>
        <w:rPr>
          <w:rFonts w:ascii="Times New Roman" w:hAnsi="Times New Roman" w:cs="Times New Roman" w:eastAsia="Times New Roman" w:hint="default"/>
          <w:spacing w:val="-1"/>
        </w:rPr>
        <w:t>1970</w:t>
      </w:r>
      <w:r>
        <w:rPr>
          <w:spacing w:val="-1"/>
        </w:rPr>
        <w:t>年出生，研究生学历。</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6</w:t>
      </w:r>
      <w:r>
        <w:rPr>
          <w:spacing w:val="-1"/>
        </w:rPr>
        <w:t>月至</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8</w:t>
      </w:r>
      <w:r>
        <w:rPr>
          <w:spacing w:val="-1"/>
        </w:rPr>
        <w:t>月任深</w:t>
      </w:r>
    </w:p>
    <w:p>
      <w:pPr>
        <w:pStyle w:val="BodyText"/>
        <w:spacing w:line="338" w:lineRule="auto" w:before="3"/>
        <w:ind w:left="597" w:right="115" w:hanging="460"/>
        <w:jc w:val="left"/>
      </w:pPr>
      <w:r>
        <w:rPr/>
        <w:t>圳辉大科技发展有限公司副总经理，</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8</w:t>
      </w:r>
      <w:r>
        <w:rPr/>
        <w:t>月至今任公司副总经理。</w:t>
      </w:r>
      <w:r>
        <w:rPr>
          <w:w w:val="100"/>
        </w:rPr>
        <w:t> </w:t>
      </w:r>
      <w:r>
        <w:rPr>
          <w:spacing w:val="-1"/>
        </w:rPr>
        <w:t>唐劲星先生：中国籍，</w:t>
      </w:r>
      <w:r>
        <w:rPr>
          <w:rFonts w:ascii="Times New Roman" w:hAnsi="Times New Roman" w:cs="Times New Roman" w:eastAsia="Times New Roman" w:hint="default"/>
          <w:spacing w:val="-1"/>
        </w:rPr>
        <w:t>1976</w:t>
      </w:r>
      <w:r>
        <w:rPr>
          <w:spacing w:val="-1"/>
        </w:rPr>
        <w:t>年出生，本科学历。</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12</w:t>
      </w:r>
      <w:r>
        <w:rPr>
          <w:spacing w:val="-1"/>
        </w:rPr>
        <w:t>月至</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5</w:t>
      </w:r>
      <w:r>
        <w:rPr>
          <w:spacing w:val="-1"/>
        </w:rPr>
        <w:t>日在</w:t>
      </w:r>
    </w:p>
    <w:p>
      <w:pPr>
        <w:pStyle w:val="BodyText"/>
        <w:spacing w:line="338" w:lineRule="auto" w:before="24"/>
        <w:ind w:right="115"/>
        <w:jc w:val="left"/>
      </w:pPr>
      <w:r>
        <w:rPr>
          <w:spacing w:val="-1"/>
        </w:rPr>
        <w:t>本公司工作，历任公司技术部经理、副总经理。</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5</w:t>
      </w:r>
      <w:r>
        <w:rPr>
          <w:spacing w:val="-1"/>
        </w:rPr>
        <w:t>日，唐劲星先生因个人</w:t>
      </w:r>
      <w:r>
        <w:rPr>
          <w:spacing w:val="-91"/>
        </w:rPr>
        <w:t> </w:t>
      </w:r>
      <w:r>
        <w:rPr>
          <w:spacing w:val="-91"/>
        </w:rPr>
      </w:r>
      <w:r>
        <w:rPr/>
        <w:t>原因辞去副总经理职务，并不在公司担任其他职务。</w:t>
      </w:r>
    </w:p>
    <w:p>
      <w:pPr>
        <w:pStyle w:val="BodyText"/>
        <w:spacing w:line="343" w:lineRule="auto" w:before="52"/>
        <w:ind w:right="265" w:firstLine="459"/>
        <w:jc w:val="both"/>
      </w:pPr>
      <w:r>
        <w:rPr>
          <w:spacing w:val="-1"/>
        </w:rPr>
        <w:t>金一先生：中国籍，</w:t>
      </w:r>
      <w:r>
        <w:rPr>
          <w:rFonts w:ascii="Times New Roman" w:hAnsi="Times New Roman" w:cs="Times New Roman" w:eastAsia="Times New Roman" w:hint="default"/>
          <w:spacing w:val="-1"/>
        </w:rPr>
        <w:t>1980</w:t>
      </w:r>
      <w:r>
        <w:rPr>
          <w:spacing w:val="-1"/>
        </w:rPr>
        <w:t>年出生，本科学历。</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12</w:t>
      </w:r>
      <w:r>
        <w:rPr>
          <w:spacing w:val="-1"/>
        </w:rPr>
        <w:t>月至今在本公司工作，</w:t>
      </w:r>
      <w:r>
        <w:rPr>
          <w:w w:val="100"/>
        </w:rPr>
        <w:t> </w:t>
      </w:r>
      <w:r>
        <w:rPr>
          <w:spacing w:val="-1"/>
        </w:rPr>
        <w:t>历任公司研发工程师、开发部副经理、新产品开发部经理、开发中心副总监，现任</w:t>
      </w:r>
      <w:r>
        <w:rPr>
          <w:spacing w:val="-93"/>
        </w:rPr>
        <w:t> </w:t>
      </w:r>
      <w:r>
        <w:rPr>
          <w:spacing w:val="-93"/>
        </w:rPr>
      </w:r>
      <w:r>
        <w:rPr>
          <w:spacing w:val="-1"/>
        </w:rPr>
        <w:t>公司技术总监、副总经理。</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5</w:t>
      </w:r>
      <w:r>
        <w:rPr>
          <w:spacing w:val="-1"/>
        </w:rPr>
        <w:t>日，经公司第二届董事会第七次会议被聘任</w:t>
      </w:r>
      <w:r>
        <w:rPr>
          <w:spacing w:val="-90"/>
        </w:rPr>
        <w:t> </w:t>
      </w:r>
      <w:r>
        <w:rPr>
          <w:spacing w:val="-90"/>
        </w:rPr>
      </w:r>
      <w:r>
        <w:rPr/>
        <w:t>为公司副总经理。</w:t>
      </w:r>
    </w:p>
    <w:p>
      <w:pPr>
        <w:pStyle w:val="BodyText"/>
        <w:spacing w:line="240" w:lineRule="auto" w:before="47"/>
        <w:ind w:left="597" w:right="115"/>
        <w:jc w:val="left"/>
      </w:pPr>
      <w:r>
        <w:rPr/>
        <w:t>报告期内，没有没有董事、监事、高级管理人员在股东单位任职的情况。</w:t>
      </w:r>
    </w:p>
    <w:p>
      <w:pPr>
        <w:spacing w:line="240" w:lineRule="auto" w:before="5"/>
        <w:rPr>
          <w:rFonts w:ascii="宋体" w:hAnsi="宋体" w:cs="宋体" w:eastAsia="宋体" w:hint="default"/>
          <w:sz w:val="20"/>
          <w:szCs w:val="20"/>
        </w:rPr>
      </w:pPr>
    </w:p>
    <w:p>
      <w:pPr>
        <w:pStyle w:val="Heading5"/>
        <w:spacing w:line="357" w:lineRule="auto"/>
        <w:ind w:left="677" w:right="105" w:hanging="540"/>
        <w:jc w:val="left"/>
        <w:rPr>
          <w:b w:val="0"/>
          <w:bCs w:val="0"/>
        </w:rPr>
      </w:pPr>
      <w:r>
        <w:rPr/>
        <w:t>二、</w:t>
      </w:r>
      <w:r>
        <w:rPr>
          <w:spacing w:val="-27"/>
        </w:rPr>
        <w:t> </w:t>
      </w:r>
      <w:r>
        <w:rPr>
          <w:spacing w:val="-6"/>
        </w:rPr>
        <w:t>报告期内，公司核心技术团队或关键技术人员（非董事、监事、高级管理人员）</w:t>
      </w:r>
      <w:r>
        <w:rPr>
          <w:w w:val="99"/>
        </w:rPr>
        <w:t> </w:t>
      </w:r>
      <w:r>
        <w:rPr/>
        <w:t>没有发生变动。</w:t>
      </w:r>
      <w:r>
        <w:rPr>
          <w:b w:val="0"/>
          <w:bCs w:val="0"/>
        </w:rPr>
      </w:r>
    </w:p>
    <w:p>
      <w:pPr>
        <w:pStyle w:val="Heading5"/>
        <w:spacing w:line="240" w:lineRule="auto" w:before="154"/>
        <w:ind w:right="115"/>
        <w:jc w:val="left"/>
        <w:rPr>
          <w:b w:val="0"/>
          <w:bCs w:val="0"/>
        </w:rPr>
      </w:pPr>
      <w:r>
        <w:rPr/>
        <w:t>三、</w:t>
      </w:r>
      <w:r>
        <w:rPr>
          <w:spacing w:val="-38"/>
        </w:rPr>
        <w:t> </w:t>
      </w:r>
      <w:r>
        <w:rPr/>
        <w:t>员工情况</w:t>
      </w:r>
      <w:r>
        <w:rPr>
          <w:b w:val="0"/>
          <w:bCs w:val="0"/>
        </w:rPr>
      </w:r>
    </w:p>
    <w:p>
      <w:pPr>
        <w:spacing w:line="240" w:lineRule="auto" w:before="5"/>
        <w:rPr>
          <w:rFonts w:ascii="宋体" w:hAnsi="宋体" w:cs="宋体" w:eastAsia="宋体" w:hint="default"/>
          <w:b/>
          <w:bCs/>
          <w:sz w:val="20"/>
          <w:szCs w:val="20"/>
        </w:rPr>
      </w:pPr>
    </w:p>
    <w:p>
      <w:pPr>
        <w:pStyle w:val="BodyText"/>
        <w:spacing w:line="240" w:lineRule="auto"/>
        <w:ind w:left="597" w:right="115"/>
        <w:jc w:val="left"/>
      </w:pPr>
      <w:r>
        <w:rPr/>
        <w:t>截止</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日，公司共有在册员工</w:t>
      </w:r>
      <w:r>
        <w:rPr>
          <w:rFonts w:ascii="Times New Roman" w:hAnsi="Times New Roman" w:cs="Times New Roman" w:eastAsia="Times New Roman" w:hint="default"/>
        </w:rPr>
        <w:t>415</w:t>
      </w:r>
      <w:r>
        <w:rPr/>
        <w:t>人，较上年末增加</w:t>
      </w:r>
      <w:r>
        <w:rPr>
          <w:rFonts w:ascii="Times New Roman" w:hAnsi="Times New Roman" w:cs="Times New Roman" w:eastAsia="Times New Roman" w:hint="default"/>
        </w:rPr>
        <w:t>59</w:t>
      </w:r>
      <w:r>
        <w:rPr/>
        <w:t>人，增幅</w:t>
      </w:r>
    </w:p>
    <w:p>
      <w:pPr>
        <w:pStyle w:val="BodyText"/>
        <w:spacing w:line="240" w:lineRule="auto" w:before="128"/>
        <w:ind w:right="115"/>
        <w:jc w:val="left"/>
      </w:pPr>
      <w:r>
        <w:rPr>
          <w:rFonts w:ascii="Times New Roman" w:hAnsi="Times New Roman" w:cs="Times New Roman" w:eastAsia="Times New Roman" w:hint="default"/>
        </w:rPr>
        <w:t>16.57%</w:t>
      </w:r>
      <w:r>
        <w:rPr/>
        <w:t>。员工具体构成情况如下：</w:t>
      </w:r>
    </w:p>
    <w:p>
      <w:pPr>
        <w:pStyle w:val="BodyText"/>
        <w:spacing w:line="240" w:lineRule="auto" w:before="129"/>
        <w:ind w:left="597" w:right="115"/>
        <w:jc w:val="left"/>
      </w:pPr>
      <w:r>
        <w:rPr>
          <w:rFonts w:ascii="Times New Roman" w:hAnsi="Times New Roman" w:cs="Times New Roman" w:eastAsia="Times New Roman" w:hint="default"/>
        </w:rPr>
        <w:t>1</w:t>
      </w:r>
      <w:r>
        <w:rPr/>
        <w:t>．专业结构</w:t>
      </w:r>
    </w:p>
    <w:p>
      <w:pPr>
        <w:spacing w:line="240" w:lineRule="auto" w:before="10"/>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2700"/>
        <w:gridCol w:w="2794"/>
        <w:gridCol w:w="2786"/>
      </w:tblGrid>
      <w:tr>
        <w:trPr>
          <w:trHeight w:val="378" w:hRule="exact"/>
        </w:trPr>
        <w:tc>
          <w:tcPr>
            <w:tcW w:w="27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专业</w:t>
            </w:r>
          </w:p>
        </w:tc>
        <w:tc>
          <w:tcPr>
            <w:tcW w:w="279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27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left="1" w:right="0"/>
              <w:jc w:val="center"/>
              <w:rPr>
                <w:rFonts w:ascii="宋体" w:hAnsi="宋体" w:cs="宋体" w:eastAsia="宋体" w:hint="default"/>
                <w:sz w:val="21"/>
                <w:szCs w:val="21"/>
              </w:rPr>
            </w:pPr>
            <w:r>
              <w:rPr>
                <w:rFonts w:ascii="宋体" w:hAnsi="宋体" w:cs="宋体" w:eastAsia="宋体" w:hint="default"/>
                <w:sz w:val="21"/>
                <w:szCs w:val="21"/>
              </w:rPr>
              <w:t>占员工总人数的比例</w:t>
            </w:r>
          </w:p>
        </w:tc>
      </w:tr>
      <w:tr>
        <w:trPr>
          <w:trHeight w:val="379"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研发与技术人员</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21"/>
                <w:szCs w:val="21"/>
              </w:rPr>
            </w:pPr>
            <w:r>
              <w:rPr>
                <w:rFonts w:ascii="Times New Roman"/>
                <w:sz w:val="21"/>
              </w:rPr>
              <w:t>337</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21"/>
                <w:szCs w:val="21"/>
              </w:rPr>
            </w:pPr>
            <w:r>
              <w:rPr>
                <w:rFonts w:ascii="Times New Roman"/>
                <w:sz w:val="21"/>
              </w:rPr>
              <w:t>81.20%</w:t>
            </w:r>
          </w:p>
        </w:tc>
      </w:tr>
      <w:tr>
        <w:trPr>
          <w:trHeight w:val="378"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40</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9.64%</w:t>
            </w:r>
          </w:p>
        </w:tc>
      </w:tr>
      <w:tr>
        <w:trPr>
          <w:trHeight w:val="378"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38</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9.16%</w:t>
            </w:r>
          </w:p>
        </w:tc>
      </w:tr>
      <w:tr>
        <w:trPr>
          <w:trHeight w:val="379"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21"/>
                <w:szCs w:val="21"/>
              </w:rPr>
            </w:pPr>
            <w:r>
              <w:rPr>
                <w:rFonts w:ascii="Times New Roman"/>
                <w:sz w:val="21"/>
              </w:rPr>
              <w:t>415</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21"/>
                <w:szCs w:val="21"/>
              </w:rPr>
            </w:pPr>
            <w:r>
              <w:rPr>
                <w:rFonts w:ascii="Times New Roman"/>
                <w:sz w:val="21"/>
              </w:rPr>
              <w:t>100%</w:t>
            </w:r>
          </w:p>
        </w:tc>
      </w:tr>
    </w:tbl>
    <w:p>
      <w:pPr>
        <w:pStyle w:val="BodyText"/>
        <w:spacing w:line="240" w:lineRule="auto" w:before="81"/>
        <w:ind w:left="597" w:right="115"/>
        <w:jc w:val="left"/>
      </w:pPr>
      <w:r>
        <w:rPr>
          <w:rFonts w:ascii="Times New Roman" w:hAnsi="Times New Roman" w:cs="Times New Roman" w:eastAsia="Times New Roman" w:hint="default"/>
        </w:rPr>
        <w:t>2</w:t>
      </w:r>
      <w:r>
        <w:rPr/>
        <w:t>．学历结构</w:t>
      </w:r>
    </w:p>
    <w:p>
      <w:pPr>
        <w:spacing w:line="240" w:lineRule="auto" w:before="10"/>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2700"/>
        <w:gridCol w:w="2794"/>
        <w:gridCol w:w="2786"/>
      </w:tblGrid>
      <w:tr>
        <w:trPr>
          <w:trHeight w:val="378" w:hRule="exact"/>
        </w:trPr>
        <w:tc>
          <w:tcPr>
            <w:tcW w:w="27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专业</w:t>
            </w:r>
          </w:p>
        </w:tc>
        <w:tc>
          <w:tcPr>
            <w:tcW w:w="279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27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left="1" w:right="0"/>
              <w:jc w:val="center"/>
              <w:rPr>
                <w:rFonts w:ascii="宋体" w:hAnsi="宋体" w:cs="宋体" w:eastAsia="宋体" w:hint="default"/>
                <w:sz w:val="21"/>
                <w:szCs w:val="21"/>
              </w:rPr>
            </w:pPr>
            <w:r>
              <w:rPr>
                <w:rFonts w:ascii="宋体" w:hAnsi="宋体" w:cs="宋体" w:eastAsia="宋体" w:hint="default"/>
                <w:sz w:val="21"/>
                <w:szCs w:val="21"/>
              </w:rPr>
              <w:t>占员工总人数的比例</w:t>
            </w:r>
          </w:p>
        </w:tc>
      </w:tr>
      <w:tr>
        <w:trPr>
          <w:trHeight w:val="378"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研究生及以上</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19</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4.58%</w:t>
            </w:r>
          </w:p>
        </w:tc>
      </w:tr>
      <w:tr>
        <w:trPr>
          <w:trHeight w:val="379"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21"/>
                <w:szCs w:val="21"/>
              </w:rPr>
            </w:pPr>
            <w:r>
              <w:rPr>
                <w:rFonts w:ascii="Times New Roman"/>
                <w:sz w:val="21"/>
              </w:rPr>
              <w:t>268</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21"/>
                <w:szCs w:val="21"/>
              </w:rPr>
            </w:pPr>
            <w:r>
              <w:rPr>
                <w:rFonts w:ascii="Times New Roman"/>
                <w:sz w:val="21"/>
              </w:rPr>
              <w:t>64.58%</w:t>
            </w:r>
          </w:p>
        </w:tc>
      </w:tr>
      <w:tr>
        <w:trPr>
          <w:trHeight w:val="378"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94</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21"/>
                <w:szCs w:val="21"/>
              </w:rPr>
            </w:pPr>
            <w:r>
              <w:rPr>
                <w:rFonts w:ascii="Times New Roman"/>
                <w:sz w:val="21"/>
              </w:rPr>
              <w:t>22.65%</w:t>
            </w:r>
          </w:p>
        </w:tc>
      </w:tr>
      <w:tr>
        <w:trPr>
          <w:trHeight w:val="378"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34</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8.19%</w:t>
            </w:r>
          </w:p>
        </w:tc>
      </w:tr>
      <w:tr>
        <w:trPr>
          <w:trHeight w:val="379"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21"/>
                <w:szCs w:val="21"/>
              </w:rPr>
            </w:pPr>
            <w:r>
              <w:rPr>
                <w:rFonts w:ascii="Times New Roman"/>
                <w:sz w:val="21"/>
              </w:rPr>
              <w:t>415</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21"/>
                <w:szCs w:val="21"/>
              </w:rPr>
            </w:pPr>
            <w:r>
              <w:rPr>
                <w:rFonts w:ascii="Times New Roman"/>
                <w:sz w:val="21"/>
              </w:rPr>
              <w:t>100%</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2" w:top="1100" w:bottom="1180" w:left="1660" w:right="1560"/>
        </w:sectPr>
      </w:pPr>
    </w:p>
    <w:p>
      <w:pPr>
        <w:spacing w:line="240" w:lineRule="auto" w:before="4"/>
        <w:rPr>
          <w:rFonts w:ascii="宋体" w:hAnsi="宋体" w:cs="宋体" w:eastAsia="宋体" w:hint="default"/>
          <w:sz w:val="19"/>
          <w:szCs w:val="19"/>
        </w:rPr>
      </w:pPr>
    </w:p>
    <w:p>
      <w:pPr>
        <w:pStyle w:val="BodyText"/>
        <w:spacing w:line="240" w:lineRule="auto" w:before="29"/>
        <w:ind w:left="597" w:right="0"/>
        <w:jc w:val="left"/>
      </w:pPr>
      <w:r>
        <w:rPr>
          <w:rFonts w:ascii="Times New Roman" w:hAnsi="Times New Roman" w:cs="Times New Roman" w:eastAsia="Times New Roman" w:hint="default"/>
        </w:rPr>
        <w:t>3</w:t>
      </w:r>
      <w:r>
        <w:rPr/>
        <w:t>．年龄结构</w:t>
      </w:r>
    </w:p>
    <w:p>
      <w:pPr>
        <w:spacing w:line="240" w:lineRule="auto" w:before="10"/>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2700"/>
        <w:gridCol w:w="2794"/>
        <w:gridCol w:w="2786"/>
      </w:tblGrid>
      <w:tr>
        <w:trPr>
          <w:trHeight w:val="378" w:hRule="exact"/>
        </w:trPr>
        <w:tc>
          <w:tcPr>
            <w:tcW w:w="27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专业</w:t>
            </w:r>
          </w:p>
        </w:tc>
        <w:tc>
          <w:tcPr>
            <w:tcW w:w="279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27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left="1" w:right="0"/>
              <w:jc w:val="center"/>
              <w:rPr>
                <w:rFonts w:ascii="宋体" w:hAnsi="宋体" w:cs="宋体" w:eastAsia="宋体" w:hint="default"/>
                <w:sz w:val="21"/>
                <w:szCs w:val="21"/>
              </w:rPr>
            </w:pPr>
            <w:r>
              <w:rPr>
                <w:rFonts w:ascii="宋体" w:hAnsi="宋体" w:cs="宋体" w:eastAsia="宋体" w:hint="default"/>
                <w:sz w:val="21"/>
                <w:szCs w:val="21"/>
              </w:rPr>
              <w:t>占员工总人数的比例</w:t>
            </w:r>
          </w:p>
        </w:tc>
      </w:tr>
      <w:tr>
        <w:trPr>
          <w:trHeight w:val="378"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40 </w:t>
            </w:r>
            <w:r>
              <w:rPr>
                <w:rFonts w:ascii="宋体" w:hAnsi="宋体" w:cs="宋体" w:eastAsia="宋体" w:hint="default"/>
                <w:sz w:val="21"/>
                <w:szCs w:val="21"/>
              </w:rPr>
              <w:t>岁以上</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12</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2.89%</w:t>
            </w:r>
          </w:p>
        </w:tc>
      </w:tr>
      <w:tr>
        <w:trPr>
          <w:trHeight w:val="379"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 </w:t>
            </w:r>
            <w:r>
              <w:rPr>
                <w:rFonts w:ascii="宋体" w:hAnsi="宋体" w:cs="宋体" w:eastAsia="宋体" w:hint="default"/>
                <w:sz w:val="21"/>
                <w:szCs w:val="21"/>
              </w:rPr>
              <w:t>岁</w:t>
            </w:r>
            <w:r>
              <w:rPr>
                <w:rFonts w:ascii="Times New Roman" w:hAnsi="Times New Roman" w:cs="Times New Roman" w:eastAsia="Times New Roman" w:hint="default"/>
                <w:sz w:val="21"/>
                <w:szCs w:val="21"/>
              </w:rPr>
              <w:t>-40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岁</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76</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21"/>
                <w:szCs w:val="21"/>
              </w:rPr>
            </w:pPr>
            <w:r>
              <w:rPr>
                <w:rFonts w:ascii="Times New Roman"/>
                <w:sz w:val="21"/>
              </w:rPr>
              <w:t>18.31%</w:t>
            </w:r>
          </w:p>
        </w:tc>
      </w:tr>
      <w:tr>
        <w:trPr>
          <w:trHeight w:val="378"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 </w:t>
            </w:r>
            <w:r>
              <w:rPr>
                <w:rFonts w:ascii="宋体" w:hAnsi="宋体" w:cs="宋体" w:eastAsia="宋体" w:hint="default"/>
                <w:sz w:val="21"/>
                <w:szCs w:val="21"/>
              </w:rPr>
              <w:t>岁</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岁</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21"/>
                <w:szCs w:val="21"/>
              </w:rPr>
            </w:pPr>
            <w:r>
              <w:rPr>
                <w:rFonts w:ascii="Times New Roman"/>
                <w:sz w:val="21"/>
              </w:rPr>
              <w:t>327</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21"/>
                <w:szCs w:val="21"/>
              </w:rPr>
            </w:pPr>
            <w:r>
              <w:rPr>
                <w:rFonts w:ascii="Times New Roman"/>
                <w:sz w:val="21"/>
              </w:rPr>
              <w:t>78.80%</w:t>
            </w:r>
          </w:p>
        </w:tc>
      </w:tr>
      <w:tr>
        <w:trPr>
          <w:trHeight w:val="379"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21"/>
                <w:szCs w:val="21"/>
              </w:rPr>
            </w:pPr>
            <w:r>
              <w:rPr>
                <w:rFonts w:ascii="Times New Roman"/>
                <w:sz w:val="21"/>
              </w:rPr>
              <w:t>415</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1"/>
        <w:rPr>
          <w:rFonts w:ascii="宋体" w:hAnsi="宋体" w:cs="宋体" w:eastAsia="宋体" w:hint="default"/>
          <w:sz w:val="25"/>
          <w:szCs w:val="25"/>
        </w:rPr>
      </w:pPr>
    </w:p>
    <w:p>
      <w:pPr>
        <w:pStyle w:val="BodyText"/>
        <w:spacing w:line="240" w:lineRule="auto" w:before="29"/>
        <w:ind w:left="597" w:right="0"/>
        <w:jc w:val="left"/>
      </w:pPr>
      <w:r>
        <w:rPr>
          <w:rFonts w:ascii="Times New Roman" w:hAnsi="Times New Roman" w:cs="Times New Roman" w:eastAsia="Times New Roman" w:hint="default"/>
        </w:rPr>
        <w:t>4</w:t>
      </w:r>
      <w:r>
        <w:rPr/>
        <w:t>．截止报告期末，公司没有需要承担费用的离退休职工。</w:t>
      </w:r>
    </w:p>
    <w:p>
      <w:pPr>
        <w:spacing w:after="0" w:line="240" w:lineRule="auto"/>
        <w:jc w:val="left"/>
        <w:sectPr>
          <w:pgSz w:w="11910" w:h="16840"/>
          <w:pgMar w:header="877" w:footer="982" w:top="1100" w:bottom="1180" w:left="166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Heading1"/>
        <w:spacing w:line="240" w:lineRule="auto"/>
        <w:ind w:left="2772" w:right="186"/>
        <w:jc w:val="left"/>
      </w:pPr>
      <w:bookmarkStart w:name="_TOC_250003" w:id="7"/>
      <w:r>
        <w:rPr/>
        <w:t>第七节</w:t>
      </w:r>
      <w:r>
        <w:rPr>
          <w:spacing w:val="-5"/>
        </w:rPr>
        <w:t> </w:t>
      </w:r>
      <w:bookmarkEnd w:id="7"/>
      <w:r>
        <w:rPr/>
        <w:t>公司治理结构</w:t>
      </w: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28"/>
          <w:szCs w:val="28"/>
        </w:rPr>
      </w:pPr>
    </w:p>
    <w:p>
      <w:pPr>
        <w:pStyle w:val="BodyText"/>
        <w:spacing w:line="453" w:lineRule="auto" w:before="29"/>
        <w:ind w:left="597" w:right="186" w:hanging="460"/>
        <w:jc w:val="left"/>
      </w:pPr>
      <w:r>
        <w:rPr>
          <w:rFonts w:ascii="宋体" w:hAnsi="宋体" w:cs="宋体" w:eastAsia="宋体" w:hint="default"/>
          <w:b/>
          <w:bCs/>
        </w:rPr>
        <w:t>一、公司治理情况</w:t>
      </w:r>
      <w:r>
        <w:rPr>
          <w:rFonts w:ascii="宋体" w:hAnsi="宋体" w:cs="宋体" w:eastAsia="宋体" w:hint="default"/>
          <w:b/>
          <w:bCs/>
          <w:w w:val="99"/>
        </w:rPr>
        <w:t> </w:t>
      </w:r>
      <w:r>
        <w:rPr>
          <w:spacing w:val="-20"/>
          <w:w w:val="100"/>
        </w:rPr>
        <w:t>报告期内，公司严格按照《公司法》、《证券法》、《上市公司治理准则》、《深圳</w:t>
      </w:r>
    </w:p>
    <w:p>
      <w:pPr>
        <w:pStyle w:val="BodyText"/>
        <w:spacing w:line="243" w:lineRule="exact"/>
        <w:ind w:right="0"/>
        <w:jc w:val="left"/>
      </w:pPr>
      <w:r>
        <w:rPr>
          <w:w w:val="100"/>
        </w:rPr>
        <w:t>证券交</w:t>
      </w:r>
      <w:r>
        <w:rPr>
          <w:spacing w:val="-2"/>
          <w:w w:val="100"/>
        </w:rPr>
        <w:t>易所</w:t>
      </w:r>
      <w:r>
        <w:rPr>
          <w:w w:val="100"/>
        </w:rPr>
        <w:t>创业板</w:t>
      </w:r>
      <w:r>
        <w:rPr>
          <w:spacing w:val="-2"/>
          <w:w w:val="100"/>
        </w:rPr>
        <w:t>股票</w:t>
      </w:r>
      <w:r>
        <w:rPr>
          <w:w w:val="100"/>
        </w:rPr>
        <w:t>上市规</w:t>
      </w:r>
      <w:r>
        <w:rPr>
          <w:spacing w:val="-2"/>
          <w:w w:val="100"/>
        </w:rPr>
        <w:t>则</w:t>
      </w:r>
      <w:r>
        <w:rPr>
          <w:spacing w:val="-116"/>
          <w:w w:val="100"/>
        </w:rPr>
        <w:t>》</w:t>
      </w:r>
      <w:r>
        <w:rPr>
          <w:spacing w:val="-227"/>
          <w:w w:val="100"/>
        </w:rPr>
        <w:t>、</w:t>
      </w:r>
      <w:r>
        <w:rPr>
          <w:w w:val="100"/>
        </w:rPr>
        <w:t>《</w:t>
      </w:r>
      <w:r>
        <w:rPr>
          <w:spacing w:val="-2"/>
          <w:w w:val="100"/>
        </w:rPr>
        <w:t>深</w:t>
      </w:r>
      <w:r>
        <w:rPr>
          <w:w w:val="100"/>
        </w:rPr>
        <w:t>圳证</w:t>
      </w:r>
      <w:r>
        <w:rPr>
          <w:spacing w:val="-2"/>
          <w:w w:val="100"/>
        </w:rPr>
        <w:t>券</w:t>
      </w:r>
      <w:r>
        <w:rPr>
          <w:w w:val="100"/>
        </w:rPr>
        <w:t>交易所</w:t>
      </w:r>
      <w:r>
        <w:rPr>
          <w:spacing w:val="-2"/>
          <w:w w:val="100"/>
        </w:rPr>
        <w:t>创业</w:t>
      </w:r>
      <w:r>
        <w:rPr>
          <w:w w:val="100"/>
        </w:rPr>
        <w:t>板上市</w:t>
      </w:r>
      <w:r>
        <w:rPr>
          <w:spacing w:val="-2"/>
          <w:w w:val="100"/>
        </w:rPr>
        <w:t>公司</w:t>
      </w:r>
      <w:r>
        <w:rPr>
          <w:w w:val="100"/>
        </w:rPr>
        <w:t>规范运</w:t>
      </w:r>
      <w:r>
        <w:rPr>
          <w:spacing w:val="-2"/>
          <w:w w:val="100"/>
        </w:rPr>
        <w:t>作指</w:t>
      </w:r>
      <w:r>
        <w:rPr>
          <w:spacing w:val="1"/>
          <w:w w:val="100"/>
        </w:rPr>
        <w:t>引</w:t>
      </w:r>
      <w:r>
        <w:rPr>
          <w:w w:val="100"/>
        </w:rPr>
        <w:t>》</w:t>
      </w:r>
    </w:p>
    <w:p>
      <w:pPr>
        <w:pStyle w:val="BodyText"/>
        <w:spacing w:line="357" w:lineRule="auto" w:before="146"/>
        <w:ind w:right="0"/>
        <w:jc w:val="left"/>
      </w:pPr>
      <w:r>
        <w:rPr>
          <w:spacing w:val="-4"/>
        </w:rPr>
        <w:t>等法律、法规和中国证监会有关法律法规等的要求，不断完善公司的法人治理结构，</w:t>
      </w:r>
      <w:r>
        <w:rPr>
          <w:spacing w:val="-91"/>
        </w:rPr>
        <w:t> </w:t>
      </w:r>
      <w:r>
        <w:rPr>
          <w:spacing w:val="-91"/>
        </w:rPr>
      </w:r>
      <w:r>
        <w:rPr/>
        <w:t>建立健全公司内部管理和控制制度，规范运作，严格进行信息披露工作，保护广大</w:t>
      </w:r>
      <w:r>
        <w:rPr>
          <w:w w:val="100"/>
        </w:rPr>
        <w:t> </w:t>
      </w:r>
      <w:r>
        <w:rPr/>
        <w:t>投资者利益。</w:t>
      </w:r>
    </w:p>
    <w:p>
      <w:pPr>
        <w:pStyle w:val="BodyText"/>
        <w:spacing w:line="357" w:lineRule="auto" w:before="32"/>
        <w:ind w:right="186" w:firstLine="459"/>
        <w:jc w:val="left"/>
      </w:pPr>
      <w:r>
        <w:rPr>
          <w:spacing w:val="-1"/>
        </w:rPr>
        <w:t>截至报告期末，公司治理的实际状况符合《上市公司治理准则》和《深圳证券</w:t>
      </w:r>
      <w:r>
        <w:rPr>
          <w:w w:val="100"/>
        </w:rPr>
        <w:t> </w:t>
      </w:r>
      <w:r>
        <w:rPr/>
        <w:t>交易所创业板上市公司规范运作指引》的要求。</w:t>
      </w:r>
    </w:p>
    <w:p>
      <w:pPr>
        <w:pStyle w:val="BodyText"/>
        <w:spacing w:line="338" w:lineRule="auto" w:before="34"/>
        <w:ind w:left="597" w:right="186"/>
        <w:jc w:val="left"/>
      </w:pPr>
      <w:r>
        <w:rPr>
          <w:rFonts w:ascii="Times New Roman" w:hAnsi="Times New Roman" w:cs="Times New Roman" w:eastAsia="Times New Roman" w:hint="default"/>
        </w:rPr>
        <w:t>1</w:t>
      </w:r>
      <w:r>
        <w:rPr/>
        <w:t>．关于股东与股东大会</w:t>
      </w:r>
      <w:r>
        <w:rPr>
          <w:w w:val="100"/>
        </w:rPr>
        <w:t> </w:t>
      </w:r>
      <w:r>
        <w:rPr>
          <w:spacing w:val="-14"/>
          <w:w w:val="100"/>
        </w:rPr>
        <w:t>公司严格按照《上市公司股东大会规则》、《公司章程》、《股东大会议事规则》</w:t>
      </w:r>
    </w:p>
    <w:p>
      <w:pPr>
        <w:pStyle w:val="BodyText"/>
        <w:spacing w:line="357" w:lineRule="auto" w:before="52"/>
        <w:ind w:right="186"/>
        <w:jc w:val="left"/>
      </w:pPr>
      <w:r>
        <w:rPr>
          <w:spacing w:val="-1"/>
        </w:rPr>
        <w:t>等规定和要求召集、召开股东大会，平等对待所有股东，并尽可能为股东参加股东</w:t>
      </w:r>
      <w:r>
        <w:rPr>
          <w:spacing w:val="-93"/>
        </w:rPr>
        <w:t> </w:t>
      </w:r>
      <w:r>
        <w:rPr>
          <w:spacing w:val="-93"/>
        </w:rPr>
      </w:r>
      <w:r>
        <w:rPr/>
        <w:t>大会提供便利，使其充分行使股东权利。</w:t>
      </w:r>
    </w:p>
    <w:p>
      <w:pPr>
        <w:pStyle w:val="BodyText"/>
        <w:spacing w:line="338" w:lineRule="auto" w:before="32"/>
        <w:ind w:left="597" w:right="186"/>
        <w:jc w:val="left"/>
      </w:pPr>
      <w:r>
        <w:rPr>
          <w:rFonts w:ascii="Times New Roman" w:hAnsi="Times New Roman" w:cs="Times New Roman" w:eastAsia="Times New Roman" w:hint="default"/>
        </w:rPr>
        <w:t>2</w:t>
      </w:r>
      <w:r>
        <w:rPr/>
        <w:t>．关于公司与控股股东</w:t>
      </w:r>
      <w:r>
        <w:rPr>
          <w:w w:val="100"/>
        </w:rPr>
        <w:t> </w:t>
      </w:r>
      <w:r>
        <w:rPr>
          <w:spacing w:val="-1"/>
        </w:rPr>
        <w:t>公司控股股东严格规范自己的行为，没有超越股东大会直接或间接干预公司的</w:t>
      </w:r>
    </w:p>
    <w:p>
      <w:pPr>
        <w:pStyle w:val="BodyText"/>
        <w:spacing w:line="357" w:lineRule="auto" w:before="52"/>
        <w:ind w:right="0"/>
        <w:jc w:val="left"/>
      </w:pPr>
      <w:r>
        <w:rPr>
          <w:spacing w:val="-4"/>
        </w:rPr>
        <w:t>决策和经营活动。公司拥有独立完整的业务和自主经营能力，在业务、人员、资产、</w:t>
      </w:r>
      <w:r>
        <w:rPr>
          <w:spacing w:val="-92"/>
        </w:rPr>
        <w:t> </w:t>
      </w:r>
      <w:r>
        <w:rPr>
          <w:spacing w:val="-92"/>
        </w:rPr>
      </w:r>
      <w:r>
        <w:rPr/>
        <w:t>机构、财务上独立于控股股东，公司董事会、监事会和内部机构独立运作。</w:t>
      </w:r>
    </w:p>
    <w:p>
      <w:pPr>
        <w:pStyle w:val="BodyText"/>
        <w:spacing w:line="240" w:lineRule="auto" w:before="34"/>
        <w:ind w:left="597" w:right="186"/>
        <w:jc w:val="left"/>
      </w:pPr>
      <w:r>
        <w:rPr>
          <w:rFonts w:ascii="Times New Roman" w:hAnsi="Times New Roman" w:cs="Times New Roman" w:eastAsia="Times New Roman" w:hint="default"/>
        </w:rPr>
        <w:t>3</w:t>
      </w:r>
      <w:r>
        <w:rPr/>
        <w:t>．关于董事和董事会</w:t>
      </w:r>
    </w:p>
    <w:p>
      <w:pPr>
        <w:pStyle w:val="BodyText"/>
        <w:spacing w:line="352" w:lineRule="auto" w:before="129"/>
        <w:ind w:right="0" w:firstLine="459"/>
        <w:jc w:val="left"/>
      </w:pPr>
      <w:r>
        <w:rPr>
          <w:spacing w:val="-7"/>
          <w:w w:val="100"/>
        </w:rPr>
        <w:t>公司董事会设董事</w:t>
      </w:r>
      <w:r>
        <w:rPr>
          <w:rFonts w:ascii="Times New Roman" w:hAnsi="Times New Roman" w:cs="Times New Roman" w:eastAsia="Times New Roman" w:hint="default"/>
          <w:spacing w:val="-7"/>
          <w:w w:val="100"/>
        </w:rPr>
        <w:t>7</w:t>
      </w:r>
      <w:r>
        <w:rPr>
          <w:spacing w:val="-7"/>
          <w:w w:val="100"/>
        </w:rPr>
        <w:t>名，其中独立董事</w:t>
      </w:r>
      <w:r>
        <w:rPr>
          <w:rFonts w:ascii="Times New Roman" w:hAnsi="Times New Roman" w:cs="Times New Roman" w:eastAsia="Times New Roman" w:hint="default"/>
          <w:spacing w:val="-7"/>
          <w:w w:val="100"/>
        </w:rPr>
        <w:t>3</w:t>
      </w:r>
      <w:r>
        <w:rPr>
          <w:rFonts w:ascii="Times New Roman" w:hAnsi="Times New Roman" w:cs="Times New Roman" w:eastAsia="Times New Roman" w:hint="default"/>
          <w:spacing w:val="2"/>
          <w:w w:val="100"/>
        </w:rPr>
        <w:t> </w:t>
      </w:r>
      <w:r>
        <w:rPr>
          <w:spacing w:val="-7"/>
          <w:w w:val="100"/>
        </w:rPr>
        <w:t>名，董事会的人数及人员构成符合法律、</w:t>
      </w:r>
      <w:r>
        <w:rPr>
          <w:w w:val="100"/>
        </w:rPr>
        <w:t> </w:t>
      </w:r>
      <w:r>
        <w:rPr>
          <w:spacing w:val="-7"/>
          <w:w w:val="100"/>
        </w:rPr>
        <w:t>法规和《公司章程》的要求。公司董事能够依据《董事会议事规则》、《独立董事制</w:t>
      </w:r>
      <w:r>
        <w:rPr>
          <w:w w:val="100"/>
        </w:rPr>
        <w:t> </w:t>
      </w:r>
      <w:r>
        <w:rPr>
          <w:spacing w:val="-7"/>
          <w:w w:val="100"/>
        </w:rPr>
        <w:t>度》、《深圳证券交易所创业板上市公司规范运作指引》等开展工作，出席董事会和</w:t>
      </w:r>
      <w:r>
        <w:rPr>
          <w:w w:val="100"/>
        </w:rPr>
        <w:t> </w:t>
      </w:r>
      <w:r>
        <w:rPr/>
        <w:t>股东大会，勤勉尽责地履行职责和义务，同时积极参加相关培训，熟悉相关法律法</w:t>
      </w:r>
      <w:r>
        <w:rPr>
          <w:w w:val="100"/>
        </w:rPr>
        <w:t> </w:t>
      </w:r>
      <w:r>
        <w:rPr/>
        <w:t>规。</w:t>
      </w:r>
    </w:p>
    <w:p>
      <w:pPr>
        <w:pStyle w:val="BodyText"/>
        <w:spacing w:line="338" w:lineRule="auto" w:before="38"/>
        <w:ind w:left="597" w:right="186"/>
        <w:jc w:val="left"/>
      </w:pPr>
      <w:r>
        <w:rPr>
          <w:rFonts w:ascii="Times New Roman" w:hAnsi="Times New Roman" w:cs="Times New Roman" w:eastAsia="Times New Roman" w:hint="default"/>
        </w:rPr>
        <w:t>4</w:t>
      </w:r>
      <w:r>
        <w:rPr/>
        <w:t>．关于监事和监事会</w:t>
      </w:r>
      <w:r>
        <w:rPr>
          <w:w w:val="100"/>
        </w:rPr>
        <w:t> </w:t>
      </w:r>
      <w:r>
        <w:rPr>
          <w:spacing w:val="-1"/>
        </w:rPr>
        <w:t>公司监事会设监事</w:t>
      </w:r>
      <w:r>
        <w:rPr>
          <w:rFonts w:ascii="Times New Roman" w:hAnsi="Times New Roman" w:cs="Times New Roman" w:eastAsia="Times New Roman" w:hint="default"/>
          <w:spacing w:val="-1"/>
        </w:rPr>
        <w:t>3</w:t>
      </w:r>
      <w:r>
        <w:rPr>
          <w:spacing w:val="-1"/>
        </w:rPr>
        <w:t>名，其中职工监事</w:t>
      </w:r>
      <w:r>
        <w:rPr>
          <w:rFonts w:ascii="Times New Roman" w:hAnsi="Times New Roman" w:cs="Times New Roman" w:eastAsia="Times New Roman" w:hint="default"/>
          <w:spacing w:val="-1"/>
        </w:rPr>
        <w:t>1</w:t>
      </w:r>
      <w:r>
        <w:rPr>
          <w:spacing w:val="-1"/>
        </w:rPr>
        <w:t>名，监事会的人数和构成符合法律、法</w:t>
      </w:r>
    </w:p>
    <w:p>
      <w:pPr>
        <w:pStyle w:val="BodyText"/>
        <w:spacing w:line="357" w:lineRule="auto" w:before="24"/>
        <w:ind w:right="227"/>
        <w:jc w:val="both"/>
      </w:pPr>
      <w:r>
        <w:rPr>
          <w:spacing w:val="-1"/>
        </w:rPr>
        <w:t>规的要求。公司监事能够按照《监事会议事规则》的要求，认真履行自己的职责，</w:t>
      </w:r>
      <w:r>
        <w:rPr>
          <w:spacing w:val="-93"/>
        </w:rPr>
        <w:t> </w:t>
      </w:r>
      <w:r>
        <w:rPr>
          <w:spacing w:val="-93"/>
        </w:rPr>
      </w:r>
      <w:r>
        <w:rPr>
          <w:spacing w:val="-1"/>
        </w:rPr>
        <w:t>对公司重大事项、关联交易、财务状况以及董事、高管人员履行职责的合法合规性</w:t>
      </w:r>
      <w:r>
        <w:rPr>
          <w:spacing w:val="-93"/>
        </w:rPr>
        <w:t> </w:t>
      </w:r>
      <w:r>
        <w:rPr>
          <w:spacing w:val="-93"/>
        </w:rPr>
      </w:r>
      <w:r>
        <w:rPr/>
        <w:t>进行监督。</w:t>
      </w:r>
    </w:p>
    <w:p>
      <w:pPr>
        <w:spacing w:after="0" w:line="357" w:lineRule="auto"/>
        <w:jc w:val="both"/>
        <w:sectPr>
          <w:pgSz w:w="11910" w:h="16840"/>
          <w:pgMar w:header="877" w:footer="982" w:top="1100" w:bottom="1180" w:left="1660" w:right="1600"/>
        </w:sectPr>
      </w:pPr>
    </w:p>
    <w:p>
      <w:pPr>
        <w:spacing w:line="240" w:lineRule="auto" w:before="4"/>
        <w:rPr>
          <w:rFonts w:ascii="宋体" w:hAnsi="宋体" w:cs="宋体" w:eastAsia="宋体" w:hint="default"/>
          <w:sz w:val="19"/>
          <w:szCs w:val="19"/>
        </w:rPr>
      </w:pPr>
    </w:p>
    <w:p>
      <w:pPr>
        <w:pStyle w:val="BodyText"/>
        <w:spacing w:line="338" w:lineRule="auto" w:before="29"/>
        <w:ind w:left="597" w:right="186" w:hanging="1"/>
        <w:jc w:val="left"/>
      </w:pPr>
      <w:r>
        <w:rPr>
          <w:rFonts w:ascii="Times New Roman" w:hAnsi="Times New Roman" w:cs="Times New Roman" w:eastAsia="Times New Roman" w:hint="default"/>
        </w:rPr>
        <w:t>5</w:t>
      </w:r>
      <w:r>
        <w:rPr/>
        <w:t>．关于绩效评价与激励约束机制</w:t>
      </w:r>
      <w:r>
        <w:rPr>
          <w:w w:val="100"/>
        </w:rPr>
        <w:t> </w:t>
      </w:r>
      <w:r>
        <w:rPr>
          <w:spacing w:val="-1"/>
        </w:rPr>
        <w:t>公司正逐步建立和完善公正、透明的董事、监事和经理人员的绩效评价标准和</w:t>
      </w:r>
    </w:p>
    <w:p>
      <w:pPr>
        <w:pStyle w:val="BodyText"/>
        <w:spacing w:line="345" w:lineRule="auto" w:before="52"/>
        <w:ind w:left="597" w:right="186" w:hanging="460"/>
        <w:jc w:val="left"/>
      </w:pPr>
      <w:r>
        <w:rPr/>
        <w:t>激励约束机制，高层管理人员的聘任公开、透明，符合法律法规的规定。</w:t>
      </w:r>
      <w:r>
        <w:rPr>
          <w:w w:val="100"/>
        </w:rPr>
        <w:t> </w:t>
      </w:r>
      <w:r>
        <w:rPr>
          <w:rFonts w:ascii="Times New Roman" w:hAnsi="Times New Roman" w:cs="Times New Roman" w:eastAsia="Times New Roman" w:hint="default"/>
        </w:rPr>
        <w:t>6</w:t>
      </w:r>
      <w:r>
        <w:rPr/>
        <w:t>．关于信息披露与透明度</w:t>
      </w:r>
      <w:r>
        <w:rPr>
          <w:w w:val="100"/>
        </w:rPr>
        <w:t> </w:t>
      </w:r>
      <w:r>
        <w:rPr>
          <w:spacing w:val="-8"/>
          <w:w w:val="100"/>
        </w:rPr>
        <w:t>公司严格按照有关法律法规以及《信息披露制度》、《投资者关系管理制度》等</w:t>
      </w:r>
    </w:p>
    <w:p>
      <w:pPr>
        <w:pStyle w:val="BodyText"/>
        <w:spacing w:line="350" w:lineRule="auto" w:before="45"/>
        <w:ind w:right="221"/>
        <w:jc w:val="both"/>
      </w:pPr>
      <w:r>
        <w:rPr>
          <w:spacing w:val="-1"/>
        </w:rPr>
        <w:t>的要求，真实、准确、及时、公平、完整地披露有关信息；并指定公司董事会秘书</w:t>
      </w:r>
      <w:r>
        <w:rPr>
          <w:spacing w:val="-93"/>
        </w:rPr>
        <w:t> </w:t>
      </w:r>
      <w:r>
        <w:rPr>
          <w:spacing w:val="-93"/>
        </w:rPr>
      </w:r>
      <w:r>
        <w:rPr>
          <w:spacing w:val="-1"/>
        </w:rPr>
        <w:t>负责信息披露工作，协调公司与投资者的关系，接待股东来访，回答投资者咨询；</w:t>
      </w:r>
      <w:r>
        <w:rPr>
          <w:spacing w:val="-93"/>
        </w:rPr>
        <w:t> </w:t>
      </w:r>
      <w:r>
        <w:rPr>
          <w:spacing w:val="-93"/>
        </w:rPr>
      </w:r>
      <w:r>
        <w:rPr>
          <w:spacing w:val="-2"/>
        </w:rPr>
        <w:t>并指定《证券时报》和巨潮资讯网（</w:t>
      </w:r>
      <w:hyperlink r:id="rId12">
        <w:r>
          <w:rPr>
            <w:rFonts w:ascii="Times New Roman" w:hAnsi="Times New Roman" w:cs="Times New Roman" w:eastAsia="Times New Roman" w:hint="default"/>
            <w:spacing w:val="-2"/>
          </w:rPr>
          <w:t>www.cninfo.com.cn</w:t>
        </w:r>
      </w:hyperlink>
      <w:r>
        <w:rPr>
          <w:spacing w:val="-2"/>
        </w:rPr>
        <w:t>）为公司信息披露的指定报</w:t>
      </w:r>
      <w:r>
        <w:rPr>
          <w:spacing w:val="-74"/>
        </w:rPr>
        <w:t> </w:t>
      </w:r>
      <w:r>
        <w:rPr>
          <w:spacing w:val="-74"/>
        </w:rPr>
      </w:r>
      <w:r>
        <w:rPr/>
        <w:t>纸和网站，确保公司所有股东能够以平等的机会获得信息。</w:t>
      </w:r>
    </w:p>
    <w:p>
      <w:pPr>
        <w:pStyle w:val="BodyText"/>
        <w:spacing w:line="338" w:lineRule="auto" w:before="41"/>
        <w:ind w:left="597" w:right="186"/>
        <w:jc w:val="left"/>
      </w:pPr>
      <w:r>
        <w:rPr>
          <w:rFonts w:ascii="Times New Roman" w:hAnsi="Times New Roman" w:cs="Times New Roman" w:eastAsia="Times New Roman" w:hint="default"/>
        </w:rPr>
        <w:t>7</w:t>
      </w:r>
      <w:r>
        <w:rPr/>
        <w:t>．关于相关利益者</w:t>
      </w:r>
      <w:r>
        <w:rPr>
          <w:w w:val="100"/>
        </w:rPr>
        <w:t> </w:t>
      </w:r>
      <w:r>
        <w:rPr>
          <w:spacing w:val="-1"/>
        </w:rPr>
        <w:t>公司充分尊重和维护相关利益者的合法权益，实现社会、股东、公司、员工等</w:t>
      </w:r>
    </w:p>
    <w:p>
      <w:pPr>
        <w:pStyle w:val="BodyText"/>
        <w:spacing w:line="357" w:lineRule="auto" w:before="51"/>
        <w:ind w:right="227"/>
        <w:jc w:val="both"/>
      </w:pPr>
      <w:r>
        <w:rPr>
          <w:spacing w:val="-1"/>
        </w:rPr>
        <w:t>各方面利益的协调平衡，诚信对待供应商和客户，坚持与相关利益者互利共赢的原</w:t>
      </w:r>
      <w:r>
        <w:rPr>
          <w:spacing w:val="-93"/>
        </w:rPr>
        <w:t> </w:t>
      </w:r>
      <w:r>
        <w:rPr>
          <w:spacing w:val="-93"/>
        </w:rPr>
      </w:r>
      <w:r>
        <w:rPr/>
        <w:t>则，共同推动公司持续、稳健发展。</w:t>
      </w:r>
    </w:p>
    <w:p>
      <w:pPr>
        <w:spacing w:line="453" w:lineRule="auto" w:before="154"/>
        <w:ind w:left="597" w:right="0" w:hanging="460"/>
        <w:jc w:val="left"/>
        <w:rPr>
          <w:rFonts w:ascii="宋体" w:hAnsi="宋体" w:cs="宋体" w:eastAsia="宋体" w:hint="default"/>
          <w:sz w:val="23"/>
          <w:szCs w:val="23"/>
        </w:rPr>
      </w:pPr>
      <w:r>
        <w:rPr>
          <w:rFonts w:ascii="宋体" w:hAnsi="宋体" w:cs="宋体" w:eastAsia="宋体" w:hint="default"/>
          <w:b/>
          <w:bCs/>
          <w:sz w:val="23"/>
          <w:szCs w:val="23"/>
        </w:rPr>
        <w:t>二、公司独立董事履行职责情况</w:t>
      </w:r>
      <w:r>
        <w:rPr>
          <w:rFonts w:ascii="宋体" w:hAnsi="宋体" w:cs="宋体" w:eastAsia="宋体" w:hint="default"/>
          <w:b/>
          <w:bCs/>
          <w:w w:val="99"/>
          <w:sz w:val="23"/>
          <w:szCs w:val="23"/>
        </w:rPr>
        <w:t> </w:t>
      </w:r>
      <w:r>
        <w:rPr>
          <w:rFonts w:ascii="宋体" w:hAnsi="宋体" w:cs="宋体" w:eastAsia="宋体" w:hint="default"/>
          <w:spacing w:val="-4"/>
          <w:sz w:val="23"/>
          <w:szCs w:val="23"/>
        </w:rPr>
        <w:t>报告期内，公司独立董事单怀光、宋靖雁、朱厚佳能够严格按照有关法律法规、</w:t>
      </w:r>
    </w:p>
    <w:p>
      <w:pPr>
        <w:pStyle w:val="BodyText"/>
        <w:spacing w:line="243" w:lineRule="exact"/>
        <w:ind w:right="186"/>
        <w:jc w:val="left"/>
      </w:pPr>
      <w:r>
        <w:rPr>
          <w:w w:val="100"/>
        </w:rPr>
        <w:t>《公司</w:t>
      </w:r>
      <w:r>
        <w:rPr>
          <w:spacing w:val="-2"/>
          <w:w w:val="100"/>
        </w:rPr>
        <w:t>章程</w:t>
      </w:r>
      <w:r>
        <w:rPr>
          <w:spacing w:val="-116"/>
          <w:w w:val="100"/>
        </w:rPr>
        <w:t>》、</w:t>
      </w:r>
      <w:r>
        <w:rPr>
          <w:w w:val="100"/>
        </w:rPr>
        <w:t>《独</w:t>
      </w:r>
      <w:r>
        <w:rPr>
          <w:spacing w:val="-2"/>
          <w:w w:val="100"/>
        </w:rPr>
        <w:t>立董</w:t>
      </w:r>
      <w:r>
        <w:rPr>
          <w:w w:val="100"/>
        </w:rPr>
        <w:t>事制度</w:t>
      </w:r>
      <w:r>
        <w:rPr>
          <w:spacing w:val="-2"/>
          <w:w w:val="100"/>
        </w:rPr>
        <w:t>》等</w:t>
      </w:r>
      <w:r>
        <w:rPr>
          <w:w w:val="100"/>
        </w:rPr>
        <w:t>的规定</w:t>
      </w:r>
      <w:r>
        <w:rPr>
          <w:spacing w:val="-2"/>
          <w:w w:val="100"/>
        </w:rPr>
        <w:t>，本</w:t>
      </w:r>
      <w:r>
        <w:rPr>
          <w:w w:val="100"/>
        </w:rPr>
        <w:t>着对公</w:t>
      </w:r>
      <w:r>
        <w:rPr>
          <w:spacing w:val="-2"/>
          <w:w w:val="100"/>
        </w:rPr>
        <w:t>司、</w:t>
      </w:r>
      <w:r>
        <w:rPr>
          <w:w w:val="100"/>
        </w:rPr>
        <w:t>股东负</w:t>
      </w:r>
      <w:r>
        <w:rPr>
          <w:spacing w:val="-2"/>
          <w:w w:val="100"/>
        </w:rPr>
        <w:t>责的</w:t>
      </w:r>
      <w:r>
        <w:rPr>
          <w:w w:val="100"/>
        </w:rPr>
        <w:t>态度，</w:t>
      </w:r>
      <w:r>
        <w:rPr>
          <w:spacing w:val="-2"/>
          <w:w w:val="100"/>
        </w:rPr>
        <w:t>勤勉</w:t>
      </w:r>
      <w:r>
        <w:rPr>
          <w:w w:val="100"/>
        </w:rPr>
        <w:t>尽</w:t>
      </w:r>
    </w:p>
    <w:p>
      <w:pPr>
        <w:pStyle w:val="BodyText"/>
        <w:spacing w:line="357" w:lineRule="auto" w:before="146"/>
        <w:ind w:right="227"/>
        <w:jc w:val="both"/>
      </w:pPr>
      <w:r>
        <w:rPr>
          <w:spacing w:val="-1"/>
        </w:rPr>
        <w:t>责，忠实履行职责，积极出席相关会议，认真审议各项议案，客观地发表自己的看</w:t>
      </w:r>
      <w:r>
        <w:rPr>
          <w:spacing w:val="-93"/>
        </w:rPr>
        <w:t> </w:t>
      </w:r>
      <w:r>
        <w:rPr>
          <w:spacing w:val="-93"/>
        </w:rPr>
      </w:r>
      <w:r>
        <w:rPr>
          <w:spacing w:val="-1"/>
        </w:rPr>
        <w:t>法及观点，深入了解公司运营状况、内部控制的建设及董事会决议、股东会决议的</w:t>
      </w:r>
      <w:r>
        <w:rPr>
          <w:spacing w:val="-93"/>
        </w:rPr>
        <w:t> </w:t>
      </w:r>
      <w:r>
        <w:rPr>
          <w:spacing w:val="-93"/>
        </w:rPr>
      </w:r>
      <w:r>
        <w:rPr>
          <w:spacing w:val="-1"/>
        </w:rPr>
        <w:t>执行情况，并利用自己的专业知识做出独立、公正的判断。在报告期内，对公司发</w:t>
      </w:r>
      <w:r>
        <w:rPr>
          <w:spacing w:val="-93"/>
        </w:rPr>
        <w:t> </w:t>
      </w:r>
      <w:r>
        <w:rPr>
          <w:spacing w:val="-93"/>
        </w:rPr>
      </w:r>
      <w:r>
        <w:rPr>
          <w:spacing w:val="-1"/>
        </w:rPr>
        <w:t>生的凡需要独立董事发表意见的事项发表独立董事意见，不受公司和控股股东的影</w:t>
      </w:r>
      <w:r>
        <w:rPr>
          <w:spacing w:val="-93"/>
        </w:rPr>
        <w:t> </w:t>
      </w:r>
      <w:r>
        <w:rPr>
          <w:spacing w:val="-93"/>
        </w:rPr>
      </w:r>
      <w:r>
        <w:rPr/>
        <w:t>响，切实维护了中小股东的利益。</w:t>
      </w:r>
    </w:p>
    <w:p>
      <w:pPr>
        <w:pStyle w:val="BodyText"/>
        <w:spacing w:line="357" w:lineRule="auto" w:before="34"/>
        <w:ind w:right="186" w:firstLine="459"/>
        <w:jc w:val="left"/>
      </w:pPr>
      <w:r>
        <w:rPr>
          <w:spacing w:val="-1"/>
        </w:rPr>
        <w:t>报告期内，公司三名独立董事对公司董事会的议案及公司其他事项均没有提出</w:t>
      </w:r>
      <w:r>
        <w:rPr>
          <w:w w:val="100"/>
        </w:rPr>
        <w:t> </w:t>
      </w:r>
      <w:r>
        <w:rPr/>
        <w:t>异议。</w:t>
      </w:r>
    </w:p>
    <w:p>
      <w:pPr>
        <w:pStyle w:val="BodyText"/>
        <w:spacing w:line="336" w:lineRule="auto" w:before="34"/>
        <w:ind w:right="186" w:firstLine="459"/>
        <w:jc w:val="left"/>
      </w:pPr>
      <w:r>
        <w:rPr>
          <w:spacing w:val="-1"/>
        </w:rPr>
        <w:t>公司独立董事</w:t>
      </w:r>
      <w:r>
        <w:rPr>
          <w:rFonts w:ascii="Times New Roman" w:hAnsi="Times New Roman" w:cs="Times New Roman" w:eastAsia="Times New Roman" w:hint="default"/>
          <w:spacing w:val="-1"/>
        </w:rPr>
        <w:t>2011</w:t>
      </w:r>
      <w:r>
        <w:rPr>
          <w:spacing w:val="-1"/>
        </w:rPr>
        <w:t>年度履行职责的详细情况可参见公司董事会在中国证监会指</w:t>
      </w:r>
      <w:r>
        <w:rPr>
          <w:w w:val="100"/>
        </w:rPr>
        <w:t> </w:t>
      </w:r>
      <w:r>
        <w:rPr>
          <w:spacing w:val="-5"/>
          <w:w w:val="100"/>
        </w:rPr>
        <w:t>定信息披露网站上披露的《</w:t>
      </w:r>
      <w:r>
        <w:rPr>
          <w:rFonts w:ascii="Times New Roman" w:hAnsi="Times New Roman" w:cs="Times New Roman" w:eastAsia="Times New Roman" w:hint="default"/>
          <w:spacing w:val="-5"/>
          <w:w w:val="100"/>
        </w:rPr>
        <w:t>2011</w:t>
      </w:r>
      <w:r>
        <w:rPr>
          <w:spacing w:val="-5"/>
          <w:w w:val="100"/>
        </w:rPr>
        <w:t>年度独立董事履行职责情况报告》。</w:t>
      </w:r>
    </w:p>
    <w:p>
      <w:pPr>
        <w:pStyle w:val="Heading5"/>
        <w:spacing w:line="240" w:lineRule="auto" w:before="147"/>
        <w:ind w:right="186"/>
        <w:jc w:val="left"/>
        <w:rPr>
          <w:b w:val="0"/>
          <w:bCs w:val="0"/>
        </w:rPr>
      </w:pPr>
      <w:r>
        <w:rPr/>
        <w:t>三、报告期内召开股东大会、董事会的情况</w:t>
      </w:r>
      <w:r>
        <w:rPr>
          <w:b w:val="0"/>
          <w:bCs w:val="0"/>
        </w:rPr>
      </w:r>
    </w:p>
    <w:p>
      <w:pPr>
        <w:spacing w:line="240" w:lineRule="auto" w:before="5"/>
        <w:rPr>
          <w:rFonts w:ascii="宋体" w:hAnsi="宋体" w:cs="宋体" w:eastAsia="宋体" w:hint="default"/>
          <w:b/>
          <w:bCs/>
          <w:sz w:val="20"/>
          <w:szCs w:val="20"/>
        </w:rPr>
      </w:pPr>
    </w:p>
    <w:p>
      <w:pPr>
        <w:pStyle w:val="BodyText"/>
        <w:spacing w:line="357" w:lineRule="auto"/>
        <w:ind w:left="597" w:right="186" w:hanging="460"/>
        <w:jc w:val="left"/>
      </w:pPr>
      <w:r>
        <w:rPr/>
        <w:t>（一）股东大会</w:t>
      </w:r>
      <w:r>
        <w:rPr>
          <w:w w:val="100"/>
        </w:rPr>
        <w:t> </w:t>
      </w:r>
      <w:r>
        <w:rPr>
          <w:spacing w:val="-1"/>
        </w:rPr>
        <w:t>报告期内，公司召开了一次年度股东大会。会议的召集、召开与表决程序符合</w:t>
      </w:r>
    </w:p>
    <w:p>
      <w:pPr>
        <w:pStyle w:val="BodyText"/>
        <w:spacing w:line="357" w:lineRule="auto" w:before="34"/>
        <w:ind w:right="227"/>
        <w:jc w:val="both"/>
      </w:pPr>
      <w:r>
        <w:rPr>
          <w:spacing w:val="-7"/>
          <w:w w:val="100"/>
        </w:rPr>
        <w:t>《公司法》、《公司章程》等法律、法规及规范性文件的规定。股东大会召开情况如</w:t>
      </w:r>
      <w:r>
        <w:rPr>
          <w:w w:val="100"/>
        </w:rPr>
        <w:t> </w:t>
      </w:r>
      <w:r>
        <w:rPr/>
        <w:t>下：</w:t>
      </w:r>
    </w:p>
    <w:p>
      <w:pPr>
        <w:spacing w:after="0" w:line="357" w:lineRule="auto"/>
        <w:jc w:val="both"/>
        <w:sectPr>
          <w:pgSz w:w="11910" w:h="16840"/>
          <w:pgMar w:header="877" w:footer="982" w:top="1100" w:bottom="1180" w:left="1660" w:right="1600"/>
        </w:sectPr>
      </w:pPr>
    </w:p>
    <w:p>
      <w:pPr>
        <w:spacing w:line="240" w:lineRule="auto" w:before="4"/>
        <w:rPr>
          <w:rFonts w:ascii="宋体" w:hAnsi="宋体" w:cs="宋体" w:eastAsia="宋体" w:hint="default"/>
          <w:sz w:val="19"/>
          <w:szCs w:val="19"/>
        </w:rPr>
      </w:pPr>
    </w:p>
    <w:p>
      <w:pPr>
        <w:pStyle w:val="BodyText"/>
        <w:spacing w:line="338" w:lineRule="auto" w:before="29"/>
        <w:ind w:left="217" w:right="179" w:firstLine="459"/>
        <w:jc w:val="left"/>
      </w:pPr>
      <w:r>
        <w:rPr/>
        <w:t>公司</w:t>
      </w:r>
      <w:r>
        <w:rPr>
          <w:rFonts w:ascii="Times New Roman" w:hAnsi="Times New Roman" w:cs="Times New Roman" w:eastAsia="Times New Roman" w:hint="default"/>
        </w:rPr>
        <w:t>2010</w:t>
      </w:r>
      <w:r>
        <w:rPr/>
        <w:t>年年度股东大会会议于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日在深圳市南山区科发路</w:t>
      </w:r>
      <w:r>
        <w:rPr>
          <w:rFonts w:ascii="Times New Roman" w:hAnsi="Times New Roman" w:cs="Times New Roman" w:eastAsia="Times New Roman" w:hint="default"/>
        </w:rPr>
        <w:t>8</w:t>
      </w:r>
      <w:r>
        <w:rPr/>
        <w:t>号金融</w:t>
      </w:r>
      <w:r>
        <w:rPr>
          <w:w w:val="100"/>
        </w:rPr>
        <w:t> </w:t>
      </w:r>
      <w:r>
        <w:rPr>
          <w:spacing w:val="-1"/>
        </w:rPr>
        <w:t>服务技术创新基地</w:t>
      </w:r>
      <w:r>
        <w:rPr>
          <w:rFonts w:ascii="Times New Roman" w:hAnsi="Times New Roman" w:cs="Times New Roman" w:eastAsia="Times New Roman" w:hint="default"/>
          <w:spacing w:val="-1"/>
        </w:rPr>
        <w:t>1</w:t>
      </w:r>
      <w:r>
        <w:rPr>
          <w:spacing w:val="-1"/>
        </w:rPr>
        <w:t>栋</w:t>
      </w:r>
      <w:r>
        <w:rPr>
          <w:rFonts w:ascii="Times New Roman" w:hAnsi="Times New Roman" w:cs="Times New Roman" w:eastAsia="Times New Roman" w:hint="default"/>
          <w:spacing w:val="-1"/>
        </w:rPr>
        <w:t>6</w:t>
      </w:r>
      <w:r>
        <w:rPr>
          <w:spacing w:val="-1"/>
        </w:rPr>
        <w:t>楼</w:t>
      </w:r>
      <w:r>
        <w:rPr>
          <w:rFonts w:ascii="Times New Roman" w:hAnsi="Times New Roman" w:cs="Times New Roman" w:eastAsia="Times New Roman" w:hint="default"/>
          <w:spacing w:val="-1"/>
        </w:rPr>
        <w:t>F</w:t>
      </w:r>
      <w:r>
        <w:rPr>
          <w:spacing w:val="-1"/>
        </w:rPr>
        <w:t>单元公司会议室召开。出席会议的股东及股东代表</w:t>
      </w:r>
      <w:r>
        <w:rPr>
          <w:rFonts w:ascii="Times New Roman" w:hAnsi="Times New Roman" w:cs="Times New Roman" w:eastAsia="Times New Roman" w:hint="default"/>
          <w:spacing w:val="-1"/>
        </w:rPr>
        <w:t>11</w:t>
      </w:r>
      <w:r>
        <w:rPr>
          <w:spacing w:val="-1"/>
        </w:rPr>
        <w:t>人，</w:t>
      </w:r>
      <w:r>
        <w:rPr>
          <w:spacing w:val="-97"/>
        </w:rPr>
        <w:t> </w:t>
      </w:r>
      <w:r>
        <w:rPr>
          <w:spacing w:val="-4"/>
        </w:rPr>
        <w:t>合计持有公司股份</w:t>
      </w:r>
      <w:r>
        <w:rPr>
          <w:rFonts w:ascii="Times New Roman" w:hAnsi="Times New Roman" w:cs="Times New Roman" w:eastAsia="Times New Roman" w:hint="default"/>
          <w:spacing w:val="-4"/>
        </w:rPr>
        <w:t>38,863,100</w:t>
      </w:r>
      <w:r>
        <w:rPr>
          <w:spacing w:val="-4"/>
        </w:rPr>
        <w:t>股，占公司有表决权股份总数的64.77%。会议审议通过</w:t>
      </w:r>
      <w:r>
        <w:rPr>
          <w:spacing w:val="-60"/>
        </w:rPr>
        <w:t> </w:t>
      </w:r>
      <w:r>
        <w:rPr>
          <w:spacing w:val="-60"/>
        </w:rPr>
      </w:r>
      <w:r>
        <w:rPr>
          <w:spacing w:val="-18"/>
          <w:w w:val="100"/>
        </w:rPr>
        <w:t>了《</w:t>
      </w:r>
      <w:r>
        <w:rPr>
          <w:rFonts w:ascii="Times New Roman" w:hAnsi="Times New Roman" w:cs="Times New Roman" w:eastAsia="Times New Roman" w:hint="default"/>
          <w:spacing w:val="-18"/>
          <w:w w:val="100"/>
        </w:rPr>
        <w:t>2010</w:t>
      </w:r>
      <w:r>
        <w:rPr>
          <w:spacing w:val="-18"/>
          <w:w w:val="100"/>
        </w:rPr>
        <w:t>年度董事会工作报告》、《</w:t>
      </w:r>
      <w:r>
        <w:rPr>
          <w:rFonts w:ascii="Times New Roman" w:hAnsi="Times New Roman" w:cs="Times New Roman" w:eastAsia="Times New Roman" w:hint="default"/>
          <w:spacing w:val="-18"/>
          <w:w w:val="100"/>
        </w:rPr>
        <w:t>2010</w:t>
      </w:r>
      <w:r>
        <w:rPr>
          <w:spacing w:val="-18"/>
          <w:w w:val="100"/>
        </w:rPr>
        <w:t>年度监事会工作报告》、《</w:t>
      </w:r>
      <w:r>
        <w:rPr>
          <w:rFonts w:ascii="Times New Roman" w:hAnsi="Times New Roman" w:cs="Times New Roman" w:eastAsia="Times New Roman" w:hint="default"/>
          <w:spacing w:val="-18"/>
          <w:w w:val="100"/>
        </w:rPr>
        <w:t>2010</w:t>
      </w:r>
      <w:r>
        <w:rPr>
          <w:spacing w:val="-18"/>
          <w:w w:val="100"/>
        </w:rPr>
        <w:t>年度财务报告》、</w:t>
      </w:r>
    </w:p>
    <w:p>
      <w:pPr>
        <w:pStyle w:val="BodyText"/>
        <w:spacing w:line="338" w:lineRule="auto" w:before="23"/>
        <w:ind w:left="217" w:right="303" w:hanging="1"/>
        <w:jc w:val="left"/>
      </w:pPr>
      <w:r>
        <w:rPr>
          <w:w w:val="100"/>
        </w:rPr>
        <w:t>《</w:t>
      </w:r>
      <w:r>
        <w:rPr>
          <w:rFonts w:ascii="Times New Roman" w:hAnsi="Times New Roman" w:cs="Times New Roman" w:eastAsia="Times New Roman" w:hint="default"/>
          <w:w w:val="100"/>
        </w:rPr>
        <w:t>2010</w:t>
      </w:r>
      <w:r>
        <w:rPr>
          <w:spacing w:val="-2"/>
          <w:w w:val="100"/>
        </w:rPr>
        <w:t>年年</w:t>
      </w:r>
      <w:r>
        <w:rPr>
          <w:w w:val="100"/>
        </w:rPr>
        <w:t>度报告</w:t>
      </w:r>
      <w:r>
        <w:rPr>
          <w:spacing w:val="-2"/>
          <w:w w:val="100"/>
        </w:rPr>
        <w:t>》及</w:t>
      </w:r>
      <w:r>
        <w:rPr>
          <w:w w:val="100"/>
        </w:rPr>
        <w:t>《</w:t>
      </w:r>
      <w:r>
        <w:rPr>
          <w:rFonts w:ascii="Times New Roman" w:hAnsi="Times New Roman" w:cs="Times New Roman" w:eastAsia="Times New Roman" w:hint="default"/>
          <w:w w:val="100"/>
        </w:rPr>
        <w:t>2010</w:t>
      </w:r>
      <w:r>
        <w:rPr>
          <w:spacing w:val="-2"/>
          <w:w w:val="100"/>
        </w:rPr>
        <w:t>年年</w:t>
      </w:r>
      <w:r>
        <w:rPr>
          <w:w w:val="100"/>
        </w:rPr>
        <w:t>度报告</w:t>
      </w:r>
      <w:r>
        <w:rPr>
          <w:spacing w:val="-2"/>
          <w:w w:val="100"/>
        </w:rPr>
        <w:t>摘要</w:t>
      </w:r>
      <w:r>
        <w:rPr>
          <w:spacing w:val="-116"/>
          <w:w w:val="100"/>
        </w:rPr>
        <w:t>》、</w:t>
      </w:r>
      <w:r>
        <w:rPr>
          <w:w w:val="100"/>
        </w:rPr>
        <w:t>《</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2"/>
          <w:w w:val="100"/>
        </w:rPr>
        <w:t>0</w:t>
      </w:r>
      <w:r>
        <w:rPr>
          <w:spacing w:val="-2"/>
          <w:w w:val="100"/>
        </w:rPr>
        <w:t>年</w:t>
      </w:r>
      <w:r>
        <w:rPr>
          <w:w w:val="100"/>
        </w:rPr>
        <w:t>度利润</w:t>
      </w:r>
      <w:r>
        <w:rPr>
          <w:spacing w:val="-2"/>
          <w:w w:val="100"/>
        </w:rPr>
        <w:t>分配</w:t>
      </w:r>
      <w:r>
        <w:rPr>
          <w:w w:val="100"/>
        </w:rPr>
        <w:t>及资本</w:t>
      </w:r>
      <w:r>
        <w:rPr>
          <w:spacing w:val="-2"/>
          <w:w w:val="100"/>
        </w:rPr>
        <w:t>公积</w:t>
      </w:r>
      <w:r>
        <w:rPr>
          <w:w w:val="100"/>
        </w:rPr>
        <w:t>转</w:t>
      </w:r>
      <w:r>
        <w:rPr>
          <w:w w:val="100"/>
        </w:rPr>
        <w:t> 增股本</w:t>
      </w:r>
      <w:r>
        <w:rPr>
          <w:spacing w:val="-2"/>
          <w:w w:val="100"/>
        </w:rPr>
        <w:t>的预</w:t>
      </w:r>
      <w:r>
        <w:rPr>
          <w:w w:val="100"/>
        </w:rPr>
        <w:t>案</w:t>
      </w:r>
      <w:r>
        <w:rPr>
          <w:spacing w:val="-116"/>
          <w:w w:val="100"/>
        </w:rPr>
        <w:t>》、</w:t>
      </w:r>
      <w:r>
        <w:rPr>
          <w:w w:val="100"/>
        </w:rPr>
        <w:t>《</w:t>
      </w:r>
      <w:r>
        <w:rPr>
          <w:spacing w:val="-2"/>
          <w:w w:val="100"/>
        </w:rPr>
        <w:t>关于</w:t>
      </w:r>
      <w:r>
        <w:rPr>
          <w:w w:val="100"/>
        </w:rPr>
        <w:t>续聘深</w:t>
      </w:r>
      <w:r>
        <w:rPr>
          <w:spacing w:val="-2"/>
          <w:w w:val="100"/>
        </w:rPr>
        <w:t>圳市</w:t>
      </w:r>
      <w:r>
        <w:rPr>
          <w:w w:val="100"/>
        </w:rPr>
        <w:t>鹏城会</w:t>
      </w:r>
      <w:r>
        <w:rPr>
          <w:spacing w:val="-2"/>
          <w:w w:val="100"/>
        </w:rPr>
        <w:t>计师</w:t>
      </w:r>
      <w:r>
        <w:rPr>
          <w:w w:val="100"/>
        </w:rPr>
        <w:t>事务所</w:t>
      </w:r>
      <w:r>
        <w:rPr>
          <w:spacing w:val="-2"/>
          <w:w w:val="100"/>
        </w:rPr>
        <w:t>有限</w:t>
      </w:r>
      <w:r>
        <w:rPr>
          <w:w w:val="100"/>
        </w:rPr>
        <w:t>公司的</w:t>
      </w:r>
      <w:r>
        <w:rPr>
          <w:spacing w:val="-2"/>
          <w:w w:val="100"/>
        </w:rPr>
        <w:t>议案</w:t>
      </w:r>
      <w:r>
        <w:rPr>
          <w:spacing w:val="-116"/>
          <w:w w:val="100"/>
        </w:rPr>
        <w:t>》</w:t>
      </w:r>
      <w:r>
        <w:rPr>
          <w:w w:val="100"/>
        </w:rPr>
        <w:t>。</w:t>
      </w:r>
    </w:p>
    <w:p>
      <w:pPr>
        <w:pStyle w:val="BodyText"/>
        <w:spacing w:line="240" w:lineRule="auto" w:before="52"/>
        <w:ind w:left="677" w:right="260"/>
        <w:jc w:val="left"/>
      </w:pPr>
      <w:r>
        <w:rPr/>
        <w:t>本次会议内容公司于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日在公司指定信息披露网站巨潮资讯网</w:t>
      </w:r>
    </w:p>
    <w:p>
      <w:pPr>
        <w:pStyle w:val="BodyText"/>
        <w:spacing w:line="240" w:lineRule="auto" w:before="129"/>
        <w:ind w:left="217" w:right="260"/>
        <w:jc w:val="left"/>
      </w:pPr>
      <w:r>
        <w:rPr/>
        <w:t>（</w:t>
      </w:r>
      <w:hyperlink r:id="rId12">
        <w:r>
          <w:rPr>
            <w:rFonts w:ascii="Times New Roman" w:hAnsi="Times New Roman" w:cs="Times New Roman" w:eastAsia="Times New Roman" w:hint="default"/>
          </w:rPr>
          <w:t>www.cninfo.com.cn</w:t>
        </w:r>
      </w:hyperlink>
      <w:r>
        <w:rPr/>
        <w:t>）上进行了披露。</w:t>
      </w:r>
    </w:p>
    <w:p>
      <w:pPr>
        <w:spacing w:line="240" w:lineRule="auto" w:before="0"/>
        <w:rPr>
          <w:rFonts w:ascii="宋体" w:hAnsi="宋体" w:cs="宋体" w:eastAsia="宋体" w:hint="default"/>
          <w:sz w:val="24"/>
          <w:szCs w:val="24"/>
        </w:rPr>
      </w:pPr>
    </w:p>
    <w:p>
      <w:pPr>
        <w:pStyle w:val="BodyText"/>
        <w:spacing w:line="240" w:lineRule="auto" w:before="211"/>
        <w:ind w:left="217" w:right="260"/>
        <w:jc w:val="left"/>
      </w:pPr>
      <w:r>
        <w:rPr/>
        <w:t>（二）董事会</w:t>
      </w:r>
    </w:p>
    <w:p>
      <w:pPr>
        <w:pStyle w:val="BodyText"/>
        <w:spacing w:line="240" w:lineRule="auto" w:before="146"/>
        <w:ind w:left="677" w:right="152"/>
        <w:jc w:val="left"/>
      </w:pPr>
      <w:r>
        <w:rPr>
          <w:w w:val="100"/>
        </w:rPr>
        <w:t>报告期</w:t>
      </w:r>
      <w:r>
        <w:rPr>
          <w:spacing w:val="-2"/>
          <w:w w:val="100"/>
        </w:rPr>
        <w:t>内</w:t>
      </w:r>
      <w:r>
        <w:rPr>
          <w:spacing w:val="-58"/>
          <w:w w:val="100"/>
        </w:rPr>
        <w:t>，</w:t>
      </w:r>
      <w:r>
        <w:rPr>
          <w:w w:val="100"/>
        </w:rPr>
        <w:t>公司全</w:t>
      </w:r>
      <w:r>
        <w:rPr>
          <w:spacing w:val="-2"/>
          <w:w w:val="100"/>
        </w:rPr>
        <w:t>体董</w:t>
      </w:r>
      <w:r>
        <w:rPr>
          <w:w w:val="100"/>
        </w:rPr>
        <w:t>事严格</w:t>
      </w:r>
      <w:r>
        <w:rPr>
          <w:spacing w:val="-2"/>
          <w:w w:val="100"/>
        </w:rPr>
        <w:t>按</w:t>
      </w:r>
      <w:r>
        <w:rPr>
          <w:spacing w:val="-58"/>
          <w:w w:val="100"/>
        </w:rPr>
        <w:t>照</w:t>
      </w:r>
      <w:r>
        <w:rPr>
          <w:w w:val="100"/>
        </w:rPr>
        <w:t>《公司</w:t>
      </w:r>
      <w:r>
        <w:rPr>
          <w:spacing w:val="-2"/>
          <w:w w:val="100"/>
        </w:rPr>
        <w:t>法</w:t>
      </w:r>
      <w:r>
        <w:rPr>
          <w:spacing w:val="-116"/>
          <w:w w:val="100"/>
        </w:rPr>
        <w:t>》</w:t>
      </w:r>
      <w:r>
        <w:rPr>
          <w:spacing w:val="-173"/>
          <w:w w:val="100"/>
        </w:rPr>
        <w:t>、</w:t>
      </w:r>
      <w:r>
        <w:rPr>
          <w:w w:val="100"/>
        </w:rPr>
        <w:t>《证券</w:t>
      </w:r>
      <w:r>
        <w:rPr>
          <w:spacing w:val="-2"/>
          <w:w w:val="100"/>
        </w:rPr>
        <w:t>法</w:t>
      </w:r>
      <w:r>
        <w:rPr>
          <w:spacing w:val="-116"/>
          <w:w w:val="100"/>
        </w:rPr>
        <w:t>》</w:t>
      </w:r>
      <w:r>
        <w:rPr>
          <w:spacing w:val="-173"/>
          <w:w w:val="100"/>
        </w:rPr>
        <w:t>、</w:t>
      </w:r>
      <w:r>
        <w:rPr>
          <w:w w:val="100"/>
        </w:rPr>
        <w:t>《上市</w:t>
      </w:r>
      <w:r>
        <w:rPr>
          <w:spacing w:val="-2"/>
          <w:w w:val="100"/>
        </w:rPr>
        <w:t>公司</w:t>
      </w:r>
      <w:r>
        <w:rPr>
          <w:w w:val="100"/>
        </w:rPr>
        <w:t>治理准</w:t>
      </w:r>
      <w:r>
        <w:rPr>
          <w:spacing w:val="-2"/>
          <w:w w:val="100"/>
        </w:rPr>
        <w:t>则</w:t>
      </w:r>
      <w:r>
        <w:rPr>
          <w:spacing w:val="-114"/>
          <w:w w:val="100"/>
        </w:rPr>
        <w:t>》</w:t>
      </w:r>
      <w:r>
        <w:rPr>
          <w:w w:val="100"/>
        </w:rPr>
        <w:t>、</w:t>
      </w:r>
    </w:p>
    <w:p>
      <w:pPr>
        <w:pStyle w:val="BodyText"/>
        <w:spacing w:line="357" w:lineRule="auto" w:before="146"/>
        <w:ind w:left="217" w:right="152"/>
        <w:jc w:val="left"/>
      </w:pPr>
      <w:r>
        <w:rPr/>
        <w:t>《深圳证券交易所创业板上市公司规范运作指引》等有关法律法规和《公司章程》</w:t>
      </w:r>
      <w:r>
        <w:rPr>
          <w:w w:val="100"/>
        </w:rPr>
        <w:t> </w:t>
      </w:r>
      <w:r>
        <w:rPr>
          <w:spacing w:val="-4"/>
        </w:rPr>
        <w:t>的规定，勤勉尽责地履行董事的职责，持续关注公司经营状况，遵守董事行为规范，</w:t>
      </w:r>
      <w:r>
        <w:rPr>
          <w:spacing w:val="-91"/>
        </w:rPr>
        <w:t> </w:t>
      </w:r>
      <w:r>
        <w:rPr>
          <w:spacing w:val="-91"/>
        </w:rPr>
      </w:r>
      <w:r>
        <w:rPr/>
        <w:t>积极参加相关培训，提高规范运作水平，发挥各自的专业特长，积极地履行职责。</w:t>
      </w:r>
      <w:r>
        <w:rPr>
          <w:w w:val="100"/>
        </w:rPr>
        <w:t> </w:t>
      </w:r>
      <w:r>
        <w:rPr/>
        <w:t>董事在董事会会议投票表决重大事项或其他对公司有重大影响的事项时，严格遵循</w:t>
      </w:r>
      <w:r>
        <w:rPr>
          <w:w w:val="100"/>
        </w:rPr>
        <w:t> </w:t>
      </w:r>
      <w:r>
        <w:rPr/>
        <w:t>公司董事会议事规则的有关审议规定，审慎决策，切实保护公司和股东特别是社会</w:t>
      </w:r>
      <w:r>
        <w:rPr>
          <w:w w:val="100"/>
        </w:rPr>
        <w:t> </w:t>
      </w:r>
      <w:r>
        <w:rPr/>
        <w:t>公众股股东的利益。</w:t>
      </w:r>
    </w:p>
    <w:p>
      <w:pPr>
        <w:pStyle w:val="BodyText"/>
        <w:spacing w:line="240" w:lineRule="auto" w:before="34"/>
        <w:ind w:left="677" w:right="260"/>
        <w:jc w:val="left"/>
      </w:pPr>
      <w:r>
        <w:rPr/>
        <w:t>报告期内公司董事会共召开</w:t>
      </w:r>
      <w:r>
        <w:rPr>
          <w:rFonts w:ascii="Times New Roman" w:hAnsi="Times New Roman" w:cs="Times New Roman" w:eastAsia="Times New Roman" w:hint="default"/>
        </w:rPr>
        <w:t>5</w:t>
      </w:r>
      <w:r>
        <w:rPr>
          <w:rFonts w:ascii="Times New Roman" w:hAnsi="Times New Roman" w:cs="Times New Roman" w:eastAsia="Times New Roman" w:hint="default"/>
          <w:spacing w:val="47"/>
        </w:rPr>
        <w:t> </w:t>
      </w:r>
      <w:r>
        <w:rPr/>
        <w:t>次董事会会议，公司董事出席董事会情况如下：</w:t>
      </w:r>
    </w:p>
    <w:p>
      <w:pPr>
        <w:spacing w:line="240" w:lineRule="auto" w:before="10"/>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188"/>
        <w:gridCol w:w="1440"/>
        <w:gridCol w:w="900"/>
        <w:gridCol w:w="1080"/>
        <w:gridCol w:w="1080"/>
        <w:gridCol w:w="1080"/>
        <w:gridCol w:w="1800"/>
      </w:tblGrid>
      <w:tr>
        <w:trPr>
          <w:trHeight w:val="650" w:hRule="exact"/>
        </w:trPr>
        <w:tc>
          <w:tcPr>
            <w:tcW w:w="118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8"/>
              <w:ind w:left="379"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9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2" w:lineRule="exact" w:before="40"/>
              <w:ind w:left="235" w:right="128" w:hanging="106"/>
              <w:jc w:val="left"/>
              <w:rPr>
                <w:rFonts w:ascii="宋体" w:hAnsi="宋体" w:cs="宋体" w:eastAsia="宋体" w:hint="default"/>
                <w:sz w:val="21"/>
                <w:szCs w:val="21"/>
              </w:rPr>
            </w:pPr>
            <w:r>
              <w:rPr>
                <w:rFonts w:ascii="宋体" w:hAnsi="宋体" w:cs="宋体" w:eastAsia="宋体" w:hint="default"/>
                <w:sz w:val="21"/>
                <w:szCs w:val="21"/>
              </w:rPr>
              <w:t>应出席 次数</w:t>
            </w:r>
          </w:p>
        </w:tc>
        <w:tc>
          <w:tcPr>
            <w:tcW w:w="10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2" w:lineRule="exact" w:before="40"/>
              <w:ind w:left="325" w:right="113" w:hanging="210"/>
              <w:jc w:val="left"/>
              <w:rPr>
                <w:rFonts w:ascii="宋体" w:hAnsi="宋体" w:cs="宋体" w:eastAsia="宋体" w:hint="default"/>
                <w:sz w:val="21"/>
                <w:szCs w:val="21"/>
              </w:rPr>
            </w:pPr>
            <w:r>
              <w:rPr>
                <w:rFonts w:ascii="宋体" w:hAnsi="宋体" w:cs="宋体" w:eastAsia="宋体" w:hint="default"/>
                <w:sz w:val="21"/>
                <w:szCs w:val="21"/>
              </w:rPr>
              <w:t>亲自出席 次数</w:t>
            </w:r>
          </w:p>
        </w:tc>
        <w:tc>
          <w:tcPr>
            <w:tcW w:w="10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2" w:lineRule="exact" w:before="40"/>
              <w:ind w:left="325" w:right="113" w:hanging="210"/>
              <w:jc w:val="left"/>
              <w:rPr>
                <w:rFonts w:ascii="宋体" w:hAnsi="宋体" w:cs="宋体" w:eastAsia="宋体" w:hint="default"/>
                <w:sz w:val="21"/>
                <w:szCs w:val="21"/>
              </w:rPr>
            </w:pPr>
            <w:r>
              <w:rPr>
                <w:rFonts w:ascii="宋体" w:hAnsi="宋体" w:cs="宋体" w:eastAsia="宋体" w:hint="default"/>
                <w:sz w:val="21"/>
                <w:szCs w:val="21"/>
              </w:rPr>
              <w:t>委托出席 次数</w:t>
            </w:r>
          </w:p>
        </w:tc>
        <w:tc>
          <w:tcPr>
            <w:tcW w:w="10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8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2" w:lineRule="exact" w:before="40"/>
              <w:ind w:left="265" w:right="158" w:hanging="106"/>
              <w:jc w:val="left"/>
              <w:rPr>
                <w:rFonts w:ascii="宋体" w:hAnsi="宋体" w:cs="宋体" w:eastAsia="宋体" w:hint="default"/>
                <w:sz w:val="21"/>
                <w:szCs w:val="21"/>
              </w:rPr>
            </w:pPr>
            <w:r>
              <w:rPr>
                <w:rFonts w:ascii="宋体" w:hAnsi="宋体" w:cs="宋体" w:eastAsia="宋体" w:hint="default"/>
                <w:sz w:val="21"/>
                <w:szCs w:val="21"/>
              </w:rPr>
              <w:t>是否连续两次未 亲自出席会议</w:t>
            </w:r>
          </w:p>
        </w:tc>
      </w:tr>
      <w:tr>
        <w:trPr>
          <w:trHeight w:val="379"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陈向军</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李军</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pacing w:val="-6"/>
                <w:sz w:val="21"/>
                <w:szCs w:val="21"/>
              </w:rPr>
              <w:t>董事、总经理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张学君</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何晔</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9"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单怀光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宋靖雁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9"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朱厚佳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
        <w:rPr>
          <w:rFonts w:ascii="宋体" w:hAnsi="宋体" w:cs="宋体" w:eastAsia="宋体" w:hint="default"/>
          <w:sz w:val="25"/>
          <w:szCs w:val="25"/>
        </w:rPr>
      </w:pPr>
    </w:p>
    <w:p>
      <w:pPr>
        <w:pStyle w:val="BodyText"/>
        <w:spacing w:line="240" w:lineRule="auto" w:before="29"/>
        <w:ind w:left="677" w:right="260"/>
        <w:jc w:val="left"/>
      </w:pPr>
      <w:r>
        <w:rPr/>
        <w:t>报告期内召开的</w:t>
      </w:r>
      <w:r>
        <w:rPr>
          <w:rFonts w:ascii="Times New Roman" w:hAnsi="Times New Roman" w:cs="Times New Roman" w:eastAsia="Times New Roman" w:hint="default"/>
        </w:rPr>
        <w:t>5</w:t>
      </w:r>
      <w:r>
        <w:rPr>
          <w:rFonts w:ascii="Times New Roman" w:hAnsi="Times New Roman" w:cs="Times New Roman" w:eastAsia="Times New Roman" w:hint="default"/>
          <w:spacing w:val="50"/>
        </w:rPr>
        <w:t> </w:t>
      </w:r>
      <w:r>
        <w:rPr/>
        <w:t>次董事会会议的具体情况如下：</w:t>
      </w:r>
    </w:p>
    <w:p>
      <w:pPr>
        <w:spacing w:line="240" w:lineRule="auto" w:before="10"/>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339"/>
        <w:gridCol w:w="1196"/>
        <w:gridCol w:w="4592"/>
        <w:gridCol w:w="1440"/>
      </w:tblGrid>
      <w:tr>
        <w:trPr>
          <w:trHeight w:val="378" w:hRule="exact"/>
        </w:trPr>
        <w:tc>
          <w:tcPr>
            <w:tcW w:w="133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452"/>
              <w:jc w:val="right"/>
              <w:rPr>
                <w:rFonts w:ascii="宋体" w:hAnsi="宋体" w:cs="宋体" w:eastAsia="宋体" w:hint="default"/>
                <w:sz w:val="21"/>
                <w:szCs w:val="21"/>
              </w:rPr>
            </w:pPr>
            <w:r>
              <w:rPr>
                <w:rFonts w:ascii="宋体" w:hAnsi="宋体" w:cs="宋体" w:eastAsia="宋体" w:hint="default"/>
                <w:sz w:val="21"/>
                <w:szCs w:val="21"/>
              </w:rPr>
              <w:t>届次</w:t>
            </w:r>
          </w:p>
        </w:tc>
        <w:tc>
          <w:tcPr>
            <w:tcW w:w="119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173"/>
              <w:jc w:val="right"/>
              <w:rPr>
                <w:rFonts w:ascii="宋体" w:hAnsi="宋体" w:cs="宋体" w:eastAsia="宋体" w:hint="default"/>
                <w:sz w:val="21"/>
                <w:szCs w:val="21"/>
              </w:rPr>
            </w:pPr>
            <w:r>
              <w:rPr>
                <w:rFonts w:ascii="宋体" w:hAnsi="宋体" w:cs="宋体" w:eastAsia="宋体" w:hint="default"/>
                <w:sz w:val="21"/>
                <w:szCs w:val="21"/>
              </w:rPr>
              <w:t>召开日期</w:t>
            </w:r>
          </w:p>
        </w:tc>
        <w:tc>
          <w:tcPr>
            <w:tcW w:w="459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left="1" w:right="0"/>
              <w:jc w:val="center"/>
              <w:rPr>
                <w:rFonts w:ascii="宋体" w:hAnsi="宋体" w:cs="宋体" w:eastAsia="宋体" w:hint="default"/>
                <w:sz w:val="21"/>
                <w:szCs w:val="21"/>
              </w:rPr>
            </w:pPr>
            <w:r>
              <w:rPr>
                <w:rFonts w:ascii="宋体" w:hAnsi="宋体" w:cs="宋体" w:eastAsia="宋体" w:hint="default"/>
                <w:sz w:val="21"/>
                <w:szCs w:val="21"/>
              </w:rPr>
              <w:t>审议内容</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刊登媒体</w:t>
            </w:r>
          </w:p>
        </w:tc>
      </w:tr>
      <w:tr>
        <w:trPr>
          <w:trHeight w:val="329" w:hRule="exact"/>
        </w:trPr>
        <w:tc>
          <w:tcPr>
            <w:tcW w:w="1339"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45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10 </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总经理工作报告</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01</w:t>
            </w:r>
            <w:r>
              <w:rPr>
                <w:rFonts w:ascii="Times New Roman" w:hAnsi="Times New Roman" w:cs="Times New Roman" w:eastAsia="Times New Roman" w:hint="default"/>
                <w:sz w:val="21"/>
                <w:szCs w:val="21"/>
              </w:rPr>
              <w:t>0 </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年度董事</w:t>
            </w:r>
          </w:p>
        </w:tc>
        <w:tc>
          <w:tcPr>
            <w:tcW w:w="1440" w:type="dxa"/>
            <w:tcBorders>
              <w:top w:val="single" w:sz="4" w:space="0" w:color="000000"/>
              <w:left w:val="single" w:sz="4" w:space="0" w:color="000000"/>
              <w:bottom w:val="nil" w:sz="6" w:space="0" w:color="auto"/>
              <w:right w:val="single" w:sz="4" w:space="0" w:color="000000"/>
            </w:tcBorders>
          </w:tcPr>
          <w:p>
            <w:pPr/>
          </w:p>
        </w:tc>
      </w:tr>
      <w:tr>
        <w:trPr>
          <w:trHeight w:val="545" w:hRule="exact"/>
        </w:trPr>
        <w:tc>
          <w:tcPr>
            <w:tcW w:w="1339"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384"/>
              <w:jc w:val="right"/>
              <w:rPr>
                <w:rFonts w:ascii="宋体" w:hAnsi="宋体" w:cs="宋体" w:eastAsia="宋体" w:hint="default"/>
                <w:sz w:val="21"/>
                <w:szCs w:val="21"/>
              </w:rPr>
            </w:pPr>
            <w:r>
              <w:rPr>
                <w:rFonts w:ascii="宋体" w:hAnsi="宋体" w:cs="宋体" w:eastAsia="宋体" w:hint="default"/>
                <w:sz w:val="21"/>
                <w:szCs w:val="21"/>
              </w:rPr>
              <w:t>二届二次</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8"/>
              <w:jc w:val="right"/>
              <w:rPr>
                <w:rFonts w:ascii="Times New Roman" w:hAnsi="Times New Roman" w:cs="Times New Roman" w:eastAsia="Times New Roman" w:hint="default"/>
                <w:sz w:val="21"/>
                <w:szCs w:val="21"/>
              </w:rPr>
            </w:pPr>
            <w:r>
              <w:rPr>
                <w:rFonts w:ascii="Times New Roman"/>
                <w:spacing w:val="-1"/>
                <w:w w:val="95"/>
                <w:sz w:val="21"/>
              </w:rPr>
              <w:t>2011-03-08</w:t>
            </w:r>
          </w:p>
        </w:tc>
        <w:tc>
          <w:tcPr>
            <w:tcW w:w="4592"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hanging="1"/>
              <w:jc w:val="left"/>
              <w:rPr>
                <w:rFonts w:ascii="宋体" w:hAnsi="宋体" w:cs="宋体" w:eastAsia="宋体" w:hint="default"/>
                <w:sz w:val="21"/>
                <w:szCs w:val="21"/>
              </w:rPr>
            </w:pPr>
            <w:r>
              <w:rPr>
                <w:rFonts w:ascii="宋体" w:hAnsi="宋体" w:cs="宋体" w:eastAsia="宋体" w:hint="default"/>
                <w:sz w:val="21"/>
                <w:szCs w:val="21"/>
              </w:rPr>
              <w:t>会工作报告</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 </w:t>
            </w:r>
            <w:r>
              <w:rPr>
                <w:rFonts w:ascii="Times New Roman" w:hAnsi="Times New Roman" w:cs="Times New Roman" w:eastAsia="Times New Roman" w:hint="default"/>
                <w:spacing w:val="-16"/>
                <w:sz w:val="21"/>
                <w:szCs w:val="21"/>
              </w:rPr>
              <w:t> </w:t>
            </w:r>
            <w:r>
              <w:rPr>
                <w:rFonts w:ascii="宋体" w:hAnsi="宋体" w:cs="宋体" w:eastAsia="宋体" w:hint="default"/>
                <w:spacing w:val="-2"/>
                <w:sz w:val="21"/>
                <w:szCs w:val="21"/>
              </w:rPr>
              <w:t>年</w:t>
            </w:r>
            <w:r>
              <w:rPr>
                <w:rFonts w:ascii="宋体" w:hAnsi="宋体" w:cs="宋体" w:eastAsia="宋体" w:hint="default"/>
                <w:sz w:val="21"/>
                <w:szCs w:val="21"/>
              </w:rPr>
              <w:t>度财务报告</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 </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p>
          <w:p>
            <w:pPr>
              <w:pStyle w:val="TableParagraph"/>
              <w:spacing w:line="28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年度报</w:t>
            </w:r>
            <w:r>
              <w:rPr>
                <w:rFonts w:ascii="宋体" w:hAnsi="宋体" w:cs="宋体" w:eastAsia="宋体" w:hint="default"/>
                <w:spacing w:val="4"/>
                <w:sz w:val="21"/>
                <w:szCs w:val="21"/>
              </w:rPr>
              <w:t>告》</w:t>
            </w:r>
            <w:r>
              <w:rPr>
                <w:rFonts w:ascii="宋体" w:hAnsi="宋体" w:cs="宋体" w:eastAsia="宋体" w:hint="default"/>
                <w:spacing w:val="3"/>
                <w:sz w:val="21"/>
                <w:szCs w:val="21"/>
              </w:rPr>
              <w:t>及《</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 </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年年度报</w:t>
            </w:r>
            <w:r>
              <w:rPr>
                <w:rFonts w:ascii="宋体" w:hAnsi="宋体" w:cs="宋体" w:eastAsia="宋体" w:hint="default"/>
                <w:spacing w:val="4"/>
                <w:sz w:val="21"/>
                <w:szCs w:val="21"/>
              </w:rPr>
              <w:t>告摘</w:t>
            </w:r>
            <w:r>
              <w:rPr>
                <w:rFonts w:ascii="宋体" w:hAnsi="宋体" w:cs="宋体" w:eastAsia="宋体" w:hint="default"/>
                <w:spacing w:val="3"/>
                <w:sz w:val="21"/>
                <w:szCs w:val="21"/>
              </w:rPr>
              <w:t>要</w:t>
            </w:r>
            <w:r>
              <w:rPr>
                <w:rFonts w:ascii="宋体" w:hAnsi="宋体" w:cs="宋体" w:eastAsia="宋体" w:hint="default"/>
                <w:spacing w:val="-101"/>
                <w:sz w:val="21"/>
                <w:szCs w:val="21"/>
              </w:rPr>
              <w:t>》、</w:t>
            </w:r>
            <w:r>
              <w:rPr>
                <w:rFonts w:ascii="宋体" w:hAnsi="宋体" w:cs="宋体" w:eastAsia="宋体" w:hint="default"/>
                <w:spacing w:val="3"/>
                <w:sz w:val="21"/>
                <w:szCs w:val="21"/>
              </w:rPr>
              <w:t>《</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74" w:hRule="exact"/>
        </w:trPr>
        <w:tc>
          <w:tcPr>
            <w:tcW w:w="1339"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4592"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103" w:right="-3"/>
              <w:jc w:val="left"/>
              <w:rPr>
                <w:rFonts w:ascii="宋体" w:hAnsi="宋体" w:cs="宋体" w:eastAsia="宋体" w:hint="default"/>
                <w:sz w:val="21"/>
                <w:szCs w:val="21"/>
              </w:rPr>
            </w:pPr>
            <w:r>
              <w:rPr>
                <w:rFonts w:ascii="宋体" w:hAnsi="宋体" w:cs="宋体" w:eastAsia="宋体" w:hint="default"/>
                <w:spacing w:val="20"/>
                <w:sz w:val="21"/>
                <w:szCs w:val="21"/>
              </w:rPr>
              <w:t>年度利润分配和资本公积金转增股本预</w:t>
            </w:r>
            <w:r>
              <w:rPr>
                <w:rFonts w:ascii="宋体" w:hAnsi="宋体" w:cs="宋体" w:eastAsia="宋体" w:hint="default"/>
                <w:sz w:val="21"/>
                <w:szCs w:val="21"/>
              </w:rPr>
              <w:t>案</w:t>
            </w:r>
            <w:r>
              <w:rPr>
                <w:rFonts w:ascii="宋体" w:hAnsi="宋体" w:cs="宋体" w:eastAsia="宋体" w:hint="default"/>
                <w:spacing w:val="-85"/>
                <w:sz w:val="21"/>
                <w:szCs w:val="21"/>
              </w:rPr>
              <w:t> </w:t>
            </w:r>
            <w:r>
              <w:rPr>
                <w:rFonts w:ascii="宋体" w:hAnsi="宋体" w:cs="宋体" w:eastAsia="宋体" w:hint="default"/>
                <w:spacing w:val="-86"/>
                <w:sz w:val="21"/>
                <w:szCs w:val="21"/>
              </w:rPr>
              <w:t>》</w:t>
            </w:r>
            <w:r>
              <w:rPr>
                <w:rFonts w:ascii="宋体" w:hAnsi="宋体" w:cs="宋体" w:eastAsia="宋体" w:hint="default"/>
                <w:sz w:val="21"/>
                <w:szCs w:val="21"/>
              </w:rPr>
              <w:t>、</w:t>
            </w:r>
          </w:p>
        </w:tc>
        <w:tc>
          <w:tcPr>
            <w:tcW w:w="144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1580" w:right="1520"/>
        </w:sectPr>
      </w:pPr>
    </w:p>
    <w:p>
      <w:pPr>
        <w:spacing w:line="240" w:lineRule="auto" w:before="6"/>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1339"/>
        <w:gridCol w:w="1196"/>
        <w:gridCol w:w="4592"/>
        <w:gridCol w:w="1440"/>
      </w:tblGrid>
      <w:tr>
        <w:trPr>
          <w:trHeight w:val="1147" w:hRule="exact"/>
        </w:trPr>
        <w:tc>
          <w:tcPr>
            <w:tcW w:w="133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10 </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内部控制自我评价报告</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 </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p>
          <w:p>
            <w:pPr>
              <w:pStyle w:val="TableParagraph"/>
              <w:spacing w:line="272" w:lineRule="exact" w:before="18"/>
              <w:ind w:left="103" w:right="-2" w:hanging="1"/>
              <w:jc w:val="left"/>
              <w:rPr>
                <w:rFonts w:ascii="宋体" w:hAnsi="宋体" w:cs="宋体" w:eastAsia="宋体" w:hint="default"/>
                <w:sz w:val="21"/>
                <w:szCs w:val="21"/>
              </w:rPr>
            </w:pPr>
            <w:r>
              <w:rPr>
                <w:rFonts w:ascii="宋体" w:hAnsi="宋体" w:cs="宋体" w:eastAsia="宋体" w:hint="default"/>
                <w:sz w:val="21"/>
                <w:szCs w:val="21"/>
              </w:rPr>
              <w:t>度募集资金存放和使用情况专项报告</w:t>
            </w:r>
            <w:r>
              <w:rPr>
                <w:rFonts w:ascii="宋体" w:hAnsi="宋体" w:cs="宋体" w:eastAsia="宋体" w:hint="default"/>
                <w:spacing w:val="-105"/>
                <w:sz w:val="21"/>
                <w:szCs w:val="21"/>
              </w:rPr>
              <w:t>》</w:t>
            </w:r>
            <w:r>
              <w:rPr>
                <w:rFonts w:ascii="宋体" w:hAnsi="宋体" w:cs="宋体" w:eastAsia="宋体" w:hint="default"/>
                <w:spacing w:val="-138"/>
                <w:sz w:val="21"/>
                <w:szCs w:val="21"/>
              </w:rPr>
              <w:t>、</w:t>
            </w:r>
            <w:r>
              <w:rPr>
                <w:rFonts w:ascii="宋体" w:hAnsi="宋体" w:cs="宋体" w:eastAsia="宋体" w:hint="default"/>
                <w:sz w:val="21"/>
                <w:szCs w:val="21"/>
              </w:rPr>
              <w:t>《关于续</w:t>
            </w:r>
            <w:r>
              <w:rPr>
                <w:rFonts w:ascii="宋体" w:hAnsi="宋体" w:cs="宋体" w:eastAsia="宋体" w:hint="default"/>
                <w:sz w:val="21"/>
                <w:szCs w:val="21"/>
              </w:rPr>
              <w:t> </w:t>
            </w:r>
            <w:r>
              <w:rPr>
                <w:rFonts w:ascii="宋体" w:hAnsi="宋体" w:cs="宋体" w:eastAsia="宋体" w:hint="default"/>
                <w:spacing w:val="8"/>
                <w:sz w:val="21"/>
                <w:szCs w:val="21"/>
              </w:rPr>
              <w:t>聘深圳</w:t>
            </w:r>
            <w:r>
              <w:rPr>
                <w:rFonts w:ascii="宋体" w:hAnsi="宋体" w:cs="宋体" w:eastAsia="宋体" w:hint="default"/>
                <w:spacing w:val="9"/>
                <w:sz w:val="21"/>
                <w:szCs w:val="21"/>
              </w:rPr>
              <w:t>市鹏</w:t>
            </w:r>
            <w:r>
              <w:rPr>
                <w:rFonts w:ascii="宋体" w:hAnsi="宋体" w:cs="宋体" w:eastAsia="宋体" w:hint="default"/>
                <w:spacing w:val="8"/>
                <w:sz w:val="21"/>
                <w:szCs w:val="21"/>
              </w:rPr>
              <w:t>城会计</w:t>
            </w:r>
            <w:r>
              <w:rPr>
                <w:rFonts w:ascii="宋体" w:hAnsi="宋体" w:cs="宋体" w:eastAsia="宋体" w:hint="default"/>
                <w:spacing w:val="9"/>
                <w:sz w:val="21"/>
                <w:szCs w:val="21"/>
              </w:rPr>
              <w:t>师事</w:t>
            </w:r>
            <w:r>
              <w:rPr>
                <w:rFonts w:ascii="宋体" w:hAnsi="宋体" w:cs="宋体" w:eastAsia="宋体" w:hint="default"/>
                <w:spacing w:val="8"/>
                <w:sz w:val="21"/>
                <w:szCs w:val="21"/>
              </w:rPr>
              <w:t>务所有</w:t>
            </w:r>
            <w:r>
              <w:rPr>
                <w:rFonts w:ascii="宋体" w:hAnsi="宋体" w:cs="宋体" w:eastAsia="宋体" w:hint="default"/>
                <w:spacing w:val="9"/>
                <w:sz w:val="21"/>
                <w:szCs w:val="21"/>
              </w:rPr>
              <w:t>限公</w:t>
            </w:r>
            <w:r>
              <w:rPr>
                <w:rFonts w:ascii="宋体" w:hAnsi="宋体" w:cs="宋体" w:eastAsia="宋体" w:hint="default"/>
                <w:spacing w:val="8"/>
                <w:sz w:val="21"/>
                <w:szCs w:val="21"/>
              </w:rPr>
              <w:t>司的议案</w:t>
            </w:r>
            <w:r>
              <w:rPr>
                <w:rFonts w:ascii="宋体" w:hAnsi="宋体" w:cs="宋体" w:eastAsia="宋体" w:hint="default"/>
                <w:spacing w:val="-96"/>
                <w:sz w:val="21"/>
                <w:szCs w:val="21"/>
              </w:rPr>
              <w:t>》</w:t>
            </w:r>
            <w:r>
              <w:rPr>
                <w:rFonts w:ascii="宋体" w:hAnsi="宋体" w:cs="宋体" w:eastAsia="宋体" w:hint="default"/>
                <w:sz w:val="21"/>
                <w:szCs w:val="21"/>
              </w:rPr>
              <w:t>、</w:t>
            </w:r>
          </w:p>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年度股东大会的议案》</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78" w:hRule="exact"/>
        </w:trPr>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二届三次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Times New Roman" w:hAnsi="Times New Roman" w:cs="Times New Roman" w:eastAsia="Times New Roman" w:hint="default"/>
                <w:sz w:val="21"/>
                <w:szCs w:val="21"/>
              </w:rPr>
            </w:pPr>
            <w:r>
              <w:rPr>
                <w:rFonts w:ascii="Times New Roman"/>
                <w:sz w:val="21"/>
              </w:rPr>
              <w:t>2011-03-21</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《关于延期召开</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年度股东大会的议案》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88"/>
              <w:jc w:val="righ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79" w:hRule="exact"/>
        </w:trPr>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二届四次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Times New Roman" w:hAnsi="Times New Roman" w:cs="Times New Roman" w:eastAsia="Times New Roman" w:hint="default"/>
                <w:sz w:val="21"/>
                <w:szCs w:val="21"/>
              </w:rPr>
            </w:pPr>
            <w:r>
              <w:rPr>
                <w:rFonts w:ascii="Times New Roman"/>
                <w:sz w:val="21"/>
              </w:rPr>
              <w:t>2011-04-25</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年第一季度报告全文及正文》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88"/>
              <w:jc w:val="righ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78" w:hRule="exact"/>
        </w:trPr>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二届五次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Times New Roman" w:hAnsi="Times New Roman" w:cs="Times New Roman" w:eastAsia="Times New Roman" w:hint="default"/>
                <w:sz w:val="21"/>
                <w:szCs w:val="21"/>
              </w:rPr>
            </w:pPr>
            <w:r>
              <w:rPr>
                <w:rFonts w:ascii="Times New Roman"/>
                <w:sz w:val="21"/>
              </w:rPr>
              <w:t>2011-08-19</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年半年度报告及其摘要的议案》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88"/>
              <w:jc w:val="righ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79" w:hRule="exact"/>
        </w:trPr>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二届六次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Times New Roman" w:hAnsi="Times New Roman" w:cs="Times New Roman" w:eastAsia="Times New Roman" w:hint="default"/>
                <w:sz w:val="21"/>
                <w:szCs w:val="21"/>
              </w:rPr>
            </w:pPr>
            <w:r>
              <w:rPr>
                <w:rFonts w:ascii="Times New Roman"/>
                <w:sz w:val="21"/>
              </w:rPr>
              <w:t>2011-10-24</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年第三季度报告全文及正文》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88"/>
              <w:jc w:val="right"/>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line="240" w:lineRule="auto" w:before="1"/>
        <w:rPr>
          <w:rFonts w:ascii="宋体" w:hAnsi="宋体" w:cs="宋体" w:eastAsia="宋体" w:hint="default"/>
          <w:sz w:val="25"/>
          <w:szCs w:val="25"/>
        </w:rPr>
      </w:pPr>
    </w:p>
    <w:p>
      <w:pPr>
        <w:pStyle w:val="BodyText"/>
        <w:spacing w:line="357" w:lineRule="auto" w:before="29"/>
        <w:ind w:left="677" w:right="260" w:hanging="460"/>
        <w:jc w:val="left"/>
      </w:pPr>
      <w:r>
        <w:rPr/>
        <w:t>（三）专业委员会运行情况</w:t>
      </w:r>
      <w:r>
        <w:rPr>
          <w:w w:val="100"/>
        </w:rPr>
        <w:t> </w:t>
      </w:r>
      <w:r>
        <w:rPr>
          <w:spacing w:val="-1"/>
        </w:rPr>
        <w:t>公司董事会下设审计委员会、薪酬与考核委员会、提名委员会、战略决策委员</w:t>
      </w:r>
    </w:p>
    <w:p>
      <w:pPr>
        <w:pStyle w:val="BodyText"/>
        <w:spacing w:line="357" w:lineRule="auto" w:before="34"/>
        <w:ind w:left="217" w:right="152"/>
        <w:jc w:val="left"/>
      </w:pPr>
      <w:r>
        <w:rPr/>
        <w:t>会等专门委员会。各专门委员会依据公司董事会所制定的各专门委员会工作细则规</w:t>
      </w:r>
      <w:r>
        <w:rPr>
          <w:w w:val="100"/>
        </w:rPr>
        <w:t> </w:t>
      </w:r>
      <w:r>
        <w:rPr>
          <w:spacing w:val="-4"/>
        </w:rPr>
        <w:t>定的职权范围运作，就专业性事项进行研究，提出意见及建议，供董事会决策参考。</w:t>
      </w:r>
    </w:p>
    <w:p>
      <w:pPr>
        <w:pStyle w:val="BodyText"/>
        <w:spacing w:line="345" w:lineRule="auto" w:before="34"/>
        <w:ind w:left="677" w:right="260"/>
        <w:jc w:val="left"/>
      </w:pPr>
      <w:r>
        <w:rPr/>
        <w:t>其中，审计委员会、薪酬与考核委员会的运行情况如下。</w:t>
      </w:r>
      <w:r>
        <w:rPr>
          <w:w w:val="100"/>
        </w:rPr>
        <w:t> </w:t>
      </w:r>
      <w:r>
        <w:rPr>
          <w:rFonts w:ascii="Times New Roman" w:hAnsi="Times New Roman" w:cs="Times New Roman" w:eastAsia="Times New Roman" w:hint="default"/>
        </w:rPr>
        <w:t>1</w:t>
      </w:r>
      <w:r>
        <w:rPr/>
        <w:t>．审计委员会履职情况</w:t>
      </w:r>
      <w:r>
        <w:rPr>
          <w:w w:val="100"/>
        </w:rPr>
        <w:t> </w:t>
      </w:r>
      <w:r>
        <w:rPr>
          <w:spacing w:val="-1"/>
        </w:rPr>
        <w:t>公司第一届审计委员会委员于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月届满，经公司</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10</w:t>
      </w:r>
      <w:r>
        <w:rPr>
          <w:spacing w:val="-1"/>
        </w:rPr>
        <w:t>日第二届</w:t>
      </w:r>
    </w:p>
    <w:p>
      <w:pPr>
        <w:pStyle w:val="BodyText"/>
        <w:spacing w:line="357" w:lineRule="auto" w:before="17"/>
        <w:ind w:left="217" w:right="302"/>
        <w:jc w:val="both"/>
      </w:pPr>
      <w:r>
        <w:rPr>
          <w:spacing w:val="-3"/>
        </w:rPr>
        <w:t>第一次董事会会议选举产生第二届审计委员会委员，任期三年。 </w:t>
      </w:r>
      <w:r>
        <w:rPr>
          <w:spacing w:val="-6"/>
        </w:rPr>
        <w:t>由董事朱厚佳、单</w:t>
      </w:r>
      <w:r>
        <w:rPr>
          <w:spacing w:val="-105"/>
        </w:rPr>
        <w:t> </w:t>
      </w:r>
      <w:r>
        <w:rPr>
          <w:spacing w:val="-105"/>
        </w:rPr>
      </w:r>
      <w:r>
        <w:rPr>
          <w:spacing w:val="-1"/>
        </w:rPr>
        <w:t>怀光、陈向军组成，独立董事朱厚佳先生担任审计委员会主任。主要负责内部审计</w:t>
      </w:r>
      <w:r>
        <w:rPr>
          <w:spacing w:val="-93"/>
        </w:rPr>
        <w:t> </w:t>
      </w:r>
      <w:r>
        <w:rPr>
          <w:spacing w:val="-93"/>
        </w:rPr>
      </w:r>
      <w:r>
        <w:rPr>
          <w:spacing w:val="-1"/>
        </w:rPr>
        <w:t>与外部审计之间进行沟通，并监督公司内部审计制度的实施，审查公司内部控制制</w:t>
      </w:r>
      <w:r>
        <w:rPr>
          <w:spacing w:val="-93"/>
        </w:rPr>
        <w:t> </w:t>
      </w:r>
      <w:r>
        <w:rPr>
          <w:spacing w:val="-93"/>
        </w:rPr>
      </w:r>
      <w:r>
        <w:rPr/>
        <w:t>度的执行情况，对重大关联交易进行审计，审核公司的财务信息及其披露政策。</w:t>
      </w:r>
    </w:p>
    <w:p>
      <w:pPr>
        <w:pStyle w:val="BodyText"/>
        <w:spacing w:line="336" w:lineRule="auto" w:before="34"/>
        <w:ind w:left="677" w:right="26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）本年度审计委员会召开会议情况</w:t>
      </w:r>
      <w:r>
        <w:rPr>
          <w:w w:val="100"/>
        </w:rPr>
        <w:t> </w:t>
      </w:r>
      <w:r>
        <w:rPr/>
        <w:t>报告期内，审计委员会共召开了</w:t>
      </w:r>
      <w:r>
        <w:rPr>
          <w:rFonts w:ascii="Times New Roman" w:hAnsi="Times New Roman" w:cs="Times New Roman" w:eastAsia="Times New Roman" w:hint="default"/>
        </w:rPr>
        <w:t>5</w:t>
      </w:r>
      <w:r>
        <w:rPr/>
        <w:t>次审计委员会会议，情况如下：</w:t>
      </w:r>
      <w:r>
        <w:rPr>
          <w:w w:val="100"/>
        </w:rPr>
        <w:t> </w:t>
      </w:r>
      <w:r>
        <w:rPr>
          <w:rFonts w:ascii="Times New Roman" w:hAnsi="Times New Roman" w:cs="Times New Roman" w:eastAsia="Times New Roman" w:hint="default"/>
          <w:spacing w:val="-7"/>
        </w:rPr>
        <w:t>1</w:t>
      </w:r>
      <w:r>
        <w:rPr>
          <w:spacing w:val="-7"/>
        </w:rPr>
        <w:t>）</w:t>
      </w:r>
      <w:r>
        <w:rPr>
          <w:rFonts w:ascii="Times New Roman" w:hAnsi="Times New Roman" w:cs="Times New Roman" w:eastAsia="Times New Roman" w:hint="default"/>
          <w:spacing w:val="-7"/>
        </w:rPr>
        <w:t>2011</w:t>
      </w:r>
      <w:r>
        <w:rPr>
          <w:spacing w:val="-7"/>
        </w:rPr>
        <w:t>年</w:t>
      </w:r>
      <w:r>
        <w:rPr>
          <w:rFonts w:ascii="Times New Roman" w:hAnsi="Times New Roman" w:cs="Times New Roman" w:eastAsia="Times New Roman" w:hint="default"/>
          <w:spacing w:val="-7"/>
        </w:rPr>
        <w:t>1</w:t>
      </w:r>
      <w:r>
        <w:rPr>
          <w:spacing w:val="-7"/>
        </w:rPr>
        <w:t>月</w:t>
      </w:r>
      <w:r>
        <w:rPr>
          <w:rFonts w:ascii="Times New Roman" w:hAnsi="Times New Roman" w:cs="Times New Roman" w:eastAsia="Times New Roman" w:hint="default"/>
          <w:spacing w:val="-7"/>
        </w:rPr>
        <w:t>15</w:t>
      </w:r>
      <w:r>
        <w:rPr>
          <w:spacing w:val="-7"/>
        </w:rPr>
        <w:t>日，召开第二届审计委员会第一次会议，审议通过了公司《</w:t>
      </w:r>
      <w:r>
        <w:rPr>
          <w:rFonts w:ascii="Times New Roman" w:hAnsi="Times New Roman" w:cs="Times New Roman" w:eastAsia="Times New Roman" w:hint="default"/>
          <w:spacing w:val="-7"/>
        </w:rPr>
        <w:t>2010</w:t>
      </w:r>
    </w:p>
    <w:p>
      <w:pPr>
        <w:pStyle w:val="BodyText"/>
        <w:spacing w:line="240" w:lineRule="auto" w:before="27"/>
        <w:ind w:left="217" w:right="0"/>
        <w:jc w:val="both"/>
      </w:pPr>
      <w:r>
        <w:rPr>
          <w:w w:val="100"/>
        </w:rPr>
        <w:t>年第</w:t>
      </w:r>
      <w:r>
        <w:rPr>
          <w:rFonts w:ascii="Times New Roman" w:hAnsi="Times New Roman" w:cs="Times New Roman" w:eastAsia="Times New Roman" w:hint="default"/>
          <w:w w:val="100"/>
        </w:rPr>
        <w:t>1</w:t>
      </w:r>
      <w:r>
        <w:rPr>
          <w:spacing w:val="-2"/>
          <w:w w:val="100"/>
        </w:rPr>
        <w:t>季度</w:t>
      </w:r>
      <w:r>
        <w:rPr>
          <w:w w:val="100"/>
        </w:rPr>
        <w:t>募集资</w:t>
      </w:r>
      <w:r>
        <w:rPr>
          <w:spacing w:val="-2"/>
          <w:w w:val="100"/>
        </w:rPr>
        <w:t>金的</w:t>
      </w:r>
      <w:r>
        <w:rPr>
          <w:w w:val="100"/>
        </w:rPr>
        <w:t>专项检</w:t>
      </w:r>
      <w:r>
        <w:rPr>
          <w:spacing w:val="-2"/>
          <w:w w:val="100"/>
        </w:rPr>
        <w:t>查报</w:t>
      </w:r>
      <w:r>
        <w:rPr>
          <w:w w:val="100"/>
        </w:rPr>
        <w:t>告</w:t>
      </w:r>
      <w:r>
        <w:rPr>
          <w:spacing w:val="-116"/>
          <w:w w:val="100"/>
        </w:rPr>
        <w:t>》、</w:t>
      </w:r>
      <w:r>
        <w:rPr>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2"/>
          <w:w w:val="100"/>
        </w:rPr>
        <w:t>0</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w w:val="100"/>
        </w:rPr>
        <w:t>0</w:t>
      </w:r>
      <w:r>
        <w:rPr>
          <w:w w:val="100"/>
        </w:rPr>
        <w:t>年第</w:t>
      </w:r>
      <w:r>
        <w:rPr>
          <w:rFonts w:ascii="Times New Roman" w:hAnsi="Times New Roman" w:cs="Times New Roman" w:eastAsia="Times New Roman" w:hint="default"/>
          <w:w w:val="100"/>
        </w:rPr>
        <w:t>1</w:t>
      </w:r>
      <w:r>
        <w:rPr>
          <w:spacing w:val="-2"/>
          <w:w w:val="100"/>
        </w:rPr>
        <w:t>季度</w:t>
      </w:r>
      <w:r>
        <w:rPr>
          <w:w w:val="100"/>
        </w:rPr>
        <w:t>货币资</w:t>
      </w:r>
      <w:r>
        <w:rPr>
          <w:spacing w:val="-2"/>
          <w:w w:val="100"/>
        </w:rPr>
        <w:t>金内</w:t>
      </w:r>
      <w:r>
        <w:rPr>
          <w:w w:val="100"/>
        </w:rPr>
        <w:t>控的专</w:t>
      </w:r>
      <w:r>
        <w:rPr>
          <w:spacing w:val="-2"/>
          <w:w w:val="100"/>
        </w:rPr>
        <w:t>项检</w:t>
      </w:r>
      <w:r>
        <w:rPr>
          <w:w w:val="100"/>
        </w:rPr>
        <w:t>查</w:t>
      </w:r>
      <w:r>
        <w:rPr>
          <w:spacing w:val="-114"/>
          <w:w w:val="100"/>
        </w:rPr>
        <w:t>》</w:t>
      </w:r>
      <w:r>
        <w:rPr>
          <w:w w:val="100"/>
        </w:rPr>
        <w:t>、</w:t>
      </w:r>
    </w:p>
    <w:p>
      <w:pPr>
        <w:pStyle w:val="BodyText"/>
        <w:spacing w:line="338" w:lineRule="auto" w:before="129"/>
        <w:ind w:left="217" w:right="307"/>
        <w:jc w:val="both"/>
      </w:pPr>
      <w:r>
        <w:rPr>
          <w:w w:val="100"/>
        </w:rPr>
        <w:t>《控股</w:t>
      </w:r>
      <w:r>
        <w:rPr>
          <w:spacing w:val="-2"/>
          <w:w w:val="100"/>
        </w:rPr>
        <w:t>股东</w:t>
      </w:r>
      <w:r>
        <w:rPr>
          <w:w w:val="100"/>
        </w:rPr>
        <w:t>及其他</w:t>
      </w:r>
      <w:r>
        <w:rPr>
          <w:spacing w:val="-2"/>
          <w:w w:val="100"/>
        </w:rPr>
        <w:t>关联</w:t>
      </w:r>
      <w:r>
        <w:rPr>
          <w:w w:val="100"/>
        </w:rPr>
        <w:t>方占用</w:t>
      </w:r>
      <w:r>
        <w:rPr>
          <w:spacing w:val="-2"/>
          <w:w w:val="100"/>
        </w:rPr>
        <w:t>资金</w:t>
      </w:r>
      <w:r>
        <w:rPr>
          <w:w w:val="100"/>
        </w:rPr>
        <w:t>情况、</w:t>
      </w:r>
      <w:r>
        <w:rPr>
          <w:spacing w:val="-2"/>
          <w:w w:val="100"/>
        </w:rPr>
        <w:t>公司</w:t>
      </w:r>
      <w:r>
        <w:rPr>
          <w:w w:val="100"/>
        </w:rPr>
        <w:t>对外担</w:t>
      </w:r>
      <w:r>
        <w:rPr>
          <w:spacing w:val="-2"/>
          <w:w w:val="100"/>
        </w:rPr>
        <w:t>保事</w:t>
      </w:r>
      <w:r>
        <w:rPr>
          <w:w w:val="100"/>
        </w:rPr>
        <w:t>项的专</w:t>
      </w:r>
      <w:r>
        <w:rPr>
          <w:spacing w:val="-2"/>
          <w:w w:val="100"/>
        </w:rPr>
        <w:t>项检</w:t>
      </w:r>
      <w:r>
        <w:rPr>
          <w:w w:val="100"/>
        </w:rPr>
        <w:t>查</w:t>
      </w:r>
      <w:r>
        <w:rPr>
          <w:spacing w:val="-116"/>
          <w:w w:val="100"/>
        </w:rPr>
        <w:t>》、</w:t>
      </w:r>
      <w:r>
        <w:rPr>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2"/>
          <w:w w:val="100"/>
        </w:rPr>
        <w:t>0</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w w:val="100"/>
        </w:rPr>
        <w:t>0</w:t>
      </w:r>
      <w:r>
        <w:rPr>
          <w:w w:val="100"/>
        </w:rPr>
        <w:t>年 度财务</w:t>
      </w:r>
      <w:r>
        <w:rPr>
          <w:spacing w:val="-2"/>
          <w:w w:val="100"/>
        </w:rPr>
        <w:t>报表</w:t>
      </w:r>
      <w:r>
        <w:rPr>
          <w:w w:val="100"/>
        </w:rPr>
        <w:t>》及《</w:t>
      </w:r>
      <w:r>
        <w:rPr>
          <w:rFonts w:ascii="Times New Roman" w:hAnsi="Times New Roman" w:cs="Times New Roman" w:eastAsia="Times New Roman" w:hint="default"/>
          <w:w w:val="100"/>
        </w:rPr>
        <w:t>2</w:t>
      </w:r>
      <w:r>
        <w:rPr>
          <w:rFonts w:ascii="Times New Roman" w:hAnsi="Times New Roman" w:cs="Times New Roman" w:eastAsia="Times New Roman" w:hint="default"/>
          <w:spacing w:val="-2"/>
          <w:w w:val="100"/>
        </w:rPr>
        <w:t>0</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w w:val="100"/>
        </w:rPr>
        <w:t>0</w:t>
      </w:r>
      <w:r>
        <w:rPr>
          <w:w w:val="100"/>
        </w:rPr>
        <w:t>年度内</w:t>
      </w:r>
      <w:r>
        <w:rPr>
          <w:spacing w:val="-2"/>
          <w:w w:val="100"/>
        </w:rPr>
        <w:t>部审</w:t>
      </w:r>
      <w:r>
        <w:rPr>
          <w:w w:val="100"/>
        </w:rPr>
        <w:t>计工作</w:t>
      </w:r>
      <w:r>
        <w:rPr>
          <w:spacing w:val="-2"/>
          <w:w w:val="100"/>
        </w:rPr>
        <w:t>总结</w:t>
      </w:r>
      <w:r>
        <w:rPr>
          <w:spacing w:val="-116"/>
          <w:w w:val="100"/>
        </w:rPr>
        <w:t>》</w:t>
      </w:r>
      <w:r>
        <w:rPr>
          <w:w w:val="100"/>
        </w:rPr>
        <w:t>。</w:t>
      </w:r>
    </w:p>
    <w:p>
      <w:pPr>
        <w:pStyle w:val="BodyText"/>
        <w:spacing w:line="336" w:lineRule="auto" w:before="24"/>
        <w:ind w:left="217" w:right="301" w:firstLine="459"/>
        <w:jc w:val="both"/>
      </w:pPr>
      <w:r>
        <w:rPr>
          <w:rFonts w:ascii="Times New Roman" w:hAnsi="Times New Roman" w:cs="Times New Roman" w:eastAsia="Times New Roman" w:hint="default"/>
          <w:spacing w:val="-7"/>
        </w:rPr>
        <w:t>2</w:t>
      </w:r>
      <w:r>
        <w:rPr>
          <w:spacing w:val="-7"/>
        </w:rPr>
        <w:t>）</w:t>
      </w:r>
      <w:r>
        <w:rPr>
          <w:rFonts w:ascii="Times New Roman" w:hAnsi="Times New Roman" w:cs="Times New Roman" w:eastAsia="Times New Roman" w:hint="default"/>
          <w:spacing w:val="-7"/>
        </w:rPr>
        <w:t>2011</w:t>
      </w:r>
      <w:r>
        <w:rPr>
          <w:spacing w:val="-7"/>
        </w:rPr>
        <w:t>年</w:t>
      </w:r>
      <w:r>
        <w:rPr>
          <w:rFonts w:ascii="Times New Roman" w:hAnsi="Times New Roman" w:cs="Times New Roman" w:eastAsia="Times New Roman" w:hint="default"/>
          <w:spacing w:val="-7"/>
        </w:rPr>
        <w:t>2</w:t>
      </w:r>
      <w:r>
        <w:rPr>
          <w:spacing w:val="-7"/>
        </w:rPr>
        <w:t>月</w:t>
      </w:r>
      <w:r>
        <w:rPr>
          <w:rFonts w:ascii="Times New Roman" w:hAnsi="Times New Roman" w:cs="Times New Roman" w:eastAsia="Times New Roman" w:hint="default"/>
          <w:spacing w:val="-7"/>
        </w:rPr>
        <w:t>25</w:t>
      </w:r>
      <w:r>
        <w:rPr>
          <w:spacing w:val="-7"/>
        </w:rPr>
        <w:t>日，召开第二届审计委员会第二次会议，审议通过了公司《</w:t>
      </w:r>
      <w:r>
        <w:rPr>
          <w:rFonts w:ascii="Times New Roman" w:hAnsi="Times New Roman" w:cs="Times New Roman" w:eastAsia="Times New Roman" w:hint="default"/>
          <w:spacing w:val="-7"/>
        </w:rPr>
        <w:t>2010</w:t>
      </w:r>
      <w:r>
        <w:rPr>
          <w:rFonts w:ascii="Times New Roman" w:hAnsi="Times New Roman" w:cs="Times New Roman" w:eastAsia="Times New Roman" w:hint="default"/>
          <w:w w:val="100"/>
        </w:rPr>
        <w:t> </w:t>
      </w:r>
      <w:r>
        <w:rPr>
          <w:spacing w:val="-13"/>
          <w:w w:val="100"/>
        </w:rPr>
        <w:t>年度内部控制自我评估报告》、《</w:t>
      </w:r>
      <w:r>
        <w:rPr>
          <w:rFonts w:ascii="Times New Roman" w:hAnsi="Times New Roman" w:cs="Times New Roman" w:eastAsia="Times New Roman" w:hint="default"/>
          <w:spacing w:val="-13"/>
          <w:w w:val="100"/>
        </w:rPr>
        <w:t>2010</w:t>
      </w:r>
      <w:r>
        <w:rPr>
          <w:spacing w:val="-13"/>
          <w:w w:val="100"/>
        </w:rPr>
        <w:t>年度审计报告》、《关于续聘鹏城会计师事务所</w:t>
      </w:r>
      <w:r>
        <w:rPr>
          <w:spacing w:val="-90"/>
          <w:w w:val="100"/>
        </w:rPr>
        <w:t> </w:t>
      </w:r>
      <w:r>
        <w:rPr>
          <w:spacing w:val="-90"/>
          <w:w w:val="100"/>
        </w:rPr>
      </w:r>
      <w:r>
        <w:rPr>
          <w:spacing w:val="-9"/>
          <w:w w:val="100"/>
        </w:rPr>
        <w:t>为</w:t>
      </w:r>
      <w:r>
        <w:rPr>
          <w:rFonts w:ascii="Times New Roman" w:hAnsi="Times New Roman" w:cs="Times New Roman" w:eastAsia="Times New Roman" w:hint="default"/>
          <w:spacing w:val="-9"/>
          <w:w w:val="100"/>
        </w:rPr>
        <w:t>2011</w:t>
      </w:r>
      <w:r>
        <w:rPr>
          <w:spacing w:val="-9"/>
          <w:w w:val="100"/>
        </w:rPr>
        <w:t>年度审计机构的议案》。</w:t>
      </w:r>
    </w:p>
    <w:p>
      <w:pPr>
        <w:pStyle w:val="BodyText"/>
        <w:spacing w:line="338" w:lineRule="auto" w:before="27"/>
        <w:ind w:left="217" w:right="295" w:firstLine="459"/>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日，召开第二届审计委员会第三次会议，审议通过了《</w:t>
      </w:r>
      <w:r>
        <w:rPr>
          <w:rFonts w:ascii="Times New Roman" w:hAnsi="Times New Roman" w:cs="Times New Roman" w:eastAsia="Times New Roman" w:hint="default"/>
          <w:spacing w:val="-2"/>
        </w:rPr>
        <w:t>2011</w:t>
      </w:r>
      <w:r>
        <w:rPr>
          <w:spacing w:val="-2"/>
        </w:rPr>
        <w:t>年</w:t>
      </w:r>
      <w:r>
        <w:rPr>
          <w:w w:val="100"/>
        </w:rPr>
        <w:t> </w:t>
      </w:r>
      <w:r>
        <w:rPr>
          <w:spacing w:val="-17"/>
          <w:w w:val="100"/>
        </w:rPr>
        <w:t>第</w:t>
      </w:r>
      <w:r>
        <w:rPr>
          <w:rFonts w:ascii="Times New Roman" w:hAnsi="Times New Roman" w:cs="Times New Roman" w:eastAsia="Times New Roman" w:hint="default"/>
          <w:spacing w:val="-17"/>
          <w:w w:val="100"/>
        </w:rPr>
        <w:t>1</w:t>
      </w:r>
      <w:r>
        <w:rPr>
          <w:spacing w:val="-17"/>
          <w:w w:val="100"/>
        </w:rPr>
        <w:t>季度募集资金的专项检查报告》、《</w:t>
      </w:r>
      <w:r>
        <w:rPr>
          <w:rFonts w:ascii="Times New Roman" w:hAnsi="Times New Roman" w:cs="Times New Roman" w:eastAsia="Times New Roman" w:hint="default"/>
          <w:spacing w:val="-17"/>
          <w:w w:val="100"/>
        </w:rPr>
        <w:t>2011</w:t>
      </w:r>
      <w:r>
        <w:rPr>
          <w:spacing w:val="-17"/>
          <w:w w:val="100"/>
        </w:rPr>
        <w:t>年第</w:t>
      </w:r>
      <w:r>
        <w:rPr>
          <w:rFonts w:ascii="Times New Roman" w:hAnsi="Times New Roman" w:cs="Times New Roman" w:eastAsia="Times New Roman" w:hint="default"/>
          <w:spacing w:val="-17"/>
          <w:w w:val="100"/>
        </w:rPr>
        <w:t>1</w:t>
      </w:r>
      <w:r>
        <w:rPr>
          <w:spacing w:val="-17"/>
          <w:w w:val="100"/>
        </w:rPr>
        <w:t>季度货币资金内控的专项检查》、《控</w:t>
      </w:r>
      <w:r>
        <w:rPr>
          <w:spacing w:val="1"/>
          <w:w w:val="100"/>
        </w:rPr>
        <w:t> </w:t>
      </w:r>
      <w:r>
        <w:rPr>
          <w:spacing w:val="-7"/>
          <w:w w:val="100"/>
        </w:rPr>
        <w:t>股股东及其他关联方占用资金情况、公司对外担保事项的审计报告》、《</w:t>
      </w:r>
      <w:r>
        <w:rPr>
          <w:rFonts w:ascii="Times New Roman" w:hAnsi="Times New Roman" w:cs="Times New Roman" w:eastAsia="Times New Roman" w:hint="default"/>
          <w:spacing w:val="-7"/>
          <w:w w:val="100"/>
        </w:rPr>
        <w:t>2011</w:t>
      </w:r>
      <w:r>
        <w:rPr>
          <w:spacing w:val="-7"/>
          <w:w w:val="100"/>
        </w:rPr>
        <w:t>年第</w:t>
      </w:r>
      <w:r>
        <w:rPr>
          <w:rFonts w:ascii="Times New Roman" w:hAnsi="Times New Roman" w:cs="Times New Roman" w:eastAsia="Times New Roman" w:hint="default"/>
          <w:spacing w:val="-7"/>
          <w:w w:val="100"/>
        </w:rPr>
        <w:t>1</w:t>
      </w:r>
      <w:r>
        <w:rPr>
          <w:rFonts w:ascii="Times New Roman" w:hAnsi="Times New Roman" w:cs="Times New Roman" w:eastAsia="Times New Roman" w:hint="default"/>
          <w:spacing w:val="-53"/>
          <w:w w:val="100"/>
        </w:rPr>
        <w:t> </w:t>
      </w:r>
      <w:r>
        <w:rPr>
          <w:spacing w:val="-5"/>
          <w:w w:val="100"/>
        </w:rPr>
        <w:t>季度财务报表》及《内审部</w:t>
      </w:r>
      <w:r>
        <w:rPr>
          <w:rFonts w:ascii="Times New Roman" w:hAnsi="Times New Roman" w:cs="Times New Roman" w:eastAsia="Times New Roman" w:hint="default"/>
          <w:spacing w:val="-5"/>
          <w:w w:val="100"/>
        </w:rPr>
        <w:t>2011</w:t>
      </w:r>
      <w:r>
        <w:rPr>
          <w:spacing w:val="-5"/>
          <w:w w:val="100"/>
        </w:rPr>
        <w:t>年第</w:t>
      </w:r>
      <w:r>
        <w:rPr>
          <w:rFonts w:ascii="Times New Roman" w:hAnsi="Times New Roman" w:cs="Times New Roman" w:eastAsia="Times New Roman" w:hint="default"/>
          <w:spacing w:val="-5"/>
          <w:w w:val="100"/>
        </w:rPr>
        <w:t>1</w:t>
      </w:r>
      <w:r>
        <w:rPr>
          <w:spacing w:val="-5"/>
          <w:w w:val="100"/>
        </w:rPr>
        <w:t>季度工作总结及第</w:t>
      </w:r>
      <w:r>
        <w:rPr>
          <w:rFonts w:ascii="Times New Roman" w:hAnsi="Times New Roman" w:cs="Times New Roman" w:eastAsia="Times New Roman" w:hint="default"/>
          <w:spacing w:val="-5"/>
          <w:w w:val="100"/>
        </w:rPr>
        <w:t>2</w:t>
      </w:r>
      <w:r>
        <w:rPr>
          <w:spacing w:val="-5"/>
          <w:w w:val="100"/>
        </w:rPr>
        <w:t>季度工作计划》。</w:t>
      </w:r>
    </w:p>
    <w:p>
      <w:pPr>
        <w:spacing w:after="0" w:line="338" w:lineRule="auto"/>
        <w:jc w:val="left"/>
        <w:sectPr>
          <w:pgSz w:w="11910" w:h="16840"/>
          <w:pgMar w:header="877" w:footer="982" w:top="1100" w:bottom="1180" w:left="1580" w:right="1520"/>
        </w:sectPr>
      </w:pPr>
    </w:p>
    <w:p>
      <w:pPr>
        <w:spacing w:line="240" w:lineRule="auto" w:before="4"/>
        <w:rPr>
          <w:rFonts w:ascii="宋体" w:hAnsi="宋体" w:cs="宋体" w:eastAsia="宋体" w:hint="default"/>
          <w:sz w:val="19"/>
          <w:szCs w:val="19"/>
        </w:rPr>
      </w:pPr>
    </w:p>
    <w:p>
      <w:pPr>
        <w:pStyle w:val="BodyText"/>
        <w:spacing w:line="338" w:lineRule="auto" w:before="29"/>
        <w:ind w:right="215" w:firstLine="459"/>
        <w:jc w:val="left"/>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16</w:t>
      </w:r>
      <w:r>
        <w:rPr>
          <w:spacing w:val="-2"/>
        </w:rPr>
        <w:t>日，召开第二届审计委员会第四次会议，审议通过了《</w:t>
      </w:r>
      <w:r>
        <w:rPr>
          <w:rFonts w:ascii="Times New Roman" w:hAnsi="Times New Roman" w:cs="Times New Roman" w:eastAsia="Times New Roman" w:hint="default"/>
          <w:spacing w:val="-2"/>
        </w:rPr>
        <w:t>2011</w:t>
      </w:r>
      <w:r>
        <w:rPr>
          <w:spacing w:val="-2"/>
        </w:rPr>
        <w:t>年</w:t>
      </w:r>
      <w:r>
        <w:rPr>
          <w:w w:val="100"/>
        </w:rPr>
        <w:t> </w:t>
      </w:r>
      <w:r>
        <w:rPr>
          <w:spacing w:val="-17"/>
          <w:w w:val="100"/>
        </w:rPr>
        <w:t>第</w:t>
      </w:r>
      <w:r>
        <w:rPr>
          <w:rFonts w:ascii="Times New Roman" w:hAnsi="Times New Roman" w:cs="Times New Roman" w:eastAsia="Times New Roman" w:hint="default"/>
          <w:spacing w:val="-17"/>
          <w:w w:val="100"/>
        </w:rPr>
        <w:t>2</w:t>
      </w:r>
      <w:r>
        <w:rPr>
          <w:spacing w:val="-17"/>
          <w:w w:val="100"/>
        </w:rPr>
        <w:t>季度募集资金的专项检查报告》、《</w:t>
      </w:r>
      <w:r>
        <w:rPr>
          <w:rFonts w:ascii="Times New Roman" w:hAnsi="Times New Roman" w:cs="Times New Roman" w:eastAsia="Times New Roman" w:hint="default"/>
          <w:spacing w:val="-17"/>
          <w:w w:val="100"/>
        </w:rPr>
        <w:t>2011</w:t>
      </w:r>
      <w:r>
        <w:rPr>
          <w:spacing w:val="-17"/>
          <w:w w:val="100"/>
        </w:rPr>
        <w:t>年第</w:t>
      </w:r>
      <w:r>
        <w:rPr>
          <w:rFonts w:ascii="Times New Roman" w:hAnsi="Times New Roman" w:cs="Times New Roman" w:eastAsia="Times New Roman" w:hint="default"/>
          <w:spacing w:val="-17"/>
          <w:w w:val="100"/>
        </w:rPr>
        <w:t>2</w:t>
      </w:r>
      <w:r>
        <w:rPr>
          <w:spacing w:val="-17"/>
          <w:w w:val="100"/>
        </w:rPr>
        <w:t>季度货币资金内控的专项检查》、《控</w:t>
      </w:r>
      <w:r>
        <w:rPr>
          <w:spacing w:val="1"/>
          <w:w w:val="100"/>
        </w:rPr>
        <w:t> </w:t>
      </w:r>
      <w:r>
        <w:rPr>
          <w:spacing w:val="-7"/>
          <w:w w:val="100"/>
        </w:rPr>
        <w:t>股股东及其他关联方占用资金情况、公司对外担保事项的审计报告》、《</w:t>
      </w:r>
      <w:r>
        <w:rPr>
          <w:rFonts w:ascii="Times New Roman" w:hAnsi="Times New Roman" w:cs="Times New Roman" w:eastAsia="Times New Roman" w:hint="default"/>
          <w:spacing w:val="-7"/>
          <w:w w:val="100"/>
        </w:rPr>
        <w:t>2011</w:t>
      </w:r>
      <w:r>
        <w:rPr>
          <w:spacing w:val="-7"/>
          <w:w w:val="100"/>
        </w:rPr>
        <w:t>年第</w:t>
      </w:r>
      <w:r>
        <w:rPr>
          <w:rFonts w:ascii="Times New Roman" w:hAnsi="Times New Roman" w:cs="Times New Roman" w:eastAsia="Times New Roman" w:hint="default"/>
          <w:spacing w:val="-7"/>
          <w:w w:val="100"/>
        </w:rPr>
        <w:t>2</w:t>
      </w:r>
      <w:r>
        <w:rPr>
          <w:rFonts w:ascii="Times New Roman" w:hAnsi="Times New Roman" w:cs="Times New Roman" w:eastAsia="Times New Roman" w:hint="default"/>
          <w:spacing w:val="-53"/>
          <w:w w:val="100"/>
        </w:rPr>
        <w:t> </w:t>
      </w:r>
      <w:r>
        <w:rPr>
          <w:spacing w:val="-5"/>
          <w:w w:val="100"/>
        </w:rPr>
        <w:t>季度财务报表》及《内审部</w:t>
      </w:r>
      <w:r>
        <w:rPr>
          <w:rFonts w:ascii="Times New Roman" w:hAnsi="Times New Roman" w:cs="Times New Roman" w:eastAsia="Times New Roman" w:hint="default"/>
          <w:spacing w:val="-5"/>
          <w:w w:val="100"/>
        </w:rPr>
        <w:t>2011</w:t>
      </w:r>
      <w:r>
        <w:rPr>
          <w:spacing w:val="-5"/>
          <w:w w:val="100"/>
        </w:rPr>
        <w:t>年第</w:t>
      </w:r>
      <w:r>
        <w:rPr>
          <w:rFonts w:ascii="Times New Roman" w:hAnsi="Times New Roman" w:cs="Times New Roman" w:eastAsia="Times New Roman" w:hint="default"/>
          <w:spacing w:val="-5"/>
          <w:w w:val="100"/>
        </w:rPr>
        <w:t>2</w:t>
      </w:r>
      <w:r>
        <w:rPr>
          <w:spacing w:val="-5"/>
          <w:w w:val="100"/>
        </w:rPr>
        <w:t>季度工作总结及第</w:t>
      </w:r>
      <w:r>
        <w:rPr>
          <w:rFonts w:ascii="Times New Roman" w:hAnsi="Times New Roman" w:cs="Times New Roman" w:eastAsia="Times New Roman" w:hint="default"/>
          <w:spacing w:val="-5"/>
          <w:w w:val="100"/>
        </w:rPr>
        <w:t>3</w:t>
      </w:r>
      <w:r>
        <w:rPr>
          <w:spacing w:val="-5"/>
          <w:w w:val="100"/>
        </w:rPr>
        <w:t>季度工作计划》。</w:t>
      </w:r>
    </w:p>
    <w:p>
      <w:pPr>
        <w:pStyle w:val="BodyText"/>
        <w:spacing w:line="240" w:lineRule="auto" w:before="23"/>
        <w:ind w:left="597" w:right="186"/>
        <w:jc w:val="left"/>
        <w:rPr>
          <w:rFonts w:ascii="Times New Roman" w:hAnsi="Times New Roman" w:cs="Times New Roman" w:eastAsia="Times New Roman" w:hint="default"/>
        </w:rPr>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日，召开第二届审计委员会第五次会议，审议通过了《</w:t>
      </w:r>
      <w:r>
        <w:rPr>
          <w:rFonts w:ascii="Times New Roman" w:hAnsi="Times New Roman" w:cs="Times New Roman" w:eastAsia="Times New Roman" w:hint="default"/>
        </w:rPr>
        <w:t>2011</w:t>
      </w:r>
    </w:p>
    <w:p>
      <w:pPr>
        <w:pStyle w:val="BodyText"/>
        <w:spacing w:line="240" w:lineRule="auto" w:before="129"/>
        <w:ind w:right="0"/>
        <w:jc w:val="left"/>
      </w:pPr>
      <w:r>
        <w:rPr>
          <w:w w:val="100"/>
        </w:rPr>
        <w:t>年第</w:t>
      </w:r>
      <w:r>
        <w:rPr>
          <w:rFonts w:ascii="Times New Roman" w:hAnsi="Times New Roman" w:cs="Times New Roman" w:eastAsia="Times New Roman" w:hint="default"/>
          <w:w w:val="100"/>
        </w:rPr>
        <w:t>3</w:t>
      </w:r>
      <w:r>
        <w:rPr>
          <w:spacing w:val="-2"/>
          <w:w w:val="100"/>
        </w:rPr>
        <w:t>季度</w:t>
      </w:r>
      <w:r>
        <w:rPr>
          <w:w w:val="100"/>
        </w:rPr>
        <w:t>募集资</w:t>
      </w:r>
      <w:r>
        <w:rPr>
          <w:spacing w:val="-2"/>
          <w:w w:val="100"/>
        </w:rPr>
        <w:t>金的</w:t>
      </w:r>
      <w:r>
        <w:rPr>
          <w:w w:val="100"/>
        </w:rPr>
        <w:t>专项检</w:t>
      </w:r>
      <w:r>
        <w:rPr>
          <w:spacing w:val="-2"/>
          <w:w w:val="100"/>
        </w:rPr>
        <w:t>查报</w:t>
      </w:r>
      <w:r>
        <w:rPr>
          <w:w w:val="100"/>
        </w:rPr>
        <w:t>告</w:t>
      </w:r>
      <w:r>
        <w:rPr>
          <w:spacing w:val="-116"/>
          <w:w w:val="100"/>
        </w:rPr>
        <w:t>》、</w:t>
      </w:r>
      <w:r>
        <w:rPr>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2"/>
          <w:w w:val="100"/>
        </w:rPr>
        <w:t>0</w:t>
      </w:r>
      <w:r>
        <w:rPr>
          <w:rFonts w:ascii="Times New Roman" w:hAnsi="Times New Roman" w:cs="Times New Roman" w:eastAsia="Times New Roman" w:hint="default"/>
          <w:spacing w:val="-9"/>
          <w:w w:val="100"/>
        </w:rPr>
        <w:t>1</w:t>
      </w:r>
      <w:r>
        <w:rPr>
          <w:rFonts w:ascii="Times New Roman" w:hAnsi="Times New Roman" w:cs="Times New Roman" w:eastAsia="Times New Roman" w:hint="default"/>
          <w:spacing w:val="-2"/>
          <w:w w:val="100"/>
        </w:rPr>
        <w:t>1</w:t>
      </w:r>
      <w:r>
        <w:rPr>
          <w:w w:val="100"/>
        </w:rPr>
        <w:t>年第</w:t>
      </w:r>
      <w:r>
        <w:rPr>
          <w:rFonts w:ascii="Times New Roman" w:hAnsi="Times New Roman" w:cs="Times New Roman" w:eastAsia="Times New Roman" w:hint="default"/>
          <w:w w:val="100"/>
        </w:rPr>
        <w:t>3</w:t>
      </w:r>
      <w:r>
        <w:rPr>
          <w:spacing w:val="-2"/>
          <w:w w:val="100"/>
        </w:rPr>
        <w:t>季度</w:t>
      </w:r>
      <w:r>
        <w:rPr>
          <w:w w:val="100"/>
        </w:rPr>
        <w:t>货币资</w:t>
      </w:r>
      <w:r>
        <w:rPr>
          <w:spacing w:val="-2"/>
          <w:w w:val="100"/>
        </w:rPr>
        <w:t>金内</w:t>
      </w:r>
      <w:r>
        <w:rPr>
          <w:w w:val="100"/>
        </w:rPr>
        <w:t>控的专</w:t>
      </w:r>
      <w:r>
        <w:rPr>
          <w:spacing w:val="-2"/>
          <w:w w:val="100"/>
        </w:rPr>
        <w:t>项检</w:t>
      </w:r>
      <w:r>
        <w:rPr>
          <w:w w:val="100"/>
        </w:rPr>
        <w:t>查</w:t>
      </w:r>
      <w:r>
        <w:rPr>
          <w:spacing w:val="-114"/>
          <w:w w:val="100"/>
        </w:rPr>
        <w:t>》</w:t>
      </w:r>
      <w:r>
        <w:rPr>
          <w:w w:val="100"/>
        </w:rPr>
        <w:t>、</w:t>
      </w:r>
    </w:p>
    <w:p>
      <w:pPr>
        <w:pStyle w:val="BodyText"/>
        <w:spacing w:line="338" w:lineRule="auto" w:before="129"/>
        <w:ind w:right="231"/>
        <w:jc w:val="left"/>
      </w:pPr>
      <w:r>
        <w:rPr>
          <w:w w:val="100"/>
        </w:rPr>
        <w:t>《控股</w:t>
      </w:r>
      <w:r>
        <w:rPr>
          <w:spacing w:val="-2"/>
          <w:w w:val="100"/>
        </w:rPr>
        <w:t>股东</w:t>
      </w:r>
      <w:r>
        <w:rPr>
          <w:w w:val="100"/>
        </w:rPr>
        <w:t>及其他</w:t>
      </w:r>
      <w:r>
        <w:rPr>
          <w:spacing w:val="-2"/>
          <w:w w:val="100"/>
        </w:rPr>
        <w:t>关联</w:t>
      </w:r>
      <w:r>
        <w:rPr>
          <w:w w:val="100"/>
        </w:rPr>
        <w:t>方占用</w:t>
      </w:r>
      <w:r>
        <w:rPr>
          <w:spacing w:val="-2"/>
          <w:w w:val="100"/>
        </w:rPr>
        <w:t>资金</w:t>
      </w:r>
      <w:r>
        <w:rPr>
          <w:w w:val="100"/>
        </w:rPr>
        <w:t>情况、</w:t>
      </w:r>
      <w:r>
        <w:rPr>
          <w:spacing w:val="-2"/>
          <w:w w:val="100"/>
        </w:rPr>
        <w:t>公司</w:t>
      </w:r>
      <w:r>
        <w:rPr>
          <w:w w:val="100"/>
        </w:rPr>
        <w:t>对外担</w:t>
      </w:r>
      <w:r>
        <w:rPr>
          <w:spacing w:val="-2"/>
          <w:w w:val="100"/>
        </w:rPr>
        <w:t>保事</w:t>
      </w:r>
      <w:r>
        <w:rPr>
          <w:w w:val="100"/>
        </w:rPr>
        <w:t>项的审</w:t>
      </w:r>
      <w:r>
        <w:rPr>
          <w:spacing w:val="-2"/>
          <w:w w:val="100"/>
        </w:rPr>
        <w:t>计报</w:t>
      </w:r>
      <w:r>
        <w:rPr>
          <w:w w:val="100"/>
        </w:rPr>
        <w:t>告</w:t>
      </w:r>
      <w:r>
        <w:rPr>
          <w:spacing w:val="-116"/>
          <w:w w:val="100"/>
        </w:rPr>
        <w:t>》、</w:t>
      </w:r>
      <w:r>
        <w:rPr>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2"/>
          <w:w w:val="100"/>
        </w:rPr>
        <w:t>0</w:t>
      </w:r>
      <w:r>
        <w:rPr>
          <w:rFonts w:ascii="Times New Roman" w:hAnsi="Times New Roman" w:cs="Times New Roman" w:eastAsia="Times New Roman" w:hint="default"/>
          <w:spacing w:val="-9"/>
          <w:w w:val="100"/>
        </w:rPr>
        <w:t>1</w:t>
      </w:r>
      <w:r>
        <w:rPr>
          <w:rFonts w:ascii="Times New Roman" w:hAnsi="Times New Roman" w:cs="Times New Roman" w:eastAsia="Times New Roman" w:hint="default"/>
          <w:spacing w:val="-2"/>
          <w:w w:val="100"/>
        </w:rPr>
        <w:t>1</w:t>
      </w:r>
      <w:r>
        <w:rPr>
          <w:w w:val="100"/>
        </w:rPr>
        <w:t>年 第</w:t>
      </w:r>
      <w:r>
        <w:rPr>
          <w:rFonts w:ascii="Times New Roman" w:hAnsi="Times New Roman" w:cs="Times New Roman" w:eastAsia="Times New Roman" w:hint="default"/>
          <w:w w:val="100"/>
        </w:rPr>
        <w:t>3</w:t>
      </w:r>
      <w:r>
        <w:rPr>
          <w:w w:val="100"/>
        </w:rPr>
        <w:t>季</w:t>
      </w:r>
      <w:r>
        <w:rPr>
          <w:spacing w:val="-2"/>
          <w:w w:val="100"/>
        </w:rPr>
        <w:t>度财</w:t>
      </w:r>
      <w:r>
        <w:rPr>
          <w:w w:val="100"/>
        </w:rPr>
        <w:t>务报表</w:t>
      </w:r>
      <w:r>
        <w:rPr>
          <w:spacing w:val="-2"/>
          <w:w w:val="100"/>
        </w:rPr>
        <w:t>》及</w:t>
      </w:r>
      <w:r>
        <w:rPr>
          <w:w w:val="100"/>
        </w:rPr>
        <w:t>《内审</w:t>
      </w:r>
      <w:r>
        <w:rPr>
          <w:spacing w:val="-2"/>
          <w:w w:val="100"/>
        </w:rPr>
        <w:t>部</w:t>
      </w:r>
      <w:r>
        <w:rPr>
          <w:rFonts w:ascii="Times New Roman" w:hAnsi="Times New Roman" w:cs="Times New Roman" w:eastAsia="Times New Roman" w:hint="default"/>
          <w:w w:val="100"/>
        </w:rPr>
        <w:t>2</w:t>
      </w:r>
      <w:r>
        <w:rPr>
          <w:rFonts w:ascii="Times New Roman" w:hAnsi="Times New Roman" w:cs="Times New Roman" w:eastAsia="Times New Roman" w:hint="default"/>
          <w:spacing w:val="-2"/>
          <w:w w:val="100"/>
        </w:rPr>
        <w:t>0</w:t>
      </w:r>
      <w:r>
        <w:rPr>
          <w:rFonts w:ascii="Times New Roman" w:hAnsi="Times New Roman" w:cs="Times New Roman" w:eastAsia="Times New Roman" w:hint="default"/>
          <w:spacing w:val="-9"/>
          <w:w w:val="100"/>
        </w:rPr>
        <w:t>1</w:t>
      </w:r>
      <w:r>
        <w:rPr>
          <w:rFonts w:ascii="Times New Roman" w:hAnsi="Times New Roman" w:cs="Times New Roman" w:eastAsia="Times New Roman" w:hint="default"/>
          <w:w w:val="100"/>
        </w:rPr>
        <w:t>1</w:t>
      </w:r>
      <w:r>
        <w:rPr>
          <w:w w:val="100"/>
        </w:rPr>
        <w:t>年第</w:t>
      </w:r>
      <w:r>
        <w:rPr>
          <w:rFonts w:ascii="Times New Roman" w:hAnsi="Times New Roman" w:cs="Times New Roman" w:eastAsia="Times New Roman" w:hint="default"/>
          <w:spacing w:val="-2"/>
          <w:w w:val="100"/>
        </w:rPr>
        <w:t>3</w:t>
      </w:r>
      <w:r>
        <w:rPr>
          <w:spacing w:val="-2"/>
          <w:w w:val="100"/>
        </w:rPr>
        <w:t>季</w:t>
      </w:r>
      <w:r>
        <w:rPr>
          <w:w w:val="100"/>
        </w:rPr>
        <w:t>度工作</w:t>
      </w:r>
      <w:r>
        <w:rPr>
          <w:spacing w:val="-2"/>
          <w:w w:val="100"/>
        </w:rPr>
        <w:t>总结</w:t>
      </w:r>
      <w:r>
        <w:rPr>
          <w:w w:val="100"/>
        </w:rPr>
        <w:t>及第</w:t>
      </w:r>
      <w:r>
        <w:rPr>
          <w:rFonts w:ascii="Times New Roman" w:hAnsi="Times New Roman" w:cs="Times New Roman" w:eastAsia="Times New Roman" w:hint="default"/>
          <w:w w:val="100"/>
        </w:rPr>
        <w:t>4</w:t>
      </w:r>
      <w:r>
        <w:rPr>
          <w:spacing w:val="-2"/>
          <w:w w:val="100"/>
        </w:rPr>
        <w:t>季度</w:t>
      </w:r>
      <w:r>
        <w:rPr>
          <w:w w:val="100"/>
        </w:rPr>
        <w:t>工作计</w:t>
      </w:r>
      <w:r>
        <w:rPr>
          <w:spacing w:val="-2"/>
          <w:w w:val="100"/>
        </w:rPr>
        <w:t>划</w:t>
      </w:r>
      <w:r>
        <w:rPr>
          <w:spacing w:val="-117"/>
          <w:w w:val="100"/>
        </w:rPr>
        <w:t>》</w:t>
      </w:r>
      <w:r>
        <w:rPr>
          <w:w w:val="100"/>
        </w:rPr>
        <w:t>。</w:t>
      </w:r>
    </w:p>
    <w:p>
      <w:pPr>
        <w:pStyle w:val="BodyText"/>
        <w:spacing w:line="240" w:lineRule="auto" w:before="24"/>
        <w:ind w:left="597" w:right="186"/>
        <w:jc w:val="left"/>
      </w:pPr>
      <w:r>
        <w:rPr/>
        <w:t>（</w:t>
      </w:r>
      <w:r>
        <w:rPr>
          <w:rFonts w:ascii="Times New Roman" w:hAnsi="Times New Roman" w:cs="Times New Roman" w:eastAsia="Times New Roman" w:hint="default"/>
        </w:rPr>
        <w:t>2</w:t>
      </w:r>
      <w:r>
        <w:rPr/>
        <w:t>）对公司</w:t>
      </w:r>
      <w:r>
        <w:rPr>
          <w:rFonts w:ascii="Times New Roman" w:hAnsi="Times New Roman" w:cs="Times New Roman" w:eastAsia="Times New Roman" w:hint="default"/>
        </w:rPr>
        <w:t>2011</w:t>
      </w:r>
      <w:r>
        <w:rPr/>
        <w:t>年度财务报告审计的工作情况</w:t>
      </w:r>
    </w:p>
    <w:p>
      <w:pPr>
        <w:pStyle w:val="BodyText"/>
        <w:spacing w:line="350" w:lineRule="auto" w:before="129"/>
        <w:ind w:right="221" w:firstLine="459"/>
        <w:jc w:val="both"/>
      </w:pPr>
      <w:r>
        <w:rPr>
          <w:rFonts w:ascii="Times New Roman" w:hAnsi="Times New Roman" w:cs="Times New Roman" w:eastAsia="Times New Roman" w:hint="default"/>
          <w:spacing w:val="-4"/>
        </w:rPr>
        <w:t>1</w:t>
      </w:r>
      <w:r>
        <w:rPr>
          <w:spacing w:val="-4"/>
        </w:rPr>
        <w:t>）在</w:t>
      </w:r>
      <w:r>
        <w:rPr>
          <w:rFonts w:ascii="Times New Roman" w:hAnsi="Times New Roman" w:cs="Times New Roman" w:eastAsia="Times New Roman" w:hint="default"/>
          <w:spacing w:val="-4"/>
        </w:rPr>
        <w:t>2011</w:t>
      </w:r>
      <w:r>
        <w:rPr>
          <w:spacing w:val="-4"/>
        </w:rPr>
        <w:t>年年报审计工作中，董事会审计委员会与审计机构就</w:t>
      </w:r>
      <w:r>
        <w:rPr>
          <w:rFonts w:ascii="Times New Roman" w:hAnsi="Times New Roman" w:cs="Times New Roman" w:eastAsia="Times New Roman" w:hint="default"/>
          <w:spacing w:val="-4"/>
        </w:rPr>
        <w:t>2011</w:t>
      </w:r>
      <w:r>
        <w:rPr>
          <w:spacing w:val="-4"/>
        </w:rPr>
        <w:t>年年度审计</w:t>
      </w:r>
      <w:r>
        <w:rPr>
          <w:w w:val="100"/>
        </w:rPr>
        <w:t> </w:t>
      </w:r>
      <w:r>
        <w:rPr>
          <w:spacing w:val="-1"/>
        </w:rPr>
        <w:t>报告的编制进行沟通与交流，协商确定年度财务报告审计工作时间安排，督促审计</w:t>
      </w:r>
      <w:r>
        <w:rPr>
          <w:spacing w:val="-93"/>
        </w:rPr>
        <w:t> </w:t>
      </w:r>
      <w:r>
        <w:rPr>
          <w:spacing w:val="-93"/>
        </w:rPr>
      </w:r>
      <w:r>
        <w:rPr>
          <w:spacing w:val="-1"/>
        </w:rPr>
        <w:t>工作进展，保持与审计会计师的联系和沟通，就审计过程中发现的问题及时交换意</w:t>
      </w:r>
      <w:r>
        <w:rPr>
          <w:spacing w:val="-93"/>
        </w:rPr>
        <w:t> </w:t>
      </w:r>
      <w:r>
        <w:rPr>
          <w:spacing w:val="-93"/>
        </w:rPr>
      </w:r>
      <w:r>
        <w:rPr/>
        <w:t>见，确保审计的独立性并督促审计工作的如期完成。</w:t>
      </w:r>
    </w:p>
    <w:p>
      <w:pPr>
        <w:pStyle w:val="BodyText"/>
        <w:spacing w:line="352" w:lineRule="auto" w:before="41"/>
        <w:ind w:right="0" w:firstLine="459"/>
        <w:jc w:val="left"/>
      </w:pPr>
      <w:r>
        <w:rPr>
          <w:rFonts w:ascii="Times New Roman" w:hAnsi="Times New Roman" w:cs="Times New Roman" w:eastAsia="Times New Roman" w:hint="default"/>
          <w:spacing w:val="-7"/>
        </w:rPr>
        <w:t>2</w:t>
      </w:r>
      <w:r>
        <w:rPr>
          <w:spacing w:val="-7"/>
        </w:rPr>
        <w:t>）报告期内，董事会审计委员会对公司内部控制制度进行检查和评估后，认为：</w:t>
      </w:r>
      <w:r>
        <w:rPr>
          <w:w w:val="100"/>
        </w:rPr>
        <w:t> </w:t>
      </w:r>
      <w:r>
        <w:rPr/>
        <w:t>公司现有的内部控制制度较为完善、合理及有效，基本符合我国有关法规和证券监</w:t>
      </w:r>
      <w:r>
        <w:rPr>
          <w:w w:val="100"/>
        </w:rPr>
        <w:t> </w:t>
      </w:r>
      <w:r>
        <w:rPr/>
        <w:t>管部门的要求和公司内部控制的设定与执行，符合目前公司经营实际情况需要，在</w:t>
      </w:r>
      <w:r>
        <w:rPr>
          <w:w w:val="100"/>
        </w:rPr>
        <w:t> </w:t>
      </w:r>
      <w:r>
        <w:rPr/>
        <w:t>企业管理的关键环节发挥了较好的控制与防范作用。公司的内部控制在整体上是有</w:t>
      </w:r>
      <w:r>
        <w:rPr>
          <w:w w:val="100"/>
        </w:rPr>
        <w:t> </w:t>
      </w:r>
      <w:r>
        <w:rPr/>
        <w:t>效的，为公司防范风险、规范运作提供了强有力的保障，推动公司稳健发展。</w:t>
      </w:r>
    </w:p>
    <w:p>
      <w:pPr>
        <w:pStyle w:val="BodyText"/>
        <w:spacing w:line="348" w:lineRule="auto" w:before="38"/>
        <w:ind w:right="219" w:firstLine="459"/>
        <w:jc w:val="left"/>
      </w:pPr>
      <w:r>
        <w:rPr>
          <w:rFonts w:ascii="Times New Roman" w:hAnsi="Times New Roman" w:cs="Times New Roman" w:eastAsia="Times New Roman" w:hint="default"/>
          <w:spacing w:val="-4"/>
          <w:w w:val="100"/>
        </w:rPr>
        <w:t>3</w:t>
      </w:r>
      <w:r>
        <w:rPr>
          <w:spacing w:val="-4"/>
          <w:w w:val="100"/>
        </w:rPr>
        <w:t>）董事会审计委员会对深圳市鹏城会计师事务所有限公司拟出具审计意见的财</w:t>
      </w:r>
      <w:r>
        <w:rPr>
          <w:w w:val="100"/>
        </w:rPr>
        <w:t> </w:t>
      </w:r>
      <w:r>
        <w:rPr>
          <w:spacing w:val="-1"/>
        </w:rPr>
        <w:t>务报告进行审议，认为：公司财务报表已按照企业会计准则的规定编制，在所有重</w:t>
      </w:r>
      <w:r>
        <w:rPr>
          <w:spacing w:val="-93"/>
        </w:rPr>
        <w:t> </w:t>
      </w:r>
      <w:r>
        <w:rPr>
          <w:spacing w:val="-93"/>
        </w:rPr>
      </w:r>
      <w:r>
        <w:rPr>
          <w:spacing w:val="-2"/>
        </w:rPr>
        <w:t>大方面能够公允的反应公司截止</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日的财务状况以及</w:t>
      </w:r>
      <w:r>
        <w:rPr>
          <w:rFonts w:ascii="Times New Roman" w:hAnsi="Times New Roman" w:cs="Times New Roman" w:eastAsia="Times New Roman" w:hint="default"/>
          <w:spacing w:val="-2"/>
        </w:rPr>
        <w:t>2011</w:t>
      </w:r>
      <w:r>
        <w:rPr>
          <w:spacing w:val="-2"/>
        </w:rPr>
        <w:t>年度的经营成</w:t>
      </w:r>
      <w:r>
        <w:rPr>
          <w:spacing w:val="-63"/>
        </w:rPr>
        <w:t> </w:t>
      </w:r>
      <w:r>
        <w:rPr>
          <w:spacing w:val="-63"/>
        </w:rPr>
      </w:r>
      <w:r>
        <w:rPr/>
        <w:t>果和现金流量，同意深圳市鹏城会计师事务有限公司拟发表的标准无保留意见的</w:t>
      </w:r>
      <w:r>
        <w:rPr>
          <w:w w:val="100"/>
        </w:rPr>
        <w:t> </w:t>
      </w:r>
      <w:r>
        <w:rPr>
          <w:rFonts w:ascii="Times New Roman" w:hAnsi="Times New Roman" w:cs="Times New Roman" w:eastAsia="Times New Roman" w:hint="default"/>
        </w:rPr>
        <w:t>2011</w:t>
      </w:r>
      <w:r>
        <w:rPr/>
        <w:t>年度财务报告，并提请董事会审议。</w:t>
      </w:r>
    </w:p>
    <w:p>
      <w:pPr>
        <w:pStyle w:val="BodyText"/>
        <w:spacing w:line="345" w:lineRule="auto" w:before="14"/>
        <w:ind w:right="221" w:firstLine="459"/>
        <w:jc w:val="both"/>
      </w:pPr>
      <w:r>
        <w:rPr>
          <w:rFonts w:ascii="Times New Roman" w:hAnsi="Times New Roman" w:cs="Times New Roman" w:eastAsia="Times New Roman" w:hint="default"/>
          <w:spacing w:val="-4"/>
          <w:w w:val="100"/>
        </w:rPr>
        <w:t>4</w:t>
      </w:r>
      <w:r>
        <w:rPr>
          <w:spacing w:val="-4"/>
          <w:w w:val="100"/>
        </w:rPr>
        <w:t>）对深圳市鹏城会计师事务所有限公司在</w:t>
      </w:r>
      <w:r>
        <w:rPr>
          <w:rFonts w:ascii="Times New Roman" w:hAnsi="Times New Roman" w:cs="Times New Roman" w:eastAsia="Times New Roman" w:hint="default"/>
          <w:spacing w:val="-4"/>
          <w:w w:val="100"/>
        </w:rPr>
        <w:t>2011</w:t>
      </w:r>
      <w:r>
        <w:rPr>
          <w:spacing w:val="-4"/>
          <w:w w:val="100"/>
        </w:rPr>
        <w:t>年度对公司提供的审计服务进行</w:t>
      </w:r>
      <w:r>
        <w:rPr>
          <w:w w:val="100"/>
        </w:rPr>
        <w:t> </w:t>
      </w:r>
      <w:r>
        <w:rPr>
          <w:spacing w:val="-2"/>
        </w:rPr>
        <w:t>评估，认为：深圳市鹏城会计师事务所有限公司在对公司</w:t>
      </w:r>
      <w:r>
        <w:rPr>
          <w:rFonts w:ascii="Times New Roman" w:hAnsi="Times New Roman" w:cs="Times New Roman" w:eastAsia="Times New Roman" w:hint="default"/>
          <w:spacing w:val="-2"/>
        </w:rPr>
        <w:t>2011</w:t>
      </w:r>
      <w:r>
        <w:rPr>
          <w:spacing w:val="-2"/>
        </w:rPr>
        <w:t>年度会计报表审计过</w:t>
      </w:r>
      <w:r>
        <w:rPr>
          <w:spacing w:val="-64"/>
        </w:rPr>
        <w:t> </w:t>
      </w:r>
      <w:r>
        <w:rPr>
          <w:spacing w:val="-64"/>
        </w:rPr>
      </w:r>
      <w:r>
        <w:rPr>
          <w:spacing w:val="-2"/>
        </w:rPr>
        <w:t>程中尽职、尽责，按照中国注册会计师审计准则要求，按时完成了公司</w:t>
      </w:r>
      <w:r>
        <w:rPr>
          <w:rFonts w:ascii="Times New Roman" w:hAnsi="Times New Roman" w:cs="Times New Roman" w:eastAsia="Times New Roman" w:hint="default"/>
          <w:spacing w:val="-2"/>
        </w:rPr>
        <w:t>2011</w:t>
      </w:r>
      <w:r>
        <w:rPr>
          <w:spacing w:val="-2"/>
        </w:rPr>
        <w:t>年年报</w:t>
      </w:r>
      <w:r>
        <w:rPr>
          <w:spacing w:val="-65"/>
        </w:rPr>
        <w:t> </w:t>
      </w:r>
      <w:r>
        <w:rPr>
          <w:spacing w:val="-1"/>
        </w:rPr>
        <w:t>审计工作，表现了良好的职业规范和精神，客观、公正的对公司会计报表发表了意</w:t>
      </w:r>
      <w:r>
        <w:rPr>
          <w:spacing w:val="-93"/>
        </w:rPr>
        <w:t> </w:t>
      </w:r>
      <w:r>
        <w:rPr>
          <w:spacing w:val="-93"/>
        </w:rPr>
      </w:r>
      <w:r>
        <w:rPr>
          <w:spacing w:val="-1"/>
        </w:rPr>
        <w:t>见。根据其职业操守与履职能力，审计委员会建议董事会提请股东大会续聘其为公</w:t>
      </w:r>
      <w:r>
        <w:rPr>
          <w:spacing w:val="-93"/>
        </w:rPr>
        <w:t> </w:t>
      </w:r>
      <w:r>
        <w:rPr>
          <w:spacing w:val="-93"/>
        </w:rPr>
      </w:r>
      <w:r>
        <w:rPr/>
        <w:t>司</w:t>
      </w:r>
      <w:r>
        <w:rPr>
          <w:rFonts w:ascii="Times New Roman" w:hAnsi="Times New Roman" w:cs="Times New Roman" w:eastAsia="Times New Roman" w:hint="default"/>
        </w:rPr>
        <w:t>2012</w:t>
      </w:r>
      <w:r>
        <w:rPr/>
        <w:t>年度财务审计机构。</w:t>
      </w:r>
    </w:p>
    <w:p>
      <w:pPr>
        <w:pStyle w:val="BodyText"/>
        <w:spacing w:line="338" w:lineRule="auto" w:before="17"/>
        <w:ind w:left="597" w:right="186"/>
        <w:jc w:val="left"/>
        <w:rPr>
          <w:rFonts w:ascii="Times New Roman" w:hAnsi="Times New Roman" w:cs="Times New Roman" w:eastAsia="Times New Roman" w:hint="default"/>
        </w:rPr>
      </w:pPr>
      <w:r>
        <w:rPr>
          <w:rFonts w:ascii="Times New Roman" w:hAnsi="Times New Roman" w:cs="Times New Roman" w:eastAsia="Times New Roman" w:hint="default"/>
        </w:rPr>
        <w:t>2</w:t>
      </w:r>
      <w:r>
        <w:rPr/>
        <w:t>．薪酬与考核委员会履职情况</w:t>
      </w:r>
      <w:r>
        <w:rPr>
          <w:w w:val="100"/>
        </w:rPr>
        <w:t> </w:t>
      </w:r>
      <w:r>
        <w:rPr>
          <w:spacing w:val="-1"/>
        </w:rPr>
        <w:t>公司第一届董事会薪酬与考核委员会于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月届满，经公司</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10</w:t>
      </w:r>
    </w:p>
    <w:p>
      <w:pPr>
        <w:spacing w:after="0" w:line="338" w:lineRule="auto"/>
        <w:jc w:val="left"/>
        <w:rPr>
          <w:rFonts w:ascii="Times New Roman" w:hAnsi="Times New Roman" w:cs="Times New Roman" w:eastAsia="Times New Roman" w:hint="default"/>
        </w:rPr>
        <w:sectPr>
          <w:pgSz w:w="11910" w:h="16840"/>
          <w:pgMar w:header="877" w:footer="982" w:top="1100" w:bottom="1180" w:left="1660" w:right="1600"/>
        </w:sectPr>
      </w:pPr>
    </w:p>
    <w:p>
      <w:pPr>
        <w:spacing w:line="240" w:lineRule="auto" w:before="11"/>
        <w:rPr>
          <w:rFonts w:ascii="Times New Roman" w:hAnsi="Times New Roman" w:cs="Times New Roman" w:eastAsia="Times New Roman" w:hint="default"/>
          <w:sz w:val="21"/>
          <w:szCs w:val="21"/>
        </w:rPr>
      </w:pPr>
    </w:p>
    <w:p>
      <w:pPr>
        <w:pStyle w:val="BodyText"/>
        <w:spacing w:line="357" w:lineRule="auto" w:before="29"/>
        <w:ind w:right="227"/>
        <w:jc w:val="both"/>
      </w:pPr>
      <w:r>
        <w:rPr>
          <w:spacing w:val="-1"/>
        </w:rPr>
        <w:t>日第二届第一次董事会会议选举产生第二届薪酬与考核委员会委员，任期三年。由</w:t>
      </w:r>
      <w:r>
        <w:rPr>
          <w:spacing w:val="-93"/>
        </w:rPr>
        <w:t> </w:t>
      </w:r>
      <w:r>
        <w:rPr>
          <w:spacing w:val="-93"/>
        </w:rPr>
      </w:r>
      <w:r>
        <w:rPr>
          <w:spacing w:val="-1"/>
        </w:rPr>
        <w:t>董事宋靖雁、朱厚佳、张学君组成，其中有两名为独立董事，独立董事宋靖雁担任</w:t>
      </w:r>
      <w:r>
        <w:rPr>
          <w:spacing w:val="-93"/>
        </w:rPr>
        <w:t> </w:t>
      </w:r>
      <w:r>
        <w:rPr>
          <w:spacing w:val="-93"/>
        </w:rPr>
      </w:r>
      <w:r>
        <w:rPr/>
        <w:t>薪酬与考核委员会主任。</w:t>
      </w:r>
    </w:p>
    <w:p>
      <w:pPr>
        <w:pStyle w:val="BodyText"/>
        <w:spacing w:line="350" w:lineRule="auto" w:before="34"/>
        <w:ind w:right="221" w:firstLine="459"/>
        <w:jc w:val="both"/>
      </w:pPr>
      <w:r>
        <w:rPr>
          <w:spacing w:val="-1"/>
        </w:rPr>
        <w:t>薪酬与考核委员会严格遵照根据中国证监会、深圳证券交易所的有关规定及公</w:t>
      </w:r>
      <w:r>
        <w:rPr>
          <w:w w:val="100"/>
        </w:rPr>
        <w:t> </w:t>
      </w:r>
      <w:r>
        <w:rPr>
          <w:spacing w:val="-7"/>
          <w:w w:val="100"/>
        </w:rPr>
        <w:t>司《薪酬与考核委员会工作细则》，切实履行职责，主要负责制定公司董事及高级管</w:t>
      </w:r>
      <w:r>
        <w:rPr>
          <w:spacing w:val="-112"/>
          <w:w w:val="100"/>
        </w:rPr>
        <w:t> </w:t>
      </w:r>
      <w:r>
        <w:rPr>
          <w:spacing w:val="-112"/>
          <w:w w:val="100"/>
        </w:rPr>
      </w:r>
      <w:r>
        <w:rPr>
          <w:spacing w:val="-1"/>
        </w:rPr>
        <w:t>理人员的考核标准并进行考核，制定、审查公司董事及高级管理人员的薪酬政策与</w:t>
      </w:r>
      <w:r>
        <w:rPr>
          <w:spacing w:val="-93"/>
        </w:rPr>
        <w:t> </w:t>
      </w:r>
      <w:r>
        <w:rPr>
          <w:spacing w:val="-93"/>
        </w:rPr>
      </w:r>
      <w:r>
        <w:rPr>
          <w:spacing w:val="-4"/>
        </w:rPr>
        <w:t>方案，并指导董事会完善公司薪酬体系。公司薪酬与考核委员会对公司</w:t>
      </w:r>
      <w:r>
        <w:rPr>
          <w:spacing w:val="1"/>
        </w:rPr>
        <w:t> </w:t>
      </w:r>
      <w:r>
        <w:rPr>
          <w:rFonts w:ascii="Times New Roman" w:hAnsi="Times New Roman" w:cs="Times New Roman" w:eastAsia="Times New Roman" w:hint="default"/>
        </w:rPr>
        <w:t>2011</w:t>
      </w:r>
      <w:r>
        <w:rPr/>
        <w:t>年年度</w:t>
      </w:r>
      <w:r>
        <w:rPr>
          <w:w w:val="100"/>
        </w:rPr>
        <w:t> </w:t>
      </w:r>
      <w:r>
        <w:rPr>
          <w:spacing w:val="-1"/>
        </w:rPr>
        <w:t>董事、监事、高级管理人员的薪酬情况进行审核，认为：公司董事、监事、高级管</w:t>
      </w:r>
      <w:r>
        <w:rPr>
          <w:spacing w:val="-93"/>
        </w:rPr>
        <w:t> </w:t>
      </w:r>
      <w:r>
        <w:rPr>
          <w:spacing w:val="-93"/>
        </w:rPr>
      </w:r>
      <w:r>
        <w:rPr/>
        <w:t>理人员</w:t>
      </w:r>
      <w:r>
        <w:rPr>
          <w:spacing w:val="15"/>
        </w:rPr>
        <w:t> </w:t>
      </w:r>
      <w:r>
        <w:rPr>
          <w:rFonts w:ascii="Times New Roman" w:hAnsi="Times New Roman" w:cs="Times New Roman" w:eastAsia="Times New Roman" w:hint="default"/>
          <w:spacing w:val="-4"/>
        </w:rPr>
        <w:t>2011</w:t>
      </w:r>
      <w:r>
        <w:rPr>
          <w:spacing w:val="-4"/>
        </w:rPr>
        <w:t>年度薪酬符合公司股东大会、董事会制定的相关制度和方案，符合公司</w:t>
      </w:r>
      <w:r>
        <w:rPr>
          <w:spacing w:val="-113"/>
        </w:rPr>
        <w:t> </w:t>
      </w:r>
      <w:r>
        <w:rPr>
          <w:spacing w:val="-113"/>
        </w:rPr>
      </w:r>
      <w:r>
        <w:rPr/>
        <w:t>的经营业绩和个人绩效。</w:t>
      </w:r>
    </w:p>
    <w:p>
      <w:pPr>
        <w:pStyle w:val="BodyText"/>
        <w:spacing w:line="240" w:lineRule="auto" w:before="41"/>
        <w:ind w:left="597" w:right="186"/>
        <w:jc w:val="left"/>
      </w:pPr>
      <w:r>
        <w:rPr/>
        <w:t>报告期内，公司未实施股权激励计划。</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8"/>
          <w:szCs w:val="28"/>
        </w:rPr>
      </w:pPr>
    </w:p>
    <w:p>
      <w:pPr>
        <w:pStyle w:val="BodyText"/>
        <w:spacing w:line="453" w:lineRule="auto"/>
        <w:ind w:left="597" w:right="186" w:hanging="460"/>
        <w:jc w:val="left"/>
      </w:pPr>
      <w:r>
        <w:rPr>
          <w:rFonts w:ascii="宋体" w:hAnsi="宋体" w:cs="宋体" w:eastAsia="宋体" w:hint="default"/>
          <w:b/>
          <w:bCs/>
        </w:rPr>
        <w:t>五、公司独立性</w:t>
      </w:r>
      <w:r>
        <w:rPr>
          <w:rFonts w:ascii="宋体" w:hAnsi="宋体" w:cs="宋体" w:eastAsia="宋体" w:hint="default"/>
          <w:b/>
          <w:bCs/>
          <w:w w:val="99"/>
        </w:rPr>
        <w:t> </w:t>
      </w:r>
      <w:r>
        <w:rPr>
          <w:spacing w:val="-8"/>
          <w:w w:val="100"/>
        </w:rPr>
        <w:t>报告期内，公司严格按照《公司法》、《证券法》等有关法律、法规和《公司章</w:t>
      </w:r>
    </w:p>
    <w:p>
      <w:pPr>
        <w:pStyle w:val="BodyText"/>
        <w:spacing w:line="243" w:lineRule="exact"/>
        <w:ind w:right="0"/>
        <w:jc w:val="both"/>
      </w:pPr>
      <w:r>
        <w:rPr>
          <w:spacing w:val="-4"/>
        </w:rPr>
        <w:t>程》的要求规范运作，具有独立、完整的资产和业务及面向市场、自主经营的能力。</w:t>
      </w:r>
    </w:p>
    <w:p>
      <w:pPr>
        <w:pStyle w:val="BodyText"/>
        <w:spacing w:line="336" w:lineRule="auto" w:before="146"/>
        <w:ind w:left="597" w:right="186"/>
        <w:jc w:val="left"/>
      </w:pPr>
      <w:r>
        <w:rPr>
          <w:rFonts w:ascii="Times New Roman" w:hAnsi="Times New Roman" w:cs="Times New Roman" w:eastAsia="Times New Roman" w:hint="default"/>
        </w:rPr>
        <w:t>1</w:t>
      </w:r>
      <w:r>
        <w:rPr/>
        <w:t>．业务独立</w:t>
      </w:r>
      <w:r>
        <w:rPr>
          <w:spacing w:val="-2"/>
          <w:w w:val="100"/>
        </w:rPr>
        <w:t> </w:t>
      </w:r>
      <w:r>
        <w:rPr>
          <w:spacing w:val="-1"/>
        </w:rPr>
        <w:t>公司拥有完整独立的研发、运营、采购和销售系统，具有独立完整的业务体系</w:t>
      </w:r>
    </w:p>
    <w:p>
      <w:pPr>
        <w:pStyle w:val="BodyText"/>
        <w:spacing w:line="357" w:lineRule="auto" w:before="54"/>
        <w:ind w:right="227"/>
        <w:jc w:val="both"/>
      </w:pPr>
      <w:r>
        <w:rPr>
          <w:spacing w:val="-1"/>
        </w:rPr>
        <w:t>及面向市场独立经营的能力，不依赖于股东或其它任何关联方，也不存在与控股股</w:t>
      </w:r>
      <w:r>
        <w:rPr>
          <w:spacing w:val="-93"/>
        </w:rPr>
        <w:t> </w:t>
      </w:r>
      <w:r>
        <w:rPr>
          <w:spacing w:val="-93"/>
        </w:rPr>
      </w:r>
      <w:r>
        <w:rPr/>
        <w:t>东、实际控制人之间的同业竞争。</w:t>
      </w:r>
    </w:p>
    <w:p>
      <w:pPr>
        <w:pStyle w:val="BodyText"/>
        <w:spacing w:line="338" w:lineRule="auto" w:before="34"/>
        <w:ind w:left="597" w:right="0"/>
        <w:jc w:val="left"/>
      </w:pPr>
      <w:r>
        <w:rPr>
          <w:rFonts w:ascii="Times New Roman" w:hAnsi="Times New Roman" w:cs="Times New Roman" w:eastAsia="Times New Roman" w:hint="default"/>
        </w:rPr>
        <w:t>2</w:t>
      </w:r>
      <w:r>
        <w:rPr/>
        <w:t>．人员独立</w:t>
      </w:r>
      <w:r>
        <w:rPr>
          <w:spacing w:val="-2"/>
          <w:w w:val="100"/>
        </w:rPr>
        <w:t> </w:t>
      </w:r>
      <w:r>
        <w:rPr>
          <w:spacing w:val="-4"/>
        </w:rPr>
        <w:t>公司人员、劳动、人事及工资完全独立。公司总经理、副总经理、董事会秘书、</w:t>
      </w:r>
    </w:p>
    <w:p>
      <w:pPr>
        <w:pStyle w:val="BodyText"/>
        <w:spacing w:line="357" w:lineRule="auto" w:before="52"/>
        <w:ind w:right="227"/>
        <w:jc w:val="both"/>
      </w:pPr>
      <w:r>
        <w:rPr>
          <w:spacing w:val="-1"/>
        </w:rPr>
        <w:t>财务负责人等高级管理人员均在公司工作并领取薪酬，没有在控股股东及其下属企</w:t>
      </w:r>
      <w:r>
        <w:rPr>
          <w:spacing w:val="-93"/>
        </w:rPr>
        <w:t> </w:t>
      </w:r>
      <w:r>
        <w:rPr>
          <w:spacing w:val="-93"/>
        </w:rPr>
      </w:r>
      <w:r>
        <w:rPr>
          <w:spacing w:val="-1"/>
        </w:rPr>
        <w:t>业担任除董事、监事以外的任何职务和领取报酬的情况；公司财务人员没有在控股</w:t>
      </w:r>
      <w:r>
        <w:rPr>
          <w:spacing w:val="-93"/>
        </w:rPr>
        <w:t> </w:t>
      </w:r>
      <w:r>
        <w:rPr>
          <w:spacing w:val="-93"/>
        </w:rPr>
      </w:r>
      <w:r>
        <w:rPr/>
        <w:t>股东及其下属企业兼职。</w:t>
      </w:r>
    </w:p>
    <w:p>
      <w:pPr>
        <w:pStyle w:val="BodyText"/>
        <w:spacing w:line="338" w:lineRule="auto" w:before="34"/>
        <w:ind w:left="597" w:right="186"/>
        <w:jc w:val="left"/>
      </w:pPr>
      <w:r>
        <w:rPr>
          <w:rFonts w:ascii="Times New Roman" w:hAnsi="Times New Roman" w:cs="Times New Roman" w:eastAsia="Times New Roman" w:hint="default"/>
        </w:rPr>
        <w:t>3</w:t>
      </w:r>
      <w:r>
        <w:rPr/>
        <w:t>．资产完整</w:t>
      </w:r>
      <w:r>
        <w:rPr>
          <w:spacing w:val="-2"/>
          <w:w w:val="100"/>
        </w:rPr>
        <w:t> </w:t>
      </w:r>
      <w:r>
        <w:rPr>
          <w:spacing w:val="-1"/>
        </w:rPr>
        <w:t>公司资产完整，与控股股东产权关系界定清晰，拥有独立的经营系统和配套设</w:t>
      </w:r>
    </w:p>
    <w:p>
      <w:pPr>
        <w:pStyle w:val="BodyText"/>
        <w:spacing w:line="357" w:lineRule="auto" w:before="52"/>
        <w:ind w:right="221"/>
        <w:jc w:val="both"/>
      </w:pPr>
      <w:r>
        <w:rPr>
          <w:spacing w:val="-7"/>
          <w:w w:val="100"/>
        </w:rPr>
        <w:t>施以及商标（商标申请权）、专利、专有技术、计算机软件著作权等资产。公司没有</w:t>
      </w:r>
      <w:r>
        <w:rPr>
          <w:spacing w:val="-106"/>
          <w:w w:val="100"/>
        </w:rPr>
        <w:t> </w:t>
      </w:r>
      <w:r>
        <w:rPr>
          <w:spacing w:val="-106"/>
          <w:w w:val="100"/>
        </w:rPr>
      </w:r>
      <w:r>
        <w:rPr/>
        <w:t>以公司资产为股东或个人债务以及其他法人或自然人提供任何形式的担保。</w:t>
      </w:r>
    </w:p>
    <w:p>
      <w:pPr>
        <w:pStyle w:val="BodyText"/>
        <w:spacing w:line="336" w:lineRule="auto" w:before="34"/>
        <w:ind w:left="597" w:right="186"/>
        <w:jc w:val="left"/>
      </w:pPr>
      <w:r>
        <w:rPr>
          <w:rFonts w:ascii="Times New Roman" w:hAnsi="Times New Roman" w:cs="Times New Roman" w:eastAsia="Times New Roman" w:hint="default"/>
        </w:rPr>
        <w:t>4</w:t>
      </w:r>
      <w:r>
        <w:rPr/>
        <w:t>．机构独立</w:t>
      </w:r>
      <w:r>
        <w:rPr>
          <w:spacing w:val="-2"/>
          <w:w w:val="100"/>
        </w:rPr>
        <w:t> </w:t>
      </w:r>
      <w:r>
        <w:rPr>
          <w:spacing w:val="-1"/>
        </w:rPr>
        <w:t>本公司具有独立健全的法人治理结构，董事会、监事会等内部机构独立运作，</w:t>
      </w:r>
    </w:p>
    <w:p>
      <w:pPr>
        <w:pStyle w:val="BodyText"/>
        <w:spacing w:line="240" w:lineRule="auto" w:before="54"/>
        <w:ind w:right="0"/>
        <w:jc w:val="both"/>
      </w:pPr>
      <w:r>
        <w:rPr/>
        <w:t>不存在与控股股东及其职能部门之间的从属关系。各部门独立履行其职责，负责公</w:t>
      </w:r>
    </w:p>
    <w:p>
      <w:pPr>
        <w:spacing w:after="0" w:line="240" w:lineRule="auto"/>
        <w:jc w:val="both"/>
        <w:sectPr>
          <w:footerReference w:type="default" r:id="rId19"/>
          <w:pgSz w:w="11910" w:h="16840"/>
          <w:pgMar w:footer="982" w:header="877" w:top="1100" w:bottom="1180" w:left="1660" w:right="1600"/>
          <w:pgNumType w:start="51"/>
        </w:sectPr>
      </w:pPr>
    </w:p>
    <w:p>
      <w:pPr>
        <w:spacing w:line="240" w:lineRule="auto" w:before="4"/>
        <w:rPr>
          <w:rFonts w:ascii="宋体" w:hAnsi="宋体" w:cs="宋体" w:eastAsia="宋体" w:hint="default"/>
          <w:sz w:val="19"/>
          <w:szCs w:val="19"/>
        </w:rPr>
      </w:pPr>
    </w:p>
    <w:p>
      <w:pPr>
        <w:pStyle w:val="BodyText"/>
        <w:spacing w:line="348" w:lineRule="auto" w:before="29"/>
        <w:ind w:left="597" w:right="0" w:hanging="460"/>
        <w:jc w:val="left"/>
      </w:pPr>
      <w:r>
        <w:rPr>
          <w:spacing w:val="-4"/>
        </w:rPr>
        <w:t>司的生产经营活动，其履行职能不受控股股东、其他有关部门或单位、个人的干预。</w:t>
      </w:r>
      <w:r>
        <w:rPr>
          <w:spacing w:val="-93"/>
        </w:rPr>
        <w:t> </w:t>
      </w:r>
      <w:r>
        <w:rPr>
          <w:spacing w:val="-93"/>
        </w:rPr>
      </w:r>
      <w:r>
        <w:rPr>
          <w:rFonts w:ascii="Times New Roman" w:hAnsi="Times New Roman" w:cs="Times New Roman" w:eastAsia="Times New Roman" w:hint="default"/>
        </w:rPr>
        <w:t>5</w:t>
      </w:r>
      <w:r>
        <w:rPr/>
        <w:t>．财务独立</w:t>
      </w:r>
      <w:r>
        <w:rPr>
          <w:spacing w:val="-2"/>
          <w:w w:val="100"/>
        </w:rPr>
        <w:t> </w:t>
      </w:r>
      <w:r>
        <w:rPr/>
        <w:t>本公司设有独立的财务部门、财务负责人和财务会计工作人员，建立了独立的</w:t>
      </w:r>
    </w:p>
    <w:p>
      <w:pPr>
        <w:pStyle w:val="BodyText"/>
        <w:spacing w:line="357" w:lineRule="auto" w:before="43"/>
        <w:ind w:right="0"/>
        <w:jc w:val="left"/>
      </w:pPr>
      <w:r>
        <w:rPr/>
        <w:t>财务规章制度和财务核算体系，独立进行财务决策。公司开设了独立的银行账户，</w:t>
      </w:r>
      <w:r>
        <w:rPr>
          <w:w w:val="100"/>
        </w:rPr>
        <w:t> </w:t>
      </w:r>
      <w:r>
        <w:rPr>
          <w:spacing w:val="-4"/>
        </w:rPr>
        <w:t>依法独立纳税，不存在与股东单位及其关联方共用银行账户的情况，也不存在资金、</w:t>
      </w:r>
      <w:r>
        <w:rPr>
          <w:spacing w:val="-91"/>
        </w:rPr>
        <w:t> </w:t>
      </w:r>
      <w:r>
        <w:rPr>
          <w:spacing w:val="-91"/>
        </w:rPr>
      </w:r>
      <w:r>
        <w:rPr/>
        <w:t>资产被股东单位及其关联方非法占用的情况。</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0"/>
          <w:szCs w:val="20"/>
        </w:rPr>
      </w:pPr>
    </w:p>
    <w:p>
      <w:pPr>
        <w:pStyle w:val="Heading5"/>
        <w:spacing w:line="240" w:lineRule="auto"/>
        <w:ind w:right="186"/>
        <w:jc w:val="left"/>
        <w:rPr>
          <w:b w:val="0"/>
          <w:bCs w:val="0"/>
        </w:rPr>
      </w:pPr>
      <w:r>
        <w:rPr/>
        <w:t>六、公司内部控制制度的建立健全情况</w:t>
      </w:r>
      <w:r>
        <w:rPr>
          <w:b w:val="0"/>
          <w:bCs w:val="0"/>
        </w:rPr>
      </w:r>
    </w:p>
    <w:p>
      <w:pPr>
        <w:spacing w:line="240" w:lineRule="auto" w:before="5"/>
        <w:rPr>
          <w:rFonts w:ascii="宋体" w:hAnsi="宋体" w:cs="宋体" w:eastAsia="宋体" w:hint="default"/>
          <w:b/>
          <w:bCs/>
          <w:sz w:val="20"/>
          <w:szCs w:val="20"/>
        </w:rPr>
      </w:pPr>
    </w:p>
    <w:p>
      <w:pPr>
        <w:pStyle w:val="BodyText"/>
        <w:spacing w:line="355" w:lineRule="auto"/>
        <w:ind w:left="597" w:right="186"/>
        <w:jc w:val="left"/>
      </w:pPr>
      <w:r>
        <w:rPr/>
        <w:t>（一）内部控制制度的建立和健全情况</w:t>
      </w:r>
      <w:r>
        <w:rPr>
          <w:w w:val="100"/>
        </w:rPr>
        <w:t> </w:t>
      </w:r>
      <w:r>
        <w:rPr>
          <w:spacing w:val="-20"/>
          <w:w w:val="100"/>
        </w:rPr>
        <w:t>公司已建立了《内部审计制度》、《关联交易决策制度》、《信息披露制度》、《募</w:t>
      </w:r>
    </w:p>
    <w:p>
      <w:pPr>
        <w:pStyle w:val="BodyText"/>
        <w:spacing w:line="357" w:lineRule="auto" w:before="36"/>
        <w:ind w:right="0" w:hanging="1"/>
        <w:jc w:val="left"/>
      </w:pPr>
      <w:r>
        <w:rPr>
          <w:spacing w:val="-19"/>
          <w:w w:val="100"/>
        </w:rPr>
        <w:t>集资金管理制度》、《重大信息内部报告制度》、《内幕信息知情人登记制度》、《年报</w:t>
      </w:r>
      <w:r>
        <w:rPr>
          <w:spacing w:val="-100"/>
          <w:w w:val="100"/>
        </w:rPr>
        <w:t> </w:t>
      </w:r>
      <w:r>
        <w:rPr>
          <w:spacing w:val="-100"/>
          <w:w w:val="100"/>
        </w:rPr>
      </w:r>
      <w:r>
        <w:rPr/>
        <w:t>信息披露重大差错责任追究制度》等重要的内部控制制度，并严格遵照执行。公司</w:t>
      </w:r>
      <w:r>
        <w:rPr>
          <w:w w:val="100"/>
        </w:rPr>
        <w:t> </w:t>
      </w:r>
      <w:r>
        <w:rPr>
          <w:spacing w:val="-4"/>
        </w:rPr>
        <w:t>以谨慎性和安全性为原则，慎重决策对外投资和对外担保事项，以防范潜在的风险，</w:t>
      </w:r>
      <w:r>
        <w:rPr>
          <w:spacing w:val="-92"/>
        </w:rPr>
        <w:t> </w:t>
      </w:r>
      <w:r>
        <w:rPr>
          <w:spacing w:val="-92"/>
        </w:rPr>
      </w:r>
      <w:r>
        <w:rPr/>
        <w:t>避免和减少可能发生的损失；明确规定了公司信息披露义务人、信息披露内容等事</w:t>
      </w:r>
      <w:r>
        <w:rPr>
          <w:w w:val="100"/>
        </w:rPr>
        <w:t> </w:t>
      </w:r>
      <w:r>
        <w:rPr/>
        <w:t>项，以及重大内部信息知情人的保密义务。</w:t>
      </w:r>
    </w:p>
    <w:p>
      <w:pPr>
        <w:pStyle w:val="BodyText"/>
        <w:spacing w:line="355" w:lineRule="auto" w:before="34"/>
        <w:ind w:left="597" w:right="186"/>
        <w:jc w:val="left"/>
      </w:pPr>
      <w:r>
        <w:rPr/>
        <w:t>（二）内部控制的工作计划及其实施情况</w:t>
      </w:r>
      <w:r>
        <w:rPr>
          <w:w w:val="100"/>
        </w:rPr>
        <w:t> </w:t>
      </w:r>
      <w:r>
        <w:rPr>
          <w:spacing w:val="-1"/>
        </w:rPr>
        <w:t>报告期内，公司根据企业实际情况、有关法律法规以及《深圳证券交易所创业</w:t>
      </w:r>
    </w:p>
    <w:p>
      <w:pPr>
        <w:pStyle w:val="BodyText"/>
        <w:spacing w:line="357" w:lineRule="auto" w:before="36"/>
        <w:ind w:right="0"/>
        <w:jc w:val="left"/>
      </w:pPr>
      <w:r>
        <w:rPr>
          <w:spacing w:val="-4"/>
          <w:w w:val="100"/>
        </w:rPr>
        <w:t>板上市公司规范运作指引》，不断修订和完善公司主要内部控制制度，涵盖了研发、</w:t>
      </w:r>
      <w:r>
        <w:rPr>
          <w:spacing w:val="-111"/>
          <w:w w:val="100"/>
        </w:rPr>
        <w:t> </w:t>
      </w:r>
      <w:r>
        <w:rPr>
          <w:spacing w:val="-111"/>
          <w:w w:val="100"/>
        </w:rPr>
      </w:r>
      <w:r>
        <w:rPr>
          <w:spacing w:val="-7"/>
        </w:rPr>
        <w:t>销售、财务、采购、信息安全、人力资源等各环节。报告期内，公司审议修订了《内</w:t>
      </w:r>
      <w:r>
        <w:rPr>
          <w:spacing w:val="-96"/>
        </w:rPr>
        <w:t> </w:t>
      </w:r>
      <w:r>
        <w:rPr>
          <w:spacing w:val="-96"/>
        </w:rPr>
      </w:r>
      <w:r>
        <w:rPr>
          <w:spacing w:val="-4"/>
          <w:w w:val="100"/>
        </w:rPr>
        <w:t>部审计制度》，新聘任了专职内部审计负责人，独立开展内部审计工作。报告期内，</w:t>
      </w:r>
      <w:r>
        <w:rPr>
          <w:spacing w:val="-111"/>
          <w:w w:val="100"/>
        </w:rPr>
        <w:t> </w:t>
      </w:r>
      <w:r>
        <w:rPr>
          <w:spacing w:val="-111"/>
          <w:w w:val="100"/>
        </w:rPr>
      </w:r>
      <w:r>
        <w:rPr/>
        <w:t>公司各项制度基本得到有效实施。</w:t>
      </w:r>
    </w:p>
    <w:p>
      <w:pPr>
        <w:pStyle w:val="BodyText"/>
        <w:spacing w:line="355" w:lineRule="auto" w:before="34"/>
        <w:ind w:left="597" w:right="186"/>
        <w:jc w:val="left"/>
      </w:pPr>
      <w:r>
        <w:rPr/>
        <w:t>（三）内部控制检查监督部门的设置情况</w:t>
      </w:r>
      <w:r>
        <w:rPr>
          <w:w w:val="100"/>
        </w:rPr>
        <w:t> </w:t>
      </w:r>
      <w:r>
        <w:rPr>
          <w:spacing w:val="-1"/>
        </w:rPr>
        <w:t>公司成立了董事会下辖的审计委员会，审计委员会由三名董事组成，其中独立</w:t>
      </w:r>
    </w:p>
    <w:p>
      <w:pPr>
        <w:pStyle w:val="BodyText"/>
        <w:spacing w:line="357" w:lineRule="auto" w:before="36"/>
        <w:ind w:right="186"/>
        <w:jc w:val="left"/>
      </w:pPr>
      <w:r>
        <w:rPr>
          <w:spacing w:val="-1"/>
        </w:rPr>
        <w:t>董事两名，召集人由独立董事担任。公司设立了独立于财务部直接对审计委员会负</w:t>
      </w:r>
      <w:r>
        <w:rPr>
          <w:spacing w:val="-93"/>
        </w:rPr>
        <w:t> </w:t>
      </w:r>
      <w:r>
        <w:rPr>
          <w:spacing w:val="-93"/>
        </w:rPr>
      </w:r>
      <w:r>
        <w:rPr/>
        <w:t>责的内部审计部，配置专职内部审计人员。</w:t>
      </w:r>
    </w:p>
    <w:p>
      <w:pPr>
        <w:pStyle w:val="BodyText"/>
        <w:spacing w:line="240" w:lineRule="auto" w:before="34"/>
        <w:ind w:left="597" w:right="186"/>
        <w:jc w:val="left"/>
      </w:pPr>
      <w:r>
        <w:rPr/>
        <w:t>（四）董事会对内部控制有关工作的安排</w:t>
      </w:r>
    </w:p>
    <w:p>
      <w:pPr>
        <w:pStyle w:val="BodyText"/>
        <w:spacing w:line="352" w:lineRule="auto" w:before="146"/>
        <w:ind w:right="227" w:firstLine="459"/>
        <w:jc w:val="both"/>
      </w:pPr>
      <w:r>
        <w:rPr>
          <w:rFonts w:ascii="Times New Roman" w:hAnsi="Times New Roman" w:cs="Times New Roman" w:eastAsia="Times New Roman" w:hint="default"/>
          <w:spacing w:val="-1"/>
        </w:rPr>
        <w:t>2012</w:t>
      </w:r>
      <w:r>
        <w:rPr>
          <w:spacing w:val="-1"/>
        </w:rPr>
        <w:t>年度，公司董事会将按照《企业内部控制基本规范》的要求，进一步完善</w:t>
      </w:r>
      <w:r>
        <w:rPr>
          <w:w w:val="100"/>
        </w:rPr>
        <w:t> </w:t>
      </w:r>
      <w:r>
        <w:rPr>
          <w:spacing w:val="-1"/>
        </w:rPr>
        <w:t>公司的内部控制。审计委员会持续监督公司内部审计制度的完善和内部审计工作的</w:t>
      </w:r>
      <w:r>
        <w:rPr>
          <w:spacing w:val="-93"/>
        </w:rPr>
        <w:t> </w:t>
      </w:r>
      <w:r>
        <w:rPr>
          <w:spacing w:val="-93"/>
        </w:rPr>
      </w:r>
      <w:r>
        <w:rPr>
          <w:spacing w:val="-1"/>
        </w:rPr>
        <w:t>开展，关注公司内控制度的建设及执行。审计委员会将定期召开会议，审议公司内</w:t>
      </w:r>
      <w:r>
        <w:rPr>
          <w:spacing w:val="-93"/>
        </w:rPr>
        <w:t> </w:t>
      </w:r>
      <w:r>
        <w:rPr>
          <w:spacing w:val="-93"/>
        </w:rPr>
      </w:r>
      <w:r>
        <w:rPr>
          <w:spacing w:val="-1"/>
        </w:rPr>
        <w:t>部审计部审核的募集资金的使用情况报告和工作总结，报告公司的内部审计工作情</w:t>
      </w:r>
      <w:r>
        <w:rPr>
          <w:spacing w:val="-93"/>
        </w:rPr>
        <w:t> </w:t>
      </w:r>
      <w:r>
        <w:rPr>
          <w:spacing w:val="-93"/>
        </w:rPr>
      </w:r>
      <w:r>
        <w:rPr>
          <w:spacing w:val="-1"/>
        </w:rPr>
        <w:t>况。内部审计部将按照</w:t>
      </w:r>
      <w:r>
        <w:rPr>
          <w:rFonts w:ascii="Times New Roman" w:hAnsi="Times New Roman" w:cs="Times New Roman" w:eastAsia="Times New Roman" w:hint="default"/>
          <w:spacing w:val="-1"/>
        </w:rPr>
        <w:t>2011</w:t>
      </w:r>
      <w:r>
        <w:rPr>
          <w:spacing w:val="-1"/>
        </w:rPr>
        <w:t>年的工作计划实施内部审计工作，持续评价内部控制的</w:t>
      </w:r>
    </w:p>
    <w:p>
      <w:pPr>
        <w:spacing w:after="0" w:line="352" w:lineRule="auto"/>
        <w:jc w:val="both"/>
        <w:sectPr>
          <w:footerReference w:type="default" r:id="rId20"/>
          <w:pgSz w:w="11910" w:h="16840"/>
          <w:pgMar w:footer="982" w:header="877" w:top="1100" w:bottom="1180" w:left="1660" w:right="1600"/>
          <w:pgNumType w:start="52"/>
        </w:sectPr>
      </w:pPr>
    </w:p>
    <w:p>
      <w:pPr>
        <w:spacing w:line="240" w:lineRule="auto" w:before="4"/>
        <w:rPr>
          <w:rFonts w:ascii="宋体" w:hAnsi="宋体" w:cs="宋体" w:eastAsia="宋体" w:hint="default"/>
          <w:sz w:val="19"/>
          <w:szCs w:val="19"/>
        </w:rPr>
      </w:pPr>
    </w:p>
    <w:p>
      <w:pPr>
        <w:pStyle w:val="BodyText"/>
        <w:spacing w:line="240" w:lineRule="auto" w:before="29"/>
        <w:ind w:right="0"/>
        <w:jc w:val="both"/>
      </w:pPr>
      <w:r>
        <w:rPr/>
        <w:t>有效性，并向审计委员会报告。</w:t>
      </w:r>
    </w:p>
    <w:p>
      <w:pPr>
        <w:pStyle w:val="BodyText"/>
        <w:spacing w:line="357" w:lineRule="auto" w:before="146"/>
        <w:ind w:left="597" w:right="115"/>
        <w:jc w:val="left"/>
      </w:pPr>
      <w:r>
        <w:rPr/>
        <w:t>（五）财务管理内部控制的执行情况</w:t>
      </w:r>
      <w:r>
        <w:rPr>
          <w:w w:val="100"/>
        </w:rPr>
        <w:t> </w:t>
      </w:r>
      <w:r>
        <w:rPr>
          <w:spacing w:val="-1"/>
        </w:rPr>
        <w:t>公司建立了与公司财务信息相关的、符合公司实际情况的、较为合理的内部控</w:t>
      </w:r>
    </w:p>
    <w:p>
      <w:pPr>
        <w:pStyle w:val="BodyText"/>
        <w:spacing w:line="357" w:lineRule="auto" w:before="34"/>
        <w:ind w:right="267"/>
        <w:jc w:val="both"/>
      </w:pPr>
      <w:r>
        <w:rPr>
          <w:spacing w:val="-1"/>
        </w:rPr>
        <w:t>制制度，并且得到了有效的执行。在财务管理和会计审核方面均设置了较为合理的</w:t>
      </w:r>
      <w:r>
        <w:rPr>
          <w:spacing w:val="-93"/>
        </w:rPr>
        <w:t> </w:t>
      </w:r>
      <w:r>
        <w:rPr>
          <w:spacing w:val="-93"/>
        </w:rPr>
      </w:r>
      <w:r>
        <w:rPr>
          <w:spacing w:val="-1"/>
        </w:rPr>
        <w:t>岗位职责权限，并配备了相应的人员以保证财会工作的顺利开展，财务会计机构人</w:t>
      </w:r>
      <w:r>
        <w:rPr>
          <w:spacing w:val="-93"/>
        </w:rPr>
        <w:t> </w:t>
      </w:r>
      <w:r>
        <w:rPr>
          <w:spacing w:val="-93"/>
        </w:rPr>
      </w:r>
      <w:r>
        <w:rPr>
          <w:spacing w:val="-1"/>
        </w:rPr>
        <w:t>员分工明确，实行岗位责任制，各岗位都能相互牵制相互制衡。公司的会计管理内</w:t>
      </w:r>
      <w:r>
        <w:rPr>
          <w:spacing w:val="-93"/>
        </w:rPr>
        <w:t> </w:t>
      </w:r>
      <w:r>
        <w:rPr>
          <w:spacing w:val="-93"/>
        </w:rPr>
      </w:r>
      <w:r>
        <w:rPr>
          <w:spacing w:val="-1"/>
        </w:rPr>
        <w:t>部控制完整、合理、有效，公司各级会计人员具备了相应的专业素质，不定期的参</w:t>
      </w:r>
      <w:r>
        <w:rPr>
          <w:spacing w:val="-93"/>
        </w:rPr>
        <w:t> </w:t>
      </w:r>
      <w:r>
        <w:rPr>
          <w:spacing w:val="-93"/>
        </w:rPr>
      </w:r>
      <w:r>
        <w:rPr>
          <w:spacing w:val="-1"/>
        </w:rPr>
        <w:t>加相关业务培训，对重要会计业务和电算化操作制定和执行了明确的授权规定。公</w:t>
      </w:r>
      <w:r>
        <w:rPr>
          <w:spacing w:val="-93"/>
        </w:rPr>
        <w:t> </w:t>
      </w:r>
      <w:r>
        <w:rPr>
          <w:spacing w:val="-93"/>
        </w:rPr>
      </w:r>
      <w:r>
        <w:rPr/>
        <w:t>司的内部控制机制较为完善，能够得到切实有效的实施。</w:t>
      </w:r>
    </w:p>
    <w:p>
      <w:pPr>
        <w:pStyle w:val="BodyText"/>
        <w:spacing w:line="357" w:lineRule="auto" w:before="34"/>
        <w:ind w:left="597" w:right="115"/>
        <w:jc w:val="left"/>
      </w:pPr>
      <w:r>
        <w:rPr/>
        <w:t>（六）经营管理方面的内部控制情况</w:t>
      </w:r>
      <w:r>
        <w:rPr>
          <w:w w:val="100"/>
        </w:rPr>
        <w:t> </w:t>
      </w:r>
      <w:r>
        <w:rPr>
          <w:spacing w:val="-1"/>
        </w:rPr>
        <w:t>公司根据自身经营特点，制定了较为科学、切实可行的覆盖公司研发、销售、</w:t>
      </w:r>
    </w:p>
    <w:p>
      <w:pPr>
        <w:pStyle w:val="BodyText"/>
        <w:spacing w:line="357" w:lineRule="auto" w:before="32"/>
        <w:ind w:right="267"/>
        <w:jc w:val="both"/>
      </w:pPr>
      <w:r>
        <w:rPr>
          <w:spacing w:val="-1"/>
        </w:rPr>
        <w:t>采购、质量管理、人力资源、行政管理等各系统和部门的规章制度，并认真落实和</w:t>
      </w:r>
      <w:r>
        <w:rPr>
          <w:spacing w:val="-93"/>
        </w:rPr>
        <w:t> </w:t>
      </w:r>
      <w:r>
        <w:rPr>
          <w:spacing w:val="-93"/>
        </w:rPr>
      </w:r>
      <w:r>
        <w:rPr>
          <w:spacing w:val="-1"/>
        </w:rPr>
        <w:t>严格执行，以保障经营管理的规范和高效。在具体业务管理方面，公司正在梳理和</w:t>
      </w:r>
      <w:r>
        <w:rPr>
          <w:spacing w:val="-93"/>
        </w:rPr>
        <w:t> </w:t>
      </w:r>
      <w:r>
        <w:rPr>
          <w:spacing w:val="-93"/>
        </w:rPr>
      </w:r>
      <w:r>
        <w:rPr>
          <w:spacing w:val="-1"/>
        </w:rPr>
        <w:t>完善业务流程，制订一系列的工作流程指引、岗位说明书等规范性文件，保证各项</w:t>
      </w:r>
      <w:r>
        <w:rPr>
          <w:spacing w:val="-93"/>
        </w:rPr>
        <w:t> </w:t>
      </w:r>
      <w:r>
        <w:rPr>
          <w:spacing w:val="-93"/>
        </w:rPr>
      </w:r>
      <w:r>
        <w:rPr/>
        <w:t>业务有章可循，规范操作。公司在经营管理的各个方面没有重大漏洞。</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0"/>
          <w:szCs w:val="20"/>
        </w:rPr>
      </w:pPr>
    </w:p>
    <w:p>
      <w:pPr>
        <w:spacing w:line="453" w:lineRule="auto" w:before="0"/>
        <w:ind w:left="597" w:right="115" w:hanging="460"/>
        <w:jc w:val="left"/>
        <w:rPr>
          <w:rFonts w:ascii="宋体" w:hAnsi="宋体" w:cs="宋体" w:eastAsia="宋体" w:hint="default"/>
          <w:sz w:val="23"/>
          <w:szCs w:val="23"/>
        </w:rPr>
      </w:pPr>
      <w:r>
        <w:rPr>
          <w:rFonts w:ascii="宋体" w:hAnsi="宋体" w:cs="宋体" w:eastAsia="宋体" w:hint="default"/>
          <w:b/>
          <w:bCs/>
          <w:sz w:val="23"/>
          <w:szCs w:val="23"/>
        </w:rPr>
        <w:t>七、高级管理人员的考评及激励情况</w:t>
      </w:r>
      <w:r>
        <w:rPr>
          <w:rFonts w:ascii="宋体" w:hAnsi="宋体" w:cs="宋体" w:eastAsia="宋体" w:hint="default"/>
          <w:b/>
          <w:bCs/>
          <w:w w:val="99"/>
          <w:sz w:val="23"/>
          <w:szCs w:val="23"/>
        </w:rPr>
        <w:t> </w:t>
      </w:r>
      <w:r>
        <w:rPr>
          <w:rFonts w:ascii="宋体" w:hAnsi="宋体" w:cs="宋体" w:eastAsia="宋体" w:hint="default"/>
          <w:spacing w:val="-1"/>
          <w:sz w:val="23"/>
          <w:szCs w:val="23"/>
        </w:rPr>
        <w:t>公司高级管理人员、核心人员及骨干多为公司股东，与股东利益的取向是一致</w:t>
      </w:r>
    </w:p>
    <w:p>
      <w:pPr>
        <w:pStyle w:val="BodyText"/>
        <w:spacing w:line="243" w:lineRule="exact"/>
        <w:ind w:right="0"/>
        <w:jc w:val="both"/>
      </w:pPr>
      <w:r>
        <w:rPr/>
        <w:t>的。同时，公司已经聘请了专业机构为公司建立更为完善的高级管理人员、核心人</w:t>
      </w:r>
    </w:p>
    <w:p>
      <w:pPr>
        <w:pStyle w:val="BodyText"/>
        <w:spacing w:line="357" w:lineRule="auto" w:before="146"/>
        <w:ind w:right="267"/>
        <w:jc w:val="both"/>
      </w:pPr>
      <w:r>
        <w:rPr>
          <w:spacing w:val="-1"/>
        </w:rPr>
        <w:t>员的绩效考评体系，对公司高管及核心人员的业绩完成情况进行考核，以促使公司</w:t>
      </w:r>
      <w:r>
        <w:rPr>
          <w:spacing w:val="-93"/>
        </w:rPr>
        <w:t> </w:t>
      </w:r>
      <w:r>
        <w:rPr>
          <w:spacing w:val="-93"/>
        </w:rPr>
      </w:r>
      <w:r>
        <w:rPr>
          <w:spacing w:val="-1"/>
        </w:rPr>
        <w:t>高管人员、核心人员勤勉尽责，恪守职责，努力超额完成公司制定的各项任务，进</w:t>
      </w:r>
      <w:r>
        <w:rPr>
          <w:spacing w:val="-93"/>
        </w:rPr>
        <w:t> </w:t>
      </w:r>
      <w:r>
        <w:rPr>
          <w:spacing w:val="-93"/>
        </w:rPr>
      </w:r>
      <w:r>
        <w:rPr/>
        <w:t>而实现股东价值最大化和公司利益最大化。</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0"/>
          <w:szCs w:val="20"/>
        </w:rPr>
      </w:pPr>
    </w:p>
    <w:p>
      <w:pPr>
        <w:spacing w:line="453" w:lineRule="auto" w:before="0"/>
        <w:ind w:left="557" w:right="115" w:hanging="420"/>
        <w:jc w:val="left"/>
        <w:rPr>
          <w:rFonts w:ascii="宋体" w:hAnsi="宋体" w:cs="宋体" w:eastAsia="宋体" w:hint="default"/>
          <w:sz w:val="23"/>
          <w:szCs w:val="23"/>
        </w:rPr>
      </w:pPr>
      <w:r>
        <w:rPr>
          <w:rFonts w:ascii="宋体" w:hAnsi="宋体" w:cs="宋体" w:eastAsia="宋体" w:hint="default"/>
          <w:b/>
          <w:bCs/>
          <w:sz w:val="23"/>
          <w:szCs w:val="23"/>
        </w:rPr>
        <w:t>八、公司是否存在治理非规范情况说明</w:t>
      </w:r>
      <w:r>
        <w:rPr>
          <w:rFonts w:ascii="宋体" w:hAnsi="宋体" w:cs="宋体" w:eastAsia="宋体" w:hint="default"/>
          <w:b/>
          <w:bCs/>
          <w:w w:val="99"/>
          <w:sz w:val="23"/>
          <w:szCs w:val="23"/>
        </w:rPr>
        <w:t> </w:t>
      </w:r>
      <w:r>
        <w:rPr>
          <w:rFonts w:ascii="宋体" w:hAnsi="宋体" w:cs="宋体" w:eastAsia="宋体" w:hint="default"/>
          <w:sz w:val="23"/>
          <w:szCs w:val="23"/>
        </w:rPr>
        <w:t>报告期内，公司大股东、实际控制人严格遵守《深圳证券交易所创业板股票上</w:t>
      </w:r>
    </w:p>
    <w:p>
      <w:pPr>
        <w:pStyle w:val="BodyText"/>
        <w:spacing w:line="243" w:lineRule="exact"/>
        <w:ind w:right="0"/>
        <w:jc w:val="both"/>
      </w:pPr>
      <w:r>
        <w:rPr>
          <w:w w:val="100"/>
        </w:rPr>
        <w:t>市规则</w:t>
      </w:r>
      <w:r>
        <w:rPr>
          <w:spacing w:val="-116"/>
          <w:w w:val="100"/>
        </w:rPr>
        <w:t>》</w:t>
      </w:r>
      <w:r>
        <w:rPr>
          <w:spacing w:val="-158"/>
          <w:w w:val="100"/>
        </w:rPr>
        <w:t>、</w:t>
      </w:r>
      <w:r>
        <w:rPr>
          <w:spacing w:val="-2"/>
          <w:w w:val="100"/>
        </w:rPr>
        <w:t>《</w:t>
      </w:r>
      <w:r>
        <w:rPr>
          <w:w w:val="100"/>
        </w:rPr>
        <w:t>深圳证</w:t>
      </w:r>
      <w:r>
        <w:rPr>
          <w:spacing w:val="-2"/>
          <w:w w:val="100"/>
        </w:rPr>
        <w:t>券交</w:t>
      </w:r>
      <w:r>
        <w:rPr>
          <w:w w:val="100"/>
        </w:rPr>
        <w:t>易所创</w:t>
      </w:r>
      <w:r>
        <w:rPr>
          <w:spacing w:val="-2"/>
          <w:w w:val="100"/>
        </w:rPr>
        <w:t>业板</w:t>
      </w:r>
      <w:r>
        <w:rPr>
          <w:w w:val="100"/>
        </w:rPr>
        <w:t>上市公</w:t>
      </w:r>
      <w:r>
        <w:rPr>
          <w:spacing w:val="-2"/>
          <w:w w:val="100"/>
        </w:rPr>
        <w:t>司规</w:t>
      </w:r>
      <w:r>
        <w:rPr>
          <w:w w:val="100"/>
        </w:rPr>
        <w:t>范运作</w:t>
      </w:r>
      <w:r>
        <w:rPr>
          <w:spacing w:val="-2"/>
          <w:w w:val="100"/>
        </w:rPr>
        <w:t>指引</w:t>
      </w:r>
      <w:r>
        <w:rPr>
          <w:spacing w:val="-42"/>
          <w:w w:val="100"/>
        </w:rPr>
        <w:t>》</w:t>
      </w:r>
      <w:r>
        <w:rPr>
          <w:w w:val="100"/>
        </w:rPr>
        <w:t>等相关</w:t>
      </w:r>
      <w:r>
        <w:rPr>
          <w:spacing w:val="-2"/>
          <w:w w:val="100"/>
        </w:rPr>
        <w:t>法</w:t>
      </w:r>
      <w:r>
        <w:rPr>
          <w:w w:val="100"/>
        </w:rPr>
        <w:t>律法规</w:t>
      </w:r>
      <w:r>
        <w:rPr>
          <w:spacing w:val="-2"/>
          <w:w w:val="100"/>
        </w:rPr>
        <w:t>的规</w:t>
      </w:r>
      <w:r>
        <w:rPr>
          <w:spacing w:val="1"/>
          <w:w w:val="100"/>
        </w:rPr>
        <w:t>定</w:t>
      </w:r>
      <w:r>
        <w:rPr>
          <w:w w:val="100"/>
        </w:rPr>
        <w:t>，</w:t>
      </w:r>
    </w:p>
    <w:p>
      <w:pPr>
        <w:pStyle w:val="BodyText"/>
        <w:spacing w:line="355" w:lineRule="auto" w:before="146"/>
        <w:ind w:right="233"/>
        <w:jc w:val="both"/>
      </w:pPr>
      <w:r>
        <w:rPr/>
        <w:t>不存在干预公司研发、经营、管理等治理非规范情况，公司亦不存在向大股东提供</w:t>
      </w:r>
      <w:r>
        <w:rPr>
          <w:spacing w:val="-87"/>
        </w:rPr>
        <w:t> </w:t>
      </w:r>
      <w:r>
        <w:rPr>
          <w:spacing w:val="-87"/>
        </w:rPr>
      </w:r>
      <w:r>
        <w:rPr/>
        <w:t>未公开信息或存在其他治理非规范情况。</w:t>
      </w:r>
    </w:p>
    <w:p>
      <w:pPr>
        <w:spacing w:after="0" w:line="355" w:lineRule="auto"/>
        <w:jc w:val="both"/>
        <w:sectPr>
          <w:pgSz w:w="11910" w:h="16840"/>
          <w:pgMar w:header="877" w:footer="982" w:top="1100" w:bottom="1180" w:left="16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Heading1"/>
        <w:spacing w:line="240" w:lineRule="auto"/>
        <w:ind w:right="14"/>
        <w:jc w:val="center"/>
      </w:pPr>
      <w:bookmarkStart w:name="_TOC_250002" w:id="8"/>
      <w:r>
        <w:rPr/>
        <w:t>第八节</w:t>
      </w:r>
      <w:r>
        <w:rPr>
          <w:spacing w:val="-4"/>
        </w:rPr>
        <w:t> </w:t>
      </w:r>
      <w:bookmarkEnd w:id="8"/>
      <w:r>
        <w:rPr/>
        <w:t>监事会报告</w:t>
      </w:r>
    </w:p>
    <w:p>
      <w:pPr>
        <w:spacing w:line="240" w:lineRule="auto" w:before="9"/>
        <w:rPr>
          <w:rFonts w:ascii="黑体" w:hAnsi="黑体" w:cs="黑体" w:eastAsia="黑体" w:hint="default"/>
          <w:sz w:val="44"/>
          <w:szCs w:val="44"/>
        </w:rPr>
      </w:pPr>
    </w:p>
    <w:p>
      <w:pPr>
        <w:pStyle w:val="Heading5"/>
        <w:spacing w:line="240" w:lineRule="auto"/>
        <w:ind w:right="0"/>
        <w:jc w:val="both"/>
        <w:rPr>
          <w:b w:val="0"/>
          <w:bCs w:val="0"/>
        </w:rPr>
      </w:pPr>
      <w:r>
        <w:rPr/>
        <w:t>一、报告期内监事会工作情况</w:t>
      </w:r>
      <w:r>
        <w:rPr>
          <w:b w:val="0"/>
          <w:bCs w:val="0"/>
        </w:rPr>
      </w:r>
    </w:p>
    <w:p>
      <w:pPr>
        <w:pStyle w:val="BodyText"/>
        <w:spacing w:line="350" w:lineRule="auto" w:before="146"/>
        <w:ind w:right="187" w:firstLine="459"/>
        <w:jc w:val="both"/>
      </w:pPr>
      <w:r>
        <w:rPr>
          <w:rFonts w:ascii="Times New Roman" w:hAnsi="Times New Roman" w:cs="Times New Roman" w:eastAsia="Times New Roman" w:hint="default"/>
          <w:spacing w:val="-13"/>
          <w:w w:val="100"/>
        </w:rPr>
        <w:t>2011</w:t>
      </w:r>
      <w:r>
        <w:rPr>
          <w:spacing w:val="-13"/>
          <w:w w:val="100"/>
        </w:rPr>
        <w:t>年度，公司监事会严格按照《公司法》、《证券法》、《公司章程》和有关法</w:t>
      </w:r>
      <w:r>
        <w:rPr>
          <w:w w:val="100"/>
        </w:rPr>
        <w:t> </w:t>
      </w:r>
      <w:r>
        <w:rPr>
          <w:spacing w:val="-1"/>
        </w:rPr>
        <w:t>律法规的要求，本着对全体股东负责的态度，积极有效地开展工作，认真履行了自</w:t>
      </w:r>
      <w:r>
        <w:rPr>
          <w:spacing w:val="-93"/>
        </w:rPr>
        <w:t> </w:t>
      </w:r>
      <w:r>
        <w:rPr>
          <w:spacing w:val="-93"/>
        </w:rPr>
      </w:r>
      <w:r>
        <w:rPr>
          <w:spacing w:val="-1"/>
        </w:rPr>
        <w:t>身职责。监事会对公司依法运作情况和公司董事、高级管理人员履行职责情况进行</w:t>
      </w:r>
      <w:r>
        <w:rPr>
          <w:spacing w:val="-93"/>
        </w:rPr>
        <w:t> </w:t>
      </w:r>
      <w:r>
        <w:rPr>
          <w:spacing w:val="-93"/>
        </w:rPr>
      </w:r>
      <w:r>
        <w:rPr/>
        <w:t>了监督和检查，维护了公司及股东的合法权益。</w:t>
      </w:r>
    </w:p>
    <w:p>
      <w:pPr>
        <w:pStyle w:val="BodyText"/>
        <w:spacing w:line="240" w:lineRule="auto" w:before="41"/>
        <w:ind w:left="597" w:right="0"/>
        <w:jc w:val="left"/>
      </w:pPr>
      <w:r>
        <w:rPr/>
        <w:t>报告期内，公司监事会共召开了四次会议，具体如下：</w:t>
      </w:r>
    </w:p>
    <w:p>
      <w:pPr>
        <w:pStyle w:val="BodyText"/>
        <w:spacing w:line="343" w:lineRule="auto" w:before="146"/>
        <w:ind w:right="0" w:firstLine="459"/>
        <w:jc w:val="left"/>
      </w:pP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8</w:t>
      </w:r>
      <w:r>
        <w:rPr>
          <w:spacing w:val="-4"/>
        </w:rPr>
        <w:t>日，召开第二届监事会第二次会议，审议通过了《</w:t>
      </w:r>
      <w:r>
        <w:rPr>
          <w:rFonts w:ascii="Times New Roman" w:hAnsi="Times New Roman" w:cs="Times New Roman" w:eastAsia="Times New Roman" w:hint="default"/>
          <w:spacing w:val="-4"/>
        </w:rPr>
        <w:t>2010</w:t>
      </w:r>
      <w:r>
        <w:rPr>
          <w:spacing w:val="-4"/>
        </w:rPr>
        <w:t>年度监事</w:t>
      </w:r>
      <w:r>
        <w:rPr>
          <w:w w:val="100"/>
        </w:rPr>
        <w:t> </w:t>
      </w:r>
      <w:r>
        <w:rPr>
          <w:spacing w:val="-17"/>
          <w:w w:val="100"/>
        </w:rPr>
        <w:t>会工作报告》、《</w:t>
      </w:r>
      <w:r>
        <w:rPr>
          <w:rFonts w:ascii="Times New Roman" w:hAnsi="Times New Roman" w:cs="Times New Roman" w:eastAsia="Times New Roman" w:hint="default"/>
          <w:spacing w:val="-17"/>
          <w:w w:val="100"/>
        </w:rPr>
        <w:t>2010</w:t>
      </w:r>
      <w:r>
        <w:rPr>
          <w:spacing w:val="-17"/>
          <w:w w:val="100"/>
        </w:rPr>
        <w:t>年年度报告》、《</w:t>
      </w:r>
      <w:r>
        <w:rPr>
          <w:rFonts w:ascii="Times New Roman" w:hAnsi="Times New Roman" w:cs="Times New Roman" w:eastAsia="Times New Roman" w:hint="default"/>
          <w:spacing w:val="-17"/>
          <w:w w:val="100"/>
        </w:rPr>
        <w:t>2010</w:t>
      </w:r>
      <w:r>
        <w:rPr>
          <w:spacing w:val="-17"/>
          <w:w w:val="100"/>
        </w:rPr>
        <w:t>年年度报告摘要》、《</w:t>
      </w:r>
      <w:r>
        <w:rPr>
          <w:rFonts w:ascii="Times New Roman" w:hAnsi="Times New Roman" w:cs="Times New Roman" w:eastAsia="Times New Roman" w:hint="default"/>
          <w:spacing w:val="-17"/>
          <w:w w:val="100"/>
        </w:rPr>
        <w:t>2010</w:t>
      </w:r>
      <w:r>
        <w:rPr>
          <w:spacing w:val="-17"/>
          <w:w w:val="100"/>
        </w:rPr>
        <w:t>年度利润分配和</w:t>
      </w:r>
      <w:r>
        <w:rPr>
          <w:spacing w:val="-76"/>
          <w:w w:val="100"/>
        </w:rPr>
        <w:t> </w:t>
      </w:r>
      <w:r>
        <w:rPr>
          <w:spacing w:val="-76"/>
          <w:w w:val="100"/>
        </w:rPr>
      </w:r>
      <w:r>
        <w:rPr>
          <w:spacing w:val="-12"/>
          <w:w w:val="100"/>
        </w:rPr>
        <w:t>资本公积金转增股本预案》、《</w:t>
      </w:r>
      <w:r>
        <w:rPr>
          <w:rFonts w:ascii="Times New Roman" w:hAnsi="Times New Roman" w:cs="Times New Roman" w:eastAsia="Times New Roman" w:hint="default"/>
          <w:spacing w:val="-12"/>
          <w:w w:val="100"/>
        </w:rPr>
        <w:t>2010</w:t>
      </w:r>
      <w:r>
        <w:rPr>
          <w:spacing w:val="-12"/>
          <w:w w:val="100"/>
        </w:rPr>
        <w:t>年度内部控制自我评价报告》、《</w:t>
      </w:r>
      <w:r>
        <w:rPr>
          <w:rFonts w:ascii="Times New Roman" w:hAnsi="Times New Roman" w:cs="Times New Roman" w:eastAsia="Times New Roman" w:hint="default"/>
          <w:spacing w:val="-12"/>
          <w:w w:val="100"/>
        </w:rPr>
        <w:t>2010</w:t>
      </w:r>
      <w:r>
        <w:rPr>
          <w:spacing w:val="-12"/>
          <w:w w:val="100"/>
        </w:rPr>
        <w:t>年度募集资</w:t>
      </w:r>
      <w:r>
        <w:rPr>
          <w:spacing w:val="-106"/>
          <w:w w:val="100"/>
        </w:rPr>
        <w:t> </w:t>
      </w:r>
      <w:r>
        <w:rPr>
          <w:spacing w:val="-106"/>
          <w:w w:val="100"/>
        </w:rPr>
      </w:r>
      <w:r>
        <w:rPr>
          <w:spacing w:val="-8"/>
          <w:w w:val="100"/>
        </w:rPr>
        <w:t>金存放和使用情况专项报告》、《关于续聘深圳市鹏城会计师事务所有限公司的议</w:t>
      </w:r>
      <w:r>
        <w:rPr>
          <w:spacing w:val="-86"/>
          <w:w w:val="100"/>
        </w:rPr>
        <w:t> </w:t>
      </w:r>
      <w:r>
        <w:rPr>
          <w:spacing w:val="-86"/>
          <w:w w:val="100"/>
        </w:rPr>
      </w:r>
      <w:r>
        <w:rPr>
          <w:spacing w:val="-39"/>
          <w:w w:val="100"/>
        </w:rPr>
        <w:t>案》；</w:t>
      </w:r>
    </w:p>
    <w:p>
      <w:pPr>
        <w:pStyle w:val="BodyText"/>
        <w:spacing w:line="338" w:lineRule="auto" w:before="47"/>
        <w:ind w:right="0" w:firstLine="459"/>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日，召开第二届监事会第三次会议，审议通过了《</w:t>
      </w:r>
      <w:r>
        <w:rPr>
          <w:rFonts w:ascii="Times New Roman" w:hAnsi="Times New Roman" w:cs="Times New Roman" w:eastAsia="Times New Roman" w:hint="default"/>
          <w:spacing w:val="-2"/>
        </w:rPr>
        <w:t>2011</w:t>
      </w:r>
      <w:r>
        <w:rPr>
          <w:spacing w:val="-2"/>
        </w:rPr>
        <w:t>年第一</w:t>
      </w:r>
      <w:r>
        <w:rPr>
          <w:w w:val="100"/>
        </w:rPr>
        <w:t> </w:t>
      </w:r>
      <w:r>
        <w:rPr>
          <w:spacing w:val="-12"/>
          <w:w w:val="100"/>
        </w:rPr>
        <w:t>季度报告全文及正文》；</w:t>
      </w:r>
    </w:p>
    <w:p>
      <w:pPr>
        <w:pStyle w:val="BodyText"/>
        <w:spacing w:line="338" w:lineRule="auto" w:before="52"/>
        <w:ind w:right="0" w:firstLine="459"/>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19</w:t>
      </w:r>
      <w:r>
        <w:rPr>
          <w:spacing w:val="-2"/>
        </w:rPr>
        <w:t>日，召开第二届监事会第四次会议，审议通过了《公司</w:t>
      </w:r>
      <w:r>
        <w:rPr>
          <w:rFonts w:ascii="Times New Roman" w:hAnsi="Times New Roman" w:cs="Times New Roman" w:eastAsia="Times New Roman" w:hint="default"/>
          <w:spacing w:val="-2"/>
        </w:rPr>
        <w:t>2011</w:t>
      </w:r>
      <w:r>
        <w:rPr>
          <w:spacing w:val="-2"/>
        </w:rPr>
        <w:t>年</w:t>
      </w:r>
      <w:r>
        <w:rPr>
          <w:w w:val="100"/>
        </w:rPr>
        <w:t> </w:t>
      </w:r>
      <w:r>
        <w:rPr>
          <w:spacing w:val="-9"/>
          <w:w w:val="100"/>
        </w:rPr>
        <w:t>半年度报告及其摘要的议案》；</w:t>
      </w:r>
    </w:p>
    <w:p>
      <w:pPr>
        <w:pStyle w:val="BodyText"/>
        <w:spacing w:line="338" w:lineRule="auto" w:before="52"/>
        <w:ind w:right="0" w:firstLine="459"/>
        <w:jc w:val="left"/>
      </w:pPr>
      <w:r>
        <w:rPr>
          <w:rFonts w:ascii="Times New Roman" w:hAnsi="Times New Roman" w:cs="Times New Roman" w:eastAsia="Times New Roman" w:hint="default"/>
          <w:spacing w:val="-4"/>
        </w:rPr>
        <w:t>4</w:t>
      </w:r>
      <w:r>
        <w:rPr>
          <w:spacing w:val="-4"/>
        </w:rPr>
        <w:t>．</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24</w:t>
      </w:r>
      <w:r>
        <w:rPr>
          <w:spacing w:val="-4"/>
        </w:rPr>
        <w:t>日，召开了第二届监事会第五次会议，审议通过了《</w:t>
      </w:r>
      <w:r>
        <w:rPr>
          <w:rFonts w:ascii="Times New Roman" w:hAnsi="Times New Roman" w:cs="Times New Roman" w:eastAsia="Times New Roman" w:hint="default"/>
          <w:spacing w:val="-4"/>
        </w:rPr>
        <w:t>2011</w:t>
      </w:r>
      <w:r>
        <w:rPr>
          <w:spacing w:val="-4"/>
        </w:rPr>
        <w:t>年第</w:t>
      </w:r>
      <w:r>
        <w:rPr>
          <w:w w:val="100"/>
        </w:rPr>
        <w:t> </w:t>
      </w:r>
      <w:r>
        <w:rPr>
          <w:spacing w:val="-11"/>
          <w:w w:val="100"/>
        </w:rPr>
        <w:t>三季度报告全文及正文》；</w:t>
      </w:r>
    </w:p>
    <w:p>
      <w:pPr>
        <w:spacing w:line="357" w:lineRule="auto" w:before="51"/>
        <w:ind w:left="597" w:right="0" w:hanging="460"/>
        <w:jc w:val="left"/>
        <w:rPr>
          <w:rFonts w:ascii="宋体" w:hAnsi="宋体" w:cs="宋体" w:eastAsia="宋体" w:hint="default"/>
          <w:sz w:val="23"/>
          <w:szCs w:val="23"/>
        </w:rPr>
      </w:pPr>
      <w:r>
        <w:rPr>
          <w:rFonts w:ascii="宋体" w:hAnsi="宋体" w:cs="宋体" w:eastAsia="宋体" w:hint="default"/>
          <w:b/>
          <w:bCs/>
          <w:sz w:val="23"/>
          <w:szCs w:val="23"/>
        </w:rPr>
        <w:t>二、监事会对公司报告期内有关事项的独立意见</w:t>
      </w:r>
      <w:r>
        <w:rPr>
          <w:rFonts w:ascii="宋体" w:hAnsi="宋体" w:cs="宋体" w:eastAsia="宋体" w:hint="default"/>
          <w:b/>
          <w:bCs/>
          <w:w w:val="99"/>
          <w:sz w:val="23"/>
          <w:szCs w:val="23"/>
        </w:rPr>
        <w:t> </w:t>
      </w:r>
      <w:r>
        <w:rPr>
          <w:rFonts w:ascii="宋体" w:hAnsi="宋体" w:cs="宋体" w:eastAsia="宋体" w:hint="default"/>
          <w:spacing w:val="-1"/>
          <w:sz w:val="23"/>
          <w:szCs w:val="23"/>
        </w:rPr>
        <w:t>报告期内，公司监事会根据相关法律法规及《公司章程》的有关规定，对公司</w:t>
      </w:r>
    </w:p>
    <w:p>
      <w:pPr>
        <w:pStyle w:val="BodyText"/>
        <w:spacing w:line="357" w:lineRule="auto" w:before="34"/>
        <w:ind w:right="187"/>
        <w:jc w:val="both"/>
      </w:pPr>
      <w:r>
        <w:rPr>
          <w:spacing w:val="-1"/>
        </w:rPr>
        <w:t>的依法运作、财务状况、募集资金、关联交易、对外担保、内部控制等方面事项进</w:t>
      </w:r>
      <w:r>
        <w:rPr>
          <w:spacing w:val="-93"/>
        </w:rPr>
        <w:t> </w:t>
      </w:r>
      <w:r>
        <w:rPr>
          <w:spacing w:val="-93"/>
        </w:rPr>
      </w:r>
      <w:r>
        <w:rPr>
          <w:spacing w:val="-1"/>
        </w:rPr>
        <w:t>行了认真监督检查，根据检查结果，对报告期内公司有关情况发表如下独立意见：</w:t>
      </w:r>
    </w:p>
    <w:p>
      <w:pPr>
        <w:pStyle w:val="BodyText"/>
        <w:spacing w:line="357" w:lineRule="auto" w:before="34"/>
        <w:ind w:left="597" w:right="0"/>
        <w:jc w:val="left"/>
      </w:pPr>
      <w:r>
        <w:rPr/>
        <w:t>（一）公司依法运作情况</w:t>
      </w:r>
      <w:r>
        <w:rPr>
          <w:w w:val="100"/>
        </w:rPr>
        <w:t> </w:t>
      </w:r>
      <w:r>
        <w:rPr>
          <w:spacing w:val="-14"/>
          <w:w w:val="100"/>
        </w:rPr>
        <w:t>公司监事会依照《公司法》、《证券法》、《公司章程》及有关法律法规的规定，</w:t>
      </w:r>
    </w:p>
    <w:p>
      <w:pPr>
        <w:pStyle w:val="BodyText"/>
        <w:spacing w:line="357" w:lineRule="auto" w:before="34"/>
        <w:ind w:right="187"/>
        <w:jc w:val="both"/>
      </w:pPr>
      <w:r>
        <w:rPr>
          <w:spacing w:val="-1"/>
        </w:rPr>
        <w:t>对公司股东大会、董事会的召开程序、决议事项，董事会对股东大会决议的执行情</w:t>
      </w:r>
      <w:r>
        <w:rPr>
          <w:spacing w:val="-93"/>
        </w:rPr>
        <w:t> </w:t>
      </w:r>
      <w:r>
        <w:rPr>
          <w:spacing w:val="-93"/>
        </w:rPr>
      </w:r>
      <w:r>
        <w:rPr>
          <w:spacing w:val="-1"/>
        </w:rPr>
        <w:t>况，公司高级管理人员的执行情况及公司管理制度等进行了监督，认为公司决策程</w:t>
      </w:r>
      <w:r>
        <w:rPr>
          <w:spacing w:val="-93"/>
        </w:rPr>
        <w:t> </w:t>
      </w:r>
      <w:r>
        <w:rPr>
          <w:spacing w:val="-93"/>
        </w:rPr>
      </w:r>
      <w:r>
        <w:rPr>
          <w:spacing w:val="-1"/>
        </w:rPr>
        <w:t>序合法，公司建立了较为完善的内部控制制度。公司董事、经理及高级管理人员履</w:t>
      </w:r>
      <w:r>
        <w:rPr>
          <w:spacing w:val="-93"/>
        </w:rPr>
        <w:t> </w:t>
      </w:r>
      <w:r>
        <w:rPr>
          <w:spacing w:val="-93"/>
        </w:rPr>
      </w:r>
      <w:r>
        <w:rPr>
          <w:spacing w:val="-1"/>
        </w:rPr>
        <w:t>行公司职务时，没有发现违反法律、法规和《公司章程》的行为，没有损害公司利</w:t>
      </w:r>
      <w:r>
        <w:rPr>
          <w:spacing w:val="-93"/>
        </w:rPr>
        <w:t> </w:t>
      </w:r>
      <w:r>
        <w:rPr>
          <w:spacing w:val="-93"/>
        </w:rPr>
      </w:r>
      <w:r>
        <w:rPr/>
        <w:t>益的行为。</w:t>
      </w:r>
    </w:p>
    <w:p>
      <w:pPr>
        <w:spacing w:after="0" w:line="357" w:lineRule="auto"/>
        <w:jc w:val="both"/>
        <w:sectPr>
          <w:pgSz w:w="11910" w:h="16840"/>
          <w:pgMar w:header="877" w:footer="982" w:top="1100" w:bottom="1180" w:left="1660" w:right="1640"/>
        </w:sectPr>
      </w:pPr>
    </w:p>
    <w:p>
      <w:pPr>
        <w:spacing w:line="240" w:lineRule="auto" w:before="4"/>
        <w:rPr>
          <w:rFonts w:ascii="宋体" w:hAnsi="宋体" w:cs="宋体" w:eastAsia="宋体" w:hint="default"/>
          <w:sz w:val="19"/>
          <w:szCs w:val="19"/>
        </w:rPr>
      </w:pPr>
    </w:p>
    <w:p>
      <w:pPr>
        <w:pStyle w:val="BodyText"/>
        <w:spacing w:line="357" w:lineRule="auto" w:before="29"/>
        <w:ind w:left="597" w:right="186"/>
        <w:jc w:val="left"/>
      </w:pPr>
      <w:r>
        <w:rPr/>
        <w:t>（二）公司财务情况</w:t>
      </w:r>
      <w:r>
        <w:rPr>
          <w:w w:val="100"/>
        </w:rPr>
        <w:t> </w:t>
      </w:r>
      <w:r>
        <w:rPr>
          <w:spacing w:val="-1"/>
        </w:rPr>
        <w:t>监事会对公司报告期内的财务状况、财务管理和经营成果进行了认真地检查和</w:t>
      </w:r>
    </w:p>
    <w:p>
      <w:pPr>
        <w:pStyle w:val="BodyText"/>
        <w:spacing w:line="357" w:lineRule="auto" w:before="34"/>
        <w:ind w:right="102"/>
        <w:jc w:val="left"/>
      </w:pPr>
      <w:r>
        <w:rPr/>
        <w:t>审核，认为公司财务状况良好、财务制度健全、内控机制基本健全、会计无重大遗</w:t>
      </w:r>
      <w:r>
        <w:rPr>
          <w:w w:val="100"/>
        </w:rPr>
        <w:t> </w:t>
      </w:r>
      <w:r>
        <w:rPr>
          <w:spacing w:val="-12"/>
          <w:w w:val="100"/>
        </w:rPr>
        <w:t>漏和虚假记载。</w:t>
      </w:r>
      <w:r>
        <w:rPr>
          <w:rFonts w:ascii="Times New Roman" w:hAnsi="Times New Roman" w:cs="Times New Roman" w:eastAsia="Times New Roman" w:hint="default"/>
          <w:spacing w:val="-12"/>
          <w:w w:val="100"/>
        </w:rPr>
        <w:t>2011</w:t>
      </w:r>
      <w:r>
        <w:rPr>
          <w:rFonts w:ascii="Times New Roman" w:hAnsi="Times New Roman" w:cs="Times New Roman" w:eastAsia="Times New Roman" w:hint="default"/>
          <w:w w:val="100"/>
        </w:rPr>
        <w:t> </w:t>
      </w:r>
      <w:r>
        <w:rPr>
          <w:rFonts w:ascii="Times New Roman" w:hAnsi="Times New Roman" w:cs="Times New Roman" w:eastAsia="Times New Roman" w:hint="default"/>
          <w:spacing w:val="17"/>
          <w:w w:val="100"/>
        </w:rPr>
        <w:t> </w:t>
      </w:r>
      <w:r>
        <w:rPr>
          <w:spacing w:val="-5"/>
          <w:w w:val="100"/>
        </w:rPr>
        <w:t>年度财务报告真实、客观地反映了公司的财务状况和经营成果。</w:t>
      </w:r>
    </w:p>
    <w:p>
      <w:pPr>
        <w:pStyle w:val="BodyText"/>
        <w:spacing w:line="357" w:lineRule="auto" w:before="3"/>
        <w:ind w:left="597" w:right="186"/>
        <w:jc w:val="left"/>
      </w:pPr>
      <w:r>
        <w:rPr/>
        <w:t>（三）募集资金使用情况</w:t>
      </w:r>
      <w:r>
        <w:rPr>
          <w:w w:val="100"/>
        </w:rPr>
        <w:t> </w:t>
      </w:r>
      <w:r>
        <w:rPr>
          <w:spacing w:val="-1"/>
        </w:rPr>
        <w:t>报告期内，公司严格按照《募集资金管理制度》对募集资金进行使用和管理。</w:t>
      </w:r>
    </w:p>
    <w:p>
      <w:pPr>
        <w:pStyle w:val="BodyText"/>
        <w:spacing w:line="348" w:lineRule="auto" w:before="34"/>
        <w:ind w:right="222"/>
        <w:jc w:val="both"/>
      </w:pPr>
      <w:r>
        <w:rPr>
          <w:spacing w:val="-1"/>
        </w:rPr>
        <w:t>公司募集资金存放于专项账户集中管理，实际投入项目与承诺投入项目一致，没有</w:t>
      </w:r>
      <w:r>
        <w:rPr>
          <w:spacing w:val="-93"/>
        </w:rPr>
        <w:t> </w:t>
      </w:r>
      <w:r>
        <w:rPr>
          <w:spacing w:val="-93"/>
        </w:rPr>
      </w:r>
      <w:r>
        <w:rPr>
          <w:spacing w:val="-3"/>
        </w:rPr>
        <w:t>变更投向和用途，符合中国证监会、深圳证券交易所关于募集资金使用的相关规定</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4"/>
        </w:rPr>
        <w:t> </w:t>
      </w:r>
      <w:r>
        <w:rPr/>
        <w:t>不存在违规使用募集资金的行为。</w:t>
      </w:r>
    </w:p>
    <w:p>
      <w:pPr>
        <w:pStyle w:val="BodyText"/>
        <w:spacing w:line="357" w:lineRule="auto" w:before="43"/>
        <w:ind w:left="597" w:right="4134"/>
        <w:jc w:val="left"/>
      </w:pPr>
      <w:r>
        <w:rPr/>
        <w:t>（四）公司关联交易情况</w:t>
      </w:r>
      <w:r>
        <w:rPr>
          <w:w w:val="100"/>
        </w:rPr>
        <w:t> </w:t>
      </w:r>
      <w:r>
        <w:rPr>
          <w:spacing w:val="-1"/>
        </w:rPr>
        <w:t>报告期内，公司未发生关联交易行为。</w:t>
      </w:r>
    </w:p>
    <w:p>
      <w:pPr>
        <w:pStyle w:val="BodyText"/>
        <w:spacing w:line="357" w:lineRule="auto" w:before="32"/>
        <w:ind w:left="597" w:right="186"/>
        <w:jc w:val="left"/>
      </w:pPr>
      <w:r>
        <w:rPr/>
        <w:t>（五）公司对外担保情况保及股权、资产置换情况</w:t>
      </w:r>
      <w:r>
        <w:rPr>
          <w:w w:val="100"/>
        </w:rPr>
        <w:t> </w:t>
      </w:r>
      <w:r>
        <w:rPr>
          <w:spacing w:val="-1"/>
        </w:rPr>
        <w:t>报告期内，公司未发生对外担保及股权、资产置换情况，也未发生其他损害公</w:t>
      </w:r>
    </w:p>
    <w:p>
      <w:pPr>
        <w:pStyle w:val="BodyText"/>
        <w:spacing w:line="240" w:lineRule="auto" w:before="34"/>
        <w:ind w:right="0"/>
        <w:jc w:val="both"/>
      </w:pPr>
      <w:r>
        <w:rPr/>
        <w:t>司股东利益或造成公司资产流失的情况。</w:t>
      </w:r>
    </w:p>
    <w:p>
      <w:pPr>
        <w:pStyle w:val="BodyText"/>
        <w:spacing w:line="357" w:lineRule="auto" w:before="146"/>
        <w:ind w:left="597" w:right="1062"/>
        <w:jc w:val="left"/>
      </w:pPr>
      <w:r>
        <w:rPr/>
        <w:t>（六）公司收购、出售资产情况</w:t>
      </w:r>
      <w:r>
        <w:rPr>
          <w:w w:val="100"/>
        </w:rPr>
        <w:t> </w:t>
      </w:r>
      <w:r>
        <w:rPr>
          <w:spacing w:val="-1"/>
        </w:rPr>
        <w:t>报告期内，公司未发生收购、出售资产情况。</w:t>
      </w:r>
    </w:p>
    <w:p>
      <w:pPr>
        <w:pStyle w:val="BodyText"/>
        <w:spacing w:line="355" w:lineRule="auto" w:before="34"/>
        <w:ind w:left="557" w:right="186"/>
        <w:jc w:val="left"/>
      </w:pPr>
      <w:r>
        <w:rPr/>
        <w:t>（七）公司建立和实施内幕信息知情人管理制度的情况</w:t>
      </w:r>
      <w:r>
        <w:rPr>
          <w:w w:val="100"/>
        </w:rPr>
        <w:t> </w:t>
      </w:r>
      <w:r>
        <w:rPr>
          <w:spacing w:val="-1"/>
        </w:rPr>
        <w:t>公司监事会对报告期内公司建立和实施内幕信息知情人管理制度的情况进行了</w:t>
      </w:r>
    </w:p>
    <w:p>
      <w:pPr>
        <w:pStyle w:val="BodyText"/>
        <w:spacing w:line="357" w:lineRule="auto" w:before="36"/>
        <w:ind w:right="222"/>
        <w:jc w:val="both"/>
      </w:pPr>
      <w:r>
        <w:rPr>
          <w:spacing w:val="-5"/>
        </w:rPr>
        <w:t>核查，监事会认为： </w:t>
      </w:r>
      <w:r>
        <w:rPr>
          <w:spacing w:val="-3"/>
        </w:rPr>
        <w:t>公司已根据相关法律法规的要求，建立了内幕信息知情人管理</w:t>
      </w:r>
      <w:r>
        <w:rPr>
          <w:spacing w:val="-108"/>
        </w:rPr>
        <w:t> </w:t>
      </w:r>
      <w:r>
        <w:rPr>
          <w:spacing w:val="-108"/>
        </w:rPr>
      </w:r>
      <w:r>
        <w:rPr>
          <w:spacing w:val="-1"/>
        </w:rPr>
        <w:t>制度体系，报告期内公司严格执行内幕信息保密制度，严格规范信息传递流程，公</w:t>
      </w:r>
      <w:r>
        <w:rPr>
          <w:spacing w:val="-93"/>
        </w:rPr>
        <w:t> </w:t>
      </w:r>
      <w:r>
        <w:rPr>
          <w:spacing w:val="-93"/>
        </w:rPr>
      </w:r>
      <w:r>
        <w:rPr>
          <w:spacing w:val="-1"/>
        </w:rPr>
        <w:t>司董事、监事及高级管理人员和其他相关知情人严格遵守了内幕信息知情人管理制</w:t>
      </w:r>
      <w:r>
        <w:rPr>
          <w:spacing w:val="-93"/>
        </w:rPr>
        <w:t> </w:t>
      </w:r>
      <w:r>
        <w:rPr>
          <w:spacing w:val="-93"/>
        </w:rPr>
      </w:r>
      <w:r>
        <w:rPr>
          <w:spacing w:val="-1"/>
        </w:rPr>
        <w:t>度，未发现有内幕信息知情人利用内幕信息买卖本公司股份的情况。报告期内公司</w:t>
      </w:r>
      <w:r>
        <w:rPr>
          <w:spacing w:val="-93"/>
        </w:rPr>
        <w:t> </w:t>
      </w:r>
      <w:r>
        <w:rPr>
          <w:spacing w:val="-93"/>
        </w:rPr>
      </w:r>
      <w:r>
        <w:rPr/>
        <w:t>也未发生受到监管部门查处和整改的情形。</w:t>
      </w:r>
    </w:p>
    <w:p>
      <w:pPr>
        <w:pStyle w:val="BodyText"/>
        <w:spacing w:line="355" w:lineRule="auto" w:before="34"/>
        <w:ind w:left="597" w:right="186"/>
        <w:jc w:val="left"/>
      </w:pPr>
      <w:r>
        <w:rPr/>
        <w:t>（八）对内部控制自我评价报告的意见</w:t>
      </w:r>
      <w:r>
        <w:rPr>
          <w:w w:val="100"/>
        </w:rPr>
        <w:t> </w:t>
      </w:r>
      <w:r>
        <w:rPr>
          <w:spacing w:val="-1"/>
        </w:rPr>
        <w:t>监事会对董事会关于公司</w:t>
      </w:r>
      <w:r>
        <w:rPr>
          <w:rFonts w:ascii="Times New Roman" w:hAnsi="Times New Roman" w:cs="Times New Roman" w:eastAsia="Times New Roman" w:hint="default"/>
          <w:spacing w:val="-1"/>
        </w:rPr>
        <w:t>2011</w:t>
      </w:r>
      <w:r>
        <w:rPr>
          <w:spacing w:val="-1"/>
        </w:rPr>
        <w:t>年度内部控制自我评价报告、公司内部控制制度</w:t>
      </w:r>
    </w:p>
    <w:p>
      <w:pPr>
        <w:pStyle w:val="BodyText"/>
        <w:spacing w:line="357" w:lineRule="auto" w:before="7"/>
        <w:ind w:right="227"/>
        <w:jc w:val="both"/>
      </w:pPr>
      <w:r>
        <w:rPr>
          <w:spacing w:val="-1"/>
        </w:rPr>
        <w:t>的建设和运行情况进行了审核，认为：公司已基本建立了较为完善的内部控制制度</w:t>
      </w:r>
      <w:r>
        <w:rPr>
          <w:spacing w:val="-93"/>
        </w:rPr>
        <w:t> </w:t>
      </w:r>
      <w:r>
        <w:rPr>
          <w:spacing w:val="-93"/>
        </w:rPr>
      </w:r>
      <w:r>
        <w:rPr>
          <w:spacing w:val="-1"/>
        </w:rPr>
        <w:t>体系，符合国家有关法律法规要求以及公司生产经营管理实际需要，并能得到有效</w:t>
      </w:r>
      <w:r>
        <w:rPr>
          <w:spacing w:val="-93"/>
        </w:rPr>
        <w:t> </w:t>
      </w:r>
      <w:r>
        <w:rPr>
          <w:spacing w:val="-93"/>
        </w:rPr>
      </w:r>
      <w:r>
        <w:rPr>
          <w:spacing w:val="-1"/>
        </w:rPr>
        <w:t>的执行。公司内部控制的自我评价报告真实、客观地反映了公司内部控制制度的建</w:t>
      </w:r>
      <w:r>
        <w:rPr>
          <w:spacing w:val="-93"/>
        </w:rPr>
        <w:t> </w:t>
      </w:r>
      <w:r>
        <w:rPr>
          <w:spacing w:val="-93"/>
        </w:rPr>
      </w:r>
      <w:r>
        <w:rPr/>
        <w:t>设及运行情况。</w:t>
      </w:r>
    </w:p>
    <w:p>
      <w:pPr>
        <w:pStyle w:val="BodyText"/>
        <w:spacing w:line="357" w:lineRule="auto" w:before="34"/>
        <w:ind w:right="186" w:firstLine="459"/>
        <w:jc w:val="left"/>
      </w:pPr>
      <w:r>
        <w:rPr>
          <w:spacing w:val="-8"/>
          <w:w w:val="100"/>
        </w:rPr>
        <w:t>本届监事会将继续严格按照《公司法》、《公司章程》和国家有关法规政策的规</w:t>
      </w:r>
      <w:r>
        <w:rPr>
          <w:w w:val="100"/>
        </w:rPr>
        <w:t> </w:t>
      </w:r>
      <w:r>
        <w:rPr/>
        <w:t>定，忠实履行自己的职责，进一步促进公司的规范运作。</w:t>
      </w:r>
    </w:p>
    <w:p>
      <w:pPr>
        <w:spacing w:after="0" w:line="357" w:lineRule="auto"/>
        <w:jc w:val="left"/>
        <w:sectPr>
          <w:footerReference w:type="default" r:id="rId21"/>
          <w:pgSz w:w="11910" w:h="16840"/>
          <w:pgMar w:footer="982" w:header="877" w:top="1100" w:bottom="1180" w:left="1660" w:right="1600"/>
          <w:pgNumType w:start="5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Heading1"/>
        <w:spacing w:line="240" w:lineRule="auto"/>
        <w:ind w:right="16"/>
        <w:jc w:val="center"/>
      </w:pPr>
      <w:bookmarkStart w:name="_TOC_250001" w:id="9"/>
      <w:r>
        <w:rPr/>
        <w:t>第九节</w:t>
      </w:r>
      <w:r>
        <w:rPr>
          <w:spacing w:val="-4"/>
        </w:rPr>
        <w:t> </w:t>
      </w:r>
      <w:bookmarkEnd w:id="9"/>
      <w:r>
        <w:rPr/>
        <w:t>财务报告</w:t>
      </w: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10"/>
        <w:rPr>
          <w:rFonts w:ascii="黑体" w:hAnsi="黑体" w:cs="黑体" w:eastAsia="黑体" w:hint="default"/>
          <w:sz w:val="25"/>
          <w:szCs w:val="25"/>
        </w:rPr>
      </w:pPr>
    </w:p>
    <w:p>
      <w:pPr>
        <w:spacing w:before="0"/>
        <w:ind w:left="3474" w:right="2931" w:firstLine="0"/>
        <w:jc w:val="center"/>
        <w:rPr>
          <w:rFonts w:ascii="宋体" w:hAnsi="宋体" w:cs="宋体" w:eastAsia="宋体" w:hint="default"/>
          <w:sz w:val="28"/>
          <w:szCs w:val="28"/>
        </w:rPr>
      </w:pPr>
      <w:r>
        <w:rPr>
          <w:rFonts w:ascii="宋体" w:hAnsi="宋体" w:cs="宋体" w:eastAsia="宋体" w:hint="default"/>
          <w:sz w:val="28"/>
          <w:szCs w:val="28"/>
        </w:rPr>
        <w:t>目</w:t>
      </w:r>
      <w:r>
        <w:rPr>
          <w:rFonts w:ascii="宋体" w:hAnsi="宋体" w:cs="宋体" w:eastAsia="宋体" w:hint="default"/>
          <w:spacing w:val="-2"/>
          <w:sz w:val="28"/>
          <w:szCs w:val="28"/>
        </w:rPr>
        <w:t> </w:t>
      </w:r>
      <w:r>
        <w:rPr>
          <w:rFonts w:ascii="宋体" w:hAnsi="宋体" w:cs="宋体" w:eastAsia="宋体" w:hint="default"/>
          <w:sz w:val="28"/>
          <w:szCs w:val="28"/>
        </w:rPr>
        <w:t>录</w:t>
      </w:r>
    </w:p>
    <w:p>
      <w:pPr>
        <w:pStyle w:val="BodyText"/>
        <w:tabs>
          <w:tab w:pos="7972" w:val="left" w:leader="dot"/>
        </w:tabs>
        <w:spacing w:line="240" w:lineRule="auto" w:before="702"/>
        <w:ind w:left="844" w:right="0"/>
        <w:jc w:val="left"/>
        <w:rPr>
          <w:rFonts w:ascii="Times New Roman" w:hAnsi="Times New Roman" w:cs="Times New Roman" w:eastAsia="Times New Roman" w:hint="default"/>
        </w:rPr>
      </w:pPr>
      <w:r>
        <w:rPr/>
        <w:t>审计报告</w:t>
      </w:r>
      <w:r>
        <w:rPr>
          <w:rFonts w:ascii="Times New Roman" w:hAnsi="Times New Roman" w:cs="Times New Roman" w:eastAsia="Times New Roman" w:hint="default"/>
        </w:rPr>
        <w:tab/>
        <w:t>57</w:t>
      </w:r>
    </w:p>
    <w:p>
      <w:pPr>
        <w:pStyle w:val="BodyText"/>
        <w:tabs>
          <w:tab w:pos="7972" w:val="left" w:leader="dot"/>
        </w:tabs>
        <w:spacing w:line="240" w:lineRule="auto" w:before="129"/>
        <w:ind w:left="844" w:right="0"/>
        <w:jc w:val="left"/>
        <w:rPr>
          <w:rFonts w:ascii="Times New Roman" w:hAnsi="Times New Roman" w:cs="Times New Roman" w:eastAsia="Times New Roman" w:hint="default"/>
        </w:rPr>
      </w:pPr>
      <w:r>
        <w:rPr>
          <w:spacing w:val="-1"/>
        </w:rPr>
        <w:t>已审财务报表</w:t>
      </w:r>
      <w:r>
        <w:rPr>
          <w:rFonts w:ascii="Times New Roman" w:hAnsi="Times New Roman" w:cs="Times New Roman" w:eastAsia="Times New Roman" w:hint="default"/>
          <w:spacing w:val="-1"/>
        </w:rPr>
        <w:tab/>
      </w:r>
      <w:r>
        <w:rPr>
          <w:rFonts w:ascii="Times New Roman" w:hAnsi="Times New Roman" w:cs="Times New Roman" w:eastAsia="Times New Roman" w:hint="default"/>
        </w:rPr>
        <w:t>58</w:t>
      </w:r>
    </w:p>
    <w:p>
      <w:pPr>
        <w:pStyle w:val="BodyText"/>
        <w:tabs>
          <w:tab w:pos="7973" w:val="left" w:leader="dot"/>
        </w:tabs>
        <w:spacing w:line="240" w:lineRule="auto" w:before="129"/>
        <w:ind w:left="1305" w:right="0"/>
        <w:jc w:val="left"/>
        <w:rPr>
          <w:rFonts w:ascii="Times New Roman" w:hAnsi="Times New Roman" w:cs="Times New Roman" w:eastAsia="Times New Roman" w:hint="default"/>
        </w:rPr>
      </w:pPr>
      <w:r>
        <w:rPr>
          <w:spacing w:val="-1"/>
        </w:rPr>
        <w:t>合并及母公司资产负债表</w:t>
      </w:r>
      <w:r>
        <w:rPr>
          <w:rFonts w:ascii="Times New Roman" w:hAnsi="Times New Roman" w:cs="Times New Roman" w:eastAsia="Times New Roman" w:hint="default"/>
          <w:spacing w:val="-1"/>
        </w:rPr>
        <w:tab/>
      </w:r>
      <w:r>
        <w:rPr>
          <w:rFonts w:ascii="Times New Roman" w:hAnsi="Times New Roman" w:cs="Times New Roman" w:eastAsia="Times New Roman" w:hint="default"/>
        </w:rPr>
        <w:t>58</w:t>
      </w:r>
    </w:p>
    <w:p>
      <w:pPr>
        <w:pStyle w:val="BodyText"/>
        <w:tabs>
          <w:tab w:pos="7973" w:val="left" w:leader="dot"/>
        </w:tabs>
        <w:spacing w:line="240" w:lineRule="auto" w:before="129"/>
        <w:ind w:left="1305" w:right="0"/>
        <w:jc w:val="left"/>
        <w:rPr>
          <w:rFonts w:ascii="Times New Roman" w:hAnsi="Times New Roman" w:cs="Times New Roman" w:eastAsia="Times New Roman" w:hint="default"/>
        </w:rPr>
      </w:pPr>
      <w:r>
        <w:rPr>
          <w:spacing w:val="-1"/>
        </w:rPr>
        <w:t>合并及母公司利润表</w:t>
      </w:r>
      <w:r>
        <w:rPr>
          <w:rFonts w:ascii="Times New Roman" w:hAnsi="Times New Roman" w:cs="Times New Roman" w:eastAsia="Times New Roman" w:hint="default"/>
          <w:spacing w:val="-1"/>
        </w:rPr>
        <w:tab/>
      </w:r>
      <w:r>
        <w:rPr>
          <w:rFonts w:ascii="Times New Roman" w:hAnsi="Times New Roman" w:cs="Times New Roman" w:eastAsia="Times New Roman" w:hint="default"/>
        </w:rPr>
        <w:t>62</w:t>
      </w:r>
    </w:p>
    <w:p>
      <w:pPr>
        <w:pStyle w:val="BodyText"/>
        <w:tabs>
          <w:tab w:pos="7973" w:val="left" w:leader="dot"/>
        </w:tabs>
        <w:spacing w:line="240" w:lineRule="auto" w:before="129"/>
        <w:ind w:left="1305" w:right="0"/>
        <w:jc w:val="left"/>
        <w:rPr>
          <w:rFonts w:ascii="Times New Roman" w:hAnsi="Times New Roman" w:cs="Times New Roman" w:eastAsia="Times New Roman" w:hint="default"/>
        </w:rPr>
      </w:pPr>
      <w:r>
        <w:rPr>
          <w:spacing w:val="-1"/>
        </w:rPr>
        <w:t>合并及母公司现金流量表</w:t>
      </w:r>
      <w:r>
        <w:rPr>
          <w:rFonts w:ascii="Times New Roman" w:hAnsi="Times New Roman" w:cs="Times New Roman" w:eastAsia="Times New Roman" w:hint="default"/>
          <w:spacing w:val="-1"/>
        </w:rPr>
        <w:tab/>
      </w:r>
      <w:r>
        <w:rPr>
          <w:rFonts w:ascii="Times New Roman" w:hAnsi="Times New Roman" w:cs="Times New Roman" w:eastAsia="Times New Roman" w:hint="default"/>
        </w:rPr>
        <w:t>64</w:t>
      </w:r>
    </w:p>
    <w:p>
      <w:pPr>
        <w:pStyle w:val="BodyText"/>
        <w:tabs>
          <w:tab w:pos="7973" w:val="left" w:leader="dot"/>
        </w:tabs>
        <w:spacing w:line="240" w:lineRule="auto" w:before="129"/>
        <w:ind w:left="1305" w:right="0"/>
        <w:jc w:val="left"/>
        <w:rPr>
          <w:rFonts w:ascii="Times New Roman" w:hAnsi="Times New Roman" w:cs="Times New Roman" w:eastAsia="Times New Roman" w:hint="default"/>
        </w:rPr>
      </w:pPr>
      <w:r>
        <w:rPr>
          <w:spacing w:val="-1"/>
        </w:rPr>
        <w:t>合并及母公司所有者权益变动表</w:t>
      </w:r>
      <w:r>
        <w:rPr>
          <w:rFonts w:ascii="Times New Roman" w:hAnsi="Times New Roman" w:cs="Times New Roman" w:eastAsia="Times New Roman" w:hint="default"/>
          <w:spacing w:val="-1"/>
        </w:rPr>
        <w:tab/>
      </w:r>
      <w:r>
        <w:rPr>
          <w:rFonts w:ascii="Times New Roman" w:hAnsi="Times New Roman" w:cs="Times New Roman" w:eastAsia="Times New Roman" w:hint="default"/>
        </w:rPr>
        <w:t>67</w:t>
      </w:r>
    </w:p>
    <w:p>
      <w:pPr>
        <w:pStyle w:val="BodyText"/>
        <w:tabs>
          <w:tab w:pos="8029" w:val="left" w:leader="dot"/>
        </w:tabs>
        <w:spacing w:line="240" w:lineRule="auto" w:before="128"/>
        <w:ind w:left="901" w:right="0"/>
        <w:jc w:val="left"/>
        <w:rPr>
          <w:rFonts w:ascii="Times New Roman" w:hAnsi="Times New Roman" w:cs="Times New Roman" w:eastAsia="Times New Roman" w:hint="default"/>
        </w:rPr>
      </w:pPr>
      <w:r>
        <w:rPr>
          <w:spacing w:val="-1"/>
        </w:rPr>
        <w:t>财务报表附注</w:t>
      </w:r>
      <w:r>
        <w:rPr>
          <w:rFonts w:ascii="Times New Roman" w:hAnsi="Times New Roman" w:cs="Times New Roman" w:eastAsia="Times New Roman" w:hint="default"/>
          <w:spacing w:val="-1"/>
        </w:rPr>
        <w:tab/>
      </w:r>
      <w:r>
        <w:rPr>
          <w:rFonts w:ascii="Times New Roman" w:hAnsi="Times New Roman" w:cs="Times New Roman" w:eastAsia="Times New Roman" w:hint="default"/>
        </w:rPr>
        <w:t>71</w:t>
      </w:r>
    </w:p>
    <w:p>
      <w:pPr>
        <w:spacing w:after="0" w:line="240" w:lineRule="auto"/>
        <w:jc w:val="left"/>
        <w:rPr>
          <w:rFonts w:ascii="Times New Roman" w:hAnsi="Times New Roman" w:cs="Times New Roman" w:eastAsia="Times New Roman" w:hint="default"/>
        </w:rPr>
        <w:sectPr>
          <w:pgSz w:w="11910" w:h="16840"/>
          <w:pgMar w:header="877" w:footer="982" w:top="1100" w:bottom="1180" w:left="1660" w:right="1640"/>
        </w:sectPr>
      </w:pPr>
    </w:p>
    <w:p>
      <w:pPr>
        <w:spacing w:before="770"/>
        <w:ind w:left="3395" w:right="3470" w:firstLine="0"/>
        <w:jc w:val="center"/>
        <w:rPr>
          <w:rFonts w:ascii="黑体" w:hAnsi="黑体" w:cs="黑体" w:eastAsia="黑体" w:hint="default"/>
          <w:sz w:val="32"/>
          <w:szCs w:val="32"/>
        </w:rPr>
      </w:pPr>
      <w:r>
        <w:rPr>
          <w:rFonts w:ascii="黑体" w:hAnsi="黑体" w:cs="黑体" w:eastAsia="黑体" w:hint="default"/>
          <w:sz w:val="32"/>
          <w:szCs w:val="32"/>
        </w:rPr>
        <w:t>审 计 报</w:t>
      </w:r>
      <w:r>
        <w:rPr>
          <w:rFonts w:ascii="黑体" w:hAnsi="黑体" w:cs="黑体" w:eastAsia="黑体" w:hint="default"/>
          <w:spacing w:val="-1"/>
          <w:sz w:val="32"/>
          <w:szCs w:val="32"/>
        </w:rPr>
        <w:t> </w:t>
      </w:r>
      <w:r>
        <w:rPr>
          <w:rFonts w:ascii="黑体" w:hAnsi="黑体" w:cs="黑体" w:eastAsia="黑体" w:hint="default"/>
          <w:sz w:val="32"/>
          <w:szCs w:val="32"/>
        </w:rPr>
        <w:t>告</w:t>
      </w:r>
    </w:p>
    <w:p>
      <w:pPr>
        <w:spacing w:before="377"/>
        <w:ind w:left="0" w:right="212" w:firstLine="0"/>
        <w:jc w:val="right"/>
        <w:rPr>
          <w:rFonts w:ascii="宋体" w:hAnsi="宋体" w:cs="宋体" w:eastAsia="宋体" w:hint="default"/>
          <w:sz w:val="21"/>
          <w:szCs w:val="21"/>
        </w:rPr>
      </w:pPr>
      <w:r>
        <w:rPr>
          <w:rFonts w:ascii="宋体" w:hAnsi="宋体" w:cs="宋体" w:eastAsia="宋体" w:hint="default"/>
          <w:sz w:val="21"/>
          <w:szCs w:val="21"/>
        </w:rPr>
        <w:t>深鹏所股审字</w:t>
      </w:r>
      <w:r>
        <w:rPr>
          <w:rFonts w:ascii="Times New Roman" w:hAnsi="Times New Roman" w:cs="Times New Roman" w:eastAsia="Times New Roman" w:hint="default"/>
          <w:sz w:val="21"/>
          <w:szCs w:val="21"/>
        </w:rPr>
        <w:t>[2012]0049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p>
      <w:pPr>
        <w:spacing w:line="536" w:lineRule="exact" w:before="53"/>
        <w:ind w:left="557" w:right="221" w:hanging="420"/>
        <w:jc w:val="left"/>
        <w:rPr>
          <w:rFonts w:ascii="宋体" w:hAnsi="宋体" w:cs="宋体" w:eastAsia="宋体" w:hint="default"/>
          <w:sz w:val="21"/>
          <w:szCs w:val="21"/>
        </w:rPr>
      </w:pPr>
      <w:r>
        <w:rPr>
          <w:rFonts w:ascii="宋体" w:hAnsi="宋体" w:cs="宋体" w:eastAsia="宋体" w:hint="default"/>
          <w:sz w:val="21"/>
          <w:szCs w:val="21"/>
        </w:rPr>
        <w:t>深圳市银之杰科技股份有限公司全体股东： </w:t>
      </w:r>
      <w:r>
        <w:rPr>
          <w:rFonts w:ascii="宋体" w:hAnsi="宋体" w:cs="宋体" w:eastAsia="宋体" w:hint="default"/>
          <w:spacing w:val="-3"/>
          <w:sz w:val="21"/>
          <w:szCs w:val="21"/>
        </w:rPr>
        <w:t>我们审计了后附的深圳市银之杰科技股份有限公司（以下简称“银之杰公司”）财务报</w:t>
      </w:r>
    </w:p>
    <w:p>
      <w:pPr>
        <w:spacing w:line="328" w:lineRule="auto" w:before="47"/>
        <w:ind w:left="137" w:right="102" w:firstLine="0"/>
        <w:jc w:val="left"/>
        <w:rPr>
          <w:rFonts w:ascii="宋体" w:hAnsi="宋体" w:cs="宋体" w:eastAsia="宋体" w:hint="default"/>
          <w:sz w:val="21"/>
          <w:szCs w:val="21"/>
        </w:rPr>
      </w:pPr>
      <w:r>
        <w:rPr>
          <w:rFonts w:ascii="宋体" w:hAnsi="宋体" w:cs="宋体" w:eastAsia="宋体" w:hint="default"/>
          <w:spacing w:val="-16"/>
          <w:sz w:val="21"/>
          <w:szCs w:val="21"/>
        </w:rPr>
        <w:t>表，包括</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日的合并及母公司资产负债表，</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年度的合并及母公司利润表、 合并及母公司所有者权益变动表和合并及母公司现金流量表以及财务报表附注。</w:t>
      </w:r>
    </w:p>
    <w:p>
      <w:pPr>
        <w:spacing w:line="348" w:lineRule="auto" w:before="48"/>
        <w:ind w:left="557" w:right="197" w:firstLine="0"/>
        <w:jc w:val="left"/>
        <w:rPr>
          <w:rFonts w:ascii="宋体" w:hAnsi="宋体" w:cs="宋体" w:eastAsia="宋体" w:hint="default"/>
          <w:sz w:val="21"/>
          <w:szCs w:val="21"/>
        </w:rPr>
      </w:pPr>
      <w:r>
        <w:rPr>
          <w:rFonts w:ascii="宋体" w:hAnsi="宋体" w:cs="宋体" w:eastAsia="宋体" w:hint="default"/>
          <w:sz w:val="21"/>
          <w:szCs w:val="21"/>
        </w:rPr>
        <w:t>一、管理层对合并财务报表的责任 </w:t>
      </w:r>
      <w:r>
        <w:rPr>
          <w:rFonts w:ascii="宋体" w:hAnsi="宋体" w:cs="宋体" w:eastAsia="宋体" w:hint="default"/>
          <w:spacing w:val="-5"/>
          <w:sz w:val="21"/>
          <w:szCs w:val="21"/>
        </w:rPr>
        <w:t>编制和公允列报财务报表是管理层的责任，这种责任包括：（</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）按照企业会计准则的规</w:t>
      </w:r>
    </w:p>
    <w:p>
      <w:pPr>
        <w:spacing w:line="331" w:lineRule="auto" w:before="4"/>
        <w:ind w:left="137" w:right="207" w:firstLine="0"/>
        <w:jc w:val="left"/>
        <w:rPr>
          <w:rFonts w:ascii="宋体" w:hAnsi="宋体" w:cs="宋体" w:eastAsia="宋体" w:hint="default"/>
          <w:sz w:val="21"/>
          <w:szCs w:val="21"/>
        </w:rPr>
      </w:pPr>
      <w:r>
        <w:rPr>
          <w:rFonts w:ascii="宋体" w:hAnsi="宋体" w:cs="宋体" w:eastAsia="宋体" w:hint="default"/>
          <w:spacing w:val="-5"/>
          <w:sz w:val="21"/>
          <w:szCs w:val="21"/>
        </w:rPr>
        <w:t>定编制财务报表，并使其实现公允反映；（</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）设计、执行和维护必要的内部控制，以使财务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报表不存在由于舞弊或错误导致的重大错报。</w:t>
      </w:r>
    </w:p>
    <w:p>
      <w:pPr>
        <w:spacing w:line="348" w:lineRule="auto" w:before="45"/>
        <w:ind w:left="557" w:right="95" w:firstLine="0"/>
        <w:jc w:val="left"/>
        <w:rPr>
          <w:rFonts w:ascii="宋体" w:hAnsi="宋体" w:cs="宋体" w:eastAsia="宋体" w:hint="default"/>
          <w:sz w:val="21"/>
          <w:szCs w:val="21"/>
        </w:rPr>
      </w:pPr>
      <w:r>
        <w:rPr>
          <w:rFonts w:ascii="宋体" w:hAnsi="宋体" w:cs="宋体" w:eastAsia="宋体" w:hint="default"/>
          <w:sz w:val="21"/>
          <w:szCs w:val="21"/>
        </w:rPr>
        <w:t>二、注册会计师的责任 </w:t>
      </w:r>
      <w:r>
        <w:rPr>
          <w:rFonts w:ascii="宋体" w:hAnsi="宋体" w:cs="宋体" w:eastAsia="宋体" w:hint="default"/>
          <w:spacing w:val="-3"/>
          <w:sz w:val="21"/>
          <w:szCs w:val="21"/>
        </w:rPr>
        <w:t>我们的责任是在执行审计工作的基础上对财务报表发表审计意见。我们按照中国注册会</w:t>
      </w:r>
    </w:p>
    <w:p>
      <w:pPr>
        <w:spacing w:line="348" w:lineRule="auto" w:before="31"/>
        <w:ind w:left="137" w:right="317" w:firstLine="0"/>
        <w:jc w:val="left"/>
        <w:rPr>
          <w:rFonts w:ascii="宋体" w:hAnsi="宋体" w:cs="宋体" w:eastAsia="宋体" w:hint="default"/>
          <w:sz w:val="21"/>
          <w:szCs w:val="21"/>
        </w:rPr>
      </w:pPr>
      <w:r>
        <w:rPr>
          <w:rFonts w:ascii="宋体" w:hAnsi="宋体" w:cs="宋体" w:eastAsia="宋体" w:hint="default"/>
          <w:sz w:val="21"/>
          <w:szCs w:val="21"/>
        </w:rPr>
        <w:t>计师审计准则的规定执行了审计工作。中国注册会计师审计准则要求我们遵守职业道德守 则，计划和执行审计工作以对财务报表是否不存在重大错报获取合理保证。</w:t>
      </w:r>
    </w:p>
    <w:p>
      <w:pPr>
        <w:spacing w:line="350" w:lineRule="auto" w:before="30"/>
        <w:ind w:left="137" w:right="95" w:firstLine="420"/>
        <w:jc w:val="left"/>
        <w:rPr>
          <w:rFonts w:ascii="宋体" w:hAnsi="宋体" w:cs="宋体" w:eastAsia="宋体" w:hint="default"/>
          <w:sz w:val="21"/>
          <w:szCs w:val="21"/>
        </w:rPr>
      </w:pPr>
      <w:r>
        <w:rPr>
          <w:rFonts w:ascii="宋体" w:hAnsi="宋体" w:cs="宋体" w:eastAsia="宋体" w:hint="default"/>
          <w:spacing w:val="-3"/>
          <w:sz w:val="21"/>
          <w:szCs w:val="21"/>
        </w:rPr>
        <w:t>审计工作涉及实施审计程序，以获取有关财务报表金额和披露的审计证据。选择的审计</w:t>
      </w:r>
      <w:r>
        <w:rPr>
          <w:rFonts w:ascii="宋体" w:hAnsi="宋体" w:cs="宋体" w:eastAsia="宋体" w:hint="default"/>
          <w:sz w:val="21"/>
          <w:szCs w:val="21"/>
        </w:rPr>
        <w:t> 程序取决于注册会计师的判断，包括对由于舞弊或错误导致的财务报表重大错报风险的评 </w:t>
      </w:r>
      <w:r>
        <w:rPr>
          <w:rFonts w:ascii="宋体" w:hAnsi="宋体" w:cs="宋体" w:eastAsia="宋体" w:hint="default"/>
          <w:spacing w:val="-3"/>
          <w:sz w:val="21"/>
          <w:szCs w:val="21"/>
        </w:rPr>
        <w:t>估。在进行风险评估时，注册会计师考虑与财务报表编制和公允列报相关的内部控制，以设</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计恰当的审计程序，但目的并非对内部控制的有效性发表意见。审计工作还包括评价管理层</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选用会计政策的恰当性和作出会计估计的合理性，以及评价财务报表的总体列报。</w:t>
      </w:r>
    </w:p>
    <w:p>
      <w:pPr>
        <w:spacing w:line="350" w:lineRule="auto" w:before="28"/>
        <w:ind w:left="557" w:right="95"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 三、审计意见 </w:t>
      </w:r>
      <w:r>
        <w:rPr>
          <w:rFonts w:ascii="宋体" w:hAnsi="宋体" w:cs="宋体" w:eastAsia="宋体" w:hint="default"/>
          <w:spacing w:val="-3"/>
          <w:sz w:val="21"/>
          <w:szCs w:val="21"/>
        </w:rPr>
        <w:t>我们认为，银之杰公司财务报表在所有重大方面按照企业会计准则的规定编制，公允反</w:t>
      </w:r>
    </w:p>
    <w:p>
      <w:pPr>
        <w:spacing w:line="328" w:lineRule="auto" w:before="28"/>
        <w:ind w:left="137" w:right="206" w:firstLine="0"/>
        <w:jc w:val="left"/>
        <w:rPr>
          <w:rFonts w:ascii="宋体" w:hAnsi="宋体" w:cs="宋体" w:eastAsia="宋体" w:hint="default"/>
          <w:sz w:val="21"/>
          <w:szCs w:val="21"/>
        </w:rPr>
      </w:pPr>
      <w:r>
        <w:rPr>
          <w:rFonts w:ascii="宋体" w:hAnsi="宋体" w:cs="宋体" w:eastAsia="宋体" w:hint="default"/>
          <w:sz w:val="21"/>
          <w:szCs w:val="21"/>
        </w:rPr>
        <w:t>映了银之杰公司</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日合并及母公司财务状况以及</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年度的合并及母公司经 营成果和合并现金流量。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tabs>
          <w:tab w:pos="4080" w:val="left" w:leader="none"/>
          <w:tab w:pos="7020" w:val="left" w:leader="none"/>
        </w:tabs>
        <w:spacing w:before="0"/>
        <w:ind w:left="168" w:right="95" w:firstLine="0"/>
        <w:jc w:val="left"/>
        <w:rPr>
          <w:rFonts w:ascii="宋体" w:hAnsi="宋体" w:cs="宋体" w:eastAsia="宋体" w:hint="default"/>
          <w:sz w:val="21"/>
          <w:szCs w:val="21"/>
        </w:rPr>
      </w:pPr>
      <w:r>
        <w:rPr>
          <w:rFonts w:ascii="宋体" w:hAnsi="宋体" w:cs="宋体" w:eastAsia="宋体" w:hint="default"/>
          <w:sz w:val="21"/>
          <w:szCs w:val="21"/>
        </w:rPr>
        <w:t>深圳市鹏城会计师事务所有限公司</w:t>
        <w:tab/>
        <w:t>中国注册会计师</w:t>
        <w:tab/>
        <w:t>杨春盛</w:t>
      </w:r>
    </w:p>
    <w:p>
      <w:pPr>
        <w:spacing w:line="240" w:lineRule="auto" w:before="11"/>
        <w:rPr>
          <w:rFonts w:ascii="宋体" w:hAnsi="宋体" w:cs="宋体" w:eastAsia="宋体" w:hint="default"/>
          <w:sz w:val="24"/>
          <w:szCs w:val="24"/>
        </w:rPr>
      </w:pPr>
    </w:p>
    <w:p>
      <w:pPr>
        <w:tabs>
          <w:tab w:pos="7020" w:val="left" w:leader="none"/>
        </w:tabs>
        <w:spacing w:before="0"/>
        <w:ind w:left="4080" w:right="95" w:firstLine="0"/>
        <w:jc w:val="left"/>
        <w:rPr>
          <w:rFonts w:ascii="宋体" w:hAnsi="宋体" w:cs="宋体" w:eastAsia="宋体" w:hint="default"/>
          <w:sz w:val="21"/>
          <w:szCs w:val="21"/>
        </w:rPr>
      </w:pPr>
      <w:r>
        <w:rPr>
          <w:rFonts w:ascii="宋体" w:hAnsi="宋体" w:cs="宋体" w:eastAsia="宋体" w:hint="default"/>
          <w:sz w:val="21"/>
          <w:szCs w:val="21"/>
        </w:rPr>
        <w:t>中国注册会计师</w:t>
        <w:tab/>
        <w:t>蒙世权</w:t>
      </w:r>
    </w:p>
    <w:p>
      <w:pPr>
        <w:spacing w:line="240" w:lineRule="auto" w:before="11"/>
        <w:rPr>
          <w:rFonts w:ascii="宋体" w:hAnsi="宋体" w:cs="宋体" w:eastAsia="宋体" w:hint="default"/>
          <w:sz w:val="24"/>
          <w:szCs w:val="24"/>
        </w:rPr>
      </w:pPr>
    </w:p>
    <w:p>
      <w:pPr>
        <w:spacing w:line="247" w:lineRule="auto" w:before="0"/>
        <w:ind w:left="6762" w:right="505" w:hanging="242"/>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 中国 </w:t>
      </w:r>
      <w:r>
        <w:rPr>
          <w:rFonts w:ascii="Wingdings" w:hAnsi="Wingdings" w:cs="Wingdings" w:eastAsia="Wingdings" w:hint="default"/>
          <w:sz w:val="21"/>
          <w:szCs w:val="21"/>
        </w:rPr>
        <w:t></w:t>
      </w:r>
      <w:r>
        <w:rPr>
          <w:rFonts w:ascii="Wingdings" w:hAnsi="Wingdings" w:cs="Wingdings" w:eastAsia="Wingdings" w:hint="default"/>
          <w:spacing w:val="-166"/>
          <w:sz w:val="21"/>
          <w:szCs w:val="21"/>
        </w:rPr>
        <w:t></w:t>
      </w:r>
      <w:r>
        <w:rPr>
          <w:rFonts w:ascii="Times New Roman" w:hAnsi="Times New Roman" w:cs="Times New Roman" w:eastAsia="Times New Roman" w:hint="default"/>
          <w:spacing w:val="-166"/>
          <w:sz w:val="21"/>
          <w:szCs w:val="21"/>
        </w:rPr>
      </w:r>
      <w:r>
        <w:rPr>
          <w:rFonts w:ascii="宋体" w:hAnsi="宋体" w:cs="宋体" w:eastAsia="宋体" w:hint="default"/>
          <w:sz w:val="21"/>
          <w:szCs w:val="21"/>
        </w:rPr>
        <w:t>深圳</w:t>
      </w:r>
    </w:p>
    <w:p>
      <w:pPr>
        <w:spacing w:after="0" w:line="247" w:lineRule="auto"/>
        <w:jc w:val="left"/>
        <w:rPr>
          <w:rFonts w:ascii="宋体" w:hAnsi="宋体" w:cs="宋体" w:eastAsia="宋体" w:hint="default"/>
          <w:sz w:val="21"/>
          <w:szCs w:val="21"/>
        </w:rPr>
        <w:sectPr>
          <w:pgSz w:w="11910" w:h="16840"/>
          <w:pgMar w:header="877" w:footer="982" w:top="1100" w:bottom="1180" w:left="1660" w:right="1580"/>
        </w:sectPr>
      </w:pPr>
    </w:p>
    <w:p>
      <w:pPr>
        <w:spacing w:line="240" w:lineRule="auto" w:before="8"/>
        <w:rPr>
          <w:rFonts w:ascii="宋体" w:hAnsi="宋体" w:cs="宋体" w:eastAsia="宋体" w:hint="default"/>
          <w:sz w:val="21"/>
          <w:szCs w:val="21"/>
        </w:rPr>
      </w:pPr>
    </w:p>
    <w:p>
      <w:pPr>
        <w:pStyle w:val="Heading2"/>
        <w:spacing w:line="244" w:lineRule="auto"/>
        <w:ind w:left="3544" w:right="2284" w:hanging="1180"/>
        <w:jc w:val="left"/>
        <w:rPr>
          <w:b w:val="0"/>
          <w:bCs w:val="0"/>
        </w:rPr>
      </w:pPr>
      <w:r>
        <w:rPr/>
        <w:t>深圳市银之杰科技股份有限公司</w:t>
      </w:r>
      <w:r>
        <w:rPr>
          <w:spacing w:val="1"/>
          <w:w w:val="99"/>
        </w:rPr>
        <w:t> </w:t>
      </w:r>
      <w:r>
        <w:rPr/>
        <w:t>财 务 报</w:t>
      </w:r>
      <w:r>
        <w:rPr>
          <w:spacing w:val="-3"/>
        </w:rPr>
        <w:t> </w:t>
      </w:r>
      <w:r>
        <w:rPr/>
        <w:t>表</w:t>
      </w:r>
      <w:r>
        <w:rPr>
          <w:b w:val="0"/>
          <w:bCs w:val="0"/>
        </w:rPr>
      </w:r>
    </w:p>
    <w:p>
      <w:pPr>
        <w:pStyle w:val="Heading3"/>
        <w:spacing w:line="240" w:lineRule="auto" w:before="227"/>
        <w:ind w:left="3381" w:right="3210"/>
        <w:jc w:val="center"/>
        <w:rPr>
          <w:b w:val="0"/>
          <w:bCs w:val="0"/>
        </w:rPr>
      </w:pPr>
      <w:r>
        <w:rPr/>
        <w:t>合并资产负债表</w:t>
      </w:r>
      <w:r>
        <w:rPr>
          <w:b w:val="0"/>
          <w:bCs w:val="0"/>
        </w:rPr>
      </w:r>
    </w:p>
    <w:p>
      <w:pPr>
        <w:tabs>
          <w:tab w:pos="5671" w:val="left" w:leader="none"/>
          <w:tab w:pos="7351" w:val="left" w:leader="none"/>
        </w:tabs>
        <w:spacing w:line="434" w:lineRule="auto" w:before="9"/>
        <w:ind w:left="317" w:right="271" w:firstLine="2822"/>
        <w:jc w:val="left"/>
        <w:rPr>
          <w:rFonts w:ascii="宋体" w:hAnsi="宋体" w:cs="宋体" w:eastAsia="宋体" w:hint="default"/>
          <w:sz w:val="21"/>
          <w:szCs w:val="21"/>
        </w:rPr>
      </w:pPr>
      <w:r>
        <w:rPr>
          <w:rFonts w:ascii="宋体" w:hAnsi="宋体" w:cs="宋体" w:eastAsia="宋体" w:hint="default"/>
          <w:sz w:val="21"/>
          <w:szCs w:val="21"/>
        </w:rPr>
        <w:t>编制日期：</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 编制单位：深圳市银之杰科技股份有限公司</w:t>
        <w:tab/>
        <w:t>单位：元</w:t>
        <w:tab/>
        <w:t>币种：人民币</w:t>
      </w:r>
    </w:p>
    <w:tbl>
      <w:tblPr>
        <w:tblW w:w="0" w:type="auto"/>
        <w:jc w:val="left"/>
        <w:tblInd w:w="118" w:type="dxa"/>
        <w:tblLayout w:type="fixed"/>
        <w:tblCellMar>
          <w:top w:w="0" w:type="dxa"/>
          <w:left w:w="0" w:type="dxa"/>
          <w:bottom w:w="0" w:type="dxa"/>
          <w:right w:w="0" w:type="dxa"/>
        </w:tblCellMar>
        <w:tblLook w:val="01E0"/>
      </w:tblPr>
      <w:tblGrid>
        <w:gridCol w:w="2698"/>
        <w:gridCol w:w="1637"/>
        <w:gridCol w:w="2160"/>
        <w:gridCol w:w="2146"/>
      </w:tblGrid>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3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11"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7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46"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16" w:lineRule="exact"/>
              <w:ind w:left="712"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4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46" w:type="dxa"/>
            <w:tcBorders>
              <w:top w:val="single" w:sz="4" w:space="0" w:color="000000"/>
              <w:left w:val="single" w:sz="4" w:space="0" w:color="000000"/>
              <w:bottom w:val="single" w:sz="4" w:space="0" w:color="000000"/>
              <w:right w:val="nil" w:sz="6" w:space="0" w:color="auto"/>
            </w:tcBorders>
            <w:shd w:val="clear" w:color="auto" w:fill="DCDCDC"/>
          </w:tcPr>
          <w:p>
            <w:pP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28"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pacing w:val="-1"/>
                <w:sz w:val="18"/>
              </w:rPr>
              <w:t>387,791,510.52</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2"/>
              <w:jc w:val="right"/>
              <w:rPr>
                <w:rFonts w:ascii="Times New Roman" w:hAnsi="Times New Roman" w:cs="Times New Roman" w:eastAsia="Times New Roman" w:hint="default"/>
                <w:sz w:val="18"/>
                <w:szCs w:val="18"/>
              </w:rPr>
            </w:pPr>
            <w:r>
              <w:rPr>
                <w:rFonts w:ascii="Times New Roman"/>
                <w:spacing w:val="-1"/>
                <w:sz w:val="18"/>
              </w:rPr>
              <w:t>433,006,815.47</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28"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pacing w:val="-1"/>
                <w:sz w:val="18"/>
              </w:rPr>
              <w:t>62,570,964.60</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pacing w:val="-1"/>
                <w:sz w:val="18"/>
              </w:rPr>
              <w:t>47,621,649.64</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28"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pacing w:val="-1"/>
                <w:sz w:val="18"/>
              </w:rPr>
              <w:t>4,814,974.00</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z w:val="18"/>
              </w:rPr>
              <w:t>634,000.00</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28"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pacing w:val="-1"/>
                <w:sz w:val="18"/>
              </w:rPr>
              <w:t>4,069,861.55</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pacing w:val="-1"/>
                <w:sz w:val="18"/>
              </w:rPr>
              <w:t>4,600,210.28</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28"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pacing w:val="-1"/>
                <w:sz w:val="18"/>
              </w:rPr>
              <w:t>4,406,444.93</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pacing w:val="-1"/>
                <w:sz w:val="18"/>
              </w:rPr>
              <w:t>1,247,558.79</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28"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pacing w:val="-1"/>
                <w:sz w:val="18"/>
              </w:rPr>
              <w:t>1,230,059.78</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z w:val="18"/>
              </w:rPr>
              <w:t>289,731.28</w:t>
            </w:r>
          </w:p>
        </w:tc>
      </w:tr>
      <w:tr>
        <w:trPr>
          <w:trHeight w:val="297"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4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637" w:type="dxa"/>
            <w:tcBorders>
              <w:top w:val="single" w:sz="4" w:space="0" w:color="000000"/>
              <w:left w:val="single" w:sz="13" w:space="0" w:color="DCDCDC"/>
              <w:bottom w:val="single" w:sz="26" w:space="0" w:color="DCDCDC"/>
              <w:right w:val="single" w:sz="4" w:space="0" w:color="000000"/>
            </w:tcBorders>
          </w:tcPr>
          <w:p>
            <w:pPr/>
          </w:p>
        </w:tc>
        <w:tc>
          <w:tcPr>
            <w:tcW w:w="2160" w:type="dxa"/>
            <w:tcBorders>
              <w:top w:val="single" w:sz="4" w:space="0" w:color="000000"/>
              <w:left w:val="single" w:sz="4" w:space="0" w:color="000000"/>
              <w:bottom w:val="single" w:sz="26" w:space="0" w:color="DCDCDC"/>
              <w:right w:val="single" w:sz="4" w:space="0" w:color="000000"/>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pacing w:val="-1"/>
                <w:sz w:val="18"/>
              </w:rPr>
              <w:t>464,883,815.38</w:t>
            </w:r>
          </w:p>
        </w:tc>
        <w:tc>
          <w:tcPr>
            <w:tcW w:w="2146" w:type="dxa"/>
            <w:tcBorders>
              <w:top w:val="single" w:sz="4" w:space="0" w:color="000000"/>
              <w:left w:val="single" w:sz="4" w:space="0" w:color="000000"/>
              <w:bottom w:val="single" w:sz="26" w:space="0" w:color="DCDCDC"/>
              <w:right w:val="nil" w:sz="6" w:space="0" w:color="auto"/>
            </w:tcBorders>
          </w:tcPr>
          <w:p>
            <w:pPr>
              <w:pStyle w:val="TableParagraph"/>
              <w:spacing w:line="240" w:lineRule="auto" w:before="32"/>
              <w:ind w:right="12"/>
              <w:jc w:val="right"/>
              <w:rPr>
                <w:rFonts w:ascii="Times New Roman" w:hAnsi="Times New Roman" w:cs="Times New Roman" w:eastAsia="Times New Roman" w:hint="default"/>
                <w:sz w:val="18"/>
                <w:szCs w:val="18"/>
              </w:rPr>
            </w:pPr>
            <w:r>
              <w:rPr>
                <w:rFonts w:ascii="Times New Roman"/>
                <w:spacing w:val="-1"/>
                <w:sz w:val="18"/>
              </w:rPr>
              <w:t>487,399,965.46</w:t>
            </w:r>
          </w:p>
        </w:tc>
      </w:tr>
      <w:tr>
        <w:trPr>
          <w:trHeight w:val="243"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4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46" w:type="dxa"/>
            <w:tcBorders>
              <w:top w:val="single" w:sz="4" w:space="0" w:color="000000"/>
              <w:left w:val="single" w:sz="4" w:space="0" w:color="000000"/>
              <w:bottom w:val="single" w:sz="4" w:space="0" w:color="000000"/>
              <w:right w:val="nil" w:sz="6" w:space="0" w:color="auto"/>
            </w:tcBorders>
            <w:shd w:val="clear" w:color="auto" w:fill="DCDCDC"/>
          </w:tcPr>
          <w:p>
            <w:pP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28"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pacing w:val="-1"/>
                <w:sz w:val="18"/>
              </w:rPr>
              <w:t>45,178,783.11</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pacing w:val="-1"/>
                <w:sz w:val="18"/>
              </w:rPr>
              <w:t>46,336,627.59</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28"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pacing w:val="-1"/>
                <w:sz w:val="18"/>
              </w:rPr>
              <w:t>5,167,420.79</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pacing w:val="-1"/>
                <w:sz w:val="18"/>
              </w:rPr>
              <w:t>3,861,610.85</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28"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z w:val="18"/>
              </w:rPr>
              <w:t>521,758.47</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z w:val="18"/>
              </w:rPr>
              <w:t>34,883.25</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28"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pacing w:val="-1"/>
                <w:sz w:val="18"/>
              </w:rPr>
              <w:t>12,792,080.33</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pacing w:val="-1"/>
                <w:sz w:val="18"/>
              </w:rPr>
              <w:t>2,061,331.41</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28"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z w:val="18"/>
              </w:rPr>
              <w:t>752,828.05</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z w:val="18"/>
              </w:rPr>
              <w:t>826,426.16</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28"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z w:val="18"/>
              </w:rPr>
              <w:t>998,820.09</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z w:val="18"/>
              </w:rPr>
              <w:t>505,567.75</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4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pacing w:val="-1"/>
                <w:sz w:val="18"/>
              </w:rPr>
              <w:t>65,411,690.84</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Times New Roman" w:hAnsi="Times New Roman" w:cs="Times New Roman" w:eastAsia="Times New Roman" w:hint="default"/>
                <w:sz w:val="18"/>
                <w:szCs w:val="18"/>
              </w:rPr>
            </w:pPr>
            <w:r>
              <w:rPr>
                <w:rFonts w:ascii="Times New Roman"/>
                <w:spacing w:val="-1"/>
                <w:sz w:val="18"/>
              </w:rPr>
              <w:t>53,626,447.01</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4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pacing w:val="-1"/>
                <w:sz w:val="18"/>
              </w:rPr>
              <w:t>530,295,506.22</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2"/>
              <w:jc w:val="right"/>
              <w:rPr>
                <w:rFonts w:ascii="Times New Roman" w:hAnsi="Times New Roman" w:cs="Times New Roman" w:eastAsia="Times New Roman" w:hint="default"/>
                <w:sz w:val="18"/>
                <w:szCs w:val="18"/>
              </w:rPr>
            </w:pPr>
            <w:r>
              <w:rPr>
                <w:rFonts w:ascii="Times New Roman"/>
                <w:spacing w:val="-1"/>
                <w:sz w:val="18"/>
              </w:rPr>
              <w:t>541,026,412.47</w:t>
            </w:r>
          </w:p>
        </w:tc>
      </w:tr>
    </w:tbl>
    <w:p>
      <w:pPr>
        <w:tabs>
          <w:tab w:pos="3018" w:val="left" w:leader="none"/>
          <w:tab w:pos="6348" w:val="left" w:leader="none"/>
        </w:tabs>
        <w:spacing w:before="67"/>
        <w:ind w:left="317" w:right="0" w:firstLine="0"/>
        <w:jc w:val="left"/>
        <w:rPr>
          <w:rFonts w:ascii="宋体" w:hAnsi="宋体" w:cs="宋体" w:eastAsia="宋体" w:hint="default"/>
          <w:sz w:val="21"/>
          <w:szCs w:val="21"/>
        </w:rPr>
      </w:pPr>
      <w:r>
        <w:rPr>
          <w:rFonts w:ascii="宋体" w:hAnsi="宋体" w:cs="宋体" w:eastAsia="宋体" w:hint="default"/>
          <w:spacing w:val="-4"/>
          <w:sz w:val="21"/>
          <w:szCs w:val="21"/>
        </w:rPr>
        <w:t>法定代表人：陈向军</w:t>
        <w:tab/>
      </w:r>
      <w:r>
        <w:rPr>
          <w:rFonts w:ascii="宋体" w:hAnsi="宋体" w:cs="宋体" w:eastAsia="宋体" w:hint="default"/>
          <w:spacing w:val="-3"/>
          <w:sz w:val="21"/>
          <w:szCs w:val="21"/>
        </w:rPr>
        <w:t>主管会计工作负责人：许秋江</w:t>
        <w:tab/>
        <w:t>会计机构负责人：张春雷</w:t>
      </w:r>
    </w:p>
    <w:p>
      <w:pPr>
        <w:spacing w:after="0"/>
        <w:jc w:val="left"/>
        <w:rPr>
          <w:rFonts w:ascii="宋体" w:hAnsi="宋体" w:cs="宋体" w:eastAsia="宋体" w:hint="default"/>
          <w:sz w:val="21"/>
          <w:szCs w:val="21"/>
        </w:rPr>
        <w:sectPr>
          <w:pgSz w:w="11910" w:h="16840"/>
          <w:pgMar w:header="877" w:footer="982" w:top="1100" w:bottom="1180" w:left="1480" w:right="1540"/>
        </w:sectPr>
      </w:pPr>
    </w:p>
    <w:p>
      <w:pPr>
        <w:spacing w:line="240" w:lineRule="auto" w:before="12"/>
        <w:rPr>
          <w:rFonts w:ascii="宋体" w:hAnsi="宋体" w:cs="宋体" w:eastAsia="宋体" w:hint="default"/>
          <w:sz w:val="19"/>
          <w:szCs w:val="19"/>
        </w:rPr>
      </w:pPr>
    </w:p>
    <w:p>
      <w:pPr>
        <w:pStyle w:val="Heading3"/>
        <w:spacing w:line="240" w:lineRule="auto"/>
        <w:ind w:left="3122" w:right="2284"/>
        <w:jc w:val="left"/>
        <w:rPr>
          <w:b w:val="0"/>
          <w:bCs w:val="0"/>
        </w:rPr>
      </w:pPr>
      <w:r>
        <w:rPr/>
        <w:t>合并资产负债表（续）</w:t>
      </w:r>
      <w:r>
        <w:rPr>
          <w:b w:val="0"/>
          <w:bCs w:val="0"/>
        </w:rPr>
      </w:r>
    </w:p>
    <w:p>
      <w:pPr>
        <w:tabs>
          <w:tab w:pos="5671" w:val="left" w:leader="none"/>
          <w:tab w:pos="7351" w:val="left" w:leader="none"/>
        </w:tabs>
        <w:spacing w:line="434" w:lineRule="auto" w:before="9"/>
        <w:ind w:left="317" w:right="271" w:firstLine="2822"/>
        <w:jc w:val="left"/>
        <w:rPr>
          <w:rFonts w:ascii="宋体" w:hAnsi="宋体" w:cs="宋体" w:eastAsia="宋体" w:hint="default"/>
          <w:sz w:val="21"/>
          <w:szCs w:val="21"/>
        </w:rPr>
      </w:pPr>
      <w:r>
        <w:rPr>
          <w:rFonts w:ascii="宋体" w:hAnsi="宋体" w:cs="宋体" w:eastAsia="宋体" w:hint="default"/>
          <w:sz w:val="21"/>
          <w:szCs w:val="21"/>
        </w:rPr>
        <w:t>编制日期：</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 编制单位：深圳市银之杰科技股份有限公司</w:t>
        <w:tab/>
        <w:t>单位：元</w:t>
        <w:tab/>
        <w:t>币种：人民币</w:t>
      </w:r>
    </w:p>
    <w:tbl>
      <w:tblPr>
        <w:tblW w:w="0" w:type="auto"/>
        <w:jc w:val="left"/>
        <w:tblInd w:w="118" w:type="dxa"/>
        <w:tblLayout w:type="fixed"/>
        <w:tblCellMar>
          <w:top w:w="0" w:type="dxa"/>
          <w:left w:w="0" w:type="dxa"/>
          <w:bottom w:w="0" w:type="dxa"/>
          <w:right w:w="0" w:type="dxa"/>
        </w:tblCellMar>
        <w:tblLook w:val="01E0"/>
      </w:tblPr>
      <w:tblGrid>
        <w:gridCol w:w="2698"/>
        <w:gridCol w:w="1637"/>
        <w:gridCol w:w="2160"/>
        <w:gridCol w:w="2146"/>
      </w:tblGrid>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3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11"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7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46"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16" w:lineRule="exact"/>
              <w:ind w:left="712"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26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4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46" w:type="dxa"/>
            <w:tcBorders>
              <w:top w:val="single" w:sz="4" w:space="0" w:color="000000"/>
              <w:left w:val="single" w:sz="4" w:space="0" w:color="000000"/>
              <w:bottom w:val="single" w:sz="4" w:space="0" w:color="000000"/>
              <w:right w:val="nil" w:sz="6" w:space="0" w:color="auto"/>
            </w:tcBorders>
            <w:shd w:val="clear" w:color="auto" w:fill="DCDCDC"/>
          </w:tcPr>
          <w:p>
            <w:pP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13" w:space="0" w:color="DCDCDC"/>
              <w:left w:val="single" w:sz="4" w:space="0" w:color="000000"/>
              <w:bottom w:val="single" w:sz="4" w:space="0" w:color="000000"/>
              <w:right w:val="nil" w:sz="6" w:space="0" w:color="auto"/>
            </w:tcBorders>
          </w:tcPr>
          <w:p>
            <w:pPr>
              <w:pStyle w:val="TableParagraph"/>
              <w:spacing w:line="200" w:lineRule="exact"/>
              <w:ind w:right="13"/>
              <w:jc w:val="right"/>
              <w:rPr>
                <w:rFonts w:ascii="Times New Roman" w:hAnsi="Times New Roman" w:cs="Times New Roman" w:eastAsia="Times New Roman" w:hint="default"/>
                <w:sz w:val="18"/>
                <w:szCs w:val="18"/>
              </w:rPr>
            </w:pPr>
            <w:r>
              <w:rPr>
                <w:rFonts w:ascii="Times New Roman"/>
                <w:sz w:val="18"/>
              </w:rPr>
              <w:t>-</w:t>
            </w:r>
          </w:p>
        </w:tc>
      </w:tr>
      <w:tr>
        <w:trPr>
          <w:trHeight w:val="242"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pacing w:val="-1"/>
                <w:sz w:val="18"/>
              </w:rPr>
              <w:t>7,633,539.01</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pacing w:val="-1"/>
                <w:sz w:val="18"/>
              </w:rPr>
              <w:t>5,895,241.58</w:t>
            </w: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z w:val="18"/>
              </w:rPr>
              <w:t>255,453.00</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z w:val="18"/>
              </w:rPr>
              <w:t>257,953.00</w:t>
            </w:r>
          </w:p>
        </w:tc>
      </w:tr>
      <w:tr>
        <w:trPr>
          <w:trHeight w:val="242"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z w:val="18"/>
              </w:rPr>
              <w:t>2,083.54</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z w:val="18"/>
              </w:rPr>
              <w:t>15,120.35</w:t>
            </w: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pacing w:val="-1"/>
                <w:sz w:val="18"/>
              </w:rPr>
              <w:t>6,336,781.53</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pacing w:val="-1"/>
                <w:sz w:val="18"/>
              </w:rPr>
              <w:t>3,463,204.76</w:t>
            </w: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z w:val="18"/>
              </w:rPr>
              <w:t>386,135.66</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z w:val="18"/>
              </w:rPr>
              <w:t>544,277.20</w:t>
            </w:r>
          </w:p>
        </w:tc>
      </w:tr>
      <w:tr>
        <w:trPr>
          <w:trHeight w:val="242"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z w:val="18"/>
              </w:rPr>
              <w:t>-</w:t>
            </w:r>
          </w:p>
        </w:tc>
      </w:tr>
      <w:tr>
        <w:trPr>
          <w:trHeight w:val="257"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4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637" w:type="dxa"/>
            <w:tcBorders>
              <w:top w:val="single" w:sz="4" w:space="0" w:color="000000"/>
              <w:left w:val="single" w:sz="13" w:space="0" w:color="DCDCDC"/>
              <w:bottom w:val="single" w:sz="9" w:space="0" w:color="DCDCDC"/>
              <w:right w:val="single" w:sz="4" w:space="0" w:color="000000"/>
            </w:tcBorders>
          </w:tcPr>
          <w:p>
            <w:pPr/>
          </w:p>
        </w:tc>
        <w:tc>
          <w:tcPr>
            <w:tcW w:w="2160" w:type="dxa"/>
            <w:tcBorders>
              <w:top w:val="single" w:sz="4" w:space="0" w:color="000000"/>
              <w:left w:val="single" w:sz="4" w:space="0" w:color="000000"/>
              <w:bottom w:val="single" w:sz="14" w:space="0" w:color="DCDCDC"/>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pacing w:val="-1"/>
                <w:sz w:val="18"/>
              </w:rPr>
              <w:t>14,613,992.74</w:t>
            </w:r>
          </w:p>
        </w:tc>
        <w:tc>
          <w:tcPr>
            <w:tcW w:w="2146" w:type="dxa"/>
            <w:tcBorders>
              <w:top w:val="single" w:sz="4" w:space="0" w:color="000000"/>
              <w:left w:val="single" w:sz="4" w:space="0" w:color="000000"/>
              <w:bottom w:val="single" w:sz="14" w:space="0" w:color="DCDCDC"/>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pacing w:val="-1"/>
                <w:sz w:val="18"/>
              </w:rPr>
              <w:t>10,175,796.89</w:t>
            </w:r>
          </w:p>
        </w:tc>
      </w:tr>
      <w:tr>
        <w:trPr>
          <w:trHeight w:val="22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75" w:lineRule="exact"/>
              <w:ind w:left="4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46" w:type="dxa"/>
            <w:tcBorders>
              <w:top w:val="single" w:sz="4" w:space="0" w:color="000000"/>
              <w:left w:val="single" w:sz="4" w:space="0" w:color="000000"/>
              <w:bottom w:val="single" w:sz="4" w:space="0" w:color="000000"/>
              <w:right w:val="nil" w:sz="6" w:space="0" w:color="auto"/>
            </w:tcBorders>
            <w:shd w:val="clear" w:color="auto" w:fill="DCDCDC"/>
          </w:tcPr>
          <w:p>
            <w:pPr/>
          </w:p>
        </w:tc>
      </w:tr>
      <w:tr>
        <w:trPr>
          <w:trHeight w:val="249"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5" w:lineRule="exact"/>
              <w:ind w:left="22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37" w:type="dxa"/>
            <w:tcBorders>
              <w:top w:val="single" w:sz="6" w:space="0" w:color="DCDCDC"/>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3"/>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z w:val="18"/>
              </w:rPr>
              <w:t>-</w:t>
            </w:r>
          </w:p>
        </w:tc>
      </w:tr>
      <w:tr>
        <w:trPr>
          <w:trHeight w:val="242"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4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z w:val="18"/>
              </w:rPr>
              <w:t>-</w:t>
            </w:r>
          </w:p>
        </w:tc>
      </w:tr>
      <w:tr>
        <w:trPr>
          <w:trHeight w:val="257"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4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637" w:type="dxa"/>
            <w:tcBorders>
              <w:top w:val="single" w:sz="4" w:space="0" w:color="000000"/>
              <w:left w:val="single" w:sz="13" w:space="0" w:color="DCDCDC"/>
              <w:bottom w:val="single" w:sz="9" w:space="0" w:color="DCDCDC"/>
              <w:right w:val="single" w:sz="4" w:space="0" w:color="000000"/>
            </w:tcBorders>
          </w:tcPr>
          <w:p>
            <w:pPr/>
          </w:p>
        </w:tc>
        <w:tc>
          <w:tcPr>
            <w:tcW w:w="2160" w:type="dxa"/>
            <w:tcBorders>
              <w:top w:val="single" w:sz="4" w:space="0" w:color="000000"/>
              <w:left w:val="single" w:sz="4" w:space="0" w:color="000000"/>
              <w:bottom w:val="single" w:sz="15" w:space="0" w:color="DCDCDC"/>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pacing w:val="-1"/>
                <w:sz w:val="18"/>
              </w:rPr>
              <w:t>14,613,992.74</w:t>
            </w:r>
          </w:p>
        </w:tc>
        <w:tc>
          <w:tcPr>
            <w:tcW w:w="2146" w:type="dxa"/>
            <w:tcBorders>
              <w:top w:val="single" w:sz="4" w:space="0" w:color="000000"/>
              <w:left w:val="single" w:sz="4" w:space="0" w:color="000000"/>
              <w:bottom w:val="single" w:sz="15" w:space="0" w:color="DCDCDC"/>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pacing w:val="-1"/>
                <w:sz w:val="18"/>
              </w:rPr>
              <w:t>10,175,796.89</w:t>
            </w:r>
          </w:p>
        </w:tc>
      </w:tr>
      <w:tr>
        <w:trPr>
          <w:trHeight w:val="23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75" w:lineRule="exact"/>
              <w:ind w:left="40"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46" w:type="dxa"/>
            <w:tcBorders>
              <w:top w:val="single" w:sz="4" w:space="0" w:color="000000"/>
              <w:left w:val="single" w:sz="4" w:space="0" w:color="000000"/>
              <w:bottom w:val="single" w:sz="4" w:space="0" w:color="000000"/>
              <w:right w:val="nil" w:sz="6" w:space="0" w:color="auto"/>
            </w:tcBorders>
            <w:shd w:val="clear" w:color="auto" w:fill="DCDCDC"/>
          </w:tcPr>
          <w:p>
            <w:pP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637" w:type="dxa"/>
            <w:tcBorders>
              <w:top w:val="single" w:sz="6" w:space="0" w:color="DCDCDC"/>
              <w:left w:val="single" w:sz="13" w:space="0" w:color="DCDCDC"/>
              <w:bottom w:val="single" w:sz="4" w:space="0" w:color="000000"/>
              <w:right w:val="single" w:sz="4" w:space="0" w:color="000000"/>
            </w:tcBorders>
          </w:tcPr>
          <w:p>
            <w:pPr>
              <w:pStyle w:val="TableParagraph"/>
              <w:spacing w:line="200"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Times New Roman" w:hAnsi="Times New Roman" w:cs="Times New Roman" w:eastAsia="Times New Roman" w:hint="default"/>
                <w:sz w:val="18"/>
                <w:szCs w:val="18"/>
              </w:rPr>
            </w:pPr>
            <w:r>
              <w:rPr>
                <w:rFonts w:ascii="Times New Roman"/>
                <w:spacing w:val="-1"/>
                <w:sz w:val="18"/>
              </w:rPr>
              <w:t>313,975,300.21</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2"/>
              <w:jc w:val="right"/>
              <w:rPr>
                <w:rFonts w:ascii="Times New Roman" w:hAnsi="Times New Roman" w:cs="Times New Roman" w:eastAsia="Times New Roman" w:hint="default"/>
                <w:sz w:val="18"/>
                <w:szCs w:val="18"/>
              </w:rPr>
            </w:pPr>
            <w:r>
              <w:rPr>
                <w:rFonts w:ascii="Times New Roman"/>
                <w:spacing w:val="-1"/>
                <w:sz w:val="18"/>
              </w:rPr>
              <w:t>373,975,300.21</w:t>
            </w: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pacing w:val="-1"/>
                <w:sz w:val="18"/>
              </w:rPr>
              <w:t>12,979,061.84</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pacing w:val="-1"/>
                <w:sz w:val="18"/>
              </w:rPr>
              <w:t>10,843,670.67</w:t>
            </w:r>
          </w:p>
        </w:tc>
      </w:tr>
      <w:tr>
        <w:trPr>
          <w:trHeight w:val="242"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pacing w:val="-1"/>
                <w:sz w:val="18"/>
              </w:rPr>
              <w:t>68,727,151.43</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pacing w:val="-1"/>
                <w:sz w:val="18"/>
              </w:rPr>
              <w:t>86,031,644.70</w:t>
            </w: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220"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4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Times New Roman" w:hAnsi="Times New Roman" w:cs="Times New Roman" w:eastAsia="Times New Roman" w:hint="default"/>
                <w:sz w:val="18"/>
                <w:szCs w:val="18"/>
              </w:rPr>
            </w:pPr>
            <w:r>
              <w:rPr>
                <w:rFonts w:ascii="Times New Roman"/>
                <w:spacing w:val="-1"/>
                <w:sz w:val="18"/>
              </w:rPr>
              <w:t>515,681,513.48</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2"/>
              <w:jc w:val="right"/>
              <w:rPr>
                <w:rFonts w:ascii="Times New Roman" w:hAnsi="Times New Roman" w:cs="Times New Roman" w:eastAsia="Times New Roman" w:hint="default"/>
                <w:sz w:val="18"/>
                <w:szCs w:val="18"/>
              </w:rPr>
            </w:pPr>
            <w:r>
              <w:rPr>
                <w:rFonts w:ascii="Times New Roman"/>
                <w:spacing w:val="-1"/>
                <w:sz w:val="18"/>
              </w:rPr>
              <w:t>530,850,615.58</w:t>
            </w: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4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4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Times New Roman" w:hAnsi="Times New Roman" w:cs="Times New Roman" w:eastAsia="Times New Roman" w:hint="default"/>
                <w:sz w:val="18"/>
                <w:szCs w:val="18"/>
              </w:rPr>
            </w:pPr>
            <w:r>
              <w:rPr>
                <w:rFonts w:ascii="Times New Roman"/>
                <w:spacing w:val="-1"/>
                <w:sz w:val="18"/>
              </w:rPr>
              <w:t>515,681,513.48</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2"/>
              <w:jc w:val="right"/>
              <w:rPr>
                <w:rFonts w:ascii="Times New Roman" w:hAnsi="Times New Roman" w:cs="Times New Roman" w:eastAsia="Times New Roman" w:hint="default"/>
                <w:sz w:val="18"/>
                <w:szCs w:val="18"/>
              </w:rPr>
            </w:pPr>
            <w:r>
              <w:rPr>
                <w:rFonts w:ascii="Times New Roman"/>
                <w:spacing w:val="-1"/>
                <w:sz w:val="18"/>
              </w:rPr>
              <w:t>530,850,615.58</w:t>
            </w:r>
          </w:p>
        </w:tc>
      </w:tr>
      <w:tr>
        <w:trPr>
          <w:trHeight w:val="24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88" w:lineRule="exact"/>
              <w:ind w:left="40"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Times New Roman" w:hAnsi="Times New Roman" w:cs="Times New Roman" w:eastAsia="Times New Roman" w:hint="default"/>
                <w:sz w:val="18"/>
                <w:szCs w:val="18"/>
              </w:rPr>
            </w:pPr>
            <w:r>
              <w:rPr>
                <w:rFonts w:ascii="Times New Roman"/>
                <w:spacing w:val="-1"/>
                <w:sz w:val="18"/>
              </w:rPr>
              <w:t>530,295,506.22</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2"/>
              <w:jc w:val="right"/>
              <w:rPr>
                <w:rFonts w:ascii="Times New Roman" w:hAnsi="Times New Roman" w:cs="Times New Roman" w:eastAsia="Times New Roman" w:hint="default"/>
                <w:sz w:val="18"/>
                <w:szCs w:val="18"/>
              </w:rPr>
            </w:pPr>
            <w:r>
              <w:rPr>
                <w:rFonts w:ascii="Times New Roman"/>
                <w:spacing w:val="-1"/>
                <w:sz w:val="18"/>
              </w:rPr>
              <w:t>541,026,412.47</w:t>
            </w:r>
          </w:p>
        </w:tc>
      </w:tr>
    </w:tbl>
    <w:p>
      <w:pPr>
        <w:tabs>
          <w:tab w:pos="3018" w:val="left" w:leader="none"/>
          <w:tab w:pos="6348" w:val="left" w:leader="none"/>
        </w:tabs>
        <w:spacing w:before="67"/>
        <w:ind w:left="317" w:right="0" w:firstLine="0"/>
        <w:jc w:val="left"/>
        <w:rPr>
          <w:rFonts w:ascii="宋体" w:hAnsi="宋体" w:cs="宋体" w:eastAsia="宋体" w:hint="default"/>
          <w:sz w:val="21"/>
          <w:szCs w:val="21"/>
        </w:rPr>
      </w:pPr>
      <w:r>
        <w:rPr>
          <w:rFonts w:ascii="宋体" w:hAnsi="宋体" w:cs="宋体" w:eastAsia="宋体" w:hint="default"/>
          <w:spacing w:val="-4"/>
          <w:sz w:val="21"/>
          <w:szCs w:val="21"/>
        </w:rPr>
        <w:t>法定代表人：陈向军</w:t>
        <w:tab/>
      </w:r>
      <w:r>
        <w:rPr>
          <w:rFonts w:ascii="宋体" w:hAnsi="宋体" w:cs="宋体" w:eastAsia="宋体" w:hint="default"/>
          <w:spacing w:val="-3"/>
          <w:sz w:val="21"/>
          <w:szCs w:val="21"/>
        </w:rPr>
        <w:t>主管会计工作负责人：许秋江</w:t>
        <w:tab/>
        <w:t>会计机构负责人：张春雷</w:t>
      </w:r>
    </w:p>
    <w:p>
      <w:pPr>
        <w:spacing w:after="0"/>
        <w:jc w:val="left"/>
        <w:rPr>
          <w:rFonts w:ascii="宋体" w:hAnsi="宋体" w:cs="宋体" w:eastAsia="宋体" w:hint="default"/>
          <w:sz w:val="21"/>
          <w:szCs w:val="21"/>
        </w:rPr>
        <w:sectPr>
          <w:pgSz w:w="11910" w:h="16840"/>
          <w:pgMar w:header="877" w:footer="982" w:top="1100" w:bottom="1180" w:left="1480" w:right="1540"/>
        </w:sectPr>
      </w:pPr>
    </w:p>
    <w:p>
      <w:pPr>
        <w:spacing w:line="240" w:lineRule="auto" w:before="12"/>
        <w:rPr>
          <w:rFonts w:ascii="宋体" w:hAnsi="宋体" w:cs="宋体" w:eastAsia="宋体" w:hint="default"/>
          <w:sz w:val="19"/>
          <w:szCs w:val="19"/>
        </w:rPr>
      </w:pPr>
    </w:p>
    <w:p>
      <w:pPr>
        <w:pStyle w:val="Heading3"/>
        <w:spacing w:line="240" w:lineRule="auto"/>
        <w:ind w:left="3381" w:right="3213"/>
        <w:jc w:val="center"/>
        <w:rPr>
          <w:b w:val="0"/>
          <w:bCs w:val="0"/>
        </w:rPr>
      </w:pPr>
      <w:r>
        <w:rPr/>
        <w:t>母公司资产负债表</w:t>
      </w:r>
      <w:r>
        <w:rPr>
          <w:b w:val="0"/>
          <w:bCs w:val="0"/>
        </w:rPr>
      </w:r>
    </w:p>
    <w:p>
      <w:pPr>
        <w:tabs>
          <w:tab w:pos="5671" w:val="left" w:leader="none"/>
          <w:tab w:pos="7351" w:val="left" w:leader="none"/>
        </w:tabs>
        <w:spacing w:line="434" w:lineRule="auto" w:before="190"/>
        <w:ind w:left="317" w:right="271" w:firstLine="2822"/>
        <w:jc w:val="left"/>
        <w:rPr>
          <w:rFonts w:ascii="宋体" w:hAnsi="宋体" w:cs="宋体" w:eastAsia="宋体" w:hint="default"/>
          <w:sz w:val="21"/>
          <w:szCs w:val="21"/>
        </w:rPr>
      </w:pPr>
      <w:r>
        <w:rPr>
          <w:rFonts w:ascii="宋体" w:hAnsi="宋体" w:cs="宋体" w:eastAsia="宋体" w:hint="default"/>
          <w:sz w:val="21"/>
          <w:szCs w:val="21"/>
        </w:rPr>
        <w:t>编制日期：</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 编制单位：深圳市银之杰科技股份有限公司</w:t>
        <w:tab/>
        <w:t>单位：元</w:t>
        <w:tab/>
        <w:t>币种：人民币</w:t>
      </w:r>
    </w:p>
    <w:tbl>
      <w:tblPr>
        <w:tblW w:w="0" w:type="auto"/>
        <w:jc w:val="left"/>
        <w:tblInd w:w="118" w:type="dxa"/>
        <w:tblLayout w:type="fixed"/>
        <w:tblCellMar>
          <w:top w:w="0" w:type="dxa"/>
          <w:left w:w="0" w:type="dxa"/>
          <w:bottom w:w="0" w:type="dxa"/>
          <w:right w:w="0" w:type="dxa"/>
        </w:tblCellMar>
        <w:tblLook w:val="01E0"/>
      </w:tblPr>
      <w:tblGrid>
        <w:gridCol w:w="2698"/>
        <w:gridCol w:w="1637"/>
        <w:gridCol w:w="2160"/>
        <w:gridCol w:w="2146"/>
      </w:tblGrid>
      <w:tr>
        <w:trPr>
          <w:trHeight w:val="311"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3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left="11"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left="7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46"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40" w:lineRule="auto" w:before="12"/>
              <w:ind w:left="712"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1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4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46" w:type="dxa"/>
            <w:tcBorders>
              <w:top w:val="single" w:sz="4" w:space="0" w:color="000000"/>
              <w:left w:val="single" w:sz="4" w:space="0" w:color="000000"/>
              <w:bottom w:val="single" w:sz="4" w:space="0" w:color="000000"/>
              <w:right w:val="nil" w:sz="6" w:space="0" w:color="auto"/>
            </w:tcBorders>
            <w:shd w:val="clear" w:color="auto" w:fill="DCDCDC"/>
          </w:tcPr>
          <w:p>
            <w:pPr/>
          </w:p>
        </w:tc>
      </w:tr>
      <w:tr>
        <w:trPr>
          <w:trHeight w:val="31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380,047,228.75</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2"/>
              <w:jc w:val="right"/>
              <w:rPr>
                <w:rFonts w:ascii="Times New Roman" w:hAnsi="Times New Roman" w:cs="Times New Roman" w:eastAsia="Times New Roman" w:hint="default"/>
                <w:sz w:val="18"/>
                <w:szCs w:val="18"/>
              </w:rPr>
            </w:pPr>
            <w:r>
              <w:rPr>
                <w:rFonts w:ascii="Times New Roman"/>
                <w:spacing w:val="-1"/>
                <w:sz w:val="18"/>
              </w:rPr>
              <w:t>406,944,604.19</w:t>
            </w:r>
          </w:p>
        </w:tc>
      </w:tr>
      <w:tr>
        <w:trPr>
          <w:trHeight w:val="311"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3"/>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十一</w:t>
            </w:r>
            <w:r>
              <w:rPr>
                <w:rFonts w:ascii="Times New Roman" w:hAnsi="Times New Roman" w:cs="Times New Roman" w:eastAsia="Times New Roman" w:hint="default"/>
                <w:sz w:val="18"/>
                <w:szCs w:val="18"/>
              </w:rPr>
              <w:t>.1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62,570,964.60</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pacing w:val="-1"/>
                <w:sz w:val="18"/>
              </w:rPr>
              <w:t>47,621,649.64</w:t>
            </w:r>
          </w:p>
        </w:tc>
      </w:tr>
      <w:tr>
        <w:trPr>
          <w:trHeight w:val="311"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4,814,974.00</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634,000.00</w:t>
            </w:r>
          </w:p>
        </w:tc>
      </w:tr>
      <w:tr>
        <w:trPr>
          <w:trHeight w:val="31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pacing w:val="-1"/>
                <w:sz w:val="18"/>
              </w:rPr>
              <w:t>23,000,000.00</w:t>
            </w:r>
          </w:p>
        </w:tc>
      </w:tr>
      <w:tr>
        <w:trPr>
          <w:trHeight w:val="311"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3"/>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十一</w:t>
            </w:r>
            <w:r>
              <w:rPr>
                <w:rFonts w:ascii="Times New Roman" w:hAnsi="Times New Roman" w:cs="Times New Roman" w:eastAsia="Times New Roman" w:hint="default"/>
                <w:sz w:val="18"/>
                <w:szCs w:val="18"/>
              </w:rPr>
              <w:t>.2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4,002,060.73</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pacing w:val="-1"/>
                <w:sz w:val="18"/>
              </w:rPr>
              <w:t>4,568,650.05</w:t>
            </w:r>
          </w:p>
        </w:tc>
      </w:tr>
      <w:tr>
        <w:trPr>
          <w:trHeight w:val="31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4,406,444.93</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pacing w:val="-1"/>
                <w:sz w:val="18"/>
              </w:rPr>
              <w:t>1,247,558.79</w:t>
            </w:r>
          </w:p>
        </w:tc>
      </w:tr>
      <w:tr>
        <w:trPr>
          <w:trHeight w:val="31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1,230,059.78</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289,731.28</w:t>
            </w:r>
          </w:p>
        </w:tc>
      </w:tr>
      <w:tr>
        <w:trPr>
          <w:trHeight w:val="335"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4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637" w:type="dxa"/>
            <w:tcBorders>
              <w:top w:val="single" w:sz="4" w:space="0" w:color="000000"/>
              <w:left w:val="single" w:sz="13" w:space="0" w:color="DCDCDC"/>
              <w:bottom w:val="single" w:sz="24" w:space="0" w:color="DCDCDC"/>
              <w:right w:val="single" w:sz="4" w:space="0" w:color="000000"/>
            </w:tcBorders>
          </w:tcPr>
          <w:p>
            <w:pPr/>
          </w:p>
        </w:tc>
        <w:tc>
          <w:tcPr>
            <w:tcW w:w="2160" w:type="dxa"/>
            <w:tcBorders>
              <w:top w:val="single" w:sz="4" w:space="0" w:color="000000"/>
              <w:left w:val="single" w:sz="4" w:space="0" w:color="000000"/>
              <w:bottom w:val="single" w:sz="20" w:space="0" w:color="DCDCDC"/>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457,071,732.79</w:t>
            </w:r>
          </w:p>
        </w:tc>
        <w:tc>
          <w:tcPr>
            <w:tcW w:w="2146" w:type="dxa"/>
            <w:tcBorders>
              <w:top w:val="single" w:sz="4" w:space="0" w:color="000000"/>
              <w:left w:val="single" w:sz="4" w:space="0" w:color="000000"/>
              <w:bottom w:val="single" w:sz="20" w:space="0" w:color="DCDCDC"/>
              <w:right w:val="nil" w:sz="6" w:space="0" w:color="auto"/>
            </w:tcBorders>
          </w:tcPr>
          <w:p>
            <w:pPr>
              <w:pStyle w:val="TableParagraph"/>
              <w:spacing w:line="240" w:lineRule="auto" w:before="63"/>
              <w:ind w:right="12"/>
              <w:jc w:val="right"/>
              <w:rPr>
                <w:rFonts w:ascii="Times New Roman" w:hAnsi="Times New Roman" w:cs="Times New Roman" w:eastAsia="Times New Roman" w:hint="default"/>
                <w:sz w:val="18"/>
                <w:szCs w:val="18"/>
              </w:rPr>
            </w:pPr>
            <w:r>
              <w:rPr>
                <w:rFonts w:ascii="Times New Roman"/>
                <w:spacing w:val="-1"/>
                <w:sz w:val="18"/>
              </w:rPr>
              <w:t>484,306,193.95</w:t>
            </w:r>
          </w:p>
        </w:tc>
      </w:tr>
      <w:tr>
        <w:trPr>
          <w:trHeight w:val="284"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23" w:lineRule="exact"/>
              <w:ind w:left="4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46" w:type="dxa"/>
            <w:tcBorders>
              <w:top w:val="single" w:sz="4" w:space="0" w:color="000000"/>
              <w:left w:val="single" w:sz="4" w:space="0" w:color="000000"/>
              <w:bottom w:val="single" w:sz="4" w:space="0" w:color="000000"/>
              <w:right w:val="nil" w:sz="6" w:space="0" w:color="auto"/>
            </w:tcBorders>
            <w:shd w:val="clear" w:color="auto" w:fill="DCDCDC"/>
          </w:tcPr>
          <w:p>
            <w:pPr/>
          </w:p>
        </w:tc>
      </w:tr>
      <w:tr>
        <w:trPr>
          <w:trHeight w:val="311"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3"/>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十一</w:t>
            </w:r>
            <w:r>
              <w:rPr>
                <w:rFonts w:ascii="Times New Roman" w:hAnsi="Times New Roman" w:cs="Times New Roman" w:eastAsia="Times New Roman" w:hint="default"/>
                <w:sz w:val="18"/>
                <w:szCs w:val="18"/>
              </w:rPr>
              <w:t>.3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4,000,000.00</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1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45,178,783.11</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pacing w:val="-1"/>
                <w:sz w:val="18"/>
              </w:rPr>
              <w:t>46,336,627.59</w:t>
            </w:r>
          </w:p>
        </w:tc>
      </w:tr>
      <w:tr>
        <w:trPr>
          <w:trHeight w:val="31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5,164,831.84</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pacing w:val="-1"/>
                <w:sz w:val="18"/>
              </w:rPr>
              <w:t>3,858,055.66</w:t>
            </w:r>
          </w:p>
        </w:tc>
      </w:tr>
      <w:tr>
        <w:trPr>
          <w:trHeight w:val="311"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509,620.25</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21,134.99</w:t>
            </w:r>
          </w:p>
        </w:tc>
      </w:tr>
      <w:tr>
        <w:trPr>
          <w:trHeight w:val="311"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12,850,332.76</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pacing w:val="-1"/>
                <w:sz w:val="18"/>
              </w:rPr>
              <w:t>2,061,331.41</w:t>
            </w:r>
          </w:p>
        </w:tc>
      </w:tr>
      <w:tr>
        <w:trPr>
          <w:trHeight w:val="31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752,828.05</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826,426.16</w:t>
            </w:r>
          </w:p>
        </w:tc>
      </w:tr>
      <w:tr>
        <w:trPr>
          <w:trHeight w:val="311"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910,388.23</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pacing w:val="-1"/>
                <w:sz w:val="18"/>
              </w:rPr>
              <w:t>505,360.11</w:t>
            </w:r>
          </w:p>
        </w:tc>
      </w:tr>
      <w:tr>
        <w:trPr>
          <w:trHeight w:val="31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4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69,366,784.24</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pacing w:val="-1"/>
                <w:sz w:val="18"/>
              </w:rPr>
              <w:t>54,608,935.92</w:t>
            </w:r>
          </w:p>
        </w:tc>
      </w:tr>
      <w:tr>
        <w:trPr>
          <w:trHeight w:val="311"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4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526,438,517.03</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2"/>
              <w:jc w:val="right"/>
              <w:rPr>
                <w:rFonts w:ascii="Times New Roman" w:hAnsi="Times New Roman" w:cs="Times New Roman" w:eastAsia="Times New Roman" w:hint="default"/>
                <w:sz w:val="18"/>
                <w:szCs w:val="18"/>
              </w:rPr>
            </w:pPr>
            <w:r>
              <w:rPr>
                <w:rFonts w:ascii="Times New Roman"/>
                <w:spacing w:val="-1"/>
                <w:sz w:val="18"/>
              </w:rPr>
              <w:t>538,915,129.87</w:t>
            </w:r>
          </w:p>
        </w:tc>
      </w:tr>
    </w:tbl>
    <w:p>
      <w:pPr>
        <w:tabs>
          <w:tab w:pos="3018" w:val="left" w:leader="none"/>
          <w:tab w:pos="6348" w:val="left" w:leader="none"/>
        </w:tabs>
        <w:spacing w:before="67"/>
        <w:ind w:left="317" w:right="0" w:firstLine="0"/>
        <w:jc w:val="left"/>
        <w:rPr>
          <w:rFonts w:ascii="宋体" w:hAnsi="宋体" w:cs="宋体" w:eastAsia="宋体" w:hint="default"/>
          <w:sz w:val="21"/>
          <w:szCs w:val="21"/>
        </w:rPr>
      </w:pPr>
      <w:r>
        <w:rPr>
          <w:rFonts w:ascii="宋体" w:hAnsi="宋体" w:cs="宋体" w:eastAsia="宋体" w:hint="default"/>
          <w:spacing w:val="-4"/>
          <w:sz w:val="21"/>
          <w:szCs w:val="21"/>
        </w:rPr>
        <w:t>法定代表人：陈向军</w:t>
        <w:tab/>
      </w:r>
      <w:r>
        <w:rPr>
          <w:rFonts w:ascii="宋体" w:hAnsi="宋体" w:cs="宋体" w:eastAsia="宋体" w:hint="default"/>
          <w:spacing w:val="-3"/>
          <w:sz w:val="21"/>
          <w:szCs w:val="21"/>
        </w:rPr>
        <w:t>主管会计工作负责人：许秋江</w:t>
        <w:tab/>
        <w:t>会计机构负责人：张春雷</w:t>
      </w:r>
    </w:p>
    <w:p>
      <w:pPr>
        <w:spacing w:after="0"/>
        <w:jc w:val="left"/>
        <w:rPr>
          <w:rFonts w:ascii="宋体" w:hAnsi="宋体" w:cs="宋体" w:eastAsia="宋体" w:hint="default"/>
          <w:sz w:val="21"/>
          <w:szCs w:val="21"/>
        </w:rPr>
        <w:sectPr>
          <w:pgSz w:w="11910" w:h="16840"/>
          <w:pgMar w:header="877" w:footer="982" w:top="1100" w:bottom="1180" w:left="1480" w:right="15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48"/>
        <w:ind w:left="2981" w:right="2284"/>
        <w:jc w:val="left"/>
        <w:rPr>
          <w:b w:val="0"/>
          <w:bCs w:val="0"/>
        </w:rPr>
      </w:pPr>
      <w:r>
        <w:rPr/>
        <w:t>母公司资产负债表（续）</w:t>
      </w:r>
      <w:r>
        <w:rPr>
          <w:b w:val="0"/>
          <w:bCs w:val="0"/>
        </w:rPr>
      </w:r>
    </w:p>
    <w:p>
      <w:pPr>
        <w:tabs>
          <w:tab w:pos="5671" w:val="left" w:leader="none"/>
          <w:tab w:pos="7351" w:val="left" w:leader="none"/>
        </w:tabs>
        <w:spacing w:line="434" w:lineRule="auto" w:before="190"/>
        <w:ind w:left="317" w:right="271" w:firstLine="2822"/>
        <w:jc w:val="left"/>
        <w:rPr>
          <w:rFonts w:ascii="宋体" w:hAnsi="宋体" w:cs="宋体" w:eastAsia="宋体" w:hint="default"/>
          <w:sz w:val="21"/>
          <w:szCs w:val="21"/>
        </w:rPr>
      </w:pPr>
      <w:r>
        <w:rPr>
          <w:rFonts w:ascii="宋体" w:hAnsi="宋体" w:cs="宋体" w:eastAsia="宋体" w:hint="default"/>
          <w:sz w:val="21"/>
          <w:szCs w:val="21"/>
        </w:rPr>
        <w:t>编制日期：</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 编制单位：深圳市银之杰科技股份有限公司</w:t>
        <w:tab/>
        <w:t>单位：元</w:t>
        <w:tab/>
        <w:t>币种：人民币</w:t>
      </w:r>
    </w:p>
    <w:tbl>
      <w:tblPr>
        <w:tblW w:w="0" w:type="auto"/>
        <w:jc w:val="left"/>
        <w:tblInd w:w="118" w:type="dxa"/>
        <w:tblLayout w:type="fixed"/>
        <w:tblCellMar>
          <w:top w:w="0" w:type="dxa"/>
          <w:left w:w="0" w:type="dxa"/>
          <w:bottom w:w="0" w:type="dxa"/>
          <w:right w:w="0" w:type="dxa"/>
        </w:tblCellMar>
        <w:tblLook w:val="01E0"/>
      </w:tblPr>
      <w:tblGrid>
        <w:gridCol w:w="2702"/>
        <w:gridCol w:w="1632"/>
        <w:gridCol w:w="2160"/>
        <w:gridCol w:w="2146"/>
      </w:tblGrid>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left="7"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left="7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46"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40" w:lineRule="auto" w:before="12"/>
              <w:ind w:left="712"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4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6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46" w:type="dxa"/>
            <w:tcBorders>
              <w:top w:val="single" w:sz="4" w:space="0" w:color="000000"/>
              <w:left w:val="single" w:sz="4" w:space="0" w:color="000000"/>
              <w:bottom w:val="single" w:sz="4" w:space="0" w:color="000000"/>
              <w:right w:val="nil" w:sz="6" w:space="0" w:color="auto"/>
            </w:tcBorders>
            <w:shd w:val="clear" w:color="auto" w:fill="DCDCDC"/>
          </w:tcPr>
          <w:p>
            <w:pP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7,633,539.01</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pacing w:val="-1"/>
                <w:sz w:val="18"/>
              </w:rPr>
              <w:t>5,895,241.58</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255,453.00</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257,953.00</w:t>
            </w: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2,083.54</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15,120.35</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3,911,353.24</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pacing w:val="-1"/>
                <w:sz w:val="18"/>
              </w:rPr>
              <w:t>3,310,602.52</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383,765.81</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544,277.20</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4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632" w:type="dxa"/>
            <w:tcBorders>
              <w:top w:val="single" w:sz="4" w:space="0" w:color="000000"/>
              <w:left w:val="single" w:sz="13" w:space="0" w:color="DCDCDC"/>
              <w:bottom w:val="single" w:sz="14" w:space="0" w:color="DCDCDC"/>
              <w:right w:val="single" w:sz="4" w:space="0" w:color="000000"/>
            </w:tcBorders>
          </w:tcPr>
          <w:p>
            <w:pPr/>
          </w:p>
        </w:tc>
        <w:tc>
          <w:tcPr>
            <w:tcW w:w="2160" w:type="dxa"/>
            <w:tcBorders>
              <w:top w:val="single" w:sz="4" w:space="0" w:color="000000"/>
              <w:left w:val="single" w:sz="4" w:space="0" w:color="000000"/>
              <w:bottom w:val="single" w:sz="16" w:space="0" w:color="DCDCDC"/>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12,186,194.60</w:t>
            </w:r>
          </w:p>
        </w:tc>
        <w:tc>
          <w:tcPr>
            <w:tcW w:w="2146" w:type="dxa"/>
            <w:tcBorders>
              <w:top w:val="single" w:sz="4" w:space="0" w:color="000000"/>
              <w:left w:val="single" w:sz="4" w:space="0" w:color="000000"/>
              <w:bottom w:val="single" w:sz="16" w:space="0" w:color="DCDCDC"/>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pacing w:val="-1"/>
                <w:sz w:val="18"/>
              </w:rPr>
              <w:t>10,023,194.65</w:t>
            </w:r>
          </w:p>
        </w:tc>
      </w:tr>
      <w:tr>
        <w:trPr>
          <w:trHeight w:val="29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28" w:lineRule="exact"/>
              <w:ind w:left="4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6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46" w:type="dxa"/>
            <w:tcBorders>
              <w:top w:val="single" w:sz="4" w:space="0" w:color="000000"/>
              <w:left w:val="single" w:sz="4" w:space="0" w:color="000000"/>
              <w:bottom w:val="single" w:sz="4" w:space="0" w:color="000000"/>
              <w:right w:val="nil" w:sz="6" w:space="0" w:color="auto"/>
            </w:tcBorders>
            <w:shd w:val="clear" w:color="auto" w:fill="DCDCDC"/>
          </w:tcPr>
          <w:p>
            <w:pP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32" w:type="dxa"/>
            <w:tcBorders>
              <w:top w:val="single" w:sz="10" w:space="0" w:color="DCDCDC"/>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4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4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632" w:type="dxa"/>
            <w:tcBorders>
              <w:top w:val="single" w:sz="4" w:space="0" w:color="000000"/>
              <w:left w:val="single" w:sz="13" w:space="0" w:color="DCDCDC"/>
              <w:bottom w:val="single" w:sz="14" w:space="0" w:color="DCDCDC"/>
              <w:right w:val="single" w:sz="4" w:space="0" w:color="000000"/>
            </w:tcBorders>
          </w:tcPr>
          <w:p>
            <w:pPr/>
          </w:p>
        </w:tc>
        <w:tc>
          <w:tcPr>
            <w:tcW w:w="2160" w:type="dxa"/>
            <w:tcBorders>
              <w:top w:val="single" w:sz="4" w:space="0" w:color="000000"/>
              <w:left w:val="single" w:sz="4" w:space="0" w:color="000000"/>
              <w:bottom w:val="single" w:sz="20" w:space="0" w:color="DCDCDC"/>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12,186,194.60</w:t>
            </w:r>
          </w:p>
        </w:tc>
        <w:tc>
          <w:tcPr>
            <w:tcW w:w="2146" w:type="dxa"/>
            <w:tcBorders>
              <w:top w:val="single" w:sz="4" w:space="0" w:color="000000"/>
              <w:left w:val="single" w:sz="4" w:space="0" w:color="000000"/>
              <w:bottom w:val="single" w:sz="20" w:space="0" w:color="DCDCDC"/>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pacing w:val="-1"/>
                <w:sz w:val="18"/>
              </w:rPr>
              <w:t>10,023,194.65</w:t>
            </w:r>
          </w:p>
        </w:tc>
      </w:tr>
      <w:tr>
        <w:trPr>
          <w:trHeight w:val="29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28" w:lineRule="exact"/>
              <w:ind w:left="40"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6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46" w:type="dxa"/>
            <w:tcBorders>
              <w:top w:val="single" w:sz="4" w:space="0" w:color="000000"/>
              <w:left w:val="single" w:sz="4" w:space="0" w:color="000000"/>
              <w:bottom w:val="single" w:sz="4" w:space="0" w:color="000000"/>
              <w:right w:val="nil" w:sz="6" w:space="0" w:color="auto"/>
            </w:tcBorders>
            <w:shd w:val="clear" w:color="auto" w:fill="DCDCDC"/>
          </w:tcPr>
          <w:p>
            <w:pP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632" w:type="dxa"/>
            <w:tcBorders>
              <w:top w:val="single" w:sz="14" w:space="0" w:color="DCDCDC"/>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313,975,300.21</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2"/>
              <w:jc w:val="right"/>
              <w:rPr>
                <w:rFonts w:ascii="Times New Roman" w:hAnsi="Times New Roman" w:cs="Times New Roman" w:eastAsia="Times New Roman" w:hint="default"/>
                <w:sz w:val="18"/>
                <w:szCs w:val="18"/>
              </w:rPr>
            </w:pPr>
            <w:r>
              <w:rPr>
                <w:rFonts w:ascii="Times New Roman"/>
                <w:spacing w:val="-1"/>
                <w:sz w:val="18"/>
              </w:rPr>
              <w:t>373,975,300.21</w:t>
            </w: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11,627,054.68</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pacing w:val="-1"/>
                <w:sz w:val="18"/>
              </w:rPr>
              <w:t>9,491,663.51</w:t>
            </w: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68,649,967.54</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pacing w:val="-1"/>
                <w:sz w:val="18"/>
              </w:rPr>
              <w:t>85,424,971.50</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4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514,252,322.43</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2"/>
              <w:jc w:val="right"/>
              <w:rPr>
                <w:rFonts w:ascii="Times New Roman" w:hAnsi="Times New Roman" w:cs="Times New Roman" w:eastAsia="Times New Roman" w:hint="default"/>
                <w:sz w:val="18"/>
                <w:szCs w:val="18"/>
              </w:rPr>
            </w:pPr>
            <w:r>
              <w:rPr>
                <w:rFonts w:ascii="Times New Roman"/>
                <w:spacing w:val="-1"/>
                <w:sz w:val="18"/>
              </w:rPr>
              <w:t>528,891,935.22</w:t>
            </w: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40"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526,438,517.03</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2"/>
              <w:jc w:val="right"/>
              <w:rPr>
                <w:rFonts w:ascii="Times New Roman" w:hAnsi="Times New Roman" w:cs="Times New Roman" w:eastAsia="Times New Roman" w:hint="default"/>
                <w:sz w:val="18"/>
                <w:szCs w:val="18"/>
              </w:rPr>
            </w:pPr>
            <w:r>
              <w:rPr>
                <w:rFonts w:ascii="Times New Roman"/>
                <w:spacing w:val="-1"/>
                <w:sz w:val="18"/>
              </w:rPr>
              <w:t>538,915,129.87</w:t>
            </w:r>
          </w:p>
        </w:tc>
      </w:tr>
    </w:tbl>
    <w:p>
      <w:pPr>
        <w:tabs>
          <w:tab w:pos="3018" w:val="left" w:leader="none"/>
          <w:tab w:pos="6348" w:val="left" w:leader="none"/>
        </w:tabs>
        <w:spacing w:before="67"/>
        <w:ind w:left="317" w:right="0" w:firstLine="0"/>
        <w:jc w:val="left"/>
        <w:rPr>
          <w:rFonts w:ascii="宋体" w:hAnsi="宋体" w:cs="宋体" w:eastAsia="宋体" w:hint="default"/>
          <w:sz w:val="21"/>
          <w:szCs w:val="21"/>
        </w:rPr>
      </w:pPr>
      <w:r>
        <w:rPr>
          <w:rFonts w:ascii="宋体" w:hAnsi="宋体" w:cs="宋体" w:eastAsia="宋体" w:hint="default"/>
          <w:spacing w:val="-4"/>
          <w:sz w:val="21"/>
          <w:szCs w:val="21"/>
        </w:rPr>
        <w:t>法定代表人：陈向军</w:t>
        <w:tab/>
      </w:r>
      <w:r>
        <w:rPr>
          <w:rFonts w:ascii="宋体" w:hAnsi="宋体" w:cs="宋体" w:eastAsia="宋体" w:hint="default"/>
          <w:spacing w:val="-3"/>
          <w:sz w:val="21"/>
          <w:szCs w:val="21"/>
        </w:rPr>
        <w:t>主管会计工作负责人：许秋江</w:t>
        <w:tab/>
        <w:t>会计机构负责人：张春雷</w:t>
      </w:r>
    </w:p>
    <w:p>
      <w:pPr>
        <w:spacing w:after="0"/>
        <w:jc w:val="left"/>
        <w:rPr>
          <w:rFonts w:ascii="宋体" w:hAnsi="宋体" w:cs="宋体" w:eastAsia="宋体" w:hint="default"/>
          <w:sz w:val="21"/>
          <w:szCs w:val="21"/>
        </w:rPr>
        <w:sectPr>
          <w:pgSz w:w="11910" w:h="16840"/>
          <w:pgMar w:header="877" w:footer="982" w:top="1100" w:bottom="1180" w:left="1480" w:right="15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48"/>
        <w:ind w:right="2193"/>
        <w:jc w:val="center"/>
        <w:rPr>
          <w:b w:val="0"/>
          <w:bCs w:val="0"/>
        </w:rPr>
      </w:pPr>
      <w:r>
        <w:rPr/>
        <w:t>合并利润表</w:t>
      </w:r>
      <w:r>
        <w:rPr>
          <w:b w:val="0"/>
          <w:bCs w:val="0"/>
        </w:rPr>
      </w:r>
    </w:p>
    <w:p>
      <w:pPr>
        <w:tabs>
          <w:tab w:pos="5671" w:val="left" w:leader="none"/>
          <w:tab w:pos="7351" w:val="left" w:leader="none"/>
        </w:tabs>
        <w:spacing w:line="434" w:lineRule="auto" w:before="190"/>
        <w:ind w:left="317" w:right="291" w:firstLine="3242"/>
        <w:jc w:val="left"/>
        <w:rPr>
          <w:rFonts w:ascii="宋体" w:hAnsi="宋体" w:cs="宋体" w:eastAsia="宋体" w:hint="default"/>
          <w:sz w:val="21"/>
          <w:szCs w:val="21"/>
        </w:rPr>
      </w:pPr>
      <w:r>
        <w:rPr>
          <w:rFonts w:ascii="宋体" w:hAnsi="宋体" w:cs="宋体" w:eastAsia="宋体" w:hint="default"/>
          <w:sz w:val="21"/>
          <w:szCs w:val="21"/>
        </w:rPr>
        <w:t>编制年度：</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 编制单位：深圳市银之杰科技股份有限公司</w:t>
        <w:tab/>
        <w:t>单位：元</w:t>
        <w:tab/>
        <w:t>币种：人民币</w:t>
      </w:r>
    </w:p>
    <w:tbl>
      <w:tblPr>
        <w:tblW w:w="0" w:type="auto"/>
        <w:jc w:val="left"/>
        <w:tblInd w:w="118" w:type="dxa"/>
        <w:tblLayout w:type="fixed"/>
        <w:tblCellMar>
          <w:top w:w="0" w:type="dxa"/>
          <w:left w:w="0" w:type="dxa"/>
          <w:bottom w:w="0" w:type="dxa"/>
          <w:right w:w="0" w:type="dxa"/>
        </w:tblCellMar>
        <w:tblLook w:val="01E0"/>
      </w:tblPr>
      <w:tblGrid>
        <w:gridCol w:w="3876"/>
        <w:gridCol w:w="1177"/>
        <w:gridCol w:w="1801"/>
        <w:gridCol w:w="1801"/>
      </w:tblGrid>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14" w:lineRule="exact"/>
              <w:ind w:right="1"/>
              <w:jc w:val="center"/>
              <w:rPr>
                <w:rFonts w:ascii="宋体" w:hAnsi="宋体" w:cs="宋体" w:eastAsia="宋体" w:hint="default"/>
                <w:sz w:val="18"/>
                <w:szCs w:val="18"/>
              </w:rPr>
            </w:pPr>
            <w:r>
              <w:rPr>
                <w:rFonts w:ascii="宋体" w:hAnsi="宋体" w:cs="宋体" w:eastAsia="宋体" w:hint="default"/>
                <w:sz w:val="18"/>
                <w:szCs w:val="18"/>
              </w:rPr>
              <w:t>附注</w:t>
            </w:r>
          </w:p>
        </w:tc>
        <w:tc>
          <w:tcPr>
            <w:tcW w:w="180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14" w:lineRule="exact"/>
              <w:ind w:left="53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01" w:type="dxa"/>
            <w:tcBorders>
              <w:top w:val="single" w:sz="4" w:space="0" w:color="000000"/>
              <w:left w:val="single" w:sz="4" w:space="0" w:color="000000"/>
              <w:bottom w:val="single" w:sz="4" w:space="0" w:color="000000"/>
              <w:right w:val="nil" w:sz="6" w:space="0" w:color="auto"/>
            </w:tcBorders>
            <w:shd w:val="clear" w:color="auto" w:fill="E6E6E6"/>
          </w:tcPr>
          <w:p>
            <w:pPr>
              <w:pStyle w:val="TableParagraph"/>
              <w:spacing w:line="214" w:lineRule="exact"/>
              <w:ind w:left="53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96,394,485.33</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92,142,327.74</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96,394,485.33</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92,142,327.74</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66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66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66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79,659,406.73</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64,293,674.55</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42,994,497.52</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32,619,908.01</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66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66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66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66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66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66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66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66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.24</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1,442,412.57</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1,377,709.25</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66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.25</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21,680,265.51</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12,721,557.86</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66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.26</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21,642,753.51</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18,454,038.35</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66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.27</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18"/>
                <w:szCs w:val="18"/>
              </w:rPr>
            </w:pPr>
            <w:r>
              <w:rPr>
                <w:rFonts w:ascii="Times New Roman"/>
                <w:spacing w:val="-1"/>
                <w:sz w:val="18"/>
              </w:rPr>
              <w:t>-9,118,083.48</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5"/>
              <w:jc w:val="right"/>
              <w:rPr>
                <w:rFonts w:ascii="Times New Roman" w:hAnsi="Times New Roman" w:cs="Times New Roman" w:eastAsia="Times New Roman" w:hint="default"/>
                <w:sz w:val="18"/>
                <w:szCs w:val="18"/>
              </w:rPr>
            </w:pPr>
            <w:r>
              <w:rPr>
                <w:rFonts w:ascii="Times New Roman"/>
                <w:spacing w:val="-1"/>
                <w:sz w:val="18"/>
              </w:rPr>
              <w:t>-3,208,671.11</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66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.28</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1,017,561.10</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2,329,132.19</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28" w:lineRule="exact"/>
              <w:ind w:left="48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28" w:lineRule="exact"/>
              <w:ind w:left="48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16,735,078.60</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27,848,653.19</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.29</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6,452,934.04</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7,245,914.15</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20,140.26</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576.85</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23,167,872.38</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35,093,990.49</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.31</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2,336,974.48</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1,120,469.17</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20,830,897.90</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33,973,521.32</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20,830,897.90</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33,973,521.32</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.32</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0.1736</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0.3161</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.32</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0.1736</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0.3161</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20,830,897.90</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33,973,521.32</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20,830,897.90</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33,973,521.32</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bl>
    <w:p>
      <w:pPr>
        <w:tabs>
          <w:tab w:pos="3018" w:val="left" w:leader="none"/>
          <w:tab w:pos="6348" w:val="left" w:leader="none"/>
        </w:tabs>
        <w:spacing w:line="324" w:lineRule="auto" w:before="67"/>
        <w:ind w:left="317" w:right="273" w:firstLine="0"/>
        <w:jc w:val="left"/>
        <w:rPr>
          <w:rFonts w:ascii="宋体" w:hAnsi="宋体" w:cs="宋体" w:eastAsia="宋体" w:hint="default"/>
          <w:sz w:val="21"/>
          <w:szCs w:val="21"/>
        </w:rPr>
      </w:pPr>
      <w:r>
        <w:rPr>
          <w:rFonts w:ascii="宋体" w:hAnsi="宋体" w:cs="宋体" w:eastAsia="宋体" w:hint="default"/>
          <w:sz w:val="21"/>
          <w:szCs w:val="21"/>
        </w:rPr>
        <w:t>本期发生同一控制下企业合并的，被合并方在合并前实现的净利润为：</w:t>
      </w:r>
      <w:r>
        <w:rPr>
          <w:rFonts w:ascii="Times New Roman" w:hAnsi="Times New Roman" w:cs="Times New Roman" w:eastAsia="Times New Roman" w:hint="default"/>
          <w:sz w:val="21"/>
          <w:szCs w:val="21"/>
        </w:rPr>
        <w:t>0 </w:t>
      </w:r>
      <w:r>
        <w:rPr>
          <w:rFonts w:ascii="宋体" w:hAnsi="宋体" w:cs="宋体" w:eastAsia="宋体" w:hint="default"/>
          <w:sz w:val="21"/>
          <w:szCs w:val="21"/>
        </w:rPr>
        <w:t>元。 </w:t>
      </w:r>
      <w:r>
        <w:rPr>
          <w:rFonts w:ascii="宋体" w:hAnsi="宋体" w:cs="宋体" w:eastAsia="宋体" w:hint="default"/>
          <w:spacing w:val="-4"/>
          <w:sz w:val="21"/>
          <w:szCs w:val="21"/>
        </w:rPr>
        <w:t>法定代表人：陈向军</w:t>
        <w:tab/>
      </w:r>
      <w:r>
        <w:rPr>
          <w:rFonts w:ascii="宋体" w:hAnsi="宋体" w:cs="宋体" w:eastAsia="宋体" w:hint="default"/>
          <w:spacing w:val="-3"/>
          <w:sz w:val="21"/>
          <w:szCs w:val="21"/>
        </w:rPr>
        <w:t>主管会计工作负责人：许秋江</w:t>
        <w:tab/>
        <w:t>会计机构负责人：张春雷</w:t>
      </w:r>
    </w:p>
    <w:p>
      <w:pPr>
        <w:spacing w:after="0" w:line="324" w:lineRule="auto"/>
        <w:jc w:val="left"/>
        <w:rPr>
          <w:rFonts w:ascii="宋体" w:hAnsi="宋体" w:cs="宋体" w:eastAsia="宋体" w:hint="default"/>
          <w:sz w:val="21"/>
          <w:szCs w:val="21"/>
        </w:rPr>
        <w:sectPr>
          <w:pgSz w:w="11910" w:h="16840"/>
          <w:pgMar w:header="877" w:footer="982" w:top="1100" w:bottom="1180" w:left="1480" w:right="15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3"/>
        <w:spacing w:line="240" w:lineRule="auto"/>
        <w:ind w:right="2193"/>
        <w:jc w:val="center"/>
        <w:rPr>
          <w:b w:val="0"/>
          <w:bCs w:val="0"/>
        </w:rPr>
      </w:pPr>
      <w:r>
        <w:rPr/>
        <w:t>母公司利润表</w:t>
      </w:r>
      <w:r>
        <w:rPr>
          <w:b w:val="0"/>
          <w:bCs w:val="0"/>
        </w:rPr>
      </w:r>
    </w:p>
    <w:p>
      <w:pPr>
        <w:tabs>
          <w:tab w:pos="5671" w:val="left" w:leader="none"/>
          <w:tab w:pos="7351" w:val="left" w:leader="none"/>
        </w:tabs>
        <w:spacing w:line="434" w:lineRule="auto" w:before="190"/>
        <w:ind w:left="317" w:right="291" w:firstLine="3242"/>
        <w:jc w:val="left"/>
        <w:rPr>
          <w:rFonts w:ascii="宋体" w:hAnsi="宋体" w:cs="宋体" w:eastAsia="宋体" w:hint="default"/>
          <w:sz w:val="21"/>
          <w:szCs w:val="21"/>
        </w:rPr>
      </w:pPr>
      <w:r>
        <w:rPr>
          <w:rFonts w:ascii="宋体" w:hAnsi="宋体" w:cs="宋体" w:eastAsia="宋体" w:hint="default"/>
          <w:sz w:val="21"/>
          <w:szCs w:val="21"/>
        </w:rPr>
        <w:t>编制年度：</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 编制单位：深圳市银之杰科技股份有限公司</w:t>
        <w:tab/>
        <w:t>单位：元</w:t>
        <w:tab/>
        <w:t>币种：人民币</w:t>
      </w:r>
    </w:p>
    <w:tbl>
      <w:tblPr>
        <w:tblW w:w="0" w:type="auto"/>
        <w:jc w:val="left"/>
        <w:tblInd w:w="118" w:type="dxa"/>
        <w:tblLayout w:type="fixed"/>
        <w:tblCellMar>
          <w:top w:w="0" w:type="dxa"/>
          <w:left w:w="0" w:type="dxa"/>
          <w:bottom w:w="0" w:type="dxa"/>
          <w:right w:w="0" w:type="dxa"/>
        </w:tblCellMar>
        <w:tblLook w:val="01E0"/>
      </w:tblPr>
      <w:tblGrid>
        <w:gridCol w:w="3810"/>
        <w:gridCol w:w="1244"/>
        <w:gridCol w:w="1800"/>
        <w:gridCol w:w="1800"/>
      </w:tblGrid>
      <w:tr>
        <w:trPr>
          <w:trHeight w:val="370"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4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0"/>
              <w:ind w:right="1"/>
              <w:jc w:val="center"/>
              <w:rPr>
                <w:rFonts w:ascii="宋体" w:hAnsi="宋体" w:cs="宋体" w:eastAsia="宋体" w:hint="default"/>
                <w:sz w:val="18"/>
                <w:szCs w:val="18"/>
              </w:rPr>
            </w:pPr>
            <w:r>
              <w:rPr>
                <w:rFonts w:ascii="宋体" w:hAnsi="宋体" w:cs="宋体" w:eastAsia="宋体" w:hint="default"/>
                <w:sz w:val="18"/>
                <w:szCs w:val="18"/>
              </w:rPr>
              <w:t>附注</w:t>
            </w:r>
          </w:p>
        </w:tc>
        <w:tc>
          <w:tcPr>
            <w:tcW w:w="18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0"/>
              <w:ind w:left="53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00" w:type="dxa"/>
            <w:tcBorders>
              <w:top w:val="single" w:sz="4" w:space="0" w:color="000000"/>
              <w:left w:val="single" w:sz="4" w:space="0" w:color="000000"/>
              <w:bottom w:val="single" w:sz="4" w:space="0" w:color="000000"/>
              <w:right w:val="nil" w:sz="6" w:space="0" w:color="auto"/>
            </w:tcBorders>
            <w:shd w:val="clear" w:color="auto" w:fill="E6E6E6"/>
          </w:tcPr>
          <w:p>
            <w:pPr>
              <w:pStyle w:val="TableParagraph"/>
              <w:spacing w:line="240" w:lineRule="auto" w:before="60"/>
              <w:ind w:left="53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71"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十一</w:t>
            </w:r>
            <w:r>
              <w:rPr>
                <w:rFonts w:ascii="Times New Roman" w:hAnsi="Times New Roman" w:cs="Times New Roman" w:eastAsia="Times New Roman" w:hint="default"/>
                <w:sz w:val="18"/>
                <w:szCs w:val="18"/>
              </w:rPr>
              <w:t>.4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96,394,485.33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18"/>
                <w:szCs w:val="18"/>
              </w:rPr>
            </w:pPr>
            <w:r>
              <w:rPr>
                <w:rFonts w:ascii="Times New Roman"/>
                <w:spacing w:val="-1"/>
                <w:sz w:val="18"/>
              </w:rPr>
              <w:t>92,142,327.74</w:t>
            </w:r>
          </w:p>
        </w:tc>
      </w:tr>
      <w:tr>
        <w:trPr>
          <w:trHeight w:val="370"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十一</w:t>
            </w:r>
            <w:r>
              <w:rPr>
                <w:rFonts w:ascii="Times New Roman" w:hAnsi="Times New Roman" w:cs="Times New Roman" w:eastAsia="Times New Roman" w:hint="default"/>
                <w:sz w:val="18"/>
                <w:szCs w:val="18"/>
              </w:rPr>
              <w:t>.4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56,845,207.08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18"/>
                <w:szCs w:val="18"/>
              </w:rPr>
            </w:pPr>
            <w:r>
              <w:rPr>
                <w:rFonts w:ascii="Times New Roman"/>
                <w:spacing w:val="-1"/>
                <w:sz w:val="18"/>
              </w:rPr>
              <w:t>48,562,424.25</w:t>
            </w:r>
          </w:p>
        </w:tc>
      </w:tr>
      <w:tr>
        <w:trPr>
          <w:trHeight w:val="370"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48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1,118,230.41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18"/>
                <w:szCs w:val="18"/>
              </w:rPr>
            </w:pPr>
            <w:r>
              <w:rPr>
                <w:rFonts w:ascii="Times New Roman"/>
                <w:spacing w:val="-1"/>
                <w:sz w:val="18"/>
              </w:rPr>
              <w:t>1,152,105.72</w:t>
            </w:r>
          </w:p>
        </w:tc>
      </w:tr>
      <w:tr>
        <w:trPr>
          <w:trHeight w:val="371"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48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21,680,265.51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18"/>
                <w:szCs w:val="18"/>
              </w:rPr>
            </w:pPr>
            <w:r>
              <w:rPr>
                <w:rFonts w:ascii="Times New Roman"/>
                <w:spacing w:val="-1"/>
                <w:sz w:val="18"/>
              </w:rPr>
              <w:t>12,721,557.86</w:t>
            </w:r>
          </w:p>
        </w:tc>
      </w:tr>
      <w:tr>
        <w:trPr>
          <w:trHeight w:val="370"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48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20,607,614.89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18"/>
                <w:szCs w:val="18"/>
              </w:rPr>
            </w:pPr>
            <w:r>
              <w:rPr>
                <w:rFonts w:ascii="Times New Roman"/>
                <w:spacing w:val="-1"/>
                <w:sz w:val="18"/>
              </w:rPr>
              <w:t>17,760,987.69</w:t>
            </w:r>
          </w:p>
        </w:tc>
      </w:tr>
      <w:tr>
        <w:trPr>
          <w:trHeight w:val="370"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48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-9,043,250.02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18"/>
                <w:szCs w:val="18"/>
              </w:rPr>
            </w:pPr>
            <w:r>
              <w:rPr>
                <w:rFonts w:ascii="Times New Roman"/>
                <w:spacing w:val="-1"/>
                <w:sz w:val="18"/>
              </w:rPr>
              <w:t>-3,133,119.57</w:t>
            </w:r>
          </w:p>
        </w:tc>
      </w:tr>
      <w:tr>
        <w:trPr>
          <w:trHeight w:val="371"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48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1,015,653.71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18"/>
                <w:szCs w:val="18"/>
              </w:rPr>
            </w:pPr>
            <w:r>
              <w:rPr>
                <w:rFonts w:ascii="Times New Roman"/>
                <w:spacing w:val="-1"/>
                <w:sz w:val="18"/>
              </w:rPr>
              <w:t>2,327,471.12</w:t>
            </w:r>
          </w:p>
        </w:tc>
      </w:tr>
      <w:tr>
        <w:trPr>
          <w:trHeight w:val="370"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48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十一</w:t>
            </w:r>
            <w:r>
              <w:rPr>
                <w:rFonts w:ascii="Times New Roman" w:hAnsi="Times New Roman" w:cs="Times New Roman" w:eastAsia="Times New Roman" w:hint="default"/>
                <w:sz w:val="18"/>
                <w:szCs w:val="18"/>
              </w:rPr>
              <w:t>.5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13,500,000.00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18"/>
                <w:szCs w:val="18"/>
              </w:rPr>
            </w:pPr>
            <w:r>
              <w:rPr>
                <w:rFonts w:ascii="Times New Roman"/>
                <w:spacing w:val="-1"/>
                <w:sz w:val="18"/>
              </w:rPr>
              <w:t>23,000,000.00</w:t>
            </w:r>
          </w:p>
        </w:tc>
      </w:tr>
      <w:tr>
        <w:trPr>
          <w:trHeight w:val="371"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17,670,763.75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18"/>
                <w:szCs w:val="18"/>
              </w:rPr>
            </w:pPr>
            <w:r>
              <w:rPr>
                <w:rFonts w:ascii="Times New Roman"/>
                <w:spacing w:val="-1"/>
                <w:sz w:val="18"/>
              </w:rPr>
              <w:t>35,750,900.67</w:t>
            </w:r>
          </w:p>
        </w:tc>
      </w:tr>
      <w:tr>
        <w:trPr>
          <w:trHeight w:val="370"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4,512,841.10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18"/>
                <w:szCs w:val="18"/>
              </w:rPr>
            </w:pPr>
            <w:r>
              <w:rPr>
                <w:rFonts w:ascii="Times New Roman"/>
                <w:spacing w:val="-1"/>
                <w:sz w:val="18"/>
              </w:rPr>
              <w:t>5,179,166.73</w:t>
            </w:r>
          </w:p>
        </w:tc>
      </w:tr>
      <w:tr>
        <w:trPr>
          <w:trHeight w:val="371"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20,140.26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18"/>
                <w:szCs w:val="18"/>
              </w:rPr>
            </w:pPr>
            <w:r>
              <w:rPr>
                <w:rFonts w:ascii="Times New Roman"/>
                <w:sz w:val="18"/>
              </w:rPr>
              <w:t>576.85</w:t>
            </w:r>
          </w:p>
        </w:tc>
      </w:tr>
      <w:tr>
        <w:trPr>
          <w:trHeight w:val="370"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22,163,464.59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18"/>
                <w:szCs w:val="18"/>
              </w:rPr>
            </w:pPr>
            <w:r>
              <w:rPr>
                <w:rFonts w:ascii="Times New Roman"/>
                <w:spacing w:val="-1"/>
                <w:sz w:val="18"/>
              </w:rPr>
              <w:t>40,929,490.55</w:t>
            </w:r>
          </w:p>
        </w:tc>
      </w:tr>
      <w:tr>
        <w:trPr>
          <w:trHeight w:val="371"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z w:val="18"/>
              </w:rPr>
              <w:t>803,077.38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18"/>
                <w:szCs w:val="18"/>
              </w:rPr>
            </w:pPr>
            <w:r>
              <w:rPr>
                <w:rFonts w:ascii="Times New Roman"/>
                <w:spacing w:val="-1"/>
                <w:sz w:val="18"/>
              </w:rPr>
              <w:t>1,120,676.81</w:t>
            </w:r>
          </w:p>
        </w:tc>
      </w:tr>
      <w:tr>
        <w:trPr>
          <w:trHeight w:val="370"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21,360,387.21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18"/>
                <w:szCs w:val="18"/>
              </w:rPr>
            </w:pPr>
            <w:r>
              <w:rPr>
                <w:rFonts w:ascii="Times New Roman"/>
                <w:spacing w:val="-1"/>
                <w:sz w:val="18"/>
              </w:rPr>
              <w:t>39,808,813.74</w:t>
            </w:r>
          </w:p>
        </w:tc>
      </w:tr>
      <w:tr>
        <w:trPr>
          <w:trHeight w:val="370"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0.1780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18"/>
                <w:szCs w:val="18"/>
              </w:rPr>
            </w:pPr>
            <w:r>
              <w:rPr>
                <w:rFonts w:ascii="Times New Roman"/>
                <w:sz w:val="18"/>
              </w:rPr>
              <w:t>0.3703</w:t>
            </w:r>
          </w:p>
        </w:tc>
      </w:tr>
      <w:tr>
        <w:trPr>
          <w:trHeight w:val="370"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0.1780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18"/>
                <w:szCs w:val="18"/>
              </w:rPr>
            </w:pPr>
            <w:r>
              <w:rPr>
                <w:rFonts w:ascii="Times New Roman"/>
                <w:sz w:val="18"/>
              </w:rPr>
              <w:t>0.3703</w:t>
            </w:r>
          </w:p>
        </w:tc>
      </w:tr>
      <w:tr>
        <w:trPr>
          <w:trHeight w:val="370"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18"/>
                <w:szCs w:val="18"/>
              </w:rPr>
            </w:pPr>
            <w:r>
              <w:rPr>
                <w:rFonts w:ascii="Times New Roman"/>
                <w:sz w:val="18"/>
              </w:rPr>
              <w:t>-</w:t>
            </w:r>
          </w:p>
        </w:tc>
      </w:tr>
      <w:tr>
        <w:trPr>
          <w:trHeight w:val="371"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21,360,387.21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18"/>
                <w:szCs w:val="18"/>
              </w:rPr>
            </w:pPr>
            <w:r>
              <w:rPr>
                <w:rFonts w:ascii="Times New Roman"/>
                <w:spacing w:val="-1"/>
                <w:sz w:val="18"/>
              </w:rPr>
              <w:t>39,808,813.74</w:t>
            </w:r>
          </w:p>
        </w:tc>
      </w:tr>
    </w:tbl>
    <w:p>
      <w:pPr>
        <w:spacing w:line="240" w:lineRule="auto" w:before="0"/>
        <w:rPr>
          <w:rFonts w:ascii="宋体" w:hAnsi="宋体" w:cs="宋体" w:eastAsia="宋体" w:hint="default"/>
          <w:sz w:val="20"/>
          <w:szCs w:val="20"/>
        </w:rPr>
      </w:pPr>
    </w:p>
    <w:p>
      <w:pPr>
        <w:tabs>
          <w:tab w:pos="3018" w:val="left" w:leader="none"/>
          <w:tab w:pos="6348" w:val="left" w:leader="none"/>
        </w:tabs>
        <w:spacing w:before="168"/>
        <w:ind w:left="317" w:right="201" w:firstLine="0"/>
        <w:jc w:val="left"/>
        <w:rPr>
          <w:rFonts w:ascii="宋体" w:hAnsi="宋体" w:cs="宋体" w:eastAsia="宋体" w:hint="default"/>
          <w:sz w:val="21"/>
          <w:szCs w:val="21"/>
        </w:rPr>
      </w:pPr>
      <w:r>
        <w:rPr>
          <w:rFonts w:ascii="宋体" w:hAnsi="宋体" w:cs="宋体" w:eastAsia="宋体" w:hint="default"/>
          <w:spacing w:val="-4"/>
          <w:sz w:val="21"/>
          <w:szCs w:val="21"/>
        </w:rPr>
        <w:t>法定代表人：陈向军</w:t>
        <w:tab/>
      </w:r>
      <w:r>
        <w:rPr>
          <w:rFonts w:ascii="宋体" w:hAnsi="宋体" w:cs="宋体" w:eastAsia="宋体" w:hint="default"/>
          <w:spacing w:val="-3"/>
          <w:sz w:val="21"/>
          <w:szCs w:val="21"/>
        </w:rPr>
        <w:t>主管会计工作负责人：许秋江</w:t>
        <w:tab/>
        <w:t>会计机构负责人：张春雷</w:t>
      </w:r>
    </w:p>
    <w:p>
      <w:pPr>
        <w:spacing w:after="0"/>
        <w:jc w:val="left"/>
        <w:rPr>
          <w:rFonts w:ascii="宋体" w:hAnsi="宋体" w:cs="宋体" w:eastAsia="宋体" w:hint="default"/>
          <w:sz w:val="21"/>
          <w:szCs w:val="21"/>
        </w:rPr>
        <w:sectPr>
          <w:pgSz w:w="11910" w:h="16840"/>
          <w:pgMar w:header="877" w:footer="982" w:top="1100" w:bottom="1180" w:left="1480" w:right="15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48"/>
        <w:ind w:left="3561" w:right="3410"/>
        <w:jc w:val="center"/>
        <w:rPr>
          <w:b w:val="0"/>
          <w:bCs w:val="0"/>
        </w:rPr>
      </w:pPr>
      <w:r>
        <w:rPr/>
        <w:t>合并现金流量表</w:t>
      </w:r>
      <w:r>
        <w:rPr>
          <w:b w:val="0"/>
          <w:bCs w:val="0"/>
        </w:rPr>
      </w:r>
    </w:p>
    <w:p>
      <w:pPr>
        <w:tabs>
          <w:tab w:pos="5851" w:val="left" w:leader="none"/>
          <w:tab w:pos="7531" w:val="left" w:leader="none"/>
        </w:tabs>
        <w:spacing w:line="434" w:lineRule="auto" w:before="190"/>
        <w:ind w:left="497" w:right="471" w:firstLine="3242"/>
        <w:jc w:val="left"/>
        <w:rPr>
          <w:rFonts w:ascii="宋体" w:hAnsi="宋体" w:cs="宋体" w:eastAsia="宋体" w:hint="default"/>
          <w:sz w:val="21"/>
          <w:szCs w:val="21"/>
        </w:rPr>
      </w:pPr>
      <w:r>
        <w:rPr>
          <w:rFonts w:ascii="宋体" w:hAnsi="宋体" w:cs="宋体" w:eastAsia="宋体" w:hint="default"/>
          <w:sz w:val="21"/>
          <w:szCs w:val="21"/>
        </w:rPr>
        <w:t>编制年度：</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 编制单位：深圳市银之杰科技股份有限公司</w:t>
        <w:tab/>
        <w:t>单位：元</w:t>
        <w:tab/>
        <w:t>币种：人民币</w:t>
      </w:r>
    </w:p>
    <w:tbl>
      <w:tblPr>
        <w:tblW w:w="0" w:type="auto"/>
        <w:jc w:val="left"/>
        <w:tblInd w:w="118" w:type="dxa"/>
        <w:tblLayout w:type="fixed"/>
        <w:tblCellMar>
          <w:top w:w="0" w:type="dxa"/>
          <w:left w:w="0" w:type="dxa"/>
          <w:bottom w:w="0" w:type="dxa"/>
          <w:right w:w="0" w:type="dxa"/>
        </w:tblCellMar>
        <w:tblLook w:val="01E0"/>
      </w:tblPr>
      <w:tblGrid>
        <w:gridCol w:w="3974"/>
        <w:gridCol w:w="1126"/>
        <w:gridCol w:w="1934"/>
        <w:gridCol w:w="1980"/>
      </w:tblGrid>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2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93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left="602"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80" w:type="dxa"/>
            <w:tcBorders>
              <w:top w:val="single" w:sz="4" w:space="0" w:color="000000"/>
              <w:left w:val="single" w:sz="4" w:space="0" w:color="000000"/>
              <w:bottom w:val="single" w:sz="4" w:space="0" w:color="000000"/>
              <w:right w:val="nil" w:sz="6" w:space="0" w:color="auto"/>
            </w:tcBorders>
            <w:shd w:val="clear" w:color="auto" w:fill="E6E6E6"/>
          </w:tcPr>
          <w:p>
            <w:pPr>
              <w:pStyle w:val="TableParagraph"/>
              <w:spacing w:line="240" w:lineRule="auto" w:before="12"/>
              <w:ind w:left="62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1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91,054,952.81</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pacing w:val="-1"/>
                <w:sz w:val="18"/>
              </w:rPr>
              <w:t>83,813,403.89</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4,101,406.64</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pacing w:val="-1"/>
                <w:sz w:val="18"/>
              </w:rPr>
              <w:t>3,440,814.15</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.33(1)</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17,043,601.11</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18"/>
                <w:szCs w:val="18"/>
              </w:rPr>
            </w:pPr>
            <w:r>
              <w:rPr>
                <w:rFonts w:ascii="Times New Roman"/>
                <w:spacing w:val="-1"/>
                <w:sz w:val="18"/>
              </w:rPr>
              <w:t>10,664,245.51</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18"/>
                <w:szCs w:val="18"/>
              </w:rPr>
            </w:pPr>
            <w:r>
              <w:rPr>
                <w:rFonts w:ascii="Times New Roman"/>
                <w:spacing w:val="-1"/>
                <w:sz w:val="18"/>
              </w:rPr>
              <w:t>112,199,960.56</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pacing w:val="-1"/>
                <w:sz w:val="18"/>
              </w:rPr>
              <w:t>97,918,463.55</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33,259,505.45</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pacing w:val="-1"/>
                <w:sz w:val="18"/>
              </w:rPr>
              <w:t>13,301,583.85</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27,020,053.80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pacing w:val="-1"/>
                <w:sz w:val="18"/>
              </w:rPr>
              <w:t>22,379,994.91</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11,719,663.41</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pacing w:val="-1"/>
                <w:sz w:val="18"/>
              </w:rPr>
              <w:t>12,821,941.48</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.33(2)</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35,216,320.25</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pacing w:val="-1"/>
                <w:sz w:val="18"/>
              </w:rPr>
              <w:t>30,321,232.44</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18"/>
                <w:szCs w:val="18"/>
              </w:rPr>
            </w:pPr>
            <w:r>
              <w:rPr>
                <w:rFonts w:ascii="Times New Roman"/>
                <w:spacing w:val="-1"/>
                <w:sz w:val="18"/>
              </w:rPr>
              <w:t>107,215,542.91</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pacing w:val="-1"/>
                <w:sz w:val="18"/>
              </w:rPr>
              <w:t>78,824,752.68</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4,984,417.65</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pacing w:val="-1"/>
                <w:sz w:val="18"/>
              </w:rPr>
              <w:t>19,093,710.87</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1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z w:val="18"/>
              </w:rPr>
              <w:t>-</w:t>
            </w:r>
          </w:p>
        </w:tc>
      </w:tr>
      <w:tr>
        <w:trPr>
          <w:trHeight w:val="6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304" w:lineRule="auto" w:before="12"/>
              <w:ind w:left="122" w:right="101" w:firstLine="180"/>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处置固定资产、无形资产和其他长期资产收回</w:t>
            </w:r>
            <w:r>
              <w:rPr>
                <w:rFonts w:ascii="宋体" w:hAnsi="宋体" w:cs="宋体" w:eastAsia="宋体" w:hint="default"/>
                <w:sz w:val="18"/>
                <w:szCs w:val="18"/>
              </w:rPr>
              <w:t> 的现金净额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270.00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sz w:val="18"/>
              </w:rPr>
              <w:t>9,990.00</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z w:val="18"/>
              </w:rPr>
              <w:t>270.00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z w:val="18"/>
              </w:rPr>
              <w:t>9,990.00</w:t>
            </w:r>
          </w:p>
        </w:tc>
      </w:tr>
      <w:tr>
        <w:trPr>
          <w:trHeight w:val="6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304" w:lineRule="auto" w:before="12"/>
              <w:ind w:left="122" w:right="101" w:firstLine="180"/>
              <w:jc w:val="left"/>
              <w:rPr>
                <w:rFonts w:ascii="宋体" w:hAnsi="宋体" w:cs="宋体" w:eastAsia="宋体" w:hint="default"/>
                <w:sz w:val="18"/>
                <w:szCs w:val="18"/>
              </w:rPr>
            </w:pPr>
            <w:r>
              <w:rPr>
                <w:rFonts w:ascii="宋体" w:hAnsi="宋体" w:cs="宋体" w:eastAsia="宋体" w:hint="default"/>
                <w:spacing w:val="-2"/>
                <w:sz w:val="18"/>
                <w:szCs w:val="18"/>
              </w:rPr>
              <w:t>购建固定资产、无形资产和其他长期资产支付</w:t>
            </w:r>
            <w:r>
              <w:rPr>
                <w:rFonts w:ascii="宋体" w:hAnsi="宋体" w:cs="宋体" w:eastAsia="宋体" w:hint="default"/>
                <w:sz w:val="18"/>
                <w:szCs w:val="18"/>
              </w:rPr>
              <w:t> 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14,200,076.60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spacing w:val="-1"/>
                <w:sz w:val="18"/>
              </w:rPr>
              <w:t>4,713,830.81</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1300" w:right="134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3974"/>
        <w:gridCol w:w="1126"/>
        <w:gridCol w:w="1934"/>
        <w:gridCol w:w="1973"/>
      </w:tblGrid>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right="245"/>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98"/>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30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98"/>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14,200,076.60</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0"/>
              <w:jc w:val="right"/>
              <w:rPr>
                <w:rFonts w:ascii="Times New Roman" w:hAnsi="Times New Roman" w:cs="Times New Roman" w:eastAsia="Times New Roman" w:hint="default"/>
                <w:sz w:val="18"/>
                <w:szCs w:val="18"/>
              </w:rPr>
            </w:pPr>
            <w:r>
              <w:rPr>
                <w:rFonts w:ascii="Times New Roman"/>
                <w:spacing w:val="-1"/>
                <w:sz w:val="18"/>
              </w:rPr>
              <w:t>4,713,830.81</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-14,199,806.60</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99"/>
              <w:jc w:val="right"/>
              <w:rPr>
                <w:rFonts w:ascii="Times New Roman" w:hAnsi="Times New Roman" w:cs="Times New Roman" w:eastAsia="Times New Roman" w:hint="default"/>
                <w:sz w:val="18"/>
                <w:szCs w:val="18"/>
              </w:rPr>
            </w:pPr>
            <w:r>
              <w:rPr>
                <w:rFonts w:ascii="Times New Roman"/>
                <w:spacing w:val="-1"/>
                <w:sz w:val="18"/>
              </w:rPr>
              <w:t>-4,703,840.81</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30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97"/>
              <w:jc w:val="right"/>
              <w:rPr>
                <w:rFonts w:ascii="Times New Roman" w:hAnsi="Times New Roman" w:cs="Times New Roman" w:eastAsia="Times New Roman" w:hint="default"/>
                <w:sz w:val="18"/>
                <w:szCs w:val="18"/>
              </w:rPr>
            </w:pPr>
            <w:r>
              <w:rPr>
                <w:rFonts w:ascii="Times New Roman"/>
                <w:spacing w:val="-1"/>
                <w:sz w:val="18"/>
              </w:rPr>
              <w:t>394,800,000.00</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right="245"/>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98"/>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30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98"/>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30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98"/>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30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98"/>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97"/>
              <w:jc w:val="right"/>
              <w:rPr>
                <w:rFonts w:ascii="Times New Roman" w:hAnsi="Times New Roman" w:cs="Times New Roman" w:eastAsia="Times New Roman" w:hint="default"/>
                <w:sz w:val="18"/>
                <w:szCs w:val="18"/>
              </w:rPr>
            </w:pPr>
            <w:r>
              <w:rPr>
                <w:rFonts w:ascii="Times New Roman"/>
                <w:spacing w:val="-1"/>
                <w:sz w:val="18"/>
              </w:rPr>
              <w:t>394,800,000.00</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30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98"/>
              <w:jc w:val="right"/>
              <w:rPr>
                <w:rFonts w:ascii="Times New Roman" w:hAnsi="Times New Roman" w:cs="Times New Roman" w:eastAsia="Times New Roman" w:hint="default"/>
                <w:sz w:val="18"/>
                <w:szCs w:val="18"/>
              </w:rPr>
            </w:pPr>
            <w:r>
              <w:rPr>
                <w:rFonts w:ascii="Times New Roman"/>
                <w:spacing w:val="-1"/>
                <w:sz w:val="18"/>
              </w:rPr>
              <w:t>19,400,000.00</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30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35,999,916.00</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98"/>
              <w:jc w:val="right"/>
              <w:rPr>
                <w:rFonts w:ascii="Times New Roman" w:hAnsi="Times New Roman" w:cs="Times New Roman" w:eastAsia="Times New Roman" w:hint="default"/>
                <w:sz w:val="18"/>
                <w:szCs w:val="18"/>
              </w:rPr>
            </w:pPr>
            <w:r>
              <w:rPr>
                <w:rFonts w:ascii="Times New Roman"/>
                <w:sz w:val="18"/>
              </w:rPr>
              <w:t>601,401.60</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right="245"/>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98"/>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30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98"/>
              <w:jc w:val="right"/>
              <w:rPr>
                <w:rFonts w:ascii="Times New Roman" w:hAnsi="Times New Roman" w:cs="Times New Roman" w:eastAsia="Times New Roman" w:hint="default"/>
                <w:sz w:val="18"/>
                <w:szCs w:val="18"/>
              </w:rPr>
            </w:pPr>
            <w:r>
              <w:rPr>
                <w:rFonts w:ascii="Times New Roman"/>
                <w:spacing w:val="-1"/>
                <w:sz w:val="18"/>
              </w:rPr>
              <w:t>5,786,811.28</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35,999,916.00</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99"/>
              <w:jc w:val="right"/>
              <w:rPr>
                <w:rFonts w:ascii="Times New Roman" w:hAnsi="Times New Roman" w:cs="Times New Roman" w:eastAsia="Times New Roman" w:hint="default"/>
                <w:sz w:val="18"/>
                <w:szCs w:val="18"/>
              </w:rPr>
            </w:pPr>
            <w:r>
              <w:rPr>
                <w:rFonts w:ascii="Times New Roman"/>
                <w:spacing w:val="-1"/>
                <w:sz w:val="18"/>
              </w:rPr>
              <w:t>25,788,212.88</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18"/>
                <w:szCs w:val="18"/>
              </w:rPr>
            </w:pPr>
            <w:r>
              <w:rPr>
                <w:rFonts w:ascii="Times New Roman"/>
                <w:spacing w:val="-1"/>
                <w:sz w:val="18"/>
              </w:rPr>
              <w:t>-35,999,916.00</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98"/>
              <w:jc w:val="right"/>
              <w:rPr>
                <w:rFonts w:ascii="Times New Roman" w:hAnsi="Times New Roman" w:cs="Times New Roman" w:eastAsia="Times New Roman" w:hint="default"/>
                <w:sz w:val="18"/>
                <w:szCs w:val="18"/>
              </w:rPr>
            </w:pPr>
            <w:r>
              <w:rPr>
                <w:rFonts w:ascii="Times New Roman"/>
                <w:spacing w:val="-1"/>
                <w:sz w:val="18"/>
              </w:rPr>
              <w:t>369,011,787.12</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98"/>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-45,215,304.95</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97"/>
              <w:jc w:val="right"/>
              <w:rPr>
                <w:rFonts w:ascii="Times New Roman" w:hAnsi="Times New Roman" w:cs="Times New Roman" w:eastAsia="Times New Roman" w:hint="default"/>
                <w:sz w:val="18"/>
                <w:szCs w:val="18"/>
              </w:rPr>
            </w:pPr>
            <w:r>
              <w:rPr>
                <w:rFonts w:ascii="Times New Roman"/>
                <w:spacing w:val="-1"/>
                <w:sz w:val="18"/>
              </w:rPr>
              <w:t>383,401,657.18</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18"/>
                <w:szCs w:val="18"/>
              </w:rPr>
            </w:pPr>
            <w:r>
              <w:rPr>
                <w:rFonts w:ascii="Times New Roman"/>
                <w:spacing w:val="-1"/>
                <w:sz w:val="18"/>
              </w:rPr>
              <w:t>433,006,815.47</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98"/>
              <w:jc w:val="right"/>
              <w:rPr>
                <w:rFonts w:ascii="Times New Roman" w:hAnsi="Times New Roman" w:cs="Times New Roman" w:eastAsia="Times New Roman" w:hint="default"/>
                <w:sz w:val="18"/>
                <w:szCs w:val="18"/>
              </w:rPr>
            </w:pPr>
            <w:r>
              <w:rPr>
                <w:rFonts w:ascii="Times New Roman"/>
                <w:spacing w:val="-1"/>
                <w:sz w:val="18"/>
              </w:rPr>
              <w:t>49,605,158.29</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18"/>
                <w:szCs w:val="18"/>
              </w:rPr>
            </w:pPr>
            <w:r>
              <w:rPr>
                <w:rFonts w:ascii="Times New Roman"/>
                <w:spacing w:val="-1"/>
                <w:sz w:val="18"/>
              </w:rPr>
              <w:t>387,791,510.52</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97"/>
              <w:jc w:val="right"/>
              <w:rPr>
                <w:rFonts w:ascii="Times New Roman" w:hAnsi="Times New Roman" w:cs="Times New Roman" w:eastAsia="Times New Roman" w:hint="default"/>
                <w:sz w:val="18"/>
                <w:szCs w:val="18"/>
              </w:rPr>
            </w:pPr>
            <w:r>
              <w:rPr>
                <w:rFonts w:ascii="Times New Roman"/>
                <w:spacing w:val="-1"/>
                <w:sz w:val="18"/>
              </w:rPr>
              <w:t>433,006,815.47</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tabs>
          <w:tab w:pos="3198" w:val="left" w:leader="none"/>
          <w:tab w:pos="6528" w:val="left" w:leader="none"/>
        </w:tabs>
        <w:spacing w:before="0"/>
        <w:ind w:left="497" w:right="0" w:firstLine="0"/>
        <w:jc w:val="left"/>
        <w:rPr>
          <w:rFonts w:ascii="宋体" w:hAnsi="宋体" w:cs="宋体" w:eastAsia="宋体" w:hint="default"/>
          <w:sz w:val="21"/>
          <w:szCs w:val="21"/>
        </w:rPr>
      </w:pPr>
      <w:r>
        <w:rPr>
          <w:rFonts w:ascii="宋体" w:hAnsi="宋体" w:cs="宋体" w:eastAsia="宋体" w:hint="default"/>
          <w:spacing w:val="-4"/>
          <w:sz w:val="21"/>
          <w:szCs w:val="21"/>
        </w:rPr>
        <w:t>法定代表人：陈向军</w:t>
        <w:tab/>
      </w:r>
      <w:r>
        <w:rPr>
          <w:rFonts w:ascii="宋体" w:hAnsi="宋体" w:cs="宋体" w:eastAsia="宋体" w:hint="default"/>
          <w:spacing w:val="-3"/>
          <w:sz w:val="21"/>
          <w:szCs w:val="21"/>
        </w:rPr>
        <w:t>主管会计工作负责人：许秋江</w:t>
        <w:tab/>
        <w:t>会计机构负责人：张春雷</w:t>
      </w:r>
    </w:p>
    <w:p>
      <w:pPr>
        <w:spacing w:after="0"/>
        <w:jc w:val="left"/>
        <w:rPr>
          <w:rFonts w:ascii="宋体" w:hAnsi="宋体" w:cs="宋体" w:eastAsia="宋体" w:hint="default"/>
          <w:sz w:val="21"/>
          <w:szCs w:val="21"/>
        </w:rPr>
        <w:sectPr>
          <w:pgSz w:w="11910" w:h="16840"/>
          <w:pgMar w:header="877" w:footer="982" w:top="1100" w:bottom="1180" w:left="1300" w:right="1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3"/>
        <w:spacing w:line="240" w:lineRule="auto"/>
        <w:ind w:left="3561" w:right="3413"/>
        <w:jc w:val="center"/>
        <w:rPr>
          <w:b w:val="0"/>
          <w:bCs w:val="0"/>
        </w:rPr>
      </w:pPr>
      <w:r>
        <w:rPr/>
        <w:t>母公司现金流量表</w:t>
      </w:r>
      <w:r>
        <w:rPr>
          <w:b w:val="0"/>
          <w:bCs w:val="0"/>
        </w:rPr>
      </w:r>
    </w:p>
    <w:p>
      <w:pPr>
        <w:tabs>
          <w:tab w:pos="5851" w:val="left" w:leader="none"/>
          <w:tab w:pos="7531" w:val="left" w:leader="none"/>
        </w:tabs>
        <w:spacing w:line="434" w:lineRule="auto" w:before="190"/>
        <w:ind w:left="497" w:right="471" w:firstLine="3242"/>
        <w:jc w:val="left"/>
        <w:rPr>
          <w:rFonts w:ascii="宋体" w:hAnsi="宋体" w:cs="宋体" w:eastAsia="宋体" w:hint="default"/>
          <w:sz w:val="21"/>
          <w:szCs w:val="21"/>
        </w:rPr>
      </w:pPr>
      <w:r>
        <w:rPr>
          <w:rFonts w:ascii="宋体" w:hAnsi="宋体" w:cs="宋体" w:eastAsia="宋体" w:hint="default"/>
          <w:sz w:val="21"/>
          <w:szCs w:val="21"/>
        </w:rPr>
        <w:t>编制年度：</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 编制单位：深圳市银之杰科技股份有限公司</w:t>
        <w:tab/>
        <w:t>单位：元</w:t>
        <w:tab/>
        <w:t>币种：人民币</w:t>
      </w:r>
    </w:p>
    <w:tbl>
      <w:tblPr>
        <w:tblW w:w="0" w:type="auto"/>
        <w:jc w:val="left"/>
        <w:tblInd w:w="118" w:type="dxa"/>
        <w:tblLayout w:type="fixed"/>
        <w:tblCellMar>
          <w:top w:w="0" w:type="dxa"/>
          <w:left w:w="0" w:type="dxa"/>
          <w:bottom w:w="0" w:type="dxa"/>
          <w:right w:w="0" w:type="dxa"/>
        </w:tblCellMar>
        <w:tblLook w:val="01E0"/>
      </w:tblPr>
      <w:tblGrid>
        <w:gridCol w:w="3972"/>
        <w:gridCol w:w="1082"/>
        <w:gridCol w:w="1980"/>
        <w:gridCol w:w="1980"/>
      </w:tblGrid>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8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16" w:lineRule="exact"/>
              <w:ind w:left="356"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9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16" w:lineRule="exact"/>
              <w:ind w:left="62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80" w:type="dxa"/>
            <w:tcBorders>
              <w:top w:val="single" w:sz="4" w:space="0" w:color="000000"/>
              <w:left w:val="single" w:sz="4" w:space="0" w:color="000000"/>
              <w:bottom w:val="single" w:sz="4" w:space="0" w:color="000000"/>
              <w:right w:val="nil" w:sz="6" w:space="0" w:color="auto"/>
            </w:tcBorders>
            <w:shd w:val="clear" w:color="auto" w:fill="E6E6E6"/>
          </w:tcPr>
          <w:p>
            <w:pPr>
              <w:pStyle w:val="TableParagraph"/>
              <w:spacing w:line="216" w:lineRule="exact"/>
              <w:ind w:left="62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91,054,952.81</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83,813,403.89</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2,162,813.70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1,374,366.73</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16,963,263.14</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10,587,529.22</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18"/>
                <w:szCs w:val="18"/>
              </w:rPr>
            </w:pPr>
            <w:r>
              <w:rPr>
                <w:rFonts w:ascii="Times New Roman"/>
                <w:spacing w:val="-1"/>
                <w:sz w:val="18"/>
              </w:rPr>
              <w:t>110,181,029.65</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95,775,299.84</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51,751,053.02</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34,509,383.85</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25,198,789.44</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20,619,470.63</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9,261,299.85</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8,263,249.02</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34,109,287.75</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29,330,307.85</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18"/>
                <w:szCs w:val="18"/>
              </w:rPr>
            </w:pPr>
            <w:r>
              <w:rPr>
                <w:rFonts w:ascii="Times New Roman"/>
                <w:spacing w:val="-1"/>
                <w:sz w:val="18"/>
              </w:rPr>
              <w:t>120,320,430.06</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92,722,411.35</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18"/>
                <w:szCs w:val="18"/>
              </w:rPr>
            </w:pPr>
            <w:r>
              <w:rPr>
                <w:rFonts w:ascii="Times New Roman"/>
                <w:spacing w:val="-1"/>
                <w:sz w:val="18"/>
              </w:rPr>
              <w:t>-10,139,400.41</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3,052,888.49</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36,500,000.00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53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w:t>
            </w:r>
          </w:p>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270.00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9,990.00</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right="242"/>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36,500,270.00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9,990.00</w:t>
            </w:r>
          </w:p>
        </w:tc>
      </w:tr>
      <w:tr>
        <w:trPr>
          <w:trHeight w:val="529"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w:t>
            </w:r>
          </w:p>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14,258,329.03</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4,707,530.81</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right="242"/>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17,258,329.03</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4,707,530.81</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19,241,940.97</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-4,697,540.81</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4"/>
              <w:jc w:val="right"/>
              <w:rPr>
                <w:rFonts w:ascii="Times New Roman" w:hAnsi="Times New Roman" w:cs="Times New Roman" w:eastAsia="Times New Roman" w:hint="default"/>
                <w:sz w:val="18"/>
                <w:szCs w:val="18"/>
              </w:rPr>
            </w:pPr>
            <w:r>
              <w:rPr>
                <w:rFonts w:ascii="Times New Roman"/>
                <w:spacing w:val="-1"/>
                <w:sz w:val="18"/>
              </w:rPr>
              <w:t>394,800,000.00</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4"/>
              <w:jc w:val="right"/>
              <w:rPr>
                <w:rFonts w:ascii="Times New Roman" w:hAnsi="Times New Roman" w:cs="Times New Roman" w:eastAsia="Times New Roman" w:hint="default"/>
                <w:sz w:val="18"/>
                <w:szCs w:val="18"/>
              </w:rPr>
            </w:pPr>
            <w:r>
              <w:rPr>
                <w:rFonts w:ascii="Times New Roman"/>
                <w:spacing w:val="-1"/>
                <w:sz w:val="18"/>
              </w:rPr>
              <w:t>394,800,000.00</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19,400,000.00</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35,999,916.00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Times New Roman" w:hAnsi="Times New Roman" w:cs="Times New Roman" w:eastAsia="Times New Roman" w:hint="default"/>
                <w:sz w:val="18"/>
                <w:szCs w:val="18"/>
              </w:rPr>
            </w:pPr>
            <w:r>
              <w:rPr>
                <w:rFonts w:ascii="Times New Roman"/>
                <w:sz w:val="18"/>
              </w:rPr>
              <w:t>601,401.60</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5,786,811.28</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35,999,916.00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25,788,212.88</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18"/>
                <w:szCs w:val="18"/>
              </w:rPr>
            </w:pPr>
            <w:r>
              <w:rPr>
                <w:rFonts w:ascii="Times New Roman"/>
                <w:spacing w:val="-1"/>
                <w:sz w:val="18"/>
              </w:rPr>
              <w:t>-35,999,916.00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5"/>
              <w:jc w:val="right"/>
              <w:rPr>
                <w:rFonts w:ascii="Times New Roman" w:hAnsi="Times New Roman" w:cs="Times New Roman" w:eastAsia="Times New Roman" w:hint="default"/>
                <w:sz w:val="18"/>
                <w:szCs w:val="18"/>
              </w:rPr>
            </w:pPr>
            <w:r>
              <w:rPr>
                <w:rFonts w:ascii="Times New Roman"/>
                <w:spacing w:val="-1"/>
                <w:sz w:val="18"/>
              </w:rPr>
              <w:t>369,011,787.12</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-26,897,375.44</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4"/>
              <w:jc w:val="right"/>
              <w:rPr>
                <w:rFonts w:ascii="Times New Roman" w:hAnsi="Times New Roman" w:cs="Times New Roman" w:eastAsia="Times New Roman" w:hint="default"/>
                <w:sz w:val="18"/>
                <w:szCs w:val="18"/>
              </w:rPr>
            </w:pPr>
            <w:r>
              <w:rPr>
                <w:rFonts w:ascii="Times New Roman"/>
                <w:spacing w:val="-1"/>
                <w:sz w:val="18"/>
              </w:rPr>
              <w:t>367,367,134.80</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18"/>
                <w:szCs w:val="18"/>
              </w:rPr>
            </w:pPr>
            <w:r>
              <w:rPr>
                <w:rFonts w:ascii="Times New Roman"/>
                <w:spacing w:val="-1"/>
                <w:sz w:val="18"/>
              </w:rPr>
              <w:t>406,944,604.19</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39,577,469.39</w:t>
            </w:r>
          </w:p>
        </w:tc>
      </w:tr>
      <w:tr>
        <w:trPr>
          <w:trHeight w:val="271"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18"/>
                <w:szCs w:val="18"/>
              </w:rPr>
            </w:pPr>
            <w:r>
              <w:rPr>
                <w:rFonts w:ascii="Times New Roman"/>
                <w:spacing w:val="-1"/>
                <w:sz w:val="18"/>
              </w:rPr>
              <w:t>380,047,228.75</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4"/>
              <w:jc w:val="right"/>
              <w:rPr>
                <w:rFonts w:ascii="Times New Roman" w:hAnsi="Times New Roman" w:cs="Times New Roman" w:eastAsia="Times New Roman" w:hint="default"/>
                <w:sz w:val="18"/>
                <w:szCs w:val="18"/>
              </w:rPr>
            </w:pPr>
            <w:r>
              <w:rPr>
                <w:rFonts w:ascii="Times New Roman"/>
                <w:spacing w:val="-1"/>
                <w:sz w:val="18"/>
              </w:rPr>
              <w:t>406,944,604.19</w:t>
            </w:r>
          </w:p>
        </w:tc>
      </w:tr>
    </w:tbl>
    <w:p>
      <w:pPr>
        <w:tabs>
          <w:tab w:pos="3198" w:val="left" w:leader="none"/>
          <w:tab w:pos="6528" w:val="left" w:leader="none"/>
        </w:tabs>
        <w:spacing w:before="67"/>
        <w:ind w:left="497" w:right="0" w:firstLine="0"/>
        <w:jc w:val="left"/>
        <w:rPr>
          <w:rFonts w:ascii="宋体" w:hAnsi="宋体" w:cs="宋体" w:eastAsia="宋体" w:hint="default"/>
          <w:sz w:val="21"/>
          <w:szCs w:val="21"/>
        </w:rPr>
      </w:pPr>
      <w:r>
        <w:rPr>
          <w:rFonts w:ascii="宋体" w:hAnsi="宋体" w:cs="宋体" w:eastAsia="宋体" w:hint="default"/>
          <w:spacing w:val="-4"/>
          <w:sz w:val="21"/>
          <w:szCs w:val="21"/>
        </w:rPr>
        <w:t>法定代表人：陈向军</w:t>
        <w:tab/>
      </w:r>
      <w:r>
        <w:rPr>
          <w:rFonts w:ascii="宋体" w:hAnsi="宋体" w:cs="宋体" w:eastAsia="宋体" w:hint="default"/>
          <w:spacing w:val="-3"/>
          <w:sz w:val="21"/>
          <w:szCs w:val="21"/>
        </w:rPr>
        <w:t>主管会计工作负责人：许秋江</w:t>
        <w:tab/>
        <w:t>会计机构负责人：张春雷</w:t>
      </w:r>
    </w:p>
    <w:p>
      <w:pPr>
        <w:spacing w:after="0"/>
        <w:jc w:val="left"/>
        <w:rPr>
          <w:rFonts w:ascii="宋体" w:hAnsi="宋体" w:cs="宋体" w:eastAsia="宋体" w:hint="default"/>
          <w:sz w:val="21"/>
          <w:szCs w:val="21"/>
        </w:rPr>
        <w:sectPr>
          <w:pgSz w:w="11910" w:h="16840"/>
          <w:pgMar w:header="877" w:footer="982" w:top="1100" w:bottom="1180" w:left="1300" w:right="1340"/>
        </w:sectPr>
      </w:pPr>
    </w:p>
    <w:p>
      <w:pPr>
        <w:pStyle w:val="Heading4"/>
        <w:spacing w:line="240" w:lineRule="auto"/>
        <w:ind w:left="162" w:right="63"/>
        <w:jc w:val="center"/>
        <w:rPr>
          <w:b w:val="0"/>
          <w:bCs w:val="0"/>
        </w:rPr>
      </w:pPr>
      <w:r>
        <w:rPr/>
        <w:t>合并所有者权益变动表</w:t>
      </w:r>
      <w:r>
        <w:rPr>
          <w:b w:val="0"/>
          <w:bCs w:val="0"/>
        </w:rPr>
      </w:r>
    </w:p>
    <w:p>
      <w:pPr>
        <w:tabs>
          <w:tab w:pos="5984" w:val="left" w:leader="none"/>
          <w:tab w:pos="10437" w:val="left" w:leader="none"/>
          <w:tab w:pos="12536" w:val="left" w:leader="none"/>
        </w:tabs>
        <w:spacing w:before="121"/>
        <w:ind w:left="0" w:right="63" w:firstLine="0"/>
        <w:jc w:val="center"/>
        <w:rPr>
          <w:rFonts w:ascii="宋体" w:hAnsi="宋体" w:cs="宋体" w:eastAsia="宋体" w:hint="default"/>
          <w:sz w:val="21"/>
          <w:szCs w:val="21"/>
        </w:rPr>
      </w:pPr>
      <w:r>
        <w:rPr>
          <w:rFonts w:ascii="宋体" w:hAnsi="宋体" w:cs="宋体" w:eastAsia="宋体" w:hint="default"/>
          <w:sz w:val="21"/>
          <w:szCs w:val="21"/>
        </w:rPr>
        <w:t>编制单位：深圳市银之杰科技股份有限公司</w:t>
        <w:tab/>
      </w:r>
      <w:r>
        <w:rPr>
          <w:rFonts w:ascii="宋体" w:hAnsi="宋体" w:cs="宋体" w:eastAsia="宋体" w:hint="default"/>
          <w:spacing w:val="-2"/>
          <w:sz w:val="21"/>
          <w:szCs w:val="21"/>
        </w:rPr>
        <w:t>编制年度：</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pacing w:val="-1"/>
          <w:sz w:val="21"/>
          <w:szCs w:val="21"/>
        </w:rPr>
        <w:t>年度</w:t>
        <w:tab/>
        <w:t>单位：元</w:t>
        <w:tab/>
        <w:t>币种：人民币</w:t>
      </w: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548"/>
        <w:gridCol w:w="1582"/>
        <w:gridCol w:w="1260"/>
        <w:gridCol w:w="1080"/>
        <w:gridCol w:w="900"/>
        <w:gridCol w:w="1260"/>
        <w:gridCol w:w="1260"/>
        <w:gridCol w:w="1260"/>
        <w:gridCol w:w="720"/>
        <w:gridCol w:w="1260"/>
        <w:gridCol w:w="1423"/>
      </w:tblGrid>
      <w:tr>
        <w:trPr>
          <w:trHeight w:val="242" w:hRule="exact"/>
        </w:trPr>
        <w:tc>
          <w:tcPr>
            <w:tcW w:w="2548" w:type="dxa"/>
            <w:tcBorders>
              <w:top w:val="single" w:sz="4" w:space="0" w:color="000000"/>
              <w:left w:val="nil" w:sz="6" w:space="0" w:color="auto"/>
              <w:bottom w:val="nil" w:sz="6" w:space="0" w:color="auto"/>
              <w:right w:val="single" w:sz="4" w:space="0" w:color="000000"/>
            </w:tcBorders>
            <w:shd w:val="clear" w:color="auto" w:fill="DCDCDC"/>
          </w:tcPr>
          <w:p>
            <w:pPr/>
          </w:p>
        </w:tc>
        <w:tc>
          <w:tcPr>
            <w:tcW w:w="12004" w:type="dxa"/>
            <w:gridSpan w:val="10"/>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05" w:lineRule="exact"/>
              <w:ind w:left="24"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244" w:hRule="exact"/>
        </w:trPr>
        <w:tc>
          <w:tcPr>
            <w:tcW w:w="2548" w:type="dxa"/>
            <w:tcBorders>
              <w:top w:val="nil" w:sz="6" w:space="0" w:color="auto"/>
              <w:left w:val="nil" w:sz="6" w:space="0" w:color="auto"/>
              <w:bottom w:val="nil" w:sz="6" w:space="0" w:color="auto"/>
              <w:right w:val="single" w:sz="4" w:space="0" w:color="000000"/>
            </w:tcBorders>
            <w:shd w:val="clear" w:color="auto" w:fill="DCDCDC"/>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322"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60" w:type="dxa"/>
            <w:vMerge w:val="restart"/>
            <w:tcBorders>
              <w:top w:val="single" w:sz="50" w:space="0" w:color="DCDCDC"/>
              <w:left w:val="single" w:sz="23" w:space="0" w:color="DCDCDC"/>
              <w:right w:val="single" w:sz="10" w:space="0" w:color="DCDCDC"/>
            </w:tcBorders>
          </w:tcPr>
          <w:p>
            <w:pPr>
              <w:pStyle w:val="TableParagraph"/>
              <w:spacing w:line="240" w:lineRule="auto" w:before="28"/>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6"/>
                <w:sz w:val="18"/>
                <w:szCs w:val="18"/>
                <w:shd w:fill="DCDCDC" w:color="auto" w:val="clear"/>
              </w:rPr>
              <w:t> </w:t>
            </w:r>
            <w:r>
              <w:rPr>
                <w:rFonts w:ascii="宋体" w:hAnsi="宋体" w:cs="宋体" w:eastAsia="宋体" w:hint="default"/>
                <w:sz w:val="18"/>
                <w:szCs w:val="18"/>
                <w:shd w:fill="DCDCDC" w:color="auto" w:val="clear"/>
              </w:rPr>
              <w:t>少数股东权益</w:t>
            </w:r>
            <w:r>
              <w:rPr>
                <w:rFonts w:ascii="宋体" w:hAnsi="宋体" w:cs="宋体" w:eastAsia="宋体" w:hint="default"/>
                <w:sz w:val="18"/>
                <w:szCs w:val="18"/>
              </w:rPr>
            </w:r>
          </w:p>
        </w:tc>
        <w:tc>
          <w:tcPr>
            <w:tcW w:w="1423" w:type="dxa"/>
            <w:vMerge w:val="restart"/>
            <w:tcBorders>
              <w:top w:val="single" w:sz="50" w:space="0" w:color="DCDCDC"/>
              <w:left w:val="single" w:sz="10" w:space="0" w:color="DCDCDC"/>
              <w:right w:val="nil" w:sz="6" w:space="0" w:color="auto"/>
            </w:tcBorders>
          </w:tcPr>
          <w:p>
            <w:pPr>
              <w:pStyle w:val="TableParagraph"/>
              <w:spacing w:line="240" w:lineRule="auto" w:before="28"/>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6"/>
                <w:sz w:val="18"/>
                <w:szCs w:val="18"/>
                <w:shd w:fill="DCDCDC" w:color="auto" w:val="clear"/>
              </w:rPr>
              <w:t> </w:t>
            </w:r>
            <w:r>
              <w:rPr>
                <w:rFonts w:ascii="宋体" w:hAnsi="宋体" w:cs="宋体" w:eastAsia="宋体" w:hint="default"/>
                <w:sz w:val="18"/>
                <w:szCs w:val="18"/>
                <w:shd w:fill="DCDCDC" w:color="auto" w:val="clear"/>
              </w:rPr>
              <w:t>所有者权益合计</w:t>
            </w:r>
            <w:r>
              <w:rPr>
                <w:rFonts w:ascii="宋体" w:hAnsi="宋体" w:cs="宋体" w:eastAsia="宋体" w:hint="default"/>
                <w:sz w:val="18"/>
                <w:szCs w:val="18"/>
              </w:rPr>
            </w:r>
          </w:p>
        </w:tc>
      </w:tr>
      <w:tr>
        <w:trPr>
          <w:trHeight w:val="244" w:hRule="exact"/>
        </w:trPr>
        <w:tc>
          <w:tcPr>
            <w:tcW w:w="2548" w:type="dxa"/>
            <w:tcBorders>
              <w:top w:val="nil" w:sz="6" w:space="0" w:color="auto"/>
              <w:left w:val="nil" w:sz="6" w:space="0" w:color="auto"/>
              <w:bottom w:val="single" w:sz="4" w:space="0" w:color="000000"/>
              <w:right w:val="single" w:sz="4" w:space="0" w:color="000000"/>
            </w:tcBorders>
            <w:shd w:val="clear" w:color="auto" w:fill="DCDCDC"/>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right="88"/>
              <w:jc w:val="right"/>
              <w:rPr>
                <w:rFonts w:ascii="Times New Roman" w:hAnsi="Times New Roman" w:cs="Times New Roman" w:eastAsia="Times New Roman" w:hint="default"/>
                <w:sz w:val="18"/>
                <w:szCs w:val="18"/>
              </w:rPr>
            </w:pPr>
            <w:r>
              <w:rPr>
                <w:rFonts w:ascii="宋体" w:hAnsi="宋体" w:cs="宋体" w:eastAsia="宋体" w:hint="default"/>
                <w:sz w:val="18"/>
                <w:szCs w:val="18"/>
              </w:rPr>
              <w:t>实收资本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84"/>
              <w:jc w:val="right"/>
              <w:rPr>
                <w:rFonts w:ascii="宋体" w:hAnsi="宋体" w:cs="宋体" w:eastAsia="宋体" w:hint="default"/>
                <w:sz w:val="18"/>
                <w:szCs w:val="18"/>
              </w:rPr>
            </w:pPr>
            <w:r>
              <w:rPr>
                <w:rFonts w:ascii="宋体" w:hAnsi="宋体" w:cs="宋体" w:eastAsia="宋体" w:hint="default"/>
                <w:sz w:val="18"/>
                <w:szCs w:val="18"/>
              </w:rPr>
              <w:t>专项储备</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84"/>
              <w:jc w:val="right"/>
              <w:rPr>
                <w:rFonts w:ascii="宋体" w:hAnsi="宋体" w:cs="宋体" w:eastAsia="宋体" w:hint="default"/>
                <w:sz w:val="18"/>
                <w:szCs w:val="18"/>
              </w:rPr>
            </w:pPr>
            <w:r>
              <w:rPr>
                <w:rFonts w:ascii="宋体" w:hAnsi="宋体" w:cs="宋体" w:eastAsia="宋体" w:hint="default"/>
                <w:sz w:val="18"/>
                <w:szCs w:val="18"/>
              </w:rPr>
              <w:t>一般风险准备</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7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7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0" w:type="dxa"/>
            <w:vMerge/>
            <w:tcBorders>
              <w:left w:val="single" w:sz="23" w:space="0" w:color="DCDCDC"/>
              <w:bottom w:val="single" w:sz="51" w:space="0" w:color="DCDCDC"/>
              <w:right w:val="single" w:sz="10" w:space="0" w:color="DCDCDC"/>
            </w:tcBorders>
          </w:tcPr>
          <w:p>
            <w:pPr/>
          </w:p>
        </w:tc>
        <w:tc>
          <w:tcPr>
            <w:tcW w:w="1423" w:type="dxa"/>
            <w:vMerge/>
            <w:tcBorders>
              <w:left w:val="single" w:sz="10" w:space="0" w:color="DCDCDC"/>
              <w:bottom w:val="single" w:sz="55" w:space="0" w:color="DCDCDC"/>
              <w:right w:val="nil" w:sz="6" w:space="0" w:color="auto"/>
            </w:tcBorders>
          </w:tcPr>
          <w:p>
            <w:pP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373,975,300.21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10,843,670.67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86,031,644.70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51" w:space="0" w:color="DCDCDC"/>
              <w:left w:val="single" w:sz="4" w:space="0" w:color="000000"/>
              <w:bottom w:val="single" w:sz="4" w:space="0" w:color="000000"/>
              <w:right w:val="single" w:sz="4" w:space="0" w:color="000000"/>
            </w:tcBorders>
          </w:tcPr>
          <w:p>
            <w:pPr>
              <w:pStyle w:val="TableParagraph"/>
              <w:spacing w:line="170" w:lineRule="exact"/>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55" w:space="0" w:color="DCDCDC"/>
              <w:left w:val="single" w:sz="4" w:space="0" w:color="000000"/>
              <w:bottom w:val="single" w:sz="4" w:space="0" w:color="000000"/>
              <w:right w:val="nil" w:sz="6" w:space="0" w:color="auto"/>
            </w:tcBorders>
          </w:tcPr>
          <w:p>
            <w:pPr>
              <w:pStyle w:val="TableParagraph"/>
              <w:spacing w:line="165" w:lineRule="exact"/>
              <w:ind w:right="8"/>
              <w:jc w:val="right"/>
              <w:rPr>
                <w:rFonts w:ascii="Times New Roman" w:hAnsi="Times New Roman" w:cs="Times New Roman" w:eastAsia="Times New Roman" w:hint="default"/>
                <w:sz w:val="18"/>
                <w:szCs w:val="18"/>
              </w:rPr>
            </w:pPr>
            <w:r>
              <w:rPr>
                <w:rFonts w:ascii="Times New Roman"/>
                <w:spacing w:val="-1"/>
                <w:sz w:val="18"/>
              </w:rPr>
              <w:t>530,850,615.58</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373,975,300.21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10,843,670.67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86,031,644.70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pacing w:val="-1"/>
                <w:sz w:val="18"/>
              </w:rPr>
              <w:t>530,850,615.58</w:t>
            </w:r>
          </w:p>
        </w:tc>
      </w:tr>
      <w:tr>
        <w:trPr>
          <w:trHeight w:val="476"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4" w:lineRule="exact"/>
              <w:ind w:left="17"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p>
          <w:p>
            <w:pPr>
              <w:pStyle w:val="TableParagraph"/>
              <w:spacing w:line="248" w:lineRule="exact"/>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2,135,391.17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-17,304,493.27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-15,169,102.10</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3"/>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20,830,897.90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
              <w:jc w:val="right"/>
              <w:rPr>
                <w:rFonts w:ascii="Times New Roman" w:hAnsi="Times New Roman" w:cs="Times New Roman" w:eastAsia="Times New Roman" w:hint="default"/>
                <w:sz w:val="18"/>
                <w:szCs w:val="18"/>
              </w:rPr>
            </w:pPr>
            <w:r>
              <w:rPr>
                <w:rFonts w:ascii="Times New Roman"/>
                <w:spacing w:val="-1"/>
                <w:sz w:val="18"/>
              </w:rPr>
              <w:t>20,830,897.90</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3"/>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20,830,897.90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
              <w:jc w:val="right"/>
              <w:rPr>
                <w:rFonts w:ascii="Times New Roman" w:hAnsi="Times New Roman" w:cs="Times New Roman" w:eastAsia="Times New Roman" w:hint="default"/>
                <w:sz w:val="18"/>
                <w:szCs w:val="18"/>
              </w:rPr>
            </w:pPr>
            <w:r>
              <w:rPr>
                <w:rFonts w:ascii="Times New Roman"/>
                <w:spacing w:val="-1"/>
                <w:sz w:val="18"/>
              </w:rPr>
              <w:t>20,830,897.90</w:t>
            </w:r>
          </w:p>
        </w:tc>
      </w:tr>
      <w:tr>
        <w:trPr>
          <w:trHeight w:val="242"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z w:val="18"/>
              </w:rPr>
              <w:t>-</w:t>
            </w:r>
          </w:p>
        </w:tc>
      </w:tr>
      <w:tr>
        <w:trPr>
          <w:trHeight w:val="478"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1"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w:t>
            </w:r>
          </w:p>
          <w:p>
            <w:pPr>
              <w:pStyle w:val="TableParagraph"/>
              <w:spacing w:line="228" w:lineRule="exact"/>
              <w:ind w:left="17"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w:t>
            </w:r>
          </w:p>
        </w:tc>
      </w:tr>
      <w:tr>
        <w:trPr>
          <w:trHeight w:val="242"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2,135,391.17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-38,135,391.17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pacing w:val="-1"/>
                <w:sz w:val="18"/>
              </w:rPr>
              <w:t>-36,000,000.00</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2,135,391.17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-2,135,391.17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z w:val="18"/>
              </w:rPr>
              <w:t>-</w:t>
            </w:r>
          </w:p>
        </w:tc>
      </w:tr>
      <w:tr>
        <w:trPr>
          <w:trHeight w:val="476"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1"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w:t>
            </w:r>
          </w:p>
          <w:p>
            <w:pPr>
              <w:pStyle w:val="TableParagraph"/>
              <w:spacing w:line="228" w:lineRule="exact"/>
              <w:ind w:left="17"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-36,000,000.00</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8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58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z w:val="18"/>
              </w:rPr>
              <w:t>-</w:t>
            </w:r>
          </w:p>
        </w:tc>
      </w:tr>
      <w:tr>
        <w:trPr>
          <w:trHeight w:val="478"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1"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w:t>
            </w:r>
          </w:p>
          <w:p>
            <w:pPr>
              <w:pStyle w:val="TableParagraph"/>
              <w:spacing w:line="228" w:lineRule="exact"/>
              <w:ind w:left="1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w:t>
            </w:r>
          </w:p>
        </w:tc>
      </w:tr>
      <w:tr>
        <w:trPr>
          <w:trHeight w:val="476"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1"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w:t>
            </w:r>
          </w:p>
          <w:p>
            <w:pPr>
              <w:pStyle w:val="TableParagraph"/>
              <w:spacing w:line="227" w:lineRule="exact"/>
              <w:ind w:left="1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8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8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z w:val="18"/>
              </w:rPr>
              <w:t>-</w:t>
            </w:r>
          </w:p>
        </w:tc>
      </w:tr>
      <w:tr>
        <w:trPr>
          <w:trHeight w:val="242"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8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8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z w:val="18"/>
              </w:rPr>
              <w:t>-</w:t>
            </w:r>
          </w:p>
        </w:tc>
      </w:tr>
      <w:tr>
        <w:trPr>
          <w:trHeight w:val="230"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2" w:lineRule="exact"/>
              <w:ind w:left="197"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58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8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19"/>
              <w:jc w:val="right"/>
              <w:rPr>
                <w:rFonts w:ascii="Times New Roman" w:hAnsi="Times New Roman" w:cs="Times New Roman" w:eastAsia="Times New Roman" w:hint="default"/>
                <w:sz w:val="18"/>
                <w:szCs w:val="18"/>
              </w:rPr>
            </w:pPr>
            <w:r>
              <w:rPr>
                <w:rFonts w:ascii="Times New Roman"/>
                <w:spacing w:val="-1"/>
                <w:sz w:val="18"/>
              </w:rPr>
              <w:t>120,000,000.00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313,975,300.21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12,979,061.84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68,727,151.43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pacing w:val="-1"/>
                <w:sz w:val="18"/>
              </w:rPr>
              <w:t>515,681,513.48</w:t>
            </w:r>
          </w:p>
        </w:tc>
      </w:tr>
    </w:tbl>
    <w:p>
      <w:pPr>
        <w:spacing w:after="0" w:line="240" w:lineRule="auto"/>
        <w:jc w:val="right"/>
        <w:rPr>
          <w:rFonts w:ascii="Times New Roman" w:hAnsi="Times New Roman" w:cs="Times New Roman" w:eastAsia="Times New Roman" w:hint="default"/>
          <w:sz w:val="18"/>
          <w:szCs w:val="18"/>
        </w:rPr>
        <w:sectPr>
          <w:headerReference w:type="default" r:id="rId22"/>
          <w:footerReference w:type="default" r:id="rId23"/>
          <w:pgSz w:w="16840" w:h="11910" w:orient="landscape"/>
          <w:pgMar w:header="0" w:footer="950" w:top="1020" w:bottom="1140" w:left="980" w:right="1080"/>
          <w:pgNumType w:start="67"/>
        </w:sectPr>
      </w:pPr>
    </w:p>
    <w:p>
      <w:pPr>
        <w:pStyle w:val="Heading4"/>
        <w:spacing w:line="240" w:lineRule="auto"/>
        <w:ind w:right="63"/>
        <w:jc w:val="center"/>
        <w:rPr>
          <w:b w:val="0"/>
          <w:bCs w:val="0"/>
        </w:rPr>
      </w:pPr>
      <w:r>
        <w:rPr/>
        <w:t>合并所有者权益变动表（续）</w:t>
      </w:r>
      <w:r>
        <w:rPr>
          <w:b w:val="0"/>
          <w:bCs w:val="0"/>
        </w:rPr>
      </w:r>
    </w:p>
    <w:p>
      <w:pPr>
        <w:tabs>
          <w:tab w:pos="5984" w:val="left" w:leader="none"/>
          <w:tab w:pos="10437" w:val="left" w:leader="none"/>
          <w:tab w:pos="12536" w:val="left" w:leader="none"/>
        </w:tabs>
        <w:spacing w:before="121"/>
        <w:ind w:left="0" w:right="63" w:firstLine="0"/>
        <w:jc w:val="center"/>
        <w:rPr>
          <w:rFonts w:ascii="宋体" w:hAnsi="宋体" w:cs="宋体" w:eastAsia="宋体" w:hint="default"/>
          <w:sz w:val="21"/>
          <w:szCs w:val="21"/>
        </w:rPr>
      </w:pPr>
      <w:r>
        <w:rPr>
          <w:rFonts w:ascii="宋体" w:hAnsi="宋体" w:cs="宋体" w:eastAsia="宋体" w:hint="default"/>
          <w:sz w:val="21"/>
          <w:szCs w:val="21"/>
        </w:rPr>
        <w:t>编制单位：深圳市银之杰科技股份有限公司</w:t>
        <w:tab/>
      </w:r>
      <w:r>
        <w:rPr>
          <w:rFonts w:ascii="宋体" w:hAnsi="宋体" w:cs="宋体" w:eastAsia="宋体" w:hint="default"/>
          <w:spacing w:val="-2"/>
          <w:sz w:val="21"/>
          <w:szCs w:val="21"/>
        </w:rPr>
        <w:t>编制年度：</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pacing w:val="-1"/>
          <w:sz w:val="21"/>
          <w:szCs w:val="21"/>
        </w:rPr>
        <w:t>年度</w:t>
        <w:tab/>
        <w:t>单位：元</w:t>
        <w:tab/>
        <w:t>币种：人民币</w:t>
      </w: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548"/>
        <w:gridCol w:w="1582"/>
        <w:gridCol w:w="1260"/>
        <w:gridCol w:w="1080"/>
        <w:gridCol w:w="900"/>
        <w:gridCol w:w="1260"/>
        <w:gridCol w:w="1260"/>
        <w:gridCol w:w="1260"/>
        <w:gridCol w:w="720"/>
        <w:gridCol w:w="1260"/>
        <w:gridCol w:w="1423"/>
      </w:tblGrid>
      <w:tr>
        <w:trPr>
          <w:trHeight w:val="242" w:hRule="exact"/>
        </w:trPr>
        <w:tc>
          <w:tcPr>
            <w:tcW w:w="2548" w:type="dxa"/>
            <w:tcBorders>
              <w:top w:val="single" w:sz="4" w:space="0" w:color="000000"/>
              <w:left w:val="nil" w:sz="6" w:space="0" w:color="auto"/>
              <w:bottom w:val="nil" w:sz="6" w:space="0" w:color="auto"/>
              <w:right w:val="single" w:sz="4" w:space="0" w:color="000000"/>
            </w:tcBorders>
            <w:shd w:val="clear" w:color="auto" w:fill="DCDCDC"/>
          </w:tcPr>
          <w:p>
            <w:pPr/>
          </w:p>
        </w:tc>
        <w:tc>
          <w:tcPr>
            <w:tcW w:w="12004" w:type="dxa"/>
            <w:gridSpan w:val="10"/>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05" w:lineRule="exact"/>
              <w:ind w:left="2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44" w:hRule="exact"/>
        </w:trPr>
        <w:tc>
          <w:tcPr>
            <w:tcW w:w="2548" w:type="dxa"/>
            <w:tcBorders>
              <w:top w:val="nil" w:sz="6" w:space="0" w:color="auto"/>
              <w:left w:val="nil" w:sz="6" w:space="0" w:color="auto"/>
              <w:bottom w:val="nil" w:sz="6" w:space="0" w:color="auto"/>
              <w:right w:val="single" w:sz="4" w:space="0" w:color="000000"/>
            </w:tcBorders>
            <w:shd w:val="clear" w:color="auto" w:fill="DCDCDC"/>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322"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60" w:type="dxa"/>
            <w:vMerge w:val="restart"/>
            <w:tcBorders>
              <w:top w:val="single" w:sz="50" w:space="0" w:color="DCDCDC"/>
              <w:left w:val="single" w:sz="23" w:space="0" w:color="DCDCDC"/>
              <w:right w:val="single" w:sz="10" w:space="0" w:color="DCDCDC"/>
            </w:tcBorders>
          </w:tcPr>
          <w:p>
            <w:pPr>
              <w:pStyle w:val="TableParagraph"/>
              <w:spacing w:line="240" w:lineRule="auto" w:before="28"/>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6"/>
                <w:sz w:val="18"/>
                <w:szCs w:val="18"/>
                <w:shd w:fill="DCDCDC" w:color="auto" w:val="clear"/>
              </w:rPr>
              <w:t> </w:t>
            </w:r>
            <w:r>
              <w:rPr>
                <w:rFonts w:ascii="宋体" w:hAnsi="宋体" w:cs="宋体" w:eastAsia="宋体" w:hint="default"/>
                <w:sz w:val="18"/>
                <w:szCs w:val="18"/>
                <w:shd w:fill="DCDCDC" w:color="auto" w:val="clear"/>
              </w:rPr>
              <w:t>少数股东权益</w:t>
            </w:r>
            <w:r>
              <w:rPr>
                <w:rFonts w:ascii="宋体" w:hAnsi="宋体" w:cs="宋体" w:eastAsia="宋体" w:hint="default"/>
                <w:sz w:val="18"/>
                <w:szCs w:val="18"/>
              </w:rPr>
            </w:r>
          </w:p>
        </w:tc>
        <w:tc>
          <w:tcPr>
            <w:tcW w:w="1423" w:type="dxa"/>
            <w:vMerge w:val="restart"/>
            <w:tcBorders>
              <w:top w:val="single" w:sz="50" w:space="0" w:color="DCDCDC"/>
              <w:left w:val="single" w:sz="10" w:space="0" w:color="DCDCDC"/>
              <w:right w:val="nil" w:sz="6" w:space="0" w:color="auto"/>
            </w:tcBorders>
          </w:tcPr>
          <w:p>
            <w:pPr>
              <w:pStyle w:val="TableParagraph"/>
              <w:spacing w:line="240" w:lineRule="auto" w:before="28"/>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6"/>
                <w:sz w:val="18"/>
                <w:szCs w:val="18"/>
                <w:shd w:fill="DCDCDC" w:color="auto" w:val="clear"/>
              </w:rPr>
              <w:t> </w:t>
            </w:r>
            <w:r>
              <w:rPr>
                <w:rFonts w:ascii="宋体" w:hAnsi="宋体" w:cs="宋体" w:eastAsia="宋体" w:hint="default"/>
                <w:sz w:val="18"/>
                <w:szCs w:val="18"/>
                <w:shd w:fill="DCDCDC" w:color="auto" w:val="clear"/>
              </w:rPr>
              <w:t>所有者权益合计</w:t>
            </w:r>
            <w:r>
              <w:rPr>
                <w:rFonts w:ascii="宋体" w:hAnsi="宋体" w:cs="宋体" w:eastAsia="宋体" w:hint="default"/>
                <w:sz w:val="18"/>
                <w:szCs w:val="18"/>
              </w:rPr>
            </w:r>
          </w:p>
        </w:tc>
      </w:tr>
      <w:tr>
        <w:trPr>
          <w:trHeight w:val="244" w:hRule="exact"/>
        </w:trPr>
        <w:tc>
          <w:tcPr>
            <w:tcW w:w="2548" w:type="dxa"/>
            <w:tcBorders>
              <w:top w:val="nil" w:sz="6" w:space="0" w:color="auto"/>
              <w:left w:val="nil" w:sz="6" w:space="0" w:color="auto"/>
              <w:bottom w:val="single" w:sz="4" w:space="0" w:color="000000"/>
              <w:right w:val="single" w:sz="4" w:space="0" w:color="000000"/>
            </w:tcBorders>
            <w:shd w:val="clear" w:color="auto" w:fill="DCDCDC"/>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4"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263" w:val="left" w:leader="none"/>
              </w:tabs>
              <w:spacing w:line="205" w:lineRule="exact"/>
              <w:ind w:left="-123" w:right="0"/>
              <w:jc w:val="left"/>
              <w:rPr>
                <w:rFonts w:ascii="宋体" w:hAnsi="宋体" w:cs="宋体" w:eastAsia="宋体" w:hint="default"/>
                <w:sz w:val="18"/>
                <w:szCs w:val="18"/>
              </w:rPr>
            </w:pPr>
            <w:r>
              <w:rPr>
                <w:rFonts w:ascii="宋体" w:hAnsi="宋体" w:cs="宋体" w:eastAsia="宋体" w:hint="default"/>
                <w:sz w:val="18"/>
                <w:szCs w:val="18"/>
              </w:rPr>
              <w:t>）</w:t>
              <w:tab/>
              <w:t>资本公积</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84"/>
              <w:jc w:val="right"/>
              <w:rPr>
                <w:rFonts w:ascii="宋体" w:hAnsi="宋体" w:cs="宋体" w:eastAsia="宋体" w:hint="default"/>
                <w:sz w:val="18"/>
                <w:szCs w:val="18"/>
              </w:rPr>
            </w:pPr>
            <w:r>
              <w:rPr>
                <w:rFonts w:ascii="宋体" w:hAnsi="宋体" w:cs="宋体" w:eastAsia="宋体" w:hint="default"/>
                <w:sz w:val="18"/>
                <w:szCs w:val="18"/>
              </w:rPr>
              <w:t>专项储备</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84"/>
              <w:jc w:val="right"/>
              <w:rPr>
                <w:rFonts w:ascii="宋体" w:hAnsi="宋体" w:cs="宋体" w:eastAsia="宋体" w:hint="default"/>
                <w:sz w:val="18"/>
                <w:szCs w:val="18"/>
              </w:rPr>
            </w:pPr>
            <w:r>
              <w:rPr>
                <w:rFonts w:ascii="宋体" w:hAnsi="宋体" w:cs="宋体" w:eastAsia="宋体" w:hint="default"/>
                <w:sz w:val="18"/>
                <w:szCs w:val="18"/>
              </w:rPr>
              <w:t>一般风险准备</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7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7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0" w:type="dxa"/>
            <w:vMerge/>
            <w:tcBorders>
              <w:left w:val="single" w:sz="23" w:space="0" w:color="DCDCDC"/>
              <w:bottom w:val="single" w:sz="51" w:space="0" w:color="DCDCDC"/>
              <w:right w:val="single" w:sz="10" w:space="0" w:color="DCDCDC"/>
            </w:tcBorders>
          </w:tcPr>
          <w:p>
            <w:pPr/>
          </w:p>
        </w:tc>
        <w:tc>
          <w:tcPr>
            <w:tcW w:w="1423" w:type="dxa"/>
            <w:vMerge/>
            <w:tcBorders>
              <w:left w:val="single" w:sz="10" w:space="0" w:color="DCDCDC"/>
              <w:bottom w:val="single" w:sz="55" w:space="0" w:color="DCDCDC"/>
              <w:right w:val="nil" w:sz="6" w:space="0" w:color="auto"/>
            </w:tcBorders>
          </w:tcPr>
          <w:p>
            <w:pP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24,560.25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6,290,179.42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56,611,614.63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51" w:space="0" w:color="DCDCDC"/>
              <w:left w:val="single" w:sz="4" w:space="0" w:color="000000"/>
              <w:bottom w:val="single" w:sz="4" w:space="0" w:color="000000"/>
              <w:right w:val="single" w:sz="4" w:space="0" w:color="000000"/>
            </w:tcBorders>
          </w:tcPr>
          <w:p>
            <w:pPr>
              <w:pStyle w:val="TableParagraph"/>
              <w:spacing w:line="157" w:lineRule="exact"/>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55" w:space="0" w:color="DCDCDC"/>
              <w:left w:val="single" w:sz="4" w:space="0" w:color="000000"/>
              <w:bottom w:val="single" w:sz="4" w:space="0" w:color="000000"/>
              <w:right w:val="nil" w:sz="6" w:space="0" w:color="auto"/>
            </w:tcBorders>
          </w:tcPr>
          <w:p>
            <w:pPr>
              <w:pStyle w:val="TableParagraph"/>
              <w:spacing w:line="152" w:lineRule="exact"/>
              <w:ind w:right="8"/>
              <w:jc w:val="right"/>
              <w:rPr>
                <w:rFonts w:ascii="Times New Roman" w:hAnsi="Times New Roman" w:cs="Times New Roman" w:eastAsia="Times New Roman" w:hint="default"/>
                <w:sz w:val="18"/>
                <w:szCs w:val="18"/>
              </w:rPr>
            </w:pPr>
            <w:r>
              <w:rPr>
                <w:rFonts w:ascii="Times New Roman"/>
                <w:spacing w:val="-1"/>
                <w:sz w:val="18"/>
              </w:rPr>
              <w:t>107,926,354.30</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24,560.25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6,290,179.42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56,611,614.63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
              <w:jc w:val="right"/>
              <w:rPr>
                <w:rFonts w:ascii="Times New Roman" w:hAnsi="Times New Roman" w:cs="Times New Roman" w:eastAsia="Times New Roman" w:hint="default"/>
                <w:sz w:val="18"/>
                <w:szCs w:val="18"/>
              </w:rPr>
            </w:pPr>
            <w:r>
              <w:rPr>
                <w:rFonts w:ascii="Times New Roman"/>
                <w:spacing w:val="-1"/>
                <w:sz w:val="18"/>
              </w:rPr>
              <w:t>107,926,354.30</w:t>
            </w:r>
          </w:p>
        </w:tc>
      </w:tr>
      <w:tr>
        <w:trPr>
          <w:trHeight w:val="476"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4" w:lineRule="exact"/>
              <w:ind w:left="17"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p>
          <w:p>
            <w:pPr>
              <w:pStyle w:val="TableParagraph"/>
              <w:spacing w:line="248" w:lineRule="exact"/>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373,950,739.96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4,553,491.25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29,420,030.07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8"/>
              <w:jc w:val="right"/>
              <w:rPr>
                <w:rFonts w:ascii="Times New Roman" w:hAnsi="Times New Roman" w:cs="Times New Roman" w:eastAsia="Times New Roman" w:hint="default"/>
                <w:sz w:val="18"/>
                <w:szCs w:val="18"/>
              </w:rPr>
            </w:pPr>
            <w:r>
              <w:rPr>
                <w:rFonts w:ascii="Times New Roman"/>
                <w:spacing w:val="-1"/>
                <w:sz w:val="18"/>
              </w:rPr>
              <w:t>422,924,261.28</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33,973,521.32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
              <w:jc w:val="right"/>
              <w:rPr>
                <w:rFonts w:ascii="Times New Roman" w:hAnsi="Times New Roman" w:cs="Times New Roman" w:eastAsia="Times New Roman" w:hint="default"/>
                <w:sz w:val="18"/>
                <w:szCs w:val="18"/>
              </w:rPr>
            </w:pPr>
            <w:r>
              <w:rPr>
                <w:rFonts w:ascii="Times New Roman"/>
                <w:spacing w:val="-1"/>
                <w:sz w:val="18"/>
              </w:rPr>
              <w:t>33,973,521.32</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33,973,521.32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
              <w:jc w:val="right"/>
              <w:rPr>
                <w:rFonts w:ascii="Times New Roman" w:hAnsi="Times New Roman" w:cs="Times New Roman" w:eastAsia="Times New Roman" w:hint="default"/>
                <w:sz w:val="18"/>
                <w:szCs w:val="18"/>
              </w:rPr>
            </w:pPr>
            <w:r>
              <w:rPr>
                <w:rFonts w:ascii="Times New Roman"/>
                <w:spacing w:val="-1"/>
                <w:sz w:val="18"/>
              </w:rPr>
              <w:t>33,973,521.32</w:t>
            </w:r>
          </w:p>
        </w:tc>
      </w:tr>
      <w:tr>
        <w:trPr>
          <w:trHeight w:val="242"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373,950,739.96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
              <w:jc w:val="right"/>
              <w:rPr>
                <w:rFonts w:ascii="Times New Roman" w:hAnsi="Times New Roman" w:cs="Times New Roman" w:eastAsia="Times New Roman" w:hint="default"/>
                <w:sz w:val="18"/>
                <w:szCs w:val="18"/>
              </w:rPr>
            </w:pPr>
            <w:r>
              <w:rPr>
                <w:rFonts w:ascii="Times New Roman"/>
                <w:spacing w:val="-1"/>
                <w:sz w:val="18"/>
              </w:rPr>
              <w:t>388,950,739.96</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373,950,739.96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
              <w:jc w:val="right"/>
              <w:rPr>
                <w:rFonts w:ascii="Times New Roman" w:hAnsi="Times New Roman" w:cs="Times New Roman" w:eastAsia="Times New Roman" w:hint="default"/>
                <w:sz w:val="18"/>
                <w:szCs w:val="18"/>
              </w:rPr>
            </w:pPr>
            <w:r>
              <w:rPr>
                <w:rFonts w:ascii="Times New Roman"/>
                <w:spacing w:val="-1"/>
                <w:sz w:val="18"/>
              </w:rPr>
              <w:t>388,950,739.96</w:t>
            </w:r>
          </w:p>
        </w:tc>
      </w:tr>
      <w:tr>
        <w:trPr>
          <w:trHeight w:val="478"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1"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w:t>
            </w:r>
          </w:p>
          <w:p>
            <w:pPr>
              <w:pStyle w:val="TableParagraph"/>
              <w:spacing w:line="228" w:lineRule="exact"/>
              <w:ind w:left="17"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9"/>
              <w:jc w:val="right"/>
              <w:rPr>
                <w:rFonts w:ascii="Times New Roman" w:hAnsi="Times New Roman" w:cs="Times New Roman" w:eastAsia="Times New Roman" w:hint="default"/>
                <w:sz w:val="18"/>
                <w:szCs w:val="18"/>
              </w:rPr>
            </w:pPr>
            <w:r>
              <w:rPr>
                <w:rFonts w:ascii="Times New Roman"/>
                <w:sz w:val="18"/>
              </w:rPr>
              <w:t>-</w:t>
            </w:r>
          </w:p>
        </w:tc>
      </w:tr>
      <w:tr>
        <w:trPr>
          <w:trHeight w:val="242"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4,553,491.25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-4,553,491.25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4,553,491.25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-4,553,491.25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w:t>
            </w:r>
          </w:p>
        </w:tc>
      </w:tr>
      <w:tr>
        <w:trPr>
          <w:trHeight w:val="476"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1"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w:t>
            </w:r>
          </w:p>
          <w:p>
            <w:pPr>
              <w:pStyle w:val="TableParagraph"/>
              <w:spacing w:line="228" w:lineRule="exact"/>
              <w:ind w:left="17"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8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58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w:t>
            </w:r>
          </w:p>
        </w:tc>
      </w:tr>
      <w:tr>
        <w:trPr>
          <w:trHeight w:val="478"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1"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w:t>
            </w:r>
          </w:p>
          <w:p>
            <w:pPr>
              <w:pStyle w:val="TableParagraph"/>
              <w:spacing w:line="228" w:lineRule="exact"/>
              <w:ind w:left="1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9"/>
              <w:jc w:val="right"/>
              <w:rPr>
                <w:rFonts w:ascii="Times New Roman" w:hAnsi="Times New Roman" w:cs="Times New Roman" w:eastAsia="Times New Roman" w:hint="default"/>
                <w:sz w:val="18"/>
                <w:szCs w:val="18"/>
              </w:rPr>
            </w:pPr>
            <w:r>
              <w:rPr>
                <w:rFonts w:ascii="Times New Roman"/>
                <w:sz w:val="18"/>
              </w:rPr>
              <w:t>-</w:t>
            </w:r>
          </w:p>
        </w:tc>
      </w:tr>
      <w:tr>
        <w:trPr>
          <w:trHeight w:val="476"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1"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w:t>
            </w:r>
          </w:p>
          <w:p>
            <w:pPr>
              <w:pStyle w:val="TableParagraph"/>
              <w:spacing w:line="227" w:lineRule="exact"/>
              <w:ind w:left="1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8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8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w:t>
            </w:r>
          </w:p>
        </w:tc>
      </w:tr>
      <w:tr>
        <w:trPr>
          <w:trHeight w:val="242"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8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8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w:t>
            </w:r>
          </w:p>
        </w:tc>
      </w:tr>
      <w:tr>
        <w:trPr>
          <w:trHeight w:val="230"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2" w:lineRule="exact"/>
              <w:ind w:left="197"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58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8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373,975,300.21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10,843,670.67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86,031,644.70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
              <w:jc w:val="right"/>
              <w:rPr>
                <w:rFonts w:ascii="Times New Roman" w:hAnsi="Times New Roman" w:cs="Times New Roman" w:eastAsia="Times New Roman" w:hint="default"/>
                <w:sz w:val="18"/>
                <w:szCs w:val="18"/>
              </w:rPr>
            </w:pPr>
            <w:r>
              <w:rPr>
                <w:rFonts w:ascii="Times New Roman"/>
                <w:spacing w:val="-1"/>
                <w:sz w:val="18"/>
              </w:rPr>
              <w:t>530,850,615.58</w:t>
            </w:r>
          </w:p>
        </w:tc>
      </w:tr>
    </w:tbl>
    <w:p>
      <w:pPr>
        <w:spacing w:after="0" w:line="240" w:lineRule="auto"/>
        <w:jc w:val="right"/>
        <w:rPr>
          <w:rFonts w:ascii="Times New Roman" w:hAnsi="Times New Roman" w:cs="Times New Roman" w:eastAsia="Times New Roman" w:hint="default"/>
          <w:sz w:val="18"/>
          <w:szCs w:val="18"/>
        </w:rPr>
        <w:sectPr>
          <w:headerReference w:type="default" r:id="rId24"/>
          <w:footerReference w:type="default" r:id="rId25"/>
          <w:pgSz w:w="16840" w:h="11910" w:orient="landscape"/>
          <w:pgMar w:header="0" w:footer="950" w:top="1020" w:bottom="1140" w:left="980" w:right="1080"/>
          <w:pgNumType w:start="68"/>
        </w:sectPr>
      </w:pPr>
    </w:p>
    <w:p>
      <w:pPr>
        <w:spacing w:line="240" w:lineRule="auto" w:before="7"/>
        <w:rPr>
          <w:rFonts w:ascii="宋体" w:hAnsi="宋体" w:cs="宋体" w:eastAsia="宋体" w:hint="default"/>
          <w:sz w:val="13"/>
          <w:szCs w:val="13"/>
        </w:rPr>
      </w:pPr>
    </w:p>
    <w:p>
      <w:pPr>
        <w:pStyle w:val="Heading4"/>
        <w:spacing w:line="240" w:lineRule="auto" w:before="26"/>
        <w:ind w:right="63"/>
        <w:jc w:val="center"/>
        <w:rPr>
          <w:b w:val="0"/>
          <w:bCs w:val="0"/>
        </w:rPr>
      </w:pPr>
      <w:r>
        <w:rPr/>
        <w:t>母公司所有者权益变动表</w:t>
      </w:r>
      <w:r>
        <w:rPr>
          <w:b w:val="0"/>
          <w:bCs w:val="0"/>
        </w:rPr>
      </w:r>
    </w:p>
    <w:p>
      <w:pPr>
        <w:tabs>
          <w:tab w:pos="5984" w:val="left" w:leader="none"/>
          <w:tab w:pos="10437" w:val="left" w:leader="none"/>
          <w:tab w:pos="12536" w:val="left" w:leader="none"/>
        </w:tabs>
        <w:spacing w:before="121"/>
        <w:ind w:left="0" w:right="63" w:firstLine="0"/>
        <w:jc w:val="center"/>
        <w:rPr>
          <w:rFonts w:ascii="宋体" w:hAnsi="宋体" w:cs="宋体" w:eastAsia="宋体" w:hint="default"/>
          <w:sz w:val="21"/>
          <w:szCs w:val="21"/>
        </w:rPr>
      </w:pPr>
      <w:r>
        <w:rPr>
          <w:rFonts w:ascii="宋体" w:hAnsi="宋体" w:cs="宋体" w:eastAsia="宋体" w:hint="default"/>
          <w:sz w:val="21"/>
          <w:szCs w:val="21"/>
        </w:rPr>
        <w:t>编制单位：深圳市银之杰科技股份有限公司</w:t>
        <w:tab/>
      </w:r>
      <w:r>
        <w:rPr>
          <w:rFonts w:ascii="宋体" w:hAnsi="宋体" w:cs="宋体" w:eastAsia="宋体" w:hint="default"/>
          <w:spacing w:val="-2"/>
          <w:sz w:val="21"/>
          <w:szCs w:val="21"/>
        </w:rPr>
        <w:t>编制年度：</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pacing w:val="-1"/>
          <w:sz w:val="21"/>
          <w:szCs w:val="21"/>
        </w:rPr>
        <w:t>年度</w:t>
        <w:tab/>
        <w:t>单位：元</w:t>
        <w:tab/>
        <w:t>币种：人民币</w:t>
      </w: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78"/>
        <w:gridCol w:w="1632"/>
        <w:gridCol w:w="1440"/>
        <w:gridCol w:w="1260"/>
        <w:gridCol w:w="900"/>
        <w:gridCol w:w="1260"/>
        <w:gridCol w:w="1440"/>
        <w:gridCol w:w="1440"/>
        <w:gridCol w:w="1602"/>
      </w:tblGrid>
      <w:tr>
        <w:trPr>
          <w:trHeight w:val="121" w:hRule="exact"/>
        </w:trPr>
        <w:tc>
          <w:tcPr>
            <w:tcW w:w="3578" w:type="dxa"/>
            <w:tcBorders>
              <w:top w:val="single" w:sz="4" w:space="0" w:color="000000"/>
              <w:left w:val="nil" w:sz="6" w:space="0" w:color="auto"/>
              <w:bottom w:val="nil" w:sz="6" w:space="0" w:color="auto"/>
              <w:right w:val="single" w:sz="4" w:space="0" w:color="000000"/>
            </w:tcBorders>
            <w:shd w:val="clear" w:color="auto" w:fill="DCDCDC"/>
          </w:tcPr>
          <w:p>
            <w:pPr/>
          </w:p>
        </w:tc>
        <w:tc>
          <w:tcPr>
            <w:tcW w:w="10974" w:type="dxa"/>
            <w:gridSpan w:val="8"/>
            <w:vMerge w:val="restart"/>
            <w:tcBorders>
              <w:top w:val="single" w:sz="4" w:space="0" w:color="000000"/>
              <w:left w:val="single" w:sz="4" w:space="0" w:color="000000"/>
              <w:right w:val="nil" w:sz="6" w:space="0" w:color="auto"/>
            </w:tcBorders>
            <w:shd w:val="clear" w:color="auto" w:fill="DCDCDC"/>
          </w:tcPr>
          <w:p>
            <w:pPr>
              <w:pStyle w:val="TableParagraph"/>
              <w:spacing w:line="205" w:lineRule="exact"/>
              <w:ind w:left="2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21" w:hRule="exact"/>
        </w:trPr>
        <w:tc>
          <w:tcPr>
            <w:tcW w:w="3578" w:type="dxa"/>
            <w:vMerge w:val="restart"/>
            <w:tcBorders>
              <w:top w:val="nil" w:sz="6" w:space="0" w:color="auto"/>
              <w:left w:val="nil" w:sz="6" w:space="0" w:color="auto"/>
              <w:right w:val="single" w:sz="4" w:space="0" w:color="000000"/>
            </w:tcBorders>
            <w:shd w:val="clear" w:color="auto" w:fill="DCDCDC"/>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974" w:type="dxa"/>
            <w:gridSpan w:val="8"/>
            <w:vMerge/>
            <w:tcBorders>
              <w:left w:val="single" w:sz="4" w:space="0" w:color="000000"/>
              <w:bottom w:val="single" w:sz="4" w:space="0" w:color="000000"/>
              <w:right w:val="nil" w:sz="6" w:space="0" w:color="auto"/>
            </w:tcBorders>
            <w:shd w:val="clear" w:color="auto" w:fill="DCDCDC"/>
          </w:tcPr>
          <w:p>
            <w:pPr/>
          </w:p>
        </w:tc>
      </w:tr>
      <w:tr>
        <w:trPr>
          <w:trHeight w:val="244" w:hRule="exact"/>
        </w:trPr>
        <w:tc>
          <w:tcPr>
            <w:tcW w:w="3578" w:type="dxa"/>
            <w:vMerge/>
            <w:tcBorders>
              <w:left w:val="nil" w:sz="6" w:space="0" w:color="auto"/>
              <w:bottom w:val="single" w:sz="4" w:space="0" w:color="000000"/>
              <w:right w:val="single" w:sz="4" w:space="0" w:color="000000"/>
            </w:tcBorders>
            <w:shd w:val="clear" w:color="auto" w:fill="DCDCDC"/>
          </w:tcPr>
          <w:p>
            <w:pPr/>
          </w:p>
        </w:tc>
        <w:tc>
          <w:tcPr>
            <w:tcW w:w="16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84"/>
              <w:jc w:val="right"/>
              <w:rPr>
                <w:rFonts w:ascii="宋体" w:hAnsi="宋体" w:cs="宋体" w:eastAsia="宋体" w:hint="default"/>
                <w:sz w:val="18"/>
                <w:szCs w:val="18"/>
              </w:rPr>
            </w:pPr>
            <w:r>
              <w:rPr>
                <w:rFonts w:ascii="宋体" w:hAnsi="宋体" w:cs="宋体" w:eastAsia="宋体" w:hint="default"/>
                <w:sz w:val="18"/>
                <w:szCs w:val="18"/>
              </w:rPr>
              <w:t>实收资本（股本）</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5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7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84"/>
              <w:jc w:val="right"/>
              <w:rPr>
                <w:rFonts w:ascii="宋体" w:hAnsi="宋体" w:cs="宋体" w:eastAsia="宋体" w:hint="default"/>
                <w:sz w:val="18"/>
                <w:szCs w:val="18"/>
              </w:rPr>
            </w:pPr>
            <w:r>
              <w:rPr>
                <w:rFonts w:ascii="宋体" w:hAnsi="宋体" w:cs="宋体" w:eastAsia="宋体" w:hint="default"/>
                <w:sz w:val="18"/>
                <w:szCs w:val="18"/>
              </w:rPr>
              <w:t>专项储备</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6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7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6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02"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05" w:lineRule="exact"/>
              <w:ind w:left="1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373,975,300.21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9,491,663.51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85,424,971.50</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7"/>
              <w:jc w:val="right"/>
              <w:rPr>
                <w:rFonts w:ascii="Times New Roman" w:hAnsi="Times New Roman" w:cs="Times New Roman" w:eastAsia="Times New Roman" w:hint="default"/>
                <w:sz w:val="18"/>
                <w:szCs w:val="18"/>
              </w:rPr>
            </w:pPr>
            <w:r>
              <w:rPr>
                <w:rFonts w:ascii="Times New Roman"/>
                <w:spacing w:val="-1"/>
                <w:sz w:val="18"/>
              </w:rPr>
              <w:t>528,891,935.22</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557"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5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373,975,300.21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9,491,663.51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85,424,971.50</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7"/>
              <w:jc w:val="right"/>
              <w:rPr>
                <w:rFonts w:ascii="Times New Roman" w:hAnsi="Times New Roman" w:cs="Times New Roman" w:eastAsia="Times New Roman" w:hint="default"/>
                <w:sz w:val="18"/>
                <w:szCs w:val="18"/>
              </w:rPr>
            </w:pPr>
            <w:r>
              <w:rPr>
                <w:rFonts w:ascii="Times New Roman"/>
                <w:spacing w:val="-1"/>
                <w:sz w:val="18"/>
              </w:rPr>
              <w:t>528,891,935.22</w:t>
            </w:r>
          </w:p>
        </w:tc>
      </w:tr>
      <w:tr>
        <w:trPr>
          <w:trHeight w:val="242"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17"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2,135,391.17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3"/>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-16,775,003.96</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7"/>
              <w:jc w:val="right"/>
              <w:rPr>
                <w:rFonts w:ascii="Times New Roman" w:hAnsi="Times New Roman" w:cs="Times New Roman" w:eastAsia="Times New Roman" w:hint="default"/>
                <w:sz w:val="18"/>
                <w:szCs w:val="18"/>
              </w:rPr>
            </w:pPr>
            <w:r>
              <w:rPr>
                <w:rFonts w:ascii="Times New Roman"/>
                <w:spacing w:val="-1"/>
                <w:sz w:val="18"/>
              </w:rPr>
              <w:t>-14,639,612.79</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21,360,387.21</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pacing w:val="-1"/>
                <w:sz w:val="18"/>
              </w:rPr>
              <w:t>21,360,387.21</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21,360,387.21</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pacing w:val="-1"/>
                <w:sz w:val="18"/>
              </w:rPr>
              <w:t>21,360,387.21</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
              <w:jc w:val="right"/>
              <w:rPr>
                <w:rFonts w:ascii="Times New Roman" w:hAnsi="Times New Roman" w:cs="Times New Roman" w:eastAsia="Times New Roman" w:hint="default"/>
                <w:sz w:val="18"/>
                <w:szCs w:val="18"/>
              </w:rPr>
            </w:pPr>
            <w:r>
              <w:rPr>
                <w:rFonts w:ascii="Times New Roman"/>
                <w:sz w:val="18"/>
              </w:rPr>
              <w:t>-</w:t>
            </w:r>
          </w:p>
        </w:tc>
      </w:tr>
      <w:tr>
        <w:trPr>
          <w:trHeight w:val="242"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2,135,391.17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-38,135,391.17</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
              <w:jc w:val="right"/>
              <w:rPr>
                <w:rFonts w:ascii="Times New Roman" w:hAnsi="Times New Roman" w:cs="Times New Roman" w:eastAsia="Times New Roman" w:hint="default"/>
                <w:sz w:val="18"/>
                <w:szCs w:val="18"/>
              </w:rPr>
            </w:pPr>
            <w:r>
              <w:rPr>
                <w:rFonts w:ascii="Times New Roman"/>
                <w:spacing w:val="-1"/>
                <w:sz w:val="18"/>
              </w:rPr>
              <w:t>-36,000,000.00</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2,135,391.17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-2,135,391.17</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-36,000,000.00</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7"/>
              <w:jc w:val="right"/>
              <w:rPr>
                <w:rFonts w:ascii="Times New Roman" w:hAnsi="Times New Roman" w:cs="Times New Roman" w:eastAsia="Times New Roman" w:hint="default"/>
                <w:sz w:val="18"/>
                <w:szCs w:val="18"/>
              </w:rPr>
            </w:pPr>
            <w:r>
              <w:rPr>
                <w:rFonts w:ascii="Times New Roman"/>
                <w:spacing w:val="-1"/>
                <w:sz w:val="18"/>
              </w:rPr>
              <w:t>-36,000,000.00</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w:t>
            </w:r>
          </w:p>
        </w:tc>
      </w:tr>
      <w:tr>
        <w:trPr>
          <w:trHeight w:val="242"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
              <w:jc w:val="right"/>
              <w:rPr>
                <w:rFonts w:ascii="Times New Roman" w:hAnsi="Times New Roman" w:cs="Times New Roman" w:eastAsia="Times New Roman" w:hint="default"/>
                <w:sz w:val="18"/>
                <w:szCs w:val="18"/>
              </w:rPr>
            </w:pPr>
            <w:r>
              <w:rPr>
                <w:rFonts w:ascii="Times New Roman"/>
                <w:sz w:val="18"/>
              </w:rPr>
              <w:t>-</w:t>
            </w:r>
          </w:p>
        </w:tc>
      </w:tr>
      <w:tr>
        <w:trPr>
          <w:trHeight w:val="229"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2" w:lineRule="exact"/>
              <w:ind w:left="197"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8"/>
              <w:jc w:val="right"/>
              <w:rPr>
                <w:rFonts w:ascii="Times New Roman" w:hAnsi="Times New Roman" w:cs="Times New Roman" w:eastAsia="Times New Roman" w:hint="default"/>
                <w:sz w:val="18"/>
                <w:szCs w:val="18"/>
              </w:rPr>
            </w:pPr>
            <w:r>
              <w:rPr>
                <w:rFonts w:ascii="Times New Roman"/>
                <w:sz w:val="18"/>
              </w:rPr>
              <w:t>-</w:t>
            </w:r>
          </w:p>
        </w:tc>
      </w:tr>
      <w:tr>
        <w:trPr>
          <w:trHeight w:val="245"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313,975,300.21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11,627,054.68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68,649,967.54</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
              <w:jc w:val="right"/>
              <w:rPr>
                <w:rFonts w:ascii="Times New Roman" w:hAnsi="Times New Roman" w:cs="Times New Roman" w:eastAsia="Times New Roman" w:hint="default"/>
                <w:sz w:val="18"/>
                <w:szCs w:val="18"/>
              </w:rPr>
            </w:pPr>
            <w:r>
              <w:rPr>
                <w:rFonts w:ascii="Times New Roman"/>
                <w:spacing w:val="-1"/>
                <w:sz w:val="18"/>
              </w:rPr>
              <w:t>514,252,322.43</w:t>
            </w:r>
          </w:p>
        </w:tc>
      </w:tr>
    </w:tbl>
    <w:p>
      <w:pPr>
        <w:tabs>
          <w:tab w:pos="5497" w:val="left" w:leader="none"/>
          <w:tab w:pos="12108" w:val="left" w:leader="none"/>
        </w:tabs>
        <w:spacing w:before="84"/>
        <w:ind w:left="459"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法定代表人：陈向军</w:t>
        <w:tab/>
        <w:t>主管会计工作负责人：许秋江</w:t>
        <w:tab/>
        <w:t>会计机构负责人：张春雷</w:t>
      </w:r>
    </w:p>
    <w:p>
      <w:pPr>
        <w:spacing w:after="0"/>
        <w:jc w:val="left"/>
        <w:rPr>
          <w:rFonts w:ascii="宋体" w:hAnsi="宋体" w:cs="宋体" w:eastAsia="宋体" w:hint="default"/>
          <w:sz w:val="21"/>
          <w:szCs w:val="21"/>
        </w:rPr>
        <w:sectPr>
          <w:headerReference w:type="default" r:id="rId26"/>
          <w:footerReference w:type="default" r:id="rId27"/>
          <w:pgSz w:w="16840" w:h="11910" w:orient="landscape"/>
          <w:pgMar w:header="0" w:footer="632" w:top="1100" w:bottom="820" w:left="980" w:right="1080"/>
          <w:pgNumType w:start="69"/>
        </w:sectPr>
      </w:pPr>
    </w:p>
    <w:p>
      <w:pPr>
        <w:spacing w:line="240" w:lineRule="auto" w:before="2"/>
        <w:rPr>
          <w:rFonts w:ascii="宋体" w:hAnsi="宋体" w:cs="宋体" w:eastAsia="宋体" w:hint="default"/>
          <w:sz w:val="20"/>
          <w:szCs w:val="20"/>
        </w:rPr>
      </w:pPr>
    </w:p>
    <w:p>
      <w:pPr>
        <w:pStyle w:val="Heading4"/>
        <w:spacing w:line="240" w:lineRule="auto" w:before="26"/>
        <w:ind w:left="161" w:right="63"/>
        <w:jc w:val="center"/>
        <w:rPr>
          <w:b w:val="0"/>
          <w:bCs w:val="0"/>
        </w:rPr>
      </w:pPr>
      <w:r>
        <w:rPr/>
        <w:t>母公司所有者权益变动表（续）</w:t>
      </w:r>
      <w:r>
        <w:rPr>
          <w:b w:val="0"/>
          <w:bCs w:val="0"/>
        </w:rPr>
      </w:r>
    </w:p>
    <w:p>
      <w:pPr>
        <w:tabs>
          <w:tab w:pos="5984" w:val="left" w:leader="none"/>
          <w:tab w:pos="10437" w:val="left" w:leader="none"/>
          <w:tab w:pos="12536" w:val="left" w:leader="none"/>
        </w:tabs>
        <w:spacing w:before="120"/>
        <w:ind w:left="0" w:right="63" w:firstLine="0"/>
        <w:jc w:val="center"/>
        <w:rPr>
          <w:rFonts w:ascii="宋体" w:hAnsi="宋体" w:cs="宋体" w:eastAsia="宋体" w:hint="default"/>
          <w:sz w:val="21"/>
          <w:szCs w:val="21"/>
        </w:rPr>
      </w:pPr>
      <w:r>
        <w:rPr>
          <w:rFonts w:ascii="宋体" w:hAnsi="宋体" w:cs="宋体" w:eastAsia="宋体" w:hint="default"/>
          <w:sz w:val="21"/>
          <w:szCs w:val="21"/>
        </w:rPr>
        <w:t>编制单位：深圳市银之杰科技股份有限公司</w:t>
        <w:tab/>
      </w:r>
      <w:r>
        <w:rPr>
          <w:rFonts w:ascii="宋体" w:hAnsi="宋体" w:cs="宋体" w:eastAsia="宋体" w:hint="default"/>
          <w:spacing w:val="-2"/>
          <w:sz w:val="21"/>
          <w:szCs w:val="21"/>
        </w:rPr>
        <w:t>编制年度：</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pacing w:val="-1"/>
          <w:sz w:val="21"/>
          <w:szCs w:val="21"/>
        </w:rPr>
        <w:t>年度</w:t>
        <w:tab/>
        <w:t>单位：元</w:t>
        <w:tab/>
        <w:t>币种：人民币</w:t>
      </w: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78"/>
        <w:gridCol w:w="1632"/>
        <w:gridCol w:w="1440"/>
        <w:gridCol w:w="1260"/>
        <w:gridCol w:w="900"/>
        <w:gridCol w:w="1260"/>
        <w:gridCol w:w="1440"/>
        <w:gridCol w:w="1440"/>
        <w:gridCol w:w="1602"/>
      </w:tblGrid>
      <w:tr>
        <w:trPr>
          <w:trHeight w:val="121" w:hRule="exact"/>
        </w:trPr>
        <w:tc>
          <w:tcPr>
            <w:tcW w:w="3578" w:type="dxa"/>
            <w:tcBorders>
              <w:top w:val="single" w:sz="4" w:space="0" w:color="000000"/>
              <w:left w:val="nil" w:sz="6" w:space="0" w:color="auto"/>
              <w:bottom w:val="nil" w:sz="6" w:space="0" w:color="auto"/>
              <w:right w:val="single" w:sz="4" w:space="0" w:color="000000"/>
            </w:tcBorders>
            <w:shd w:val="clear" w:color="auto" w:fill="DCDCDC"/>
          </w:tcPr>
          <w:p>
            <w:pPr/>
          </w:p>
        </w:tc>
        <w:tc>
          <w:tcPr>
            <w:tcW w:w="10974" w:type="dxa"/>
            <w:gridSpan w:val="8"/>
            <w:vMerge w:val="restart"/>
            <w:tcBorders>
              <w:top w:val="single" w:sz="4" w:space="0" w:color="000000"/>
              <w:left w:val="single" w:sz="4" w:space="0" w:color="000000"/>
              <w:right w:val="nil" w:sz="6" w:space="0" w:color="auto"/>
            </w:tcBorders>
            <w:shd w:val="clear" w:color="auto" w:fill="DCDCDC"/>
          </w:tcPr>
          <w:p>
            <w:pPr>
              <w:pStyle w:val="TableParagraph"/>
              <w:spacing w:line="205" w:lineRule="exact"/>
              <w:ind w:left="22"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22" w:hRule="exact"/>
        </w:trPr>
        <w:tc>
          <w:tcPr>
            <w:tcW w:w="3578" w:type="dxa"/>
            <w:vMerge w:val="restart"/>
            <w:tcBorders>
              <w:top w:val="nil" w:sz="6" w:space="0" w:color="auto"/>
              <w:left w:val="nil" w:sz="6" w:space="0" w:color="auto"/>
              <w:right w:val="single" w:sz="4" w:space="0" w:color="000000"/>
            </w:tcBorders>
            <w:shd w:val="clear" w:color="auto" w:fill="DCDCDC"/>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974" w:type="dxa"/>
            <w:gridSpan w:val="8"/>
            <w:vMerge/>
            <w:tcBorders>
              <w:left w:val="single" w:sz="4" w:space="0" w:color="000000"/>
              <w:bottom w:val="single" w:sz="4" w:space="0" w:color="000000"/>
              <w:right w:val="nil" w:sz="6" w:space="0" w:color="auto"/>
            </w:tcBorders>
            <w:shd w:val="clear" w:color="auto" w:fill="DCDCDC"/>
          </w:tcPr>
          <w:p>
            <w:pPr/>
          </w:p>
        </w:tc>
      </w:tr>
      <w:tr>
        <w:trPr>
          <w:trHeight w:val="244" w:hRule="exact"/>
        </w:trPr>
        <w:tc>
          <w:tcPr>
            <w:tcW w:w="3578" w:type="dxa"/>
            <w:vMerge/>
            <w:tcBorders>
              <w:left w:val="nil" w:sz="6" w:space="0" w:color="auto"/>
              <w:bottom w:val="single" w:sz="4" w:space="0" w:color="000000"/>
              <w:right w:val="single" w:sz="4" w:space="0" w:color="000000"/>
            </w:tcBorders>
            <w:shd w:val="clear" w:color="auto" w:fill="DCDCDC"/>
          </w:tcPr>
          <w:p>
            <w:pPr/>
          </w:p>
        </w:tc>
        <w:tc>
          <w:tcPr>
            <w:tcW w:w="16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0" w:lineRule="exact"/>
              <w:ind w:left="2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实收资本</w:t>
            </w:r>
            <w:r>
              <w:rPr>
                <w:rFonts w:ascii="Times New Roman" w:hAnsi="Times New Roman" w:cs="Times New Roman" w:eastAsia="Times New Roman" w:hint="default"/>
                <w:sz w:val="18"/>
                <w:szCs w:val="18"/>
              </w:rPr>
              <w:t>(</w:t>
            </w:r>
            <w:r>
              <w:rPr>
                <w:rFonts w:ascii="宋体" w:hAnsi="宋体" w:cs="宋体" w:eastAsia="宋体" w:hint="default"/>
                <w:sz w:val="18"/>
                <w:szCs w:val="18"/>
              </w:rPr>
              <w:t>股本</w:t>
            </w:r>
            <w:r>
              <w:rPr>
                <w:rFonts w:ascii="Times New Roman" w:hAnsi="Times New Roman" w:cs="Times New Roman" w:eastAsia="Times New Roman"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35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17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right="84"/>
              <w:jc w:val="right"/>
              <w:rPr>
                <w:rFonts w:ascii="宋体" w:hAnsi="宋体" w:cs="宋体" w:eastAsia="宋体" w:hint="default"/>
                <w:sz w:val="18"/>
                <w:szCs w:val="18"/>
              </w:rPr>
            </w:pPr>
            <w:r>
              <w:rPr>
                <w:rFonts w:ascii="宋体" w:hAnsi="宋体" w:cs="宋体" w:eastAsia="宋体" w:hint="default"/>
                <w:sz w:val="18"/>
                <w:szCs w:val="18"/>
              </w:rPr>
              <w:t>专项储备</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26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17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26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02"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06" w:lineRule="exact"/>
              <w:ind w:left="1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42"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45,000,000.00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24,560.25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5,510,782.14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49,597,039.13</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7"/>
              <w:jc w:val="right"/>
              <w:rPr>
                <w:rFonts w:ascii="Times New Roman" w:hAnsi="Times New Roman" w:cs="Times New Roman" w:eastAsia="Times New Roman" w:hint="default"/>
                <w:sz w:val="18"/>
                <w:szCs w:val="18"/>
              </w:rPr>
            </w:pPr>
            <w:r>
              <w:rPr>
                <w:rFonts w:ascii="Times New Roman"/>
                <w:spacing w:val="-1"/>
                <w:sz w:val="18"/>
              </w:rPr>
              <w:t>100,132,381.52</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45,000,000.00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24,560.25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5,510,782.14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49,597,039.13</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7"/>
              <w:jc w:val="right"/>
              <w:rPr>
                <w:rFonts w:ascii="Times New Roman" w:hAnsi="Times New Roman" w:cs="Times New Roman" w:eastAsia="Times New Roman" w:hint="default"/>
                <w:sz w:val="18"/>
                <w:szCs w:val="18"/>
              </w:rPr>
            </w:pPr>
            <w:r>
              <w:rPr>
                <w:rFonts w:ascii="Times New Roman"/>
                <w:spacing w:val="-1"/>
                <w:sz w:val="18"/>
              </w:rPr>
              <w:t>100,132,381.52</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17"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373,950,739.96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3,980,881.37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35,827,932.37</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7"/>
              <w:jc w:val="right"/>
              <w:rPr>
                <w:rFonts w:ascii="Times New Roman" w:hAnsi="Times New Roman" w:cs="Times New Roman" w:eastAsia="Times New Roman" w:hint="default"/>
                <w:sz w:val="18"/>
                <w:szCs w:val="18"/>
              </w:rPr>
            </w:pPr>
            <w:r>
              <w:rPr>
                <w:rFonts w:ascii="Times New Roman"/>
                <w:spacing w:val="-1"/>
                <w:sz w:val="18"/>
              </w:rPr>
              <w:t>428,759,553.70</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39,808,813.74</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pacing w:val="-1"/>
                <w:sz w:val="18"/>
              </w:rPr>
              <w:t>39,808,813.74</w:t>
            </w:r>
          </w:p>
        </w:tc>
      </w:tr>
      <w:tr>
        <w:trPr>
          <w:trHeight w:val="242"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39,808,813.74</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pacing w:val="-1"/>
                <w:sz w:val="18"/>
              </w:rPr>
              <w:t>39,808,813.74</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373,950,739.96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7"/>
              <w:jc w:val="right"/>
              <w:rPr>
                <w:rFonts w:ascii="Times New Roman" w:hAnsi="Times New Roman" w:cs="Times New Roman" w:eastAsia="Times New Roman" w:hint="default"/>
                <w:sz w:val="18"/>
                <w:szCs w:val="18"/>
              </w:rPr>
            </w:pPr>
            <w:r>
              <w:rPr>
                <w:rFonts w:ascii="Times New Roman"/>
                <w:spacing w:val="-1"/>
                <w:sz w:val="18"/>
              </w:rPr>
              <w:t>388,950,739.96</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373,950,739.96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7"/>
              <w:jc w:val="right"/>
              <w:rPr>
                <w:rFonts w:ascii="Times New Roman" w:hAnsi="Times New Roman" w:cs="Times New Roman" w:eastAsia="Times New Roman" w:hint="default"/>
                <w:sz w:val="18"/>
                <w:szCs w:val="18"/>
              </w:rPr>
            </w:pPr>
            <w:r>
              <w:rPr>
                <w:rFonts w:ascii="Times New Roman"/>
                <w:spacing w:val="-1"/>
                <w:sz w:val="18"/>
              </w:rPr>
              <w:t>388,950,739.96</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3,980,881.37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-3,980,881.37</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3,980,881.37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-3,980,881.37</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z w:val="18"/>
              </w:rPr>
              <w:t>-</w:t>
            </w:r>
          </w:p>
        </w:tc>
      </w:tr>
      <w:tr>
        <w:trPr>
          <w:trHeight w:val="242"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2"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373,975,300.21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9,491,663.51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85,424,971.50</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7"/>
              <w:jc w:val="right"/>
              <w:rPr>
                <w:rFonts w:ascii="Times New Roman" w:hAnsi="Times New Roman" w:cs="Times New Roman" w:eastAsia="Times New Roman" w:hint="default"/>
                <w:sz w:val="18"/>
                <w:szCs w:val="18"/>
              </w:rPr>
            </w:pPr>
            <w:r>
              <w:rPr>
                <w:rFonts w:ascii="Times New Roman"/>
                <w:spacing w:val="-1"/>
                <w:sz w:val="18"/>
              </w:rPr>
              <w:t>528,891,935.22</w:t>
            </w:r>
          </w:p>
        </w:tc>
      </w:tr>
    </w:tbl>
    <w:p>
      <w:pPr>
        <w:tabs>
          <w:tab w:pos="5497" w:val="left" w:leader="none"/>
          <w:tab w:pos="12108" w:val="left" w:leader="none"/>
        </w:tabs>
        <w:spacing w:before="84"/>
        <w:ind w:left="459"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法定代表人：陈向军</w:t>
        <w:tab/>
        <w:t>主管会计工作负责人：许秋江</w:t>
        <w:tab/>
        <w:t>会计机构负责人：张春雷</w:t>
      </w:r>
    </w:p>
    <w:p>
      <w:pPr>
        <w:spacing w:after="0"/>
        <w:jc w:val="left"/>
        <w:rPr>
          <w:rFonts w:ascii="宋体" w:hAnsi="宋体" w:cs="宋体" w:eastAsia="宋体" w:hint="default"/>
          <w:sz w:val="21"/>
          <w:szCs w:val="21"/>
        </w:rPr>
        <w:sectPr>
          <w:headerReference w:type="default" r:id="rId28"/>
          <w:footerReference w:type="default" r:id="rId29"/>
          <w:pgSz w:w="16840" w:h="11910" w:orient="landscape"/>
          <w:pgMar w:header="0" w:footer="632" w:top="1100" w:bottom="820" w:left="980" w:right="1080"/>
          <w:pgNumType w:start="70"/>
        </w:sectPr>
      </w:pPr>
    </w:p>
    <w:p>
      <w:pPr>
        <w:spacing w:line="240" w:lineRule="auto" w:before="4"/>
        <w:rPr>
          <w:rFonts w:ascii="宋体" w:hAnsi="宋体" w:cs="宋体" w:eastAsia="宋体" w:hint="default"/>
          <w:sz w:val="29"/>
          <w:szCs w:val="29"/>
        </w:rPr>
      </w:pPr>
    </w:p>
    <w:p>
      <w:pPr>
        <w:pStyle w:val="Heading2"/>
        <w:spacing w:line="312" w:lineRule="auto"/>
        <w:ind w:left="2344" w:right="2340"/>
        <w:jc w:val="center"/>
        <w:rPr>
          <w:b w:val="0"/>
          <w:bCs w:val="0"/>
        </w:rPr>
      </w:pPr>
      <w:r>
        <w:rPr/>
        <w:t>深圳市银之杰科技股份有限公司</w:t>
      </w:r>
      <w:r>
        <w:rPr>
          <w:spacing w:val="1"/>
          <w:w w:val="99"/>
        </w:rPr>
        <w:t> </w:t>
      </w:r>
      <w:r>
        <w:rPr/>
        <w:t>财务报表附注</w:t>
      </w:r>
      <w:r>
        <w:rPr>
          <w:b w:val="0"/>
          <w:bCs w:val="0"/>
        </w:rPr>
      </w:r>
    </w:p>
    <w:p>
      <w:pPr>
        <w:spacing w:before="40"/>
        <w:ind w:left="2341" w:right="2340" w:firstLine="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w:t>
      </w:r>
    </w:p>
    <w:p>
      <w:pPr>
        <w:spacing w:line="240" w:lineRule="auto" w:before="11"/>
        <w:rPr>
          <w:rFonts w:ascii="宋体" w:hAnsi="宋体" w:cs="宋体" w:eastAsia="宋体" w:hint="default"/>
          <w:sz w:val="23"/>
          <w:szCs w:val="23"/>
        </w:rPr>
      </w:pPr>
    </w:p>
    <w:p>
      <w:pPr>
        <w:pStyle w:val="Heading5"/>
        <w:spacing w:line="240" w:lineRule="auto" w:before="29"/>
        <w:ind w:left="144" w:right="273"/>
        <w:jc w:val="left"/>
        <w:rPr>
          <w:b w:val="0"/>
          <w:bCs w:val="0"/>
        </w:rPr>
      </w:pPr>
      <w:r>
        <w:rPr/>
        <w:t>一、</w:t>
      </w:r>
      <w:r>
        <w:rPr>
          <w:spacing w:val="-39"/>
        </w:rPr>
        <w:t> </w:t>
      </w:r>
      <w:r>
        <w:rPr/>
        <w:t>公司基本情况</w:t>
      </w:r>
      <w:r>
        <w:rPr>
          <w:b w:val="0"/>
          <w:bCs w:val="0"/>
        </w:rPr>
      </w:r>
    </w:p>
    <w:p>
      <w:pPr>
        <w:spacing w:line="240" w:lineRule="auto" w:before="8"/>
        <w:rPr>
          <w:rFonts w:ascii="宋体" w:hAnsi="宋体" w:cs="宋体" w:eastAsia="宋体" w:hint="default"/>
          <w:b/>
          <w:bCs/>
          <w:sz w:val="20"/>
          <w:szCs w:val="20"/>
        </w:rPr>
      </w:pPr>
    </w:p>
    <w:p>
      <w:pPr>
        <w:spacing w:before="0"/>
        <w:ind w:left="564" w:right="273" w:firstLine="0"/>
        <w:jc w:val="left"/>
        <w:rPr>
          <w:rFonts w:ascii="宋体" w:hAnsi="宋体" w:cs="宋体" w:eastAsia="宋体" w:hint="default"/>
          <w:sz w:val="21"/>
          <w:szCs w:val="21"/>
        </w:rPr>
      </w:pPr>
      <w:r>
        <w:rPr>
          <w:rFonts w:ascii="宋体" w:hAnsi="宋体" w:cs="宋体" w:eastAsia="宋体" w:hint="default"/>
          <w:sz w:val="21"/>
          <w:szCs w:val="21"/>
        </w:rPr>
        <w:t>（一）公司概况</w:t>
      </w:r>
    </w:p>
    <w:p>
      <w:pPr>
        <w:spacing w:line="240" w:lineRule="auto" w:before="6"/>
        <w:rPr>
          <w:rFonts w:ascii="宋体" w:hAnsi="宋体" w:cs="宋体" w:eastAsia="宋体" w:hint="default"/>
          <w:sz w:val="19"/>
          <w:szCs w:val="19"/>
        </w:rPr>
      </w:pPr>
    </w:p>
    <w:p>
      <w:pPr>
        <w:spacing w:line="336" w:lineRule="auto" w:before="0"/>
        <w:ind w:left="563" w:right="1835"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公司名称：深圳市银之杰科技股份有限公司（以下简称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银之杰公司</w:t>
      </w:r>
      <w:r>
        <w:rPr>
          <w:rFonts w:ascii="Times New Roman" w:hAnsi="Times New Roman" w:cs="Times New Roman" w:eastAsia="Times New Roman" w:hint="default"/>
          <w:sz w:val="21"/>
          <w:szCs w:val="21"/>
        </w:rPr>
        <w:t>”</w:t>
      </w:r>
      <w:r>
        <w:rPr>
          <w:rFonts w:ascii="宋体" w:hAnsi="宋体" w:cs="宋体" w:eastAsia="宋体" w:hint="default"/>
          <w:sz w:val="21"/>
          <w:szCs w:val="21"/>
        </w:rPr>
        <w:t>） 注册地址：深圳市福田区车公庙天安数码城天祥大厦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AB</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5B2 </w:t>
      </w:r>
      <w:r>
        <w:rPr>
          <w:rFonts w:ascii="宋体" w:hAnsi="宋体" w:cs="宋体" w:eastAsia="宋体" w:hint="default"/>
          <w:sz w:val="21"/>
          <w:szCs w:val="21"/>
        </w:rPr>
        <w:t>注册资本：人民币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 企业法人营业执照注册号：</w:t>
      </w:r>
      <w:r>
        <w:rPr>
          <w:rFonts w:ascii="Times New Roman" w:hAnsi="Times New Roman" w:cs="Times New Roman" w:eastAsia="Times New Roman" w:hint="default"/>
          <w:sz w:val="21"/>
          <w:szCs w:val="21"/>
        </w:rPr>
        <w:t>440301102955880</w:t>
      </w:r>
    </w:p>
    <w:p>
      <w:pPr>
        <w:spacing w:line="355" w:lineRule="auto" w:before="25"/>
        <w:ind w:left="563" w:right="6431" w:firstLine="0"/>
        <w:jc w:val="left"/>
        <w:rPr>
          <w:rFonts w:ascii="宋体" w:hAnsi="宋体" w:cs="宋体" w:eastAsia="宋体" w:hint="default"/>
          <w:sz w:val="21"/>
          <w:szCs w:val="21"/>
        </w:rPr>
      </w:pPr>
      <w:r>
        <w:rPr>
          <w:rFonts w:ascii="宋体" w:hAnsi="宋体" w:cs="宋体" w:eastAsia="宋体" w:hint="default"/>
          <w:sz w:val="21"/>
          <w:szCs w:val="21"/>
        </w:rPr>
        <w:t>法定代表人：陈向军 经营期限：永续经营</w:t>
      </w:r>
    </w:p>
    <w:p>
      <w:pPr>
        <w:spacing w:before="152"/>
        <w:ind w:left="563" w:right="273" w:firstLine="0"/>
        <w:jc w:val="left"/>
        <w:rPr>
          <w:rFonts w:ascii="宋体" w:hAnsi="宋体" w:cs="宋体" w:eastAsia="宋体" w:hint="default"/>
          <w:sz w:val="21"/>
          <w:szCs w:val="21"/>
        </w:rPr>
      </w:pPr>
      <w:r>
        <w:rPr>
          <w:rFonts w:ascii="宋体" w:hAnsi="宋体" w:cs="宋体" w:eastAsia="宋体" w:hint="default"/>
          <w:sz w:val="21"/>
          <w:szCs w:val="21"/>
        </w:rPr>
        <w:t>（二）经营范围及主营业务</w:t>
      </w:r>
    </w:p>
    <w:p>
      <w:pPr>
        <w:spacing w:line="240" w:lineRule="auto" w:before="6"/>
        <w:rPr>
          <w:rFonts w:ascii="宋体" w:hAnsi="宋体" w:cs="宋体" w:eastAsia="宋体" w:hint="default"/>
          <w:sz w:val="19"/>
          <w:szCs w:val="19"/>
        </w:rPr>
      </w:pPr>
    </w:p>
    <w:p>
      <w:pPr>
        <w:spacing w:line="336" w:lineRule="auto" w:before="0"/>
        <w:ind w:left="143" w:right="201" w:firstLine="420"/>
        <w:jc w:val="left"/>
        <w:rPr>
          <w:rFonts w:ascii="宋体" w:hAnsi="宋体" w:cs="宋体" w:eastAsia="宋体" w:hint="default"/>
          <w:sz w:val="21"/>
          <w:szCs w:val="21"/>
        </w:rPr>
      </w:pPr>
      <w:r>
        <w:rPr>
          <w:rFonts w:ascii="宋体" w:hAnsi="宋体" w:cs="宋体" w:eastAsia="宋体" w:hint="default"/>
          <w:sz w:val="21"/>
          <w:szCs w:val="21"/>
        </w:rPr>
        <w:t>经营范围：兴办实业</w:t>
      </w:r>
      <w:r>
        <w:rPr>
          <w:rFonts w:ascii="Times New Roman" w:hAnsi="Times New Roman" w:cs="Times New Roman" w:eastAsia="Times New Roman" w:hint="default"/>
          <w:sz w:val="21"/>
          <w:szCs w:val="21"/>
        </w:rPr>
        <w:t>(</w:t>
      </w:r>
      <w:r>
        <w:rPr>
          <w:rFonts w:ascii="宋体" w:hAnsi="宋体" w:cs="宋体" w:eastAsia="宋体" w:hint="default"/>
          <w:sz w:val="21"/>
          <w:szCs w:val="21"/>
        </w:rPr>
        <w:t>具体项目另行申报</w:t>
      </w:r>
      <w:r>
        <w:rPr>
          <w:rFonts w:ascii="Times New Roman" w:hAnsi="Times New Roman" w:cs="Times New Roman" w:eastAsia="Times New Roman" w:hint="default"/>
          <w:sz w:val="21"/>
          <w:szCs w:val="21"/>
        </w:rPr>
        <w:t>)</w:t>
      </w:r>
      <w:r>
        <w:rPr>
          <w:rFonts w:ascii="宋体" w:hAnsi="宋体" w:cs="宋体" w:eastAsia="宋体" w:hint="default"/>
          <w:sz w:val="21"/>
          <w:szCs w:val="21"/>
        </w:rPr>
        <w:t>；银行验印系统，计算机软、硬件的技术开发； </w:t>
      </w:r>
      <w:r>
        <w:rPr>
          <w:rFonts w:ascii="宋体" w:hAnsi="宋体" w:cs="宋体" w:eastAsia="宋体" w:hint="default"/>
          <w:spacing w:val="-4"/>
          <w:sz w:val="21"/>
          <w:szCs w:val="21"/>
        </w:rPr>
        <w:t>国内商业、物资供销业（不含专营、专控、专卖商品及限制项目）。</w:t>
      </w:r>
    </w:p>
    <w:p>
      <w:pPr>
        <w:spacing w:line="355" w:lineRule="auto" w:before="170"/>
        <w:ind w:left="143" w:right="131" w:firstLine="420"/>
        <w:jc w:val="left"/>
        <w:rPr>
          <w:rFonts w:ascii="宋体" w:hAnsi="宋体" w:cs="宋体" w:eastAsia="宋体" w:hint="default"/>
          <w:sz w:val="21"/>
          <w:szCs w:val="21"/>
        </w:rPr>
      </w:pPr>
      <w:r>
        <w:rPr>
          <w:rFonts w:ascii="宋体" w:hAnsi="宋体" w:cs="宋体" w:eastAsia="宋体" w:hint="default"/>
          <w:sz w:val="21"/>
          <w:szCs w:val="21"/>
        </w:rPr>
        <w:t>主营业务：为银行提供与支付结算、风险控制、基于影像的业务流程再造、自助终端等业 务相关的软件产品、软件开发、金融专用设备、技术服务并提供相应的系统集成。</w:t>
      </w:r>
    </w:p>
    <w:p>
      <w:pPr>
        <w:spacing w:before="153"/>
        <w:ind w:left="563" w:right="273" w:firstLine="0"/>
        <w:jc w:val="left"/>
        <w:rPr>
          <w:rFonts w:ascii="宋体" w:hAnsi="宋体" w:cs="宋体" w:eastAsia="宋体" w:hint="default"/>
          <w:sz w:val="21"/>
          <w:szCs w:val="21"/>
        </w:rPr>
      </w:pPr>
      <w:r>
        <w:rPr>
          <w:rFonts w:ascii="宋体" w:hAnsi="宋体" w:cs="宋体" w:eastAsia="宋体" w:hint="default"/>
          <w:sz w:val="21"/>
          <w:szCs w:val="21"/>
        </w:rPr>
        <w:t>（三）公司历史沿革及设立情况</w:t>
      </w:r>
    </w:p>
    <w:p>
      <w:pPr>
        <w:spacing w:line="240" w:lineRule="auto" w:before="5"/>
        <w:rPr>
          <w:rFonts w:ascii="宋体" w:hAnsi="宋体" w:cs="宋体" w:eastAsia="宋体" w:hint="default"/>
          <w:sz w:val="19"/>
          <w:szCs w:val="19"/>
        </w:rPr>
      </w:pPr>
    </w:p>
    <w:p>
      <w:pPr>
        <w:spacing w:before="0"/>
        <w:ind w:left="56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、本公司是于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日由张学君、何晔、李军和陈向军在深圳市共同兴办的有</w:t>
      </w:r>
    </w:p>
    <w:p>
      <w:pPr>
        <w:spacing w:before="117"/>
        <w:ind w:left="143" w:right="201"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限责任公司。企业法定代表人：张学君，营业执照注册号</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4403012009512</w:t>
      </w:r>
      <w:r>
        <w:rPr>
          <w:rFonts w:ascii="宋体" w:hAnsi="宋体" w:cs="宋体" w:eastAsia="宋体" w:hint="default"/>
          <w:sz w:val="21"/>
          <w:szCs w:val="21"/>
        </w:rPr>
        <w:t>，原注册资本为</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100</w:t>
      </w:r>
    </w:p>
    <w:p>
      <w:pPr>
        <w:spacing w:before="118"/>
        <w:ind w:left="143" w:right="273" w:firstLine="0"/>
        <w:jc w:val="left"/>
        <w:rPr>
          <w:rFonts w:ascii="宋体" w:hAnsi="宋体" w:cs="宋体" w:eastAsia="宋体" w:hint="default"/>
          <w:sz w:val="21"/>
          <w:szCs w:val="21"/>
        </w:rPr>
      </w:pPr>
      <w:r>
        <w:rPr>
          <w:rFonts w:ascii="宋体" w:hAnsi="宋体" w:cs="宋体" w:eastAsia="宋体" w:hint="default"/>
          <w:sz w:val="21"/>
          <w:szCs w:val="21"/>
        </w:rPr>
        <w:t>万元。股东的出资比例如下：</w:t>
      </w:r>
    </w:p>
    <w:p>
      <w:pPr>
        <w:spacing w:line="240" w:lineRule="auto" w:before="12"/>
        <w:rPr>
          <w:rFonts w:ascii="宋体" w:hAnsi="宋体" w:cs="宋体" w:eastAsia="宋体" w:hint="default"/>
          <w:sz w:val="21"/>
          <w:szCs w:val="21"/>
        </w:rPr>
      </w:pPr>
    </w:p>
    <w:tbl>
      <w:tblPr>
        <w:tblW w:w="0" w:type="auto"/>
        <w:jc w:val="left"/>
        <w:tblInd w:w="484" w:type="dxa"/>
        <w:tblLayout w:type="fixed"/>
        <w:tblCellMar>
          <w:top w:w="0" w:type="dxa"/>
          <w:left w:w="0" w:type="dxa"/>
          <w:bottom w:w="0" w:type="dxa"/>
          <w:right w:w="0" w:type="dxa"/>
        </w:tblCellMar>
        <w:tblLook w:val="01E0"/>
      </w:tblPr>
      <w:tblGrid>
        <w:gridCol w:w="2174"/>
        <w:gridCol w:w="1980"/>
        <w:gridCol w:w="1980"/>
        <w:gridCol w:w="2160"/>
      </w:tblGrid>
      <w:tr>
        <w:trPr>
          <w:trHeight w:val="427"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tabs>
                <w:tab w:pos="1251" w:val="left" w:leader="none"/>
              </w:tabs>
              <w:spacing w:line="240" w:lineRule="auto" w:before="36"/>
              <w:ind w:left="725" w:right="0"/>
              <w:jc w:val="left"/>
              <w:rPr>
                <w:rFonts w:ascii="宋体" w:hAnsi="宋体" w:cs="宋体" w:eastAsia="宋体" w:hint="default"/>
                <w:sz w:val="21"/>
                <w:szCs w:val="21"/>
              </w:rPr>
            </w:pPr>
            <w:r>
              <w:rPr>
                <w:rFonts w:ascii="宋体" w:hAnsi="宋体" w:cs="宋体" w:eastAsia="宋体" w:hint="default"/>
                <w:sz w:val="21"/>
                <w:szCs w:val="21"/>
              </w:rPr>
              <w:t>股</w:t>
              <w:tab/>
              <w:t>东</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出资额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出资比例</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出资形式</w:t>
            </w:r>
          </w:p>
        </w:tc>
      </w:tr>
      <w:tr>
        <w:trPr>
          <w:trHeight w:val="426"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张学君</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21"/>
                <w:szCs w:val="21"/>
              </w:rPr>
            </w:pPr>
            <w:r>
              <w:rPr>
                <w:rFonts w:ascii="Times New Roman"/>
                <w:spacing w:val="-1"/>
                <w:sz w:val="21"/>
              </w:rPr>
              <w:t>500,000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50%</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6"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何</w:t>
              <w:tab/>
              <w:t>晔</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21"/>
                <w:szCs w:val="21"/>
              </w:rPr>
            </w:pPr>
            <w:r>
              <w:rPr>
                <w:rFonts w:ascii="Times New Roman"/>
                <w:spacing w:val="-1"/>
                <w:sz w:val="21"/>
              </w:rPr>
              <w:t>300,000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30%</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7"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李</w:t>
              <w:tab/>
              <w:t>军</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21"/>
                <w:szCs w:val="21"/>
              </w:rPr>
            </w:pPr>
            <w:r>
              <w:rPr>
                <w:rFonts w:ascii="Times New Roman"/>
                <w:spacing w:val="-1"/>
                <w:sz w:val="21"/>
              </w:rPr>
              <w:t>100,000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10%</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6"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陈向军</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21"/>
                <w:szCs w:val="21"/>
              </w:rPr>
            </w:pPr>
            <w:r>
              <w:rPr>
                <w:rFonts w:ascii="Times New Roman"/>
                <w:spacing w:val="-1"/>
                <w:sz w:val="21"/>
              </w:rPr>
              <w:t>100,000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10%</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6"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tabs>
                <w:tab w:pos="647"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21"/>
                <w:szCs w:val="21"/>
              </w:rPr>
            </w:pPr>
            <w:r>
              <w:rPr>
                <w:rFonts w:ascii="Times New Roman"/>
                <w:spacing w:val="-1"/>
                <w:sz w:val="21"/>
              </w:rPr>
              <w:t>1,000,000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100%</w:t>
            </w:r>
          </w:p>
        </w:tc>
        <w:tc>
          <w:tcPr>
            <w:tcW w:w="2160" w:type="dxa"/>
            <w:tcBorders>
              <w:top w:val="single" w:sz="4" w:space="0" w:color="000000"/>
              <w:left w:val="single" w:sz="4" w:space="0" w:color="000000"/>
              <w:bottom w:val="single" w:sz="4" w:space="0" w:color="000000"/>
              <w:right w:val="nil" w:sz="6" w:space="0" w:color="auto"/>
            </w:tcBorders>
          </w:tcPr>
          <w:p>
            <w:pPr/>
          </w:p>
        </w:tc>
      </w:tr>
    </w:tbl>
    <w:p>
      <w:pPr>
        <w:spacing w:before="86"/>
        <w:ind w:left="564" w:right="273" w:firstLine="0"/>
        <w:jc w:val="left"/>
        <w:rPr>
          <w:rFonts w:ascii="宋体" w:hAnsi="宋体" w:cs="宋体" w:eastAsia="宋体" w:hint="default"/>
          <w:sz w:val="21"/>
          <w:szCs w:val="21"/>
        </w:rPr>
      </w:pPr>
      <w:r>
        <w:rPr>
          <w:rFonts w:ascii="宋体" w:hAnsi="宋体" w:cs="宋体" w:eastAsia="宋体" w:hint="default"/>
          <w:sz w:val="21"/>
          <w:szCs w:val="21"/>
        </w:rPr>
        <w:t>该出资业经深圳中法会计师事务所深中法验字</w:t>
      </w:r>
      <w:r>
        <w:rPr>
          <w:rFonts w:ascii="Times New Roman" w:hAnsi="Times New Roman" w:cs="Times New Roman" w:eastAsia="Times New Roman" w:hint="default"/>
          <w:sz w:val="21"/>
          <w:szCs w:val="21"/>
        </w:rPr>
        <w:t>[1998]073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号验资报告验证。</w:t>
      </w:r>
    </w:p>
    <w:p>
      <w:pPr>
        <w:spacing w:line="240" w:lineRule="auto" w:before="3"/>
        <w:rPr>
          <w:rFonts w:ascii="宋体" w:hAnsi="宋体" w:cs="宋体" w:eastAsia="宋体" w:hint="default"/>
          <w:sz w:val="18"/>
          <w:szCs w:val="18"/>
        </w:rPr>
      </w:pPr>
    </w:p>
    <w:p>
      <w:pPr>
        <w:spacing w:before="0"/>
        <w:ind w:left="564" w:right="27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日法定代表人由张学君变更为李军。</w:t>
      </w:r>
    </w:p>
    <w:p>
      <w:pPr>
        <w:spacing w:line="240" w:lineRule="auto" w:before="2"/>
        <w:rPr>
          <w:rFonts w:ascii="宋体" w:hAnsi="宋体" w:cs="宋体" w:eastAsia="宋体" w:hint="default"/>
          <w:sz w:val="18"/>
          <w:szCs w:val="18"/>
        </w:rPr>
      </w:pPr>
    </w:p>
    <w:p>
      <w:pPr>
        <w:spacing w:before="0"/>
        <w:ind w:left="564" w:right="1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日根据股东会议决议和修改后的公司章程规定，将原注册资本由人民币</w:t>
      </w:r>
    </w:p>
    <w:p>
      <w:pPr>
        <w:spacing w:after="0"/>
        <w:jc w:val="left"/>
        <w:rPr>
          <w:rFonts w:ascii="宋体" w:hAnsi="宋体" w:cs="宋体" w:eastAsia="宋体" w:hint="default"/>
          <w:sz w:val="21"/>
          <w:szCs w:val="21"/>
        </w:rPr>
        <w:sectPr>
          <w:headerReference w:type="default" r:id="rId30"/>
          <w:footerReference w:type="default" r:id="rId31"/>
          <w:pgSz w:w="11910" w:h="16840"/>
          <w:pgMar w:header="877" w:footer="982" w:top="1100" w:bottom="1180" w:left="1500" w:right="1500"/>
          <w:pgNumType w:start="71"/>
        </w:sectPr>
      </w:pPr>
    </w:p>
    <w:p>
      <w:pPr>
        <w:spacing w:line="240" w:lineRule="auto" w:before="2"/>
        <w:rPr>
          <w:rFonts w:ascii="宋体" w:hAnsi="宋体" w:cs="宋体" w:eastAsia="宋体" w:hint="default"/>
          <w:sz w:val="19"/>
          <w:szCs w:val="19"/>
        </w:rPr>
      </w:pPr>
    </w:p>
    <w:p>
      <w:pPr>
        <w:spacing w:before="35"/>
        <w:ind w:left="144" w:right="27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万元增加至人民币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万元。变更后股东出资如下：</w:t>
      </w:r>
    </w:p>
    <w:p>
      <w:pPr>
        <w:spacing w:line="240" w:lineRule="auto" w:before="10"/>
        <w:rPr>
          <w:rFonts w:ascii="宋体" w:hAnsi="宋体" w:cs="宋体" w:eastAsia="宋体" w:hint="default"/>
          <w:sz w:val="20"/>
          <w:szCs w:val="20"/>
        </w:rPr>
      </w:pPr>
    </w:p>
    <w:tbl>
      <w:tblPr>
        <w:tblW w:w="0" w:type="auto"/>
        <w:jc w:val="left"/>
        <w:tblInd w:w="550" w:type="dxa"/>
        <w:tblLayout w:type="fixed"/>
        <w:tblCellMar>
          <w:top w:w="0" w:type="dxa"/>
          <w:left w:w="0" w:type="dxa"/>
          <w:bottom w:w="0" w:type="dxa"/>
          <w:right w:w="0" w:type="dxa"/>
        </w:tblCellMar>
        <w:tblLook w:val="01E0"/>
      </w:tblPr>
      <w:tblGrid>
        <w:gridCol w:w="2449"/>
        <w:gridCol w:w="1973"/>
        <w:gridCol w:w="1954"/>
        <w:gridCol w:w="1853"/>
      </w:tblGrid>
      <w:tr>
        <w:trPr>
          <w:trHeight w:val="427" w:hRule="exact"/>
        </w:trPr>
        <w:tc>
          <w:tcPr>
            <w:tcW w:w="2449" w:type="dxa"/>
            <w:tcBorders>
              <w:top w:val="single" w:sz="4" w:space="0" w:color="000000"/>
              <w:left w:val="nil" w:sz="6" w:space="0" w:color="auto"/>
              <w:bottom w:val="single" w:sz="4" w:space="0" w:color="000000"/>
              <w:right w:val="single" w:sz="4" w:space="0" w:color="000000"/>
            </w:tcBorders>
          </w:tcPr>
          <w:p>
            <w:pPr>
              <w:pStyle w:val="TableParagraph"/>
              <w:tabs>
                <w:tab w:pos="439" w:val="left" w:leader="none"/>
              </w:tabs>
              <w:spacing w:line="240" w:lineRule="auto" w:before="36"/>
              <w:ind w:left="17" w:right="0"/>
              <w:jc w:val="center"/>
              <w:rPr>
                <w:rFonts w:ascii="宋体" w:hAnsi="宋体" w:cs="宋体" w:eastAsia="宋体" w:hint="default"/>
                <w:sz w:val="21"/>
                <w:szCs w:val="21"/>
              </w:rPr>
            </w:pPr>
            <w:r>
              <w:rPr>
                <w:rFonts w:ascii="宋体" w:hAnsi="宋体" w:cs="宋体" w:eastAsia="宋体" w:hint="default"/>
                <w:sz w:val="21"/>
                <w:szCs w:val="21"/>
              </w:rPr>
              <w:t>股</w:t>
              <w:tab/>
              <w:t>东</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出资额</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出资比例</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出资形式</w:t>
            </w:r>
          </w:p>
        </w:tc>
      </w:tr>
      <w:tr>
        <w:trPr>
          <w:trHeight w:val="426" w:hRule="exact"/>
        </w:trPr>
        <w:tc>
          <w:tcPr>
            <w:tcW w:w="24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张学君</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Times New Roman" w:hAnsi="Times New Roman" w:cs="Times New Roman" w:eastAsia="Times New Roman" w:hint="default"/>
                <w:sz w:val="21"/>
                <w:szCs w:val="21"/>
              </w:rPr>
            </w:pPr>
            <w:r>
              <w:rPr>
                <w:rFonts w:ascii="Times New Roman"/>
                <w:spacing w:val="-1"/>
                <w:sz w:val="21"/>
              </w:rPr>
              <w:t>2,500,000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50%</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6" w:hRule="exact"/>
        </w:trPr>
        <w:tc>
          <w:tcPr>
            <w:tcW w:w="2449"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何</w:t>
              <w:tab/>
              <w:t>晔</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Times New Roman" w:hAnsi="Times New Roman" w:cs="Times New Roman" w:eastAsia="Times New Roman" w:hint="default"/>
                <w:sz w:val="21"/>
                <w:szCs w:val="21"/>
              </w:rPr>
            </w:pPr>
            <w:r>
              <w:rPr>
                <w:rFonts w:ascii="Times New Roman"/>
                <w:spacing w:val="-1"/>
                <w:sz w:val="21"/>
              </w:rPr>
              <w:t>1,500,000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30%</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7" w:hRule="exact"/>
        </w:trPr>
        <w:tc>
          <w:tcPr>
            <w:tcW w:w="2449"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李</w:t>
              <w:tab/>
              <w:t>军</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Times New Roman" w:hAnsi="Times New Roman" w:cs="Times New Roman" w:eastAsia="Times New Roman" w:hint="default"/>
                <w:sz w:val="21"/>
                <w:szCs w:val="21"/>
              </w:rPr>
            </w:pPr>
            <w:r>
              <w:rPr>
                <w:rFonts w:ascii="Times New Roman"/>
                <w:spacing w:val="-1"/>
                <w:sz w:val="21"/>
              </w:rPr>
              <w:t>500,000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10%</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6" w:hRule="exact"/>
        </w:trPr>
        <w:tc>
          <w:tcPr>
            <w:tcW w:w="24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陈向军</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Times New Roman" w:hAnsi="Times New Roman" w:cs="Times New Roman" w:eastAsia="Times New Roman" w:hint="default"/>
                <w:sz w:val="21"/>
                <w:szCs w:val="21"/>
              </w:rPr>
            </w:pPr>
            <w:r>
              <w:rPr>
                <w:rFonts w:ascii="Times New Roman"/>
                <w:spacing w:val="-1"/>
                <w:sz w:val="21"/>
              </w:rPr>
              <w:t>500,000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10%</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7" w:hRule="exact"/>
        </w:trPr>
        <w:tc>
          <w:tcPr>
            <w:tcW w:w="2449"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Times New Roman" w:hAnsi="Times New Roman" w:cs="Times New Roman" w:eastAsia="Times New Roman" w:hint="default"/>
                <w:sz w:val="21"/>
                <w:szCs w:val="21"/>
              </w:rPr>
            </w:pPr>
            <w:r>
              <w:rPr>
                <w:rFonts w:ascii="Times New Roman"/>
                <w:spacing w:val="-1"/>
                <w:sz w:val="21"/>
              </w:rPr>
              <w:t>5,000,000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100%</w:t>
            </w:r>
          </w:p>
        </w:tc>
        <w:tc>
          <w:tcPr>
            <w:tcW w:w="1853" w:type="dxa"/>
            <w:tcBorders>
              <w:top w:val="single" w:sz="4" w:space="0" w:color="000000"/>
              <w:left w:val="single" w:sz="4" w:space="0" w:color="000000"/>
              <w:bottom w:val="single" w:sz="4" w:space="0" w:color="000000"/>
              <w:right w:val="nil" w:sz="6" w:space="0" w:color="auto"/>
            </w:tcBorders>
          </w:tcPr>
          <w:p>
            <w:pPr/>
          </w:p>
        </w:tc>
      </w:tr>
    </w:tbl>
    <w:p>
      <w:pPr>
        <w:spacing w:before="86"/>
        <w:ind w:left="564" w:right="273" w:firstLine="0"/>
        <w:jc w:val="left"/>
        <w:rPr>
          <w:rFonts w:ascii="宋体" w:hAnsi="宋体" w:cs="宋体" w:eastAsia="宋体" w:hint="default"/>
          <w:sz w:val="21"/>
          <w:szCs w:val="21"/>
        </w:rPr>
      </w:pPr>
      <w:r>
        <w:rPr>
          <w:rFonts w:ascii="宋体" w:hAnsi="宋体" w:cs="宋体" w:eastAsia="宋体" w:hint="default"/>
          <w:sz w:val="21"/>
          <w:szCs w:val="21"/>
        </w:rPr>
        <w:t>该增资业经深圳中法会计师事务所深中法验字</w:t>
      </w:r>
      <w:r>
        <w:rPr>
          <w:rFonts w:ascii="Times New Roman" w:hAnsi="Times New Roman" w:cs="Times New Roman" w:eastAsia="Times New Roman" w:hint="default"/>
          <w:sz w:val="21"/>
          <w:szCs w:val="21"/>
        </w:rPr>
        <w:t>[2004]</w:t>
      </w:r>
      <w:r>
        <w:rPr>
          <w:rFonts w:ascii="宋体" w:hAnsi="宋体" w:cs="宋体" w:eastAsia="宋体" w:hint="default"/>
          <w:sz w:val="21"/>
          <w:szCs w:val="21"/>
        </w:rPr>
        <w:t>第</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1509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号验资报告验证。</w:t>
      </w:r>
    </w:p>
    <w:p>
      <w:pPr>
        <w:spacing w:line="240" w:lineRule="auto" w:before="2"/>
        <w:rPr>
          <w:rFonts w:ascii="宋体" w:hAnsi="宋体" w:cs="宋体" w:eastAsia="宋体" w:hint="default"/>
          <w:sz w:val="18"/>
          <w:szCs w:val="18"/>
        </w:rPr>
      </w:pPr>
    </w:p>
    <w:p>
      <w:pPr>
        <w:spacing w:line="336" w:lineRule="auto" w:before="0"/>
        <w:ind w:left="143" w:right="14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日经股东会决议全体股东一致同意股东张学君将其所占公司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的股权 以人民币贰拾伍万元（</w:t>
      </w:r>
      <w:r>
        <w:rPr>
          <w:rFonts w:ascii="Times New Roman" w:hAnsi="Times New Roman" w:cs="Times New Roman" w:eastAsia="Times New Roman" w:hint="default"/>
          <w:sz w:val="21"/>
          <w:szCs w:val="21"/>
        </w:rPr>
        <w:t>250,000.00</w:t>
      </w:r>
      <w:r>
        <w:rPr>
          <w:rFonts w:ascii="宋体" w:hAnsi="宋体" w:cs="宋体" w:eastAsia="宋体" w:hint="default"/>
          <w:sz w:val="21"/>
          <w:szCs w:val="21"/>
        </w:rPr>
        <w:t>）转让给李军；同意股东张学君将其所占公司</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的股权以人 民币贰拾伍万元（</w:t>
      </w:r>
      <w:r>
        <w:rPr>
          <w:rFonts w:ascii="Times New Roman" w:hAnsi="Times New Roman" w:cs="Times New Roman" w:eastAsia="Times New Roman" w:hint="default"/>
          <w:sz w:val="21"/>
          <w:szCs w:val="21"/>
        </w:rPr>
        <w:t>250,000.00</w:t>
      </w:r>
      <w:r>
        <w:rPr>
          <w:rFonts w:ascii="宋体" w:hAnsi="宋体" w:cs="宋体" w:eastAsia="宋体" w:hint="default"/>
          <w:sz w:val="21"/>
          <w:szCs w:val="21"/>
        </w:rPr>
        <w:t>）转让给陈向军；同意股东张学君将其所占公司</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的股权以人民 币贰拾伍万元（</w:t>
      </w:r>
      <w:r>
        <w:rPr>
          <w:rFonts w:ascii="Times New Roman" w:hAnsi="Times New Roman" w:cs="Times New Roman" w:eastAsia="Times New Roman" w:hint="default"/>
          <w:sz w:val="21"/>
          <w:szCs w:val="21"/>
        </w:rPr>
        <w:t>250,000.00</w:t>
      </w:r>
      <w:r>
        <w:rPr>
          <w:rFonts w:ascii="宋体" w:hAnsi="宋体" w:cs="宋体" w:eastAsia="宋体" w:hint="default"/>
          <w:sz w:val="21"/>
          <w:szCs w:val="21"/>
        </w:rPr>
        <w:t>）转让给汪旻。股权转让后股东出资如下：</w:t>
      </w:r>
    </w:p>
    <w:p>
      <w:pPr>
        <w:spacing w:line="240" w:lineRule="auto" w:before="9"/>
        <w:rPr>
          <w:rFonts w:ascii="宋体" w:hAnsi="宋体" w:cs="宋体" w:eastAsia="宋体" w:hint="default"/>
          <w:sz w:val="13"/>
          <w:szCs w:val="13"/>
        </w:rPr>
      </w:pPr>
    </w:p>
    <w:tbl>
      <w:tblPr>
        <w:tblW w:w="0" w:type="auto"/>
        <w:jc w:val="left"/>
        <w:tblInd w:w="550" w:type="dxa"/>
        <w:tblLayout w:type="fixed"/>
        <w:tblCellMar>
          <w:top w:w="0" w:type="dxa"/>
          <w:left w:w="0" w:type="dxa"/>
          <w:bottom w:w="0" w:type="dxa"/>
          <w:right w:w="0" w:type="dxa"/>
        </w:tblCellMar>
        <w:tblLook w:val="01E0"/>
      </w:tblPr>
      <w:tblGrid>
        <w:gridCol w:w="2449"/>
        <w:gridCol w:w="1973"/>
        <w:gridCol w:w="1954"/>
        <w:gridCol w:w="1853"/>
      </w:tblGrid>
      <w:tr>
        <w:trPr>
          <w:trHeight w:val="426" w:hRule="exact"/>
        </w:trPr>
        <w:tc>
          <w:tcPr>
            <w:tcW w:w="2449" w:type="dxa"/>
            <w:tcBorders>
              <w:top w:val="single" w:sz="4" w:space="0" w:color="000000"/>
              <w:left w:val="nil" w:sz="6" w:space="0" w:color="auto"/>
              <w:bottom w:val="single" w:sz="4" w:space="0" w:color="000000"/>
              <w:right w:val="single" w:sz="4" w:space="0" w:color="000000"/>
            </w:tcBorders>
          </w:tcPr>
          <w:p>
            <w:pPr>
              <w:pStyle w:val="TableParagraph"/>
              <w:tabs>
                <w:tab w:pos="439" w:val="left" w:leader="none"/>
              </w:tabs>
              <w:spacing w:line="240" w:lineRule="auto" w:before="36"/>
              <w:ind w:left="17" w:right="0"/>
              <w:jc w:val="center"/>
              <w:rPr>
                <w:rFonts w:ascii="宋体" w:hAnsi="宋体" w:cs="宋体" w:eastAsia="宋体" w:hint="default"/>
                <w:sz w:val="21"/>
                <w:szCs w:val="21"/>
              </w:rPr>
            </w:pPr>
            <w:r>
              <w:rPr>
                <w:rFonts w:ascii="宋体" w:hAnsi="宋体" w:cs="宋体" w:eastAsia="宋体" w:hint="default"/>
                <w:sz w:val="21"/>
                <w:szCs w:val="21"/>
              </w:rPr>
              <w:t>股</w:t>
              <w:tab/>
              <w:t>东</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出资额</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出资比例</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出资形式</w:t>
            </w:r>
          </w:p>
        </w:tc>
      </w:tr>
      <w:tr>
        <w:trPr>
          <w:trHeight w:val="426" w:hRule="exact"/>
        </w:trPr>
        <w:tc>
          <w:tcPr>
            <w:tcW w:w="24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张学君</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Times New Roman" w:hAnsi="Times New Roman" w:cs="Times New Roman" w:eastAsia="Times New Roman" w:hint="default"/>
                <w:sz w:val="21"/>
                <w:szCs w:val="21"/>
              </w:rPr>
            </w:pPr>
            <w:r>
              <w:rPr>
                <w:rFonts w:ascii="Times New Roman"/>
                <w:spacing w:val="-1"/>
                <w:sz w:val="21"/>
              </w:rPr>
              <w:t>1,750,000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35%</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7" w:hRule="exact"/>
        </w:trPr>
        <w:tc>
          <w:tcPr>
            <w:tcW w:w="2449"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何</w:t>
              <w:tab/>
              <w:t>晔</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Times New Roman" w:hAnsi="Times New Roman" w:cs="Times New Roman" w:eastAsia="Times New Roman" w:hint="default"/>
                <w:sz w:val="21"/>
                <w:szCs w:val="21"/>
              </w:rPr>
            </w:pPr>
            <w:r>
              <w:rPr>
                <w:rFonts w:ascii="Times New Roman"/>
                <w:spacing w:val="-1"/>
                <w:sz w:val="21"/>
              </w:rPr>
              <w:t>1,500,000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30%</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6" w:hRule="exact"/>
        </w:trPr>
        <w:tc>
          <w:tcPr>
            <w:tcW w:w="2449"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李</w:t>
              <w:tab/>
              <w:t>军</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Times New Roman" w:hAnsi="Times New Roman" w:cs="Times New Roman" w:eastAsia="Times New Roman" w:hint="default"/>
                <w:sz w:val="21"/>
                <w:szCs w:val="21"/>
              </w:rPr>
            </w:pPr>
            <w:r>
              <w:rPr>
                <w:rFonts w:ascii="Times New Roman"/>
                <w:spacing w:val="-1"/>
                <w:sz w:val="21"/>
              </w:rPr>
              <w:t>750,000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15%</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6" w:hRule="exact"/>
        </w:trPr>
        <w:tc>
          <w:tcPr>
            <w:tcW w:w="24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陈向军</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Times New Roman" w:hAnsi="Times New Roman" w:cs="Times New Roman" w:eastAsia="Times New Roman" w:hint="default"/>
                <w:sz w:val="21"/>
                <w:szCs w:val="21"/>
              </w:rPr>
            </w:pPr>
            <w:r>
              <w:rPr>
                <w:rFonts w:ascii="Times New Roman"/>
                <w:spacing w:val="-1"/>
                <w:sz w:val="21"/>
              </w:rPr>
              <w:t>750,000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15%</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6" w:hRule="exact"/>
        </w:trPr>
        <w:tc>
          <w:tcPr>
            <w:tcW w:w="2449"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汪</w:t>
              <w:tab/>
              <w:t>旻</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Times New Roman" w:hAnsi="Times New Roman" w:cs="Times New Roman" w:eastAsia="Times New Roman" w:hint="default"/>
                <w:sz w:val="21"/>
                <w:szCs w:val="21"/>
              </w:rPr>
            </w:pPr>
            <w:r>
              <w:rPr>
                <w:rFonts w:ascii="Times New Roman"/>
                <w:spacing w:val="-1"/>
                <w:sz w:val="21"/>
              </w:rPr>
              <w:t>250,000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5%</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7" w:hRule="exact"/>
        </w:trPr>
        <w:tc>
          <w:tcPr>
            <w:tcW w:w="2449"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Times New Roman" w:hAnsi="Times New Roman" w:cs="Times New Roman" w:eastAsia="Times New Roman" w:hint="default"/>
                <w:sz w:val="21"/>
                <w:szCs w:val="21"/>
              </w:rPr>
            </w:pPr>
            <w:r>
              <w:rPr>
                <w:rFonts w:ascii="Times New Roman"/>
                <w:spacing w:val="-1"/>
                <w:sz w:val="21"/>
              </w:rPr>
              <w:t>5,000,000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100%</w:t>
            </w:r>
          </w:p>
        </w:tc>
        <w:tc>
          <w:tcPr>
            <w:tcW w:w="1853" w:type="dxa"/>
            <w:tcBorders>
              <w:top w:val="single" w:sz="4" w:space="0" w:color="000000"/>
              <w:left w:val="single" w:sz="4" w:space="0" w:color="000000"/>
              <w:bottom w:val="single" w:sz="4" w:space="0" w:color="000000"/>
              <w:right w:val="nil" w:sz="6" w:space="0" w:color="auto"/>
            </w:tcBorders>
          </w:tcPr>
          <w:p>
            <w:pPr/>
          </w:p>
        </w:tc>
      </w:tr>
    </w:tbl>
    <w:p>
      <w:pPr>
        <w:spacing w:before="86"/>
        <w:ind w:left="564" w:right="0" w:firstLine="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4</w:t>
      </w:r>
      <w:r>
        <w:rPr>
          <w:rFonts w:ascii="宋体" w:hAnsi="宋体" w:cs="宋体" w:eastAsia="宋体" w:hint="default"/>
          <w:spacing w:val="-12"/>
          <w:sz w:val="21"/>
          <w:szCs w:val="21"/>
        </w:rPr>
        <w:t>、根据</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日股东会决议和修改后章程的规定，本公司申请增加注册资本人民</w:t>
      </w:r>
    </w:p>
    <w:p>
      <w:pPr>
        <w:spacing w:line="338" w:lineRule="auto" w:before="117"/>
        <w:ind w:left="143" w:right="196" w:firstLine="0"/>
        <w:jc w:val="left"/>
        <w:rPr>
          <w:rFonts w:ascii="宋体" w:hAnsi="宋体" w:cs="宋体" w:eastAsia="宋体" w:hint="default"/>
          <w:sz w:val="21"/>
          <w:szCs w:val="21"/>
        </w:rPr>
      </w:pPr>
      <w:r>
        <w:rPr>
          <w:rFonts w:ascii="宋体" w:hAnsi="宋体" w:cs="宋体" w:eastAsia="宋体" w:hint="default"/>
          <w:sz w:val="21"/>
          <w:szCs w:val="21"/>
        </w:rPr>
        <w:t>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643,340.00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元，变更后的注册资本为人民币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5,643,340.00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元。新增注册资本由新股东唐劲星 等四十名自然人认缴，公司股权结构变更为：</w:t>
      </w:r>
    </w:p>
    <w:p>
      <w:pPr>
        <w:spacing w:line="240" w:lineRule="auto" w:before="5"/>
        <w:rPr>
          <w:rFonts w:ascii="宋体" w:hAnsi="宋体" w:cs="宋体" w:eastAsia="宋体" w:hint="default"/>
          <w:sz w:val="15"/>
          <w:szCs w:val="15"/>
        </w:rPr>
      </w:pPr>
    </w:p>
    <w:tbl>
      <w:tblPr>
        <w:tblW w:w="0" w:type="auto"/>
        <w:jc w:val="left"/>
        <w:tblInd w:w="550" w:type="dxa"/>
        <w:tblLayout w:type="fixed"/>
        <w:tblCellMar>
          <w:top w:w="0" w:type="dxa"/>
          <w:left w:w="0" w:type="dxa"/>
          <w:bottom w:w="0" w:type="dxa"/>
          <w:right w:w="0" w:type="dxa"/>
        </w:tblCellMar>
        <w:tblLook w:val="01E0"/>
      </w:tblPr>
      <w:tblGrid>
        <w:gridCol w:w="2448"/>
        <w:gridCol w:w="1969"/>
        <w:gridCol w:w="1961"/>
        <w:gridCol w:w="1850"/>
      </w:tblGrid>
      <w:tr>
        <w:trPr>
          <w:trHeight w:val="427" w:hRule="exact"/>
        </w:trPr>
        <w:tc>
          <w:tcPr>
            <w:tcW w:w="2448" w:type="dxa"/>
            <w:tcBorders>
              <w:top w:val="single" w:sz="4"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36"/>
              <w:ind w:left="19" w:right="0"/>
              <w:jc w:val="center"/>
              <w:rPr>
                <w:rFonts w:ascii="宋体" w:hAnsi="宋体" w:cs="宋体" w:eastAsia="宋体" w:hint="default"/>
                <w:sz w:val="21"/>
                <w:szCs w:val="21"/>
              </w:rPr>
            </w:pPr>
            <w:r>
              <w:rPr>
                <w:rFonts w:ascii="宋体" w:hAnsi="宋体" w:cs="宋体" w:eastAsia="宋体" w:hint="default"/>
                <w:sz w:val="21"/>
                <w:szCs w:val="21"/>
              </w:rPr>
              <w:t>股</w:t>
              <w:tab/>
              <w:t>东</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出资额</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出资比例</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出资形式</w:t>
            </w:r>
          </w:p>
        </w:tc>
      </w:tr>
      <w:tr>
        <w:trPr>
          <w:trHeight w:val="426" w:hRule="exact"/>
        </w:trPr>
        <w:tc>
          <w:tcPr>
            <w:tcW w:w="2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张学君</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21"/>
                <w:szCs w:val="21"/>
              </w:rPr>
            </w:pPr>
            <w:r>
              <w:rPr>
                <w:rFonts w:ascii="Times New Roman"/>
                <w:spacing w:val="-1"/>
                <w:sz w:val="21"/>
              </w:rPr>
              <w:t>1,750,000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Times New Roman"/>
                <w:sz w:val="21"/>
              </w:rPr>
              <w:t>31.01%</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6" w:hRule="exact"/>
        </w:trPr>
        <w:tc>
          <w:tcPr>
            <w:tcW w:w="2448"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何</w:t>
              <w:tab/>
              <w:t>晔</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21"/>
                <w:szCs w:val="21"/>
              </w:rPr>
            </w:pPr>
            <w:r>
              <w:rPr>
                <w:rFonts w:ascii="Times New Roman"/>
                <w:spacing w:val="-1"/>
                <w:sz w:val="21"/>
              </w:rPr>
              <w:t>1,500,000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Times New Roman"/>
                <w:sz w:val="21"/>
              </w:rPr>
              <w:t>26.58%</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6" w:hRule="exact"/>
        </w:trPr>
        <w:tc>
          <w:tcPr>
            <w:tcW w:w="2448"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李</w:t>
              <w:tab/>
              <w:t>军</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21"/>
                <w:szCs w:val="21"/>
              </w:rPr>
            </w:pPr>
            <w:r>
              <w:rPr>
                <w:rFonts w:ascii="Times New Roman"/>
                <w:spacing w:val="-1"/>
                <w:sz w:val="21"/>
              </w:rPr>
              <w:t>750,000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Times New Roman"/>
                <w:sz w:val="21"/>
              </w:rPr>
              <w:t>13.29%</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7" w:hRule="exact"/>
        </w:trPr>
        <w:tc>
          <w:tcPr>
            <w:tcW w:w="2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陈向军</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21"/>
                <w:szCs w:val="21"/>
              </w:rPr>
            </w:pPr>
            <w:r>
              <w:rPr>
                <w:rFonts w:ascii="Times New Roman"/>
                <w:spacing w:val="-1"/>
                <w:sz w:val="21"/>
              </w:rPr>
              <w:t>750,000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Times New Roman"/>
                <w:sz w:val="21"/>
              </w:rPr>
              <w:t>13.29%</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6" w:hRule="exact"/>
        </w:trPr>
        <w:tc>
          <w:tcPr>
            <w:tcW w:w="2448"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汪</w:t>
              <w:tab/>
              <w:t>旻</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21"/>
                <w:szCs w:val="21"/>
              </w:rPr>
            </w:pPr>
            <w:r>
              <w:rPr>
                <w:rFonts w:ascii="Times New Roman"/>
                <w:spacing w:val="-1"/>
                <w:sz w:val="21"/>
              </w:rPr>
              <w:t>250,000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4.43%</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6" w:hRule="exact"/>
        </w:trPr>
        <w:tc>
          <w:tcPr>
            <w:tcW w:w="2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唐劲星等四十名自然人</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21"/>
                <w:szCs w:val="21"/>
              </w:rPr>
            </w:pPr>
            <w:r>
              <w:rPr>
                <w:rFonts w:ascii="Times New Roman"/>
                <w:spacing w:val="-1"/>
                <w:sz w:val="21"/>
              </w:rPr>
              <w:t>643,340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11.40%</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7" w:hRule="exact"/>
        </w:trPr>
        <w:tc>
          <w:tcPr>
            <w:tcW w:w="2448"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21"/>
                <w:szCs w:val="21"/>
              </w:rPr>
            </w:pPr>
            <w:r>
              <w:rPr>
                <w:rFonts w:ascii="Times New Roman"/>
                <w:spacing w:val="-1"/>
                <w:sz w:val="21"/>
              </w:rPr>
              <w:t>5,643,340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100%</w:t>
            </w:r>
          </w:p>
        </w:tc>
        <w:tc>
          <w:tcPr>
            <w:tcW w:w="1850" w:type="dxa"/>
            <w:tcBorders>
              <w:top w:val="single" w:sz="4" w:space="0" w:color="000000"/>
              <w:left w:val="single" w:sz="4" w:space="0" w:color="000000"/>
              <w:bottom w:val="single" w:sz="4" w:space="0" w:color="000000"/>
              <w:right w:val="nil" w:sz="6" w:space="0" w:color="auto"/>
            </w:tcBorders>
          </w:tcPr>
          <w:p>
            <w:pPr/>
          </w:p>
        </w:tc>
      </w:tr>
    </w:tbl>
    <w:p>
      <w:pPr>
        <w:spacing w:before="86"/>
        <w:ind w:left="564" w:right="131" w:firstLine="0"/>
        <w:jc w:val="left"/>
        <w:rPr>
          <w:rFonts w:ascii="宋体" w:hAnsi="宋体" w:cs="宋体" w:eastAsia="宋体" w:hint="default"/>
          <w:sz w:val="21"/>
          <w:szCs w:val="21"/>
        </w:rPr>
      </w:pPr>
      <w:r>
        <w:rPr>
          <w:rFonts w:ascii="宋体" w:hAnsi="宋体" w:cs="宋体" w:eastAsia="宋体" w:hint="default"/>
          <w:sz w:val="21"/>
          <w:szCs w:val="21"/>
        </w:rPr>
        <w:t>该增资业经深圳市鹏城会计师事务所有限公司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日深鹏所验字</w:t>
      </w:r>
      <w:r>
        <w:rPr>
          <w:rFonts w:ascii="Times New Roman" w:hAnsi="Times New Roman" w:cs="Times New Roman" w:eastAsia="Times New Roman" w:hint="default"/>
          <w:sz w:val="21"/>
          <w:szCs w:val="21"/>
        </w:rPr>
        <w:t>[2007]131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p>
      <w:pPr>
        <w:spacing w:after="0"/>
        <w:jc w:val="left"/>
        <w:rPr>
          <w:rFonts w:ascii="宋体" w:hAnsi="宋体" w:cs="宋体" w:eastAsia="宋体" w:hint="default"/>
          <w:sz w:val="21"/>
          <w:szCs w:val="21"/>
        </w:rPr>
        <w:sectPr>
          <w:pgSz w:w="11910" w:h="16840"/>
          <w:pgMar w:header="877" w:footer="982" w:top="1100" w:bottom="1180" w:left="1500" w:right="1500"/>
        </w:sectPr>
      </w:pPr>
    </w:p>
    <w:p>
      <w:pPr>
        <w:spacing w:line="240" w:lineRule="auto" w:before="2"/>
        <w:rPr>
          <w:rFonts w:ascii="宋体" w:hAnsi="宋体" w:cs="宋体" w:eastAsia="宋体" w:hint="default"/>
          <w:sz w:val="19"/>
          <w:szCs w:val="19"/>
        </w:rPr>
      </w:pPr>
    </w:p>
    <w:p>
      <w:pPr>
        <w:spacing w:before="35"/>
        <w:ind w:left="144" w:right="273" w:firstLine="0"/>
        <w:jc w:val="left"/>
        <w:rPr>
          <w:rFonts w:ascii="宋体" w:hAnsi="宋体" w:cs="宋体" w:eastAsia="宋体" w:hint="default"/>
          <w:sz w:val="21"/>
          <w:szCs w:val="21"/>
        </w:rPr>
      </w:pPr>
      <w:r>
        <w:rPr>
          <w:rFonts w:ascii="宋体" w:hAnsi="宋体" w:cs="宋体" w:eastAsia="宋体" w:hint="default"/>
          <w:sz w:val="21"/>
          <w:szCs w:val="21"/>
        </w:rPr>
        <w:t>验资报告验证。</w:t>
      </w:r>
    </w:p>
    <w:p>
      <w:pPr>
        <w:spacing w:line="240" w:lineRule="auto" w:before="5"/>
        <w:rPr>
          <w:rFonts w:ascii="宋体" w:hAnsi="宋体" w:cs="宋体" w:eastAsia="宋体" w:hint="default"/>
          <w:sz w:val="19"/>
          <w:szCs w:val="19"/>
        </w:rPr>
      </w:pPr>
    </w:p>
    <w:p>
      <w:pPr>
        <w:spacing w:line="338" w:lineRule="auto" w:before="0"/>
        <w:ind w:left="143" w:right="15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日营业执照注册号由</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4403012009512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变更为</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440301102955880</w:t>
      </w:r>
      <w:r>
        <w:rPr>
          <w:rFonts w:ascii="宋体" w:hAnsi="宋体" w:cs="宋体" w:eastAsia="宋体" w:hint="default"/>
          <w:sz w:val="21"/>
          <w:szCs w:val="21"/>
        </w:rPr>
        <w:t>，公司法定 代表人由李军变更为陈向军。</w:t>
      </w:r>
    </w:p>
    <w:p>
      <w:pPr>
        <w:spacing w:line="350" w:lineRule="auto" w:before="167"/>
        <w:ind w:left="143" w:right="140" w:firstLine="420"/>
        <w:jc w:val="both"/>
        <w:rPr>
          <w:rFonts w:ascii="宋体" w:hAnsi="宋体" w:cs="宋体" w:eastAsia="宋体" w:hint="default"/>
          <w:sz w:val="21"/>
          <w:szCs w:val="21"/>
        </w:rPr>
      </w:pPr>
      <w:r>
        <w:rPr>
          <w:rFonts w:ascii="Times New Roman" w:hAnsi="Times New Roman" w:cs="Times New Roman" w:eastAsia="Times New Roman" w:hint="default"/>
          <w:spacing w:val="-12"/>
          <w:sz w:val="21"/>
          <w:szCs w:val="21"/>
        </w:rPr>
        <w:t>5</w:t>
      </w:r>
      <w:r>
        <w:rPr>
          <w:rFonts w:ascii="宋体" w:hAnsi="宋体" w:cs="宋体" w:eastAsia="宋体" w:hint="default"/>
          <w:spacing w:val="-12"/>
          <w:sz w:val="21"/>
          <w:szCs w:val="21"/>
        </w:rPr>
        <w:t>、根据</w:t>
      </w:r>
      <w:r>
        <w:rPr>
          <w:rFonts w:ascii="宋体" w:hAnsi="宋体" w:cs="宋体" w:eastAsia="宋体" w:hint="default"/>
          <w:spacing w:val="-51"/>
          <w:sz w:val="21"/>
          <w:szCs w:val="21"/>
        </w:rPr>
        <w:t> </w:t>
      </w:r>
      <w:r>
        <w:rPr>
          <w:rFonts w:ascii="Times New Roman" w:hAnsi="Times New Roman" w:cs="Times New Roman" w:eastAsia="Times New Roman" w:hint="default"/>
          <w:spacing w:val="-1"/>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pacing w:val="-1"/>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1"/>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pacing w:val="-6"/>
          <w:sz w:val="21"/>
          <w:szCs w:val="21"/>
        </w:rPr>
        <w:t>日股份公司第一次股东大会决议、《深圳市银之杰科技股份有限公</w:t>
      </w:r>
      <w:r>
        <w:rPr>
          <w:rFonts w:ascii="宋体" w:hAnsi="宋体" w:cs="宋体" w:eastAsia="宋体" w:hint="default"/>
          <w:sz w:val="21"/>
          <w:szCs w:val="21"/>
        </w:rPr>
        <w:t> 司发起人协议书》和《深圳市银之杰科技股份有限公司章程》的规定，本公司以发起设立方式 将深圳市银之杰科技有限公司整体变更为股份公司，变更后公司名称为深圳市银之杰科技股份 有限公司，变更后的的注册资本为人民币</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45,000,000.00</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元，根据深圳市鹏城会计师事务所有限</w:t>
      </w:r>
    </w:p>
    <w:p>
      <w:pPr>
        <w:spacing w:before="10"/>
        <w:ind w:left="143" w:right="131" w:firstLine="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日出具的深鹏所审字</w:t>
      </w:r>
      <w:r>
        <w:rPr>
          <w:rFonts w:ascii="Times New Roman" w:hAnsi="Times New Roman" w:cs="Times New Roman" w:eastAsia="Times New Roman" w:hint="default"/>
          <w:sz w:val="21"/>
          <w:szCs w:val="21"/>
        </w:rPr>
        <w:t>[2007]1032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号审计报告，截至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日深</w:t>
      </w:r>
    </w:p>
    <w:p>
      <w:pPr>
        <w:spacing w:before="117"/>
        <w:ind w:left="143" w:right="273"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圳市银之杰科技有限公司经审计后的净资产为人民币</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45,024,560.25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元，将其中</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45,000,000.00</w:t>
      </w:r>
    </w:p>
    <w:p>
      <w:pPr>
        <w:spacing w:before="118"/>
        <w:ind w:left="143" w:right="273" w:firstLine="0"/>
        <w:jc w:val="left"/>
        <w:rPr>
          <w:rFonts w:ascii="宋体" w:hAnsi="宋体" w:cs="宋体" w:eastAsia="宋体" w:hint="default"/>
          <w:sz w:val="21"/>
          <w:szCs w:val="21"/>
        </w:rPr>
      </w:pPr>
      <w:r>
        <w:rPr>
          <w:rFonts w:ascii="宋体" w:hAnsi="宋体" w:cs="宋体" w:eastAsia="宋体" w:hint="default"/>
          <w:sz w:val="21"/>
          <w:szCs w:val="21"/>
        </w:rPr>
        <w:t>元按照</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的折股比例折合成股份公司的股份总额。变更后公司股权结构为：</w:t>
      </w:r>
    </w:p>
    <w:p>
      <w:pPr>
        <w:spacing w:line="240" w:lineRule="auto" w:before="10"/>
        <w:rPr>
          <w:rFonts w:ascii="宋体" w:hAnsi="宋体" w:cs="宋体" w:eastAsia="宋体" w:hint="default"/>
          <w:sz w:val="20"/>
          <w:szCs w:val="20"/>
        </w:rPr>
      </w:pPr>
    </w:p>
    <w:tbl>
      <w:tblPr>
        <w:tblW w:w="0" w:type="auto"/>
        <w:jc w:val="left"/>
        <w:tblInd w:w="550" w:type="dxa"/>
        <w:tblLayout w:type="fixed"/>
        <w:tblCellMar>
          <w:top w:w="0" w:type="dxa"/>
          <w:left w:w="0" w:type="dxa"/>
          <w:bottom w:w="0" w:type="dxa"/>
          <w:right w:w="0" w:type="dxa"/>
        </w:tblCellMar>
        <w:tblLook w:val="01E0"/>
      </w:tblPr>
      <w:tblGrid>
        <w:gridCol w:w="2438"/>
        <w:gridCol w:w="1978"/>
        <w:gridCol w:w="1957"/>
        <w:gridCol w:w="1855"/>
      </w:tblGrid>
      <w:tr>
        <w:trPr>
          <w:trHeight w:val="427"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36"/>
              <w:ind w:left="18" w:right="0"/>
              <w:jc w:val="center"/>
              <w:rPr>
                <w:rFonts w:ascii="宋体" w:hAnsi="宋体" w:cs="宋体" w:eastAsia="宋体" w:hint="default"/>
                <w:sz w:val="21"/>
                <w:szCs w:val="21"/>
              </w:rPr>
            </w:pPr>
            <w:r>
              <w:rPr>
                <w:rFonts w:ascii="宋体" w:hAnsi="宋体" w:cs="宋体" w:eastAsia="宋体" w:hint="default"/>
                <w:sz w:val="21"/>
                <w:szCs w:val="21"/>
              </w:rPr>
              <w:t>股</w:t>
              <w:tab/>
              <w:t>东</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出资额</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出资比例</w:t>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3"/>
              <w:jc w:val="center"/>
              <w:rPr>
                <w:rFonts w:ascii="宋体" w:hAnsi="宋体" w:cs="宋体" w:eastAsia="宋体" w:hint="default"/>
                <w:sz w:val="21"/>
                <w:szCs w:val="21"/>
              </w:rPr>
            </w:pPr>
            <w:r>
              <w:rPr>
                <w:rFonts w:ascii="宋体" w:hAnsi="宋体" w:cs="宋体" w:eastAsia="宋体" w:hint="default"/>
                <w:sz w:val="21"/>
                <w:szCs w:val="21"/>
              </w:rPr>
              <w:t>出资形式</w:t>
            </w:r>
          </w:p>
        </w:tc>
      </w:tr>
      <w:tr>
        <w:trPr>
          <w:trHeight w:val="426"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张学君</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21"/>
                <w:szCs w:val="21"/>
              </w:rPr>
            </w:pPr>
            <w:r>
              <w:rPr>
                <w:rFonts w:ascii="Times New Roman"/>
                <w:spacing w:val="-1"/>
                <w:sz w:val="21"/>
              </w:rPr>
              <w:t>13,954,500</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31.01%</w:t>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货币、净资产</w:t>
            </w:r>
          </w:p>
        </w:tc>
      </w:tr>
      <w:tr>
        <w:trPr>
          <w:trHeight w:val="426"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何</w:t>
              <w:tab/>
              <w:t>晔</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Times New Roman" w:hAnsi="Times New Roman" w:cs="Times New Roman" w:eastAsia="Times New Roman" w:hint="default"/>
                <w:sz w:val="21"/>
                <w:szCs w:val="21"/>
              </w:rPr>
            </w:pPr>
            <w:r>
              <w:rPr>
                <w:rFonts w:ascii="Times New Roman"/>
                <w:spacing w:val="-2"/>
                <w:sz w:val="21"/>
              </w:rPr>
              <w:t>11,961,000</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26.58%</w:t>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货币、净资产</w:t>
            </w:r>
          </w:p>
        </w:tc>
      </w:tr>
      <w:tr>
        <w:trPr>
          <w:trHeight w:val="426"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李</w:t>
              <w:tab/>
              <w:t>军</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21"/>
                <w:szCs w:val="21"/>
              </w:rPr>
            </w:pPr>
            <w:r>
              <w:rPr>
                <w:rFonts w:ascii="Times New Roman"/>
                <w:spacing w:val="-1"/>
                <w:sz w:val="21"/>
              </w:rPr>
              <w:t>5,980,500</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13.29%</w:t>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货币、净资产</w:t>
            </w:r>
          </w:p>
        </w:tc>
      </w:tr>
      <w:tr>
        <w:trPr>
          <w:trHeight w:val="427"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陈向军</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21"/>
                <w:szCs w:val="21"/>
              </w:rPr>
            </w:pPr>
            <w:r>
              <w:rPr>
                <w:rFonts w:ascii="Times New Roman"/>
                <w:spacing w:val="-1"/>
                <w:sz w:val="21"/>
              </w:rPr>
              <w:t>5,980,500</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13.29%</w:t>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货币、净资产</w:t>
            </w:r>
          </w:p>
        </w:tc>
      </w:tr>
      <w:tr>
        <w:trPr>
          <w:trHeight w:val="426"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汪</w:t>
              <w:tab/>
              <w:t>旻</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21"/>
                <w:szCs w:val="21"/>
              </w:rPr>
            </w:pPr>
            <w:r>
              <w:rPr>
                <w:rFonts w:ascii="Times New Roman"/>
                <w:spacing w:val="-1"/>
                <w:sz w:val="21"/>
              </w:rPr>
              <w:t>1,993,500</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4.43%</w:t>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货币、净资产</w:t>
            </w:r>
          </w:p>
        </w:tc>
      </w:tr>
      <w:tr>
        <w:trPr>
          <w:trHeight w:val="426"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唐劲星等四十名自然人</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1"/>
                <w:sz w:val="21"/>
              </w:rPr>
              <w:t>5,130,000</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11.40%</w:t>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货币、净资产</w:t>
            </w:r>
          </w:p>
        </w:tc>
      </w:tr>
      <w:tr>
        <w:trPr>
          <w:trHeight w:val="427"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Times New Roman" w:hAnsi="Times New Roman" w:cs="Times New Roman" w:eastAsia="Times New Roman" w:hint="default"/>
                <w:sz w:val="21"/>
                <w:szCs w:val="21"/>
              </w:rPr>
            </w:pPr>
            <w:r>
              <w:rPr>
                <w:rFonts w:ascii="Times New Roman"/>
                <w:spacing w:val="-1"/>
                <w:sz w:val="21"/>
              </w:rPr>
              <w:t>45,000,000</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100%</w:t>
            </w:r>
          </w:p>
        </w:tc>
        <w:tc>
          <w:tcPr>
            <w:tcW w:w="1855" w:type="dxa"/>
            <w:tcBorders>
              <w:top w:val="single" w:sz="4" w:space="0" w:color="000000"/>
              <w:left w:val="single" w:sz="4" w:space="0" w:color="000000"/>
              <w:bottom w:val="single" w:sz="4" w:space="0" w:color="000000"/>
              <w:right w:val="nil" w:sz="6" w:space="0" w:color="auto"/>
            </w:tcBorders>
          </w:tcPr>
          <w:p>
            <w:pPr/>
          </w:p>
        </w:tc>
      </w:tr>
    </w:tbl>
    <w:p>
      <w:pPr>
        <w:spacing w:before="86"/>
        <w:ind w:left="564" w:right="273" w:firstLine="0"/>
        <w:jc w:val="left"/>
        <w:rPr>
          <w:rFonts w:ascii="宋体" w:hAnsi="宋体" w:cs="宋体" w:eastAsia="宋体" w:hint="default"/>
          <w:sz w:val="21"/>
          <w:szCs w:val="21"/>
        </w:rPr>
      </w:pPr>
      <w:r>
        <w:rPr>
          <w:rFonts w:ascii="宋体" w:hAnsi="宋体" w:cs="宋体" w:eastAsia="宋体" w:hint="default"/>
          <w:sz w:val="21"/>
          <w:szCs w:val="21"/>
        </w:rPr>
        <w:t>该增资业经深圳市鹏城会计师事务所有限公司深鹏所验字</w:t>
      </w:r>
      <w:r>
        <w:rPr>
          <w:rFonts w:ascii="Times New Roman" w:hAnsi="Times New Roman" w:cs="Times New Roman" w:eastAsia="Times New Roman" w:hint="default"/>
          <w:sz w:val="21"/>
          <w:szCs w:val="21"/>
        </w:rPr>
        <w:t>[2007]191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号验资报告验证。</w:t>
      </w:r>
    </w:p>
    <w:p>
      <w:pPr>
        <w:spacing w:line="240" w:lineRule="auto" w:before="2"/>
        <w:rPr>
          <w:rFonts w:ascii="宋体" w:hAnsi="宋体" w:cs="宋体" w:eastAsia="宋体" w:hint="default"/>
          <w:sz w:val="18"/>
          <w:szCs w:val="18"/>
        </w:rPr>
      </w:pPr>
    </w:p>
    <w:p>
      <w:pPr>
        <w:spacing w:line="338" w:lineRule="auto" w:before="0"/>
        <w:ind w:left="144" w:right="14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、本公司于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日经深圳市工商行政管理局核准将原公司名称深圳市银之杰 科技有限公司变更为深圳市银之杰科技股份有限公司。</w:t>
      </w:r>
    </w:p>
    <w:p>
      <w:pPr>
        <w:spacing w:before="167"/>
        <w:ind w:left="564" w:right="0"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2009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日，本公司第一届董事会第七次会议审议通过了《关于公司申请发行股</w:t>
      </w:r>
    </w:p>
    <w:p>
      <w:pPr>
        <w:spacing w:line="338" w:lineRule="auto" w:before="118"/>
        <w:ind w:left="143" w:right="138" w:firstLine="0"/>
        <w:jc w:val="both"/>
        <w:rPr>
          <w:rFonts w:ascii="宋体" w:hAnsi="宋体" w:cs="宋体" w:eastAsia="宋体" w:hint="default"/>
          <w:sz w:val="21"/>
          <w:szCs w:val="21"/>
        </w:rPr>
      </w:pPr>
      <w:r>
        <w:rPr>
          <w:rFonts w:ascii="宋体" w:hAnsi="宋体" w:cs="宋体" w:eastAsia="宋体" w:hint="default"/>
          <w:spacing w:val="-10"/>
          <w:sz w:val="21"/>
          <w:szCs w:val="21"/>
        </w:rPr>
        <w:t>票并上市的议案》，该议案经</w:t>
      </w:r>
      <w:r>
        <w:rPr>
          <w:rFonts w:ascii="宋体" w:hAnsi="宋体" w:cs="宋体" w:eastAsia="宋体" w:hint="default"/>
          <w:spacing w:val="-52"/>
          <w:sz w:val="21"/>
          <w:szCs w:val="21"/>
        </w:rPr>
        <w:t> </w:t>
      </w:r>
      <w:r>
        <w:rPr>
          <w:rFonts w:ascii="Times New Roman" w:hAnsi="Times New Roman" w:cs="Times New Roman" w:eastAsia="Times New Roman" w:hint="default"/>
          <w:spacing w:val="-1"/>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pacing w:val="-1"/>
          <w:sz w:val="21"/>
          <w:szCs w:val="21"/>
        </w:rPr>
        <w:t>年第二次临时股东大会审议通过。</w:t>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日，经中国</w:t>
      </w:r>
      <w:r>
        <w:rPr>
          <w:rFonts w:ascii="宋体" w:hAnsi="宋体" w:cs="宋体" w:eastAsia="宋体" w:hint="default"/>
          <w:sz w:val="21"/>
          <w:szCs w:val="21"/>
        </w:rPr>
        <w:t> </w:t>
      </w:r>
      <w:r>
        <w:rPr>
          <w:rFonts w:ascii="宋体" w:hAnsi="宋体" w:cs="宋体" w:eastAsia="宋体" w:hint="default"/>
          <w:spacing w:val="-1"/>
          <w:sz w:val="21"/>
          <w:szCs w:val="21"/>
        </w:rPr>
        <w:t>证券监督管理委员会</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证监许可</w:t>
      </w:r>
      <w:r>
        <w:rPr>
          <w:rFonts w:ascii="Times New Roman" w:hAnsi="Times New Roman" w:cs="Times New Roman" w:eastAsia="Times New Roman" w:hint="default"/>
          <w:spacing w:val="-1"/>
          <w:sz w:val="21"/>
          <w:szCs w:val="21"/>
        </w:rPr>
        <w:t>[2010]548</w:t>
      </w:r>
      <w:r>
        <w:rPr>
          <w:rFonts w:ascii="Times New Roman" w:hAnsi="Times New Roman" w:cs="Times New Roman" w:eastAsia="Times New Roman" w:hint="default"/>
          <w:spacing w:val="26"/>
          <w:sz w:val="21"/>
          <w:szCs w:val="21"/>
        </w:rPr>
        <w:t> </w:t>
      </w:r>
      <w:r>
        <w:rPr>
          <w:rFonts w:ascii="宋体" w:hAnsi="宋体" w:cs="宋体" w:eastAsia="宋体" w:hint="default"/>
          <w:spacing w:val="-9"/>
          <w:sz w:val="21"/>
          <w:szCs w:val="21"/>
        </w:rPr>
        <w:t>号</w:t>
      </w: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文核准，核准公司向社会公开发行人民币普通股（</w:t>
      </w:r>
      <w:r>
        <w:rPr>
          <w:rFonts w:ascii="Times New Roman" w:hAnsi="Times New Roman" w:cs="Times New Roman" w:eastAsia="Times New Roman" w:hint="default"/>
          <w:spacing w:val="-9"/>
          <w:sz w:val="21"/>
          <w:szCs w:val="21"/>
        </w:rPr>
        <w:t>A</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股）</w:t>
      </w:r>
      <w:r>
        <w:rPr>
          <w:rFonts w:ascii="Times New Roman" w:hAnsi="Times New Roman" w:cs="Times New Roman" w:eastAsia="Times New Roman" w:hint="default"/>
          <w:sz w:val="21"/>
          <w:szCs w:val="21"/>
        </w:rPr>
        <w:t>1500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万股，每股面值</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元，发行价格为</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28.00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股，发行后公司股本为</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6,000</w:t>
      </w:r>
      <w:r>
        <w:rPr>
          <w:rFonts w:ascii="Times New Roman" w:hAnsi="Times New Roman" w:cs="Times New Roman" w:eastAsia="Times New Roman" w:hint="default"/>
          <w:spacing w:val="-9"/>
          <w:sz w:val="21"/>
          <w:szCs w:val="21"/>
        </w:rPr>
        <w:t> </w:t>
      </w:r>
      <w:r>
        <w:rPr>
          <w:rFonts w:ascii="宋体" w:hAnsi="宋体" w:cs="宋体" w:eastAsia="宋体" w:hint="default"/>
          <w:spacing w:val="-3"/>
          <w:sz w:val="21"/>
          <w:szCs w:val="21"/>
        </w:rPr>
        <w:t>万股，并</w:t>
      </w:r>
    </w:p>
    <w:p>
      <w:pPr>
        <w:spacing w:line="336" w:lineRule="auto" w:before="22"/>
        <w:ind w:left="143" w:right="218" w:firstLine="0"/>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日经深圳市鹏城会计师事务有限公司出具了深鹏所验字</w:t>
      </w:r>
      <w:r>
        <w:rPr>
          <w:rFonts w:ascii="Times New Roman" w:hAnsi="Times New Roman" w:cs="Times New Roman" w:eastAsia="Times New Roman" w:hint="default"/>
          <w:sz w:val="21"/>
          <w:szCs w:val="21"/>
        </w:rPr>
        <w:t>[2010]</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号《验 </w:t>
      </w:r>
      <w:r>
        <w:rPr>
          <w:rFonts w:ascii="宋体" w:hAnsi="宋体" w:cs="宋体" w:eastAsia="宋体" w:hint="default"/>
          <w:spacing w:val="-21"/>
          <w:sz w:val="21"/>
          <w:szCs w:val="21"/>
        </w:rPr>
        <w:t>资报告》。</w:t>
      </w:r>
    </w:p>
    <w:p>
      <w:pPr>
        <w:spacing w:line="336" w:lineRule="auto" w:before="170"/>
        <w:ind w:left="143" w:right="164" w:firstLine="420"/>
        <w:jc w:val="left"/>
        <w:rPr>
          <w:rFonts w:ascii="宋体" w:hAnsi="宋体" w:cs="宋体" w:eastAsia="宋体" w:hint="default"/>
          <w:sz w:val="21"/>
          <w:szCs w:val="21"/>
        </w:rPr>
      </w:pPr>
      <w:r>
        <w:rPr>
          <w:rFonts w:ascii="宋体" w:hAnsi="宋体" w:cs="宋体" w:eastAsia="宋体" w:hint="default"/>
          <w:sz w:val="21"/>
          <w:szCs w:val="21"/>
        </w:rPr>
        <w:t>公司股票于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日在深圳证券交易所创业板上市，股票简称</w:t>
      </w:r>
      <w:r>
        <w:rPr>
          <w:rFonts w:ascii="Times New Roman" w:hAnsi="Times New Roman" w:cs="Times New Roman" w:eastAsia="Times New Roman" w:hint="default"/>
          <w:sz w:val="21"/>
          <w:szCs w:val="21"/>
        </w:rPr>
        <w:t>“</w:t>
      </w:r>
      <w:r>
        <w:rPr>
          <w:rFonts w:ascii="宋体" w:hAnsi="宋体" w:cs="宋体" w:eastAsia="宋体" w:hint="default"/>
          <w:sz w:val="21"/>
          <w:szCs w:val="21"/>
        </w:rPr>
        <w:t>银之杰</w:t>
      </w:r>
      <w:r>
        <w:rPr>
          <w:rFonts w:ascii="Times New Roman" w:hAnsi="Times New Roman" w:cs="Times New Roman" w:eastAsia="Times New Roman" w:hint="default"/>
          <w:sz w:val="21"/>
          <w:szCs w:val="21"/>
        </w:rPr>
        <w:t>”</w:t>
      </w:r>
      <w:r>
        <w:rPr>
          <w:rFonts w:ascii="宋体" w:hAnsi="宋体" w:cs="宋体" w:eastAsia="宋体" w:hint="default"/>
          <w:sz w:val="21"/>
          <w:szCs w:val="21"/>
        </w:rPr>
        <w:t>，股票代 码</w:t>
      </w:r>
      <w:r>
        <w:rPr>
          <w:rFonts w:ascii="Times New Roman" w:hAnsi="Times New Roman" w:cs="Times New Roman" w:eastAsia="Times New Roman" w:hint="default"/>
          <w:sz w:val="21"/>
          <w:szCs w:val="21"/>
        </w:rPr>
        <w:t>“300085”</w:t>
      </w:r>
      <w:r>
        <w:rPr>
          <w:rFonts w:ascii="宋体" w:hAnsi="宋体" w:cs="宋体" w:eastAsia="宋体" w:hint="default"/>
          <w:sz w:val="21"/>
          <w:szCs w:val="21"/>
        </w:rPr>
        <w:t>。</w:t>
      </w:r>
    </w:p>
    <w:p>
      <w:pPr>
        <w:spacing w:before="145"/>
        <w:ind w:left="563" w:right="0" w:firstLine="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8</w:t>
      </w:r>
      <w:r>
        <w:rPr>
          <w:rFonts w:ascii="宋体" w:hAnsi="宋体" w:cs="宋体" w:eastAsia="宋体" w:hint="default"/>
          <w:spacing w:val="-6"/>
          <w:sz w:val="21"/>
          <w:szCs w:val="21"/>
        </w:rPr>
        <w:t>、公司于</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 </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日召开了</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年年度股东大会，审议通过了《</w:t>
      </w:r>
      <w:r>
        <w:rPr>
          <w:rFonts w:ascii="Times New Roman" w:hAnsi="Times New Roman" w:cs="Times New Roman" w:eastAsia="Times New Roman" w:hint="default"/>
          <w:spacing w:val="-4"/>
          <w:sz w:val="21"/>
          <w:szCs w:val="21"/>
        </w:rPr>
        <w:t>2010 </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年度利润</w:t>
      </w:r>
    </w:p>
    <w:p>
      <w:pPr>
        <w:spacing w:before="117"/>
        <w:ind w:left="143" w:right="0" w:firstLine="0"/>
        <w:jc w:val="both"/>
        <w:rPr>
          <w:rFonts w:ascii="宋体" w:hAnsi="宋体" w:cs="宋体" w:eastAsia="宋体" w:hint="default"/>
          <w:sz w:val="21"/>
          <w:szCs w:val="21"/>
        </w:rPr>
      </w:pPr>
      <w:r>
        <w:rPr>
          <w:rFonts w:ascii="宋体" w:hAnsi="宋体" w:cs="宋体" w:eastAsia="宋体" w:hint="default"/>
          <w:sz w:val="21"/>
          <w:szCs w:val="21"/>
        </w:rPr>
        <w:t>分配及资本公积转增股本的预案</w:t>
      </w:r>
      <w:r>
        <w:rPr>
          <w:rFonts w:ascii="宋体" w:hAnsi="宋体" w:cs="宋体" w:eastAsia="宋体" w:hint="default"/>
          <w:spacing w:val="-105"/>
          <w:sz w:val="21"/>
          <w:szCs w:val="21"/>
        </w:rPr>
        <w:t>》</w:t>
      </w:r>
      <w:r>
        <w:rPr>
          <w:rFonts w:ascii="宋体" w:hAnsi="宋体" w:cs="宋体" w:eastAsia="宋体" w:hint="default"/>
          <w:spacing w:val="-23"/>
          <w:sz w:val="21"/>
          <w:szCs w:val="21"/>
        </w:rPr>
        <w:t>，</w:t>
      </w:r>
      <w:r>
        <w:rPr>
          <w:rFonts w:ascii="宋体" w:hAnsi="宋体" w:cs="宋体" w:eastAsia="宋体" w:hint="default"/>
          <w:sz w:val="21"/>
          <w:szCs w:val="21"/>
        </w:rPr>
        <w:t>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10  </w:t>
      </w:r>
      <w:r>
        <w:rPr>
          <w:rFonts w:ascii="宋体" w:hAnsi="宋体" w:cs="宋体" w:eastAsia="宋体" w:hint="default"/>
          <w:sz w:val="21"/>
          <w:szCs w:val="21"/>
        </w:rPr>
        <w:t>年</w:t>
      </w:r>
      <w:r>
        <w:rPr>
          <w:rFonts w:ascii="宋体" w:hAnsi="宋体" w:cs="宋体" w:eastAsia="宋体" w:hint="default"/>
          <w:spacing w:val="-2"/>
          <w:sz w:val="21"/>
          <w:szCs w:val="21"/>
        </w:rPr>
        <w:t>末</w:t>
      </w:r>
      <w:r>
        <w:rPr>
          <w:rFonts w:ascii="宋体" w:hAnsi="宋体" w:cs="宋体" w:eastAsia="宋体" w:hint="default"/>
          <w:sz w:val="21"/>
          <w:szCs w:val="21"/>
        </w:rPr>
        <w:t>总股本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00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股为</w:t>
      </w:r>
      <w:r>
        <w:rPr>
          <w:rFonts w:ascii="宋体" w:hAnsi="宋体" w:cs="宋体" w:eastAsia="宋体" w:hint="default"/>
          <w:spacing w:val="-2"/>
          <w:sz w:val="21"/>
          <w:szCs w:val="21"/>
        </w:rPr>
        <w:t>基</w:t>
      </w:r>
      <w:r>
        <w:rPr>
          <w:rFonts w:ascii="宋体" w:hAnsi="宋体" w:cs="宋体" w:eastAsia="宋体" w:hint="default"/>
          <w:sz w:val="21"/>
          <w:szCs w:val="21"/>
        </w:rPr>
        <w:t>数</w:t>
      </w:r>
      <w:r>
        <w:rPr>
          <w:rFonts w:ascii="宋体" w:hAnsi="宋体" w:cs="宋体" w:eastAsia="宋体" w:hint="default"/>
          <w:spacing w:val="-23"/>
          <w:sz w:val="21"/>
          <w:szCs w:val="21"/>
        </w:rPr>
        <w:t>，</w:t>
      </w:r>
      <w:r>
        <w:rPr>
          <w:rFonts w:ascii="宋体" w:hAnsi="宋体" w:cs="宋体" w:eastAsia="宋体" w:hint="default"/>
          <w:sz w:val="21"/>
          <w:szCs w:val="21"/>
        </w:rPr>
        <w:t>按每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股派发</w:t>
      </w:r>
    </w:p>
    <w:p>
      <w:pPr>
        <w:spacing w:after="0"/>
        <w:jc w:val="both"/>
        <w:rPr>
          <w:rFonts w:ascii="宋体" w:hAnsi="宋体" w:cs="宋体" w:eastAsia="宋体" w:hint="default"/>
          <w:sz w:val="21"/>
          <w:szCs w:val="21"/>
        </w:rPr>
        <w:sectPr>
          <w:pgSz w:w="11910" w:h="16840"/>
          <w:pgMar w:header="877" w:footer="982" w:top="1100" w:bottom="1180" w:left="1500" w:right="1500"/>
        </w:sectPr>
      </w:pPr>
    </w:p>
    <w:p>
      <w:pPr>
        <w:spacing w:line="240" w:lineRule="auto" w:before="2"/>
        <w:rPr>
          <w:rFonts w:ascii="宋体" w:hAnsi="宋体" w:cs="宋体" w:eastAsia="宋体" w:hint="default"/>
          <w:sz w:val="19"/>
          <w:szCs w:val="19"/>
        </w:rPr>
      </w:pPr>
    </w:p>
    <w:p>
      <w:pPr>
        <w:spacing w:before="35"/>
        <w:ind w:left="144" w:right="0" w:firstLine="0"/>
        <w:jc w:val="left"/>
        <w:rPr>
          <w:rFonts w:ascii="宋体" w:hAnsi="宋体" w:cs="宋体" w:eastAsia="宋体" w:hint="default"/>
          <w:sz w:val="21"/>
          <w:szCs w:val="21"/>
        </w:rPr>
      </w:pPr>
      <w:r>
        <w:rPr>
          <w:rFonts w:ascii="宋体" w:hAnsi="宋体" w:cs="宋体" w:eastAsia="宋体" w:hint="default"/>
          <w:sz w:val="21"/>
          <w:szCs w:val="21"/>
        </w:rPr>
        <w:t>现金股利人民币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00 </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元</w:t>
      </w:r>
      <w:r>
        <w:rPr>
          <w:rFonts w:ascii="宋体" w:hAnsi="宋体" w:cs="宋体" w:eastAsia="宋体" w:hint="default"/>
          <w:sz w:val="21"/>
          <w:szCs w:val="21"/>
        </w:rPr>
        <w:t>（含税</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同</w:t>
      </w:r>
      <w:r>
        <w:rPr>
          <w:rFonts w:ascii="宋体" w:hAnsi="宋体" w:cs="宋体" w:eastAsia="宋体" w:hint="default"/>
          <w:sz w:val="21"/>
          <w:szCs w:val="21"/>
        </w:rPr>
        <w:t>时以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10  </w:t>
      </w:r>
      <w:r>
        <w:rPr>
          <w:rFonts w:ascii="宋体" w:hAnsi="宋体" w:cs="宋体" w:eastAsia="宋体" w:hint="default"/>
          <w:spacing w:val="-2"/>
          <w:sz w:val="21"/>
          <w:szCs w:val="21"/>
        </w:rPr>
        <w:t>年</w:t>
      </w:r>
      <w:r>
        <w:rPr>
          <w:rFonts w:ascii="宋体" w:hAnsi="宋体" w:cs="宋体" w:eastAsia="宋体" w:hint="default"/>
          <w:sz w:val="21"/>
          <w:szCs w:val="21"/>
        </w:rPr>
        <w:t>末总股本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00  </w:t>
      </w:r>
      <w:r>
        <w:rPr>
          <w:rFonts w:ascii="宋体" w:hAnsi="宋体" w:cs="宋体" w:eastAsia="宋体" w:hint="default"/>
          <w:sz w:val="21"/>
          <w:szCs w:val="21"/>
        </w:rPr>
        <w:t>股</w:t>
      </w:r>
      <w:r>
        <w:rPr>
          <w:rFonts w:ascii="宋体" w:hAnsi="宋体" w:cs="宋体" w:eastAsia="宋体" w:hint="default"/>
          <w:spacing w:val="-2"/>
          <w:sz w:val="21"/>
          <w:szCs w:val="21"/>
        </w:rPr>
        <w:t>为</w:t>
      </w:r>
      <w:r>
        <w:rPr>
          <w:rFonts w:ascii="宋体" w:hAnsi="宋体" w:cs="宋体" w:eastAsia="宋体" w:hint="default"/>
          <w:sz w:val="21"/>
          <w:szCs w:val="21"/>
        </w:rPr>
        <w:t>基数，向全体股东</w:t>
      </w:r>
    </w:p>
    <w:p>
      <w:pPr>
        <w:spacing w:before="117"/>
        <w:ind w:left="143" w:right="0" w:firstLine="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股转增</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股。上述分配方案已于</w:t>
      </w:r>
      <w:r>
        <w:rPr>
          <w:rFonts w:ascii="宋体" w:hAnsi="宋体" w:cs="宋体" w:eastAsia="宋体" w:hint="default"/>
          <w:spacing w:val="-56"/>
          <w:sz w:val="21"/>
          <w:szCs w:val="21"/>
        </w:rPr>
        <w:t> </w:t>
      </w:r>
      <w:r>
        <w:rPr>
          <w:rFonts w:ascii="Times New Roman" w:hAnsi="Times New Roman" w:cs="Times New Roman" w:eastAsia="Times New Roman" w:hint="default"/>
          <w:spacing w:val="-3"/>
          <w:sz w:val="21"/>
          <w:szCs w:val="21"/>
        </w:rPr>
        <w:t>2011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日实施完毕，公司注册资本由</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w:t>
      </w:r>
    </w:p>
    <w:p>
      <w:pPr>
        <w:spacing w:line="336" w:lineRule="auto" w:before="118"/>
        <w:ind w:left="143" w:right="0" w:firstLine="0"/>
        <w:jc w:val="left"/>
        <w:rPr>
          <w:rFonts w:ascii="宋体" w:hAnsi="宋体" w:cs="宋体" w:eastAsia="宋体" w:hint="default"/>
          <w:sz w:val="21"/>
          <w:szCs w:val="21"/>
        </w:rPr>
      </w:pPr>
      <w:r>
        <w:rPr>
          <w:rFonts w:ascii="宋体" w:hAnsi="宋体" w:cs="宋体" w:eastAsia="宋体" w:hint="default"/>
          <w:sz w:val="21"/>
          <w:szCs w:val="21"/>
        </w:rPr>
        <w:t>元变更至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12000 </w:t>
      </w:r>
      <w:r>
        <w:rPr>
          <w:rFonts w:ascii="宋体" w:hAnsi="宋体" w:cs="宋体" w:eastAsia="宋体" w:hint="default"/>
          <w:spacing w:val="-8"/>
          <w:sz w:val="21"/>
          <w:szCs w:val="21"/>
        </w:rPr>
        <w:t>万元，并于</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日经深圳市鹏城会计师事务有限公司出具了深鹏所 </w:t>
      </w:r>
      <w:r>
        <w:rPr>
          <w:rFonts w:ascii="宋体" w:hAnsi="宋体" w:cs="宋体" w:eastAsia="宋体" w:hint="default"/>
          <w:spacing w:val="-1"/>
          <w:sz w:val="21"/>
          <w:szCs w:val="21"/>
        </w:rPr>
        <w:t>验字</w:t>
      </w:r>
      <w:r>
        <w:rPr>
          <w:rFonts w:ascii="Times New Roman" w:hAnsi="Times New Roman" w:cs="Times New Roman" w:eastAsia="Times New Roman" w:hint="default"/>
          <w:spacing w:val="-1"/>
          <w:sz w:val="21"/>
          <w:szCs w:val="21"/>
        </w:rPr>
        <w:t>[2011]0213</w:t>
      </w:r>
      <w:r>
        <w:rPr>
          <w:rFonts w:ascii="Times New Roman" w:hAnsi="Times New Roman" w:cs="Times New Roman" w:eastAsia="Times New Roman" w:hint="default"/>
          <w:spacing w:val="5"/>
          <w:sz w:val="21"/>
          <w:szCs w:val="21"/>
        </w:rPr>
        <w:t> </w:t>
      </w:r>
      <w:r>
        <w:rPr>
          <w:rFonts w:ascii="宋体" w:hAnsi="宋体" w:cs="宋体" w:eastAsia="宋体" w:hint="default"/>
          <w:spacing w:val="-14"/>
          <w:sz w:val="21"/>
          <w:szCs w:val="21"/>
        </w:rPr>
        <w:t>号《验资报告》。</w:t>
      </w:r>
    </w:p>
    <w:p>
      <w:pPr>
        <w:spacing w:before="145"/>
        <w:ind w:left="563" w:right="0" w:firstLine="0"/>
        <w:jc w:val="left"/>
        <w:rPr>
          <w:rFonts w:ascii="宋体" w:hAnsi="宋体" w:cs="宋体" w:eastAsia="宋体" w:hint="default"/>
          <w:sz w:val="21"/>
          <w:szCs w:val="21"/>
        </w:rPr>
      </w:pPr>
      <w:r>
        <w:rPr>
          <w:rFonts w:ascii="宋体" w:hAnsi="宋体" w:cs="宋体" w:eastAsia="宋体" w:hint="default"/>
          <w:sz w:val="21"/>
          <w:szCs w:val="21"/>
        </w:rPr>
        <w:t>（四）公司基本组织架构</w:t>
      </w:r>
    </w:p>
    <w:p>
      <w:pPr>
        <w:spacing w:line="240" w:lineRule="auto" w:before="5"/>
        <w:rPr>
          <w:rFonts w:ascii="宋体" w:hAnsi="宋体" w:cs="宋体" w:eastAsia="宋体" w:hint="default"/>
          <w:sz w:val="19"/>
          <w:szCs w:val="19"/>
        </w:rPr>
      </w:pPr>
    </w:p>
    <w:p>
      <w:pPr>
        <w:spacing w:line="357" w:lineRule="auto" w:before="0"/>
        <w:ind w:left="143" w:right="580" w:firstLine="420"/>
        <w:jc w:val="both"/>
        <w:rPr>
          <w:rFonts w:ascii="宋体" w:hAnsi="宋体" w:cs="宋体" w:eastAsia="宋体" w:hint="default"/>
          <w:sz w:val="21"/>
          <w:szCs w:val="21"/>
        </w:rPr>
      </w:pPr>
      <w:r>
        <w:rPr>
          <w:rFonts w:ascii="宋体" w:hAnsi="宋体" w:cs="宋体" w:eastAsia="宋体" w:hint="default"/>
          <w:sz w:val="21"/>
          <w:szCs w:val="21"/>
        </w:rPr>
        <w:t>本公司按照公司法的要求及公司实际情况设立组织机构：公司最高权力机构为股东大会， 由全体股东组成，下设董事会和监事会，董事会设立战略决策委员会、提名委员会、薪酬与考 </w:t>
      </w:r>
      <w:r>
        <w:rPr>
          <w:rFonts w:ascii="宋体" w:hAnsi="宋体" w:cs="宋体" w:eastAsia="宋体" w:hint="default"/>
          <w:spacing w:val="-3"/>
          <w:sz w:val="21"/>
          <w:szCs w:val="21"/>
        </w:rPr>
        <w:t>核委员会、审计委员会，审计委员会下设内审部。</w:t>
      </w:r>
      <w:r>
        <w:rPr>
          <w:rFonts w:ascii="宋体" w:hAnsi="宋体" w:cs="宋体" w:eastAsia="宋体" w:hint="default"/>
          <w:spacing w:val="-32"/>
          <w:sz w:val="21"/>
          <w:szCs w:val="21"/>
        </w:rPr>
        <w:t> </w:t>
      </w:r>
      <w:r>
        <w:rPr>
          <w:rFonts w:ascii="宋体" w:hAnsi="宋体" w:cs="宋体" w:eastAsia="宋体" w:hint="default"/>
          <w:sz w:val="21"/>
          <w:szCs w:val="21"/>
        </w:rPr>
        <w:t>公司董事会聘任了一位总经理，并根据经营</w:t>
      </w:r>
      <w:r>
        <w:rPr>
          <w:rFonts w:ascii="宋体" w:hAnsi="宋体" w:cs="宋体" w:eastAsia="宋体" w:hint="default"/>
          <w:sz w:val="21"/>
          <w:szCs w:val="21"/>
        </w:rPr>
        <w:t> 需要分别设置了营销管理部、大客户部、区域营销中心、技术开发部、区域工程服务中心、客 户服务中心、总经理办公室、内部审计部等</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个职能部门。</w:t>
      </w:r>
    </w:p>
    <w:p>
      <w:pPr>
        <w:spacing w:before="123"/>
        <w:ind w:left="563" w:right="0" w:firstLine="0"/>
        <w:jc w:val="left"/>
        <w:rPr>
          <w:rFonts w:ascii="宋体" w:hAnsi="宋体" w:cs="宋体" w:eastAsia="宋体" w:hint="default"/>
          <w:sz w:val="21"/>
          <w:szCs w:val="21"/>
        </w:rPr>
      </w:pPr>
      <w:r>
        <w:rPr>
          <w:rFonts w:ascii="宋体" w:hAnsi="宋体" w:cs="宋体" w:eastAsia="宋体" w:hint="default"/>
          <w:sz w:val="21"/>
          <w:szCs w:val="21"/>
        </w:rPr>
        <w:t>（五）控股子公司及合营企业、联营企业有关情况</w:t>
      </w:r>
    </w:p>
    <w:p>
      <w:pPr>
        <w:spacing w:line="240" w:lineRule="auto" w:before="1"/>
        <w:rPr>
          <w:rFonts w:ascii="宋体" w:hAnsi="宋体" w:cs="宋体" w:eastAsia="宋体" w:hint="default"/>
          <w:sz w:val="22"/>
          <w:szCs w:val="22"/>
        </w:rPr>
      </w:pPr>
    </w:p>
    <w:tbl>
      <w:tblPr>
        <w:tblW w:w="0" w:type="auto"/>
        <w:jc w:val="left"/>
        <w:tblInd w:w="124" w:type="dxa"/>
        <w:tblLayout w:type="fixed"/>
        <w:tblCellMar>
          <w:top w:w="0" w:type="dxa"/>
          <w:left w:w="0" w:type="dxa"/>
          <w:bottom w:w="0" w:type="dxa"/>
          <w:right w:w="0" w:type="dxa"/>
        </w:tblCellMar>
        <w:tblLook w:val="01E0"/>
      </w:tblPr>
      <w:tblGrid>
        <w:gridCol w:w="2708"/>
        <w:gridCol w:w="736"/>
        <w:gridCol w:w="734"/>
        <w:gridCol w:w="1050"/>
        <w:gridCol w:w="876"/>
        <w:gridCol w:w="700"/>
        <w:gridCol w:w="944"/>
        <w:gridCol w:w="630"/>
        <w:gridCol w:w="708"/>
      </w:tblGrid>
      <w:tr>
        <w:trPr>
          <w:trHeight w:val="692"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5"/>
              <w:jc w:val="right"/>
              <w:rPr>
                <w:rFonts w:ascii="宋体" w:hAnsi="宋体" w:cs="宋体" w:eastAsia="宋体" w:hint="default"/>
                <w:sz w:val="18"/>
                <w:szCs w:val="18"/>
              </w:rPr>
            </w:pPr>
            <w:r>
              <w:rPr>
                <w:rFonts w:ascii="宋体" w:hAnsi="宋体" w:cs="宋体" w:eastAsia="宋体" w:hint="default"/>
                <w:sz w:val="18"/>
                <w:szCs w:val="18"/>
              </w:rPr>
              <w:t>注册地</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1"/>
              <w:ind w:left="128" w:right="234"/>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7"/>
              <w:jc w:val="center"/>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69"/>
              <w:ind w:right="107"/>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成立日期</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1"/>
              <w:ind w:left="164" w:right="163"/>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5" w:right="0"/>
              <w:jc w:val="left"/>
              <w:rPr>
                <w:rFonts w:ascii="宋体" w:hAnsi="宋体" w:cs="宋体" w:eastAsia="宋体" w:hint="default"/>
                <w:sz w:val="18"/>
                <w:szCs w:val="18"/>
              </w:rPr>
            </w:pPr>
            <w:r>
              <w:rPr>
                <w:rFonts w:ascii="宋体" w:hAnsi="宋体" w:cs="宋体" w:eastAsia="宋体" w:hint="default"/>
                <w:sz w:val="18"/>
                <w:szCs w:val="18"/>
              </w:rPr>
              <w:t>投资额</w:t>
            </w:r>
          </w:p>
          <w:p>
            <w:pPr>
              <w:pStyle w:val="TableParagraph"/>
              <w:spacing w:line="240" w:lineRule="auto" w:before="69"/>
              <w:ind w:left="17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1"/>
              <w:ind w:left="129" w:right="128"/>
              <w:jc w:val="left"/>
              <w:rPr>
                <w:rFonts w:ascii="宋体" w:hAnsi="宋体" w:cs="宋体" w:eastAsia="宋体" w:hint="default"/>
                <w:sz w:val="18"/>
                <w:szCs w:val="18"/>
              </w:rPr>
            </w:pPr>
            <w:r>
              <w:rPr>
                <w:rFonts w:ascii="宋体" w:hAnsi="宋体" w:cs="宋体" w:eastAsia="宋体" w:hint="default"/>
                <w:sz w:val="18"/>
                <w:szCs w:val="18"/>
              </w:rPr>
              <w:t>经营 范围</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309" w:lineRule="auto" w:before="41"/>
              <w:ind w:left="171" w:right="169"/>
              <w:jc w:val="left"/>
              <w:rPr>
                <w:rFonts w:ascii="宋体" w:hAnsi="宋体" w:cs="宋体" w:eastAsia="宋体" w:hint="default"/>
                <w:sz w:val="18"/>
                <w:szCs w:val="18"/>
              </w:rPr>
            </w:pPr>
            <w:r>
              <w:rPr>
                <w:rFonts w:ascii="宋体" w:hAnsi="宋体" w:cs="宋体" w:eastAsia="宋体" w:hint="default"/>
                <w:sz w:val="18"/>
                <w:szCs w:val="18"/>
              </w:rPr>
              <w:t>是否 合并</w:t>
            </w:r>
          </w:p>
        </w:tc>
      </w:tr>
      <w:tr>
        <w:trPr>
          <w:trHeight w:val="51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深圳市银之杰软件技术有限公司</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1"/>
              <w:jc w:val="right"/>
              <w:rPr>
                <w:rFonts w:ascii="宋体" w:hAnsi="宋体" w:cs="宋体" w:eastAsia="宋体" w:hint="default"/>
                <w:sz w:val="18"/>
                <w:szCs w:val="18"/>
              </w:rPr>
            </w:pPr>
            <w:r>
              <w:rPr>
                <w:rFonts w:ascii="宋体" w:hAnsi="宋体" w:cs="宋体" w:eastAsia="宋体" w:hint="default"/>
                <w:sz w:val="18"/>
                <w:szCs w:val="18"/>
              </w:rPr>
              <w:t>深圳</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RMB100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2008-11-18</w:t>
            </w:r>
            <w:r>
              <w:rPr>
                <w:rFonts w:ascii="Times New Roman"/>
                <w:sz w:val="18"/>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RMB100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1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深圳市银之杰技术开发有限公司</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1"/>
              <w:jc w:val="right"/>
              <w:rPr>
                <w:rFonts w:ascii="宋体" w:hAnsi="宋体" w:cs="宋体" w:eastAsia="宋体" w:hint="default"/>
                <w:sz w:val="18"/>
                <w:szCs w:val="18"/>
              </w:rPr>
            </w:pPr>
            <w:r>
              <w:rPr>
                <w:rFonts w:ascii="宋体" w:hAnsi="宋体" w:cs="宋体" w:eastAsia="宋体" w:hint="default"/>
                <w:sz w:val="18"/>
                <w:szCs w:val="18"/>
              </w:rPr>
              <w:t>深圳</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RMB300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2011-05-04</w:t>
            </w:r>
            <w:r>
              <w:rPr>
                <w:rFonts w:ascii="Times New Roman"/>
                <w:sz w:val="18"/>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RMB300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宋体" w:hAnsi="宋体" w:cs="宋体" w:eastAsia="宋体" w:hint="default"/>
          <w:sz w:val="12"/>
          <w:szCs w:val="12"/>
        </w:rPr>
      </w:pPr>
    </w:p>
    <w:p>
      <w:pPr>
        <w:spacing w:before="35"/>
        <w:ind w:left="564" w:right="0" w:firstLine="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、金融应用软件技术开发、销售；计算机软、硬件技术开发、技术咨询。</w:t>
      </w:r>
    </w:p>
    <w:p>
      <w:pPr>
        <w:spacing w:before="92"/>
        <w:ind w:left="564" w:right="0" w:firstLine="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、计算机软、硬件的技术设计、技术开发、技术咨询与销售。</w:t>
      </w:r>
    </w:p>
    <w:p>
      <w:pPr>
        <w:spacing w:line="240" w:lineRule="auto" w:before="5"/>
        <w:rPr>
          <w:rFonts w:ascii="宋体" w:hAnsi="宋体" w:cs="宋体" w:eastAsia="宋体" w:hint="default"/>
          <w:sz w:val="17"/>
          <w:szCs w:val="17"/>
        </w:rPr>
      </w:pPr>
    </w:p>
    <w:p>
      <w:pPr>
        <w:spacing w:before="0"/>
        <w:ind w:left="564" w:right="0" w:firstLine="0"/>
        <w:jc w:val="left"/>
        <w:rPr>
          <w:rFonts w:ascii="宋体" w:hAnsi="宋体" w:cs="宋体" w:eastAsia="宋体" w:hint="default"/>
          <w:sz w:val="21"/>
          <w:szCs w:val="21"/>
        </w:rPr>
      </w:pPr>
      <w:r>
        <w:rPr>
          <w:rFonts w:ascii="宋体" w:hAnsi="宋体" w:cs="宋体" w:eastAsia="宋体" w:hint="default"/>
          <w:sz w:val="21"/>
          <w:szCs w:val="21"/>
        </w:rPr>
        <w:t>（六）财务报告的批准报出者和财务报告批准报出日。</w:t>
      </w:r>
    </w:p>
    <w:p>
      <w:pPr>
        <w:spacing w:line="240" w:lineRule="auto" w:before="5"/>
        <w:rPr>
          <w:rFonts w:ascii="宋体" w:hAnsi="宋体" w:cs="宋体" w:eastAsia="宋体" w:hint="default"/>
          <w:sz w:val="19"/>
          <w:szCs w:val="19"/>
        </w:rPr>
      </w:pPr>
    </w:p>
    <w:p>
      <w:pPr>
        <w:spacing w:before="0"/>
        <w:ind w:left="564" w:right="0" w:firstLine="0"/>
        <w:jc w:val="left"/>
        <w:rPr>
          <w:rFonts w:ascii="宋体" w:hAnsi="宋体" w:cs="宋体" w:eastAsia="宋体" w:hint="default"/>
          <w:sz w:val="21"/>
          <w:szCs w:val="21"/>
        </w:rPr>
      </w:pPr>
      <w:r>
        <w:rPr>
          <w:rFonts w:ascii="宋体" w:hAnsi="宋体" w:cs="宋体" w:eastAsia="宋体" w:hint="default"/>
          <w:sz w:val="21"/>
          <w:szCs w:val="21"/>
        </w:rPr>
        <w:t>本财务报告于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日经公司第二届董事会第八次会议审议批准报出。</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32"/>
          <w:szCs w:val="32"/>
        </w:rPr>
      </w:pPr>
    </w:p>
    <w:p>
      <w:pPr>
        <w:pStyle w:val="Heading5"/>
        <w:spacing w:line="240" w:lineRule="auto"/>
        <w:ind w:left="144" w:right="0"/>
        <w:jc w:val="left"/>
        <w:rPr>
          <w:b w:val="0"/>
          <w:bCs w:val="0"/>
        </w:rPr>
      </w:pPr>
      <w:r>
        <w:rPr/>
        <w:t>二、</w:t>
      </w:r>
      <w:r>
        <w:rPr>
          <w:spacing w:val="-41"/>
        </w:rPr>
        <w:t> </w:t>
      </w:r>
      <w:r>
        <w:rPr/>
        <w:t>公司主要会计政策、会计估计和前期差错</w:t>
      </w:r>
      <w:r>
        <w:rPr>
          <w:b w:val="0"/>
          <w:bCs w:val="0"/>
        </w:rPr>
      </w:r>
    </w:p>
    <w:p>
      <w:pPr>
        <w:spacing w:line="240" w:lineRule="auto" w:before="0"/>
        <w:rPr>
          <w:rFonts w:ascii="宋体" w:hAnsi="宋体" w:cs="宋体" w:eastAsia="宋体" w:hint="default"/>
          <w:b/>
          <w:bCs/>
          <w:sz w:val="30"/>
          <w:szCs w:val="30"/>
        </w:rPr>
      </w:pPr>
    </w:p>
    <w:p>
      <w:pPr>
        <w:spacing w:line="530" w:lineRule="atLeast" w:before="0"/>
        <w:ind w:left="564" w:right="57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b/>
          <w:bCs/>
          <w:w w:val="99"/>
          <w:sz w:val="21"/>
          <w:szCs w:val="21"/>
        </w:rPr>
        <w:t> </w:t>
      </w:r>
      <w:r>
        <w:rPr>
          <w:rFonts w:ascii="宋体" w:hAnsi="宋体" w:cs="宋体" w:eastAsia="宋体" w:hint="default"/>
          <w:sz w:val="21"/>
          <w:szCs w:val="21"/>
        </w:rPr>
        <w:t>本公司以持续经营为基础，根据实际发生的交易和事项，按照《企业会计准则</w:t>
      </w:r>
      <w:r>
        <w:rPr>
          <w:rFonts w:ascii="Times New Roman" w:hAnsi="Times New Roman" w:cs="Times New Roman" w:eastAsia="Times New Roman" w:hint="default"/>
          <w:sz w:val="21"/>
          <w:szCs w:val="21"/>
        </w:rPr>
        <w:t>――</w:t>
      </w:r>
      <w:r>
        <w:rPr>
          <w:rFonts w:ascii="宋体" w:hAnsi="宋体" w:cs="宋体" w:eastAsia="宋体" w:hint="default"/>
          <w:sz w:val="21"/>
          <w:szCs w:val="21"/>
        </w:rPr>
        <w:t>基本准</w:t>
      </w:r>
    </w:p>
    <w:p>
      <w:pPr>
        <w:spacing w:before="117"/>
        <w:ind w:left="144" w:right="0" w:firstLine="0"/>
        <w:jc w:val="left"/>
        <w:rPr>
          <w:rFonts w:ascii="宋体" w:hAnsi="宋体" w:cs="宋体" w:eastAsia="宋体" w:hint="default"/>
          <w:sz w:val="21"/>
          <w:szCs w:val="21"/>
        </w:rPr>
      </w:pPr>
      <w:r>
        <w:rPr>
          <w:rFonts w:ascii="宋体" w:hAnsi="宋体" w:cs="宋体" w:eastAsia="宋体" w:hint="default"/>
          <w:sz w:val="21"/>
          <w:szCs w:val="21"/>
        </w:rPr>
        <w:t>则》和其他各项会计准则的规定进行确认和计量，在此基础上编制财务报表。</w:t>
      </w:r>
    </w:p>
    <w:p>
      <w:pPr>
        <w:spacing w:line="240" w:lineRule="auto" w:before="6"/>
        <w:rPr>
          <w:rFonts w:ascii="宋体" w:hAnsi="宋体" w:cs="宋体" w:eastAsia="宋体" w:hint="default"/>
          <w:sz w:val="19"/>
          <w:szCs w:val="19"/>
        </w:rPr>
      </w:pPr>
    </w:p>
    <w:p>
      <w:pPr>
        <w:spacing w:line="436" w:lineRule="auto" w:before="0"/>
        <w:ind w:left="564" w:right="57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z w:val="21"/>
          <w:szCs w:val="21"/>
        </w:rPr>
        <w:t>本公司基于上述编制基础编制的财务报表符合企业会计准则的要求，真实、完整地反映了</w:t>
      </w:r>
    </w:p>
    <w:p>
      <w:pPr>
        <w:spacing w:line="253" w:lineRule="exact" w:before="0"/>
        <w:ind w:left="144" w:right="0" w:firstLine="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日合并及母公司的财务状况，以及</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年度合并及母公司的经营成果</w:t>
      </w:r>
    </w:p>
    <w:p>
      <w:pPr>
        <w:spacing w:before="117"/>
        <w:ind w:left="144" w:right="0" w:firstLine="0"/>
        <w:jc w:val="left"/>
        <w:rPr>
          <w:rFonts w:ascii="宋体" w:hAnsi="宋体" w:cs="宋体" w:eastAsia="宋体" w:hint="default"/>
          <w:sz w:val="21"/>
          <w:szCs w:val="21"/>
        </w:rPr>
      </w:pPr>
      <w:r>
        <w:rPr>
          <w:rFonts w:ascii="宋体" w:hAnsi="宋体" w:cs="宋体" w:eastAsia="宋体" w:hint="default"/>
          <w:sz w:val="21"/>
          <w:szCs w:val="21"/>
        </w:rPr>
        <w:t>和现金流量等有关信息。</w:t>
      </w:r>
    </w:p>
    <w:p>
      <w:pPr>
        <w:spacing w:after="0"/>
        <w:jc w:val="left"/>
        <w:rPr>
          <w:rFonts w:ascii="宋体" w:hAnsi="宋体" w:cs="宋体" w:eastAsia="宋体" w:hint="default"/>
          <w:sz w:val="21"/>
          <w:szCs w:val="21"/>
        </w:rPr>
        <w:sectPr>
          <w:pgSz w:w="11910" w:h="16840"/>
          <w:pgMar w:header="877" w:footer="982" w:top="1100" w:bottom="1180" w:left="1500" w:right="1060"/>
        </w:sectPr>
      </w:pPr>
    </w:p>
    <w:p>
      <w:pPr>
        <w:spacing w:line="240" w:lineRule="auto" w:before="2"/>
        <w:rPr>
          <w:rFonts w:ascii="宋体" w:hAnsi="宋体" w:cs="宋体" w:eastAsia="宋体" w:hint="default"/>
          <w:sz w:val="19"/>
          <w:szCs w:val="19"/>
        </w:rPr>
      </w:pPr>
    </w:p>
    <w:p>
      <w:pPr>
        <w:spacing w:before="35"/>
        <w:ind w:left="144"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563" w:right="273" w:firstLine="0"/>
        <w:jc w:val="left"/>
        <w:rPr>
          <w:rFonts w:ascii="宋体" w:hAnsi="宋体" w:cs="宋体" w:eastAsia="宋体" w:hint="default"/>
          <w:sz w:val="21"/>
          <w:szCs w:val="21"/>
        </w:rPr>
      </w:pPr>
      <w:r>
        <w:rPr>
          <w:rFonts w:ascii="宋体" w:hAnsi="宋体" w:cs="宋体" w:eastAsia="宋体" w:hint="default"/>
          <w:sz w:val="21"/>
          <w:szCs w:val="21"/>
        </w:rPr>
        <w:t>采用公历年度，即从每年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日为一个会计年度。</w:t>
      </w:r>
    </w:p>
    <w:p>
      <w:pPr>
        <w:spacing w:line="240" w:lineRule="auto" w:before="3"/>
        <w:rPr>
          <w:rFonts w:ascii="宋体" w:hAnsi="宋体" w:cs="宋体" w:eastAsia="宋体" w:hint="default"/>
          <w:sz w:val="18"/>
          <w:szCs w:val="18"/>
        </w:rPr>
      </w:pPr>
    </w:p>
    <w:p>
      <w:pPr>
        <w:spacing w:before="0"/>
        <w:ind w:left="143"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564" w:right="273" w:firstLine="0"/>
        <w:jc w:val="left"/>
        <w:rPr>
          <w:rFonts w:ascii="宋体" w:hAnsi="宋体" w:cs="宋体" w:eastAsia="宋体" w:hint="default"/>
          <w:sz w:val="21"/>
          <w:szCs w:val="21"/>
        </w:rPr>
      </w:pPr>
      <w:r>
        <w:rPr>
          <w:rFonts w:ascii="宋体" w:hAnsi="宋体" w:cs="宋体" w:eastAsia="宋体" w:hint="default"/>
          <w:sz w:val="21"/>
          <w:szCs w:val="21"/>
        </w:rPr>
        <w:t>以人民币为记账本位币。</w:t>
      </w:r>
    </w:p>
    <w:p>
      <w:pPr>
        <w:spacing w:line="240" w:lineRule="auto" w:before="6"/>
        <w:rPr>
          <w:rFonts w:ascii="宋体" w:hAnsi="宋体" w:cs="宋体" w:eastAsia="宋体" w:hint="default"/>
          <w:sz w:val="19"/>
          <w:szCs w:val="19"/>
        </w:rPr>
      </w:pPr>
    </w:p>
    <w:p>
      <w:pPr>
        <w:spacing w:before="0"/>
        <w:ind w:left="144"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355" w:lineRule="auto" w:before="0"/>
        <w:ind w:left="143" w:right="138" w:firstLine="422"/>
        <w:jc w:val="both"/>
        <w:rPr>
          <w:rFonts w:ascii="宋体" w:hAnsi="宋体" w:cs="宋体" w:eastAsia="宋体" w:hint="default"/>
          <w:sz w:val="21"/>
          <w:szCs w:val="21"/>
        </w:rPr>
      </w:pPr>
      <w:r>
        <w:rPr>
          <w:rFonts w:ascii="宋体" w:hAnsi="宋体" w:cs="宋体" w:eastAsia="宋体" w:hint="default"/>
          <w:b/>
          <w:bCs/>
          <w:spacing w:val="2"/>
          <w:sz w:val="21"/>
          <w:szCs w:val="21"/>
        </w:rPr>
        <w:t>（</w:t>
      </w:r>
      <w:r>
        <w:rPr>
          <w:rFonts w:ascii="Times New Roman" w:hAnsi="Times New Roman" w:cs="Times New Roman" w:eastAsia="Times New Roman" w:hint="default"/>
          <w:b/>
          <w:bCs/>
          <w:spacing w:val="2"/>
          <w:sz w:val="21"/>
          <w:szCs w:val="21"/>
        </w:rPr>
        <w:t>1</w:t>
      </w:r>
      <w:r>
        <w:rPr>
          <w:rFonts w:ascii="宋体" w:hAnsi="宋体" w:cs="宋体" w:eastAsia="宋体" w:hint="default"/>
          <w:b/>
          <w:bCs/>
          <w:spacing w:val="2"/>
          <w:sz w:val="21"/>
          <w:szCs w:val="21"/>
        </w:rPr>
        <w:t>）同一控制下的企业合并</w:t>
      </w:r>
      <w:r>
        <w:rPr>
          <w:rFonts w:ascii="宋体" w:hAnsi="宋体" w:cs="宋体" w:eastAsia="宋体" w:hint="default"/>
          <w:spacing w:val="2"/>
          <w:sz w:val="21"/>
          <w:szCs w:val="21"/>
        </w:rPr>
        <w:t>：在企业合并中取得的资产和负债，按照合并日在被合并方</w:t>
      </w:r>
      <w:r>
        <w:rPr>
          <w:rFonts w:ascii="宋体" w:hAnsi="宋体" w:cs="宋体" w:eastAsia="宋体" w:hint="default"/>
          <w:sz w:val="21"/>
          <w:szCs w:val="21"/>
        </w:rPr>
        <w:t> 的账面价值计量。取得的净资产账面价值与支付的合并对价账面价值（或发行股份面值总额）</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的差额，调整资本公积；资本公积不足冲减的，调整留存收益。为进行企业合并发生的各项直</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接相关费用，包括为进行企业合并而支付的审计费用、评估费用、法律服务费用等，于发生时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计入当期损益。企业合并形成母子公司关系的，母公司编制合并日的合并资产负债表、合并利</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润表和合并现金流量表。合并资产负债表中被合并方的各项资产、负债，按其账面价值计量。</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因被合并方采用的会计政策与合并方不一致，按照本准则规定进行调整的，以调整后的账面价</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值计量。合并利润表包括参与合并各方自合并当期期初至合并日所发生的收入、费用和利润。</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被合并方在合并前实现的净利润，在合并利润表中单列项目反映。合并现金流量表包括参与合</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并各方自合并当期期初至合并日的现金流量。</w:t>
      </w:r>
    </w:p>
    <w:p>
      <w:pPr>
        <w:spacing w:line="355" w:lineRule="auto" w:before="152"/>
        <w:ind w:left="143" w:right="138" w:firstLine="422"/>
        <w:jc w:val="both"/>
        <w:rPr>
          <w:rFonts w:ascii="宋体" w:hAnsi="宋体" w:cs="宋体" w:eastAsia="宋体" w:hint="default"/>
          <w:sz w:val="21"/>
          <w:szCs w:val="21"/>
        </w:rPr>
      </w:pPr>
      <w:r>
        <w:rPr>
          <w:rFonts w:ascii="宋体" w:hAnsi="宋体" w:cs="宋体" w:eastAsia="宋体" w:hint="default"/>
          <w:b/>
          <w:bCs/>
          <w:spacing w:val="2"/>
          <w:sz w:val="21"/>
          <w:szCs w:val="21"/>
        </w:rPr>
        <w:t>（</w:t>
      </w:r>
      <w:r>
        <w:rPr>
          <w:rFonts w:ascii="Times New Roman" w:hAnsi="Times New Roman" w:cs="Times New Roman" w:eastAsia="Times New Roman" w:hint="default"/>
          <w:b/>
          <w:bCs/>
          <w:spacing w:val="2"/>
          <w:sz w:val="21"/>
          <w:szCs w:val="21"/>
        </w:rPr>
        <w:t>2</w:t>
      </w:r>
      <w:r>
        <w:rPr>
          <w:rFonts w:ascii="宋体" w:hAnsi="宋体" w:cs="宋体" w:eastAsia="宋体" w:hint="default"/>
          <w:b/>
          <w:bCs/>
          <w:spacing w:val="2"/>
          <w:sz w:val="21"/>
          <w:szCs w:val="21"/>
        </w:rPr>
        <w:t>）非同一控制下的企业合并</w:t>
      </w:r>
      <w:r>
        <w:rPr>
          <w:rFonts w:ascii="宋体" w:hAnsi="宋体" w:cs="宋体" w:eastAsia="宋体" w:hint="default"/>
          <w:spacing w:val="2"/>
          <w:sz w:val="21"/>
          <w:szCs w:val="21"/>
        </w:rPr>
        <w:t>：在购买日为取得对被购买方的控制权而付出的资产、发 </w:t>
      </w:r>
      <w:r>
        <w:rPr>
          <w:rFonts w:ascii="宋体" w:hAnsi="宋体" w:cs="宋体" w:eastAsia="宋体" w:hint="default"/>
          <w:sz w:val="21"/>
          <w:szCs w:val="21"/>
        </w:rPr>
        <w:t>生或承担的负债以及发行的权益性证券的公允价值加上各项直接相关费用为合并成本。在购买</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日对作为企业合并对价付出的资产、发生或承担的负债按照公允价值计量，公允价值与其账面</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价值的差额，计入当期损益。对合并成本大于合并中取得的被购买方可辨认净资产公允价值份</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额的差额，确认为商誉。对合并成本小于合并中取得的被购买方可辨认净资产公允价值份额的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差额时，对取得的被购买方各项可辨认资产、负债及或有负债的公允价值以及合并成本的计量</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进行复核；经复核后合并成本仍小于合并中取得的被购买方可辨认净资产公允价值份额的，其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差额计入当期损益。企业合并形成母子公司关系的，母公司编制购买日的合并资产负债表，因</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企业合并取得的被购买方各项可辨认资产、负债及或有负债以公允价值列示。</w:t>
      </w:r>
    </w:p>
    <w:p>
      <w:pPr>
        <w:spacing w:before="152"/>
        <w:ind w:left="143"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143" w:right="27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）合并会计报表原则</w:t>
      </w:r>
    </w:p>
    <w:p>
      <w:pPr>
        <w:spacing w:line="240" w:lineRule="auto" w:before="2"/>
        <w:rPr>
          <w:rFonts w:ascii="宋体" w:hAnsi="宋体" w:cs="宋体" w:eastAsia="宋体" w:hint="default"/>
          <w:sz w:val="18"/>
          <w:szCs w:val="18"/>
        </w:rPr>
      </w:pPr>
    </w:p>
    <w:p>
      <w:pPr>
        <w:spacing w:line="350" w:lineRule="auto" w:before="0"/>
        <w:ind w:left="144" w:right="13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、合并财务报表以本公司和纳入合并财务报表范围的各子公司的财务报表及其他有关资 料为合并依据，按照权益法调整对子公司的长期股权投资，将本公司和纳入合并财务报表范围</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的各子公司之间的投资、交易及往来等全部抵销，并计算少数股东损益及少数股东权益后合并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编制而成。</w:t>
      </w:r>
    </w:p>
    <w:p>
      <w:pPr>
        <w:spacing w:before="157"/>
        <w:ind w:left="564" w:right="1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、合并时，如纳入合并范围的子公司与本公司会计政策不一致，按本公司执行的会计政</w:t>
      </w:r>
    </w:p>
    <w:p>
      <w:pPr>
        <w:spacing w:after="0"/>
        <w:jc w:val="left"/>
        <w:rPr>
          <w:rFonts w:ascii="宋体" w:hAnsi="宋体" w:cs="宋体" w:eastAsia="宋体" w:hint="default"/>
          <w:sz w:val="21"/>
          <w:szCs w:val="21"/>
        </w:rPr>
        <w:sectPr>
          <w:pgSz w:w="11910" w:h="16840"/>
          <w:pgMar w:header="877" w:footer="982" w:top="1100" w:bottom="1180" w:left="1500" w:right="1500"/>
        </w:sectPr>
      </w:pPr>
    </w:p>
    <w:p>
      <w:pPr>
        <w:spacing w:line="240" w:lineRule="auto" w:before="2"/>
        <w:rPr>
          <w:rFonts w:ascii="宋体" w:hAnsi="宋体" w:cs="宋体" w:eastAsia="宋体" w:hint="default"/>
          <w:sz w:val="19"/>
          <w:szCs w:val="19"/>
        </w:rPr>
      </w:pPr>
    </w:p>
    <w:p>
      <w:pPr>
        <w:spacing w:before="35"/>
        <w:ind w:left="144" w:right="333" w:firstLine="0"/>
        <w:jc w:val="left"/>
        <w:rPr>
          <w:rFonts w:ascii="宋体" w:hAnsi="宋体" w:cs="宋体" w:eastAsia="宋体" w:hint="default"/>
          <w:sz w:val="21"/>
          <w:szCs w:val="21"/>
        </w:rPr>
      </w:pPr>
      <w:r>
        <w:rPr>
          <w:rFonts w:ascii="宋体" w:hAnsi="宋体" w:cs="宋体" w:eastAsia="宋体" w:hint="default"/>
          <w:sz w:val="21"/>
          <w:szCs w:val="21"/>
        </w:rPr>
        <w:t>策对其进行调整后合并。</w:t>
      </w:r>
    </w:p>
    <w:p>
      <w:pPr>
        <w:spacing w:line="240" w:lineRule="auto" w:before="5"/>
        <w:rPr>
          <w:rFonts w:ascii="宋体" w:hAnsi="宋体" w:cs="宋体" w:eastAsia="宋体" w:hint="default"/>
          <w:sz w:val="19"/>
          <w:szCs w:val="19"/>
        </w:rPr>
      </w:pPr>
    </w:p>
    <w:p>
      <w:pPr>
        <w:spacing w:line="338" w:lineRule="auto" w:before="0"/>
        <w:ind w:left="143" w:right="111" w:firstLine="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C</w:t>
      </w:r>
      <w:r>
        <w:rPr>
          <w:rFonts w:ascii="宋体" w:hAnsi="宋体" w:cs="宋体" w:eastAsia="宋体" w:hint="default"/>
          <w:spacing w:val="-1"/>
          <w:sz w:val="21"/>
          <w:szCs w:val="21"/>
        </w:rPr>
        <w:t>、对于同一控制下企业合并取得的子公司，视同该企业合并于合并当期的期初已经发生，</w:t>
      </w:r>
      <w:r>
        <w:rPr>
          <w:rFonts w:ascii="宋体" w:hAnsi="宋体" w:cs="宋体" w:eastAsia="宋体" w:hint="default"/>
          <w:sz w:val="21"/>
          <w:szCs w:val="21"/>
        </w:rPr>
        <w:t> 从合并当期的期初起将其资产、负债、经营成果和现金流量纳入合并财务报表。</w:t>
      </w:r>
    </w:p>
    <w:p>
      <w:pPr>
        <w:spacing w:line="338" w:lineRule="auto" w:before="167"/>
        <w:ind w:left="143" w:right="11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、同一控制下的企业合并事项的，被重组方合并前的净损益应计入非经常性损益，并在 申报财务报表中单独列示。</w:t>
      </w:r>
    </w:p>
    <w:p>
      <w:pPr>
        <w:spacing w:line="338" w:lineRule="auto" w:before="167"/>
        <w:ind w:left="143" w:right="21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E</w:t>
      </w:r>
      <w:r>
        <w:rPr>
          <w:rFonts w:ascii="宋体" w:hAnsi="宋体" w:cs="宋体" w:eastAsia="宋体" w:hint="default"/>
          <w:sz w:val="21"/>
          <w:szCs w:val="21"/>
        </w:rPr>
        <w:t>、重组属于同一公司控制权人下的非企业合并事项，但被重组方重组前一个会计年度末</w:t>
      </w:r>
      <w:r>
        <w:rPr>
          <w:rFonts w:ascii="宋体" w:hAnsi="宋体" w:cs="宋体" w:eastAsia="宋体" w:hint="default"/>
          <w:spacing w:val="2"/>
          <w:sz w:val="21"/>
          <w:szCs w:val="21"/>
        </w:rPr>
        <w:t> </w:t>
      </w:r>
      <w:r>
        <w:rPr>
          <w:rFonts w:ascii="宋体" w:hAnsi="宋体" w:cs="宋体" w:eastAsia="宋体" w:hint="default"/>
          <w:spacing w:val="3"/>
          <w:sz w:val="21"/>
          <w:szCs w:val="21"/>
        </w:rPr>
        <w:t>的资产总额或前一个会计年度的营业收入或利润总额达到或超过重组前发行人相应项目</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20% </w:t>
      </w:r>
      <w:r>
        <w:rPr>
          <w:rFonts w:ascii="宋体" w:hAnsi="宋体" w:cs="宋体" w:eastAsia="宋体" w:hint="default"/>
          <w:sz w:val="21"/>
          <w:szCs w:val="21"/>
        </w:rPr>
        <w:t>的，从合并当期的期初起编制备考利润表。</w:t>
      </w:r>
    </w:p>
    <w:p>
      <w:pPr>
        <w:spacing w:line="338" w:lineRule="auto" w:before="167"/>
        <w:ind w:left="143" w:right="111"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F</w:t>
      </w:r>
      <w:r>
        <w:rPr>
          <w:rFonts w:ascii="宋体" w:hAnsi="宋体" w:cs="宋体" w:eastAsia="宋体" w:hint="default"/>
          <w:spacing w:val="2"/>
          <w:sz w:val="21"/>
          <w:szCs w:val="21"/>
        </w:rPr>
        <w:t>、对于因非同一控制下企业合并取得的子公司，在编制合并报表时，以购买日可辨认净 </w:t>
      </w:r>
      <w:r>
        <w:rPr>
          <w:rFonts w:ascii="宋体" w:hAnsi="宋体" w:cs="宋体" w:eastAsia="宋体" w:hint="default"/>
          <w:sz w:val="21"/>
          <w:szCs w:val="21"/>
        </w:rPr>
        <w:t>资产公允价值为基础对个别财务报表进行调整。</w:t>
      </w:r>
    </w:p>
    <w:p>
      <w:pPr>
        <w:spacing w:line="338" w:lineRule="auto" w:before="167"/>
        <w:ind w:left="143" w:right="111"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）对同一子公司的股权在连续两个会计年度买入再卖出，或卖出再买入的应披露相关的会计</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处理方法。</w:t>
      </w:r>
    </w:p>
    <w:p>
      <w:pPr>
        <w:spacing w:before="167"/>
        <w:ind w:left="563" w:right="333" w:firstLine="0"/>
        <w:jc w:val="left"/>
        <w:rPr>
          <w:rFonts w:ascii="宋体" w:hAnsi="宋体" w:cs="宋体" w:eastAsia="宋体" w:hint="default"/>
          <w:sz w:val="21"/>
          <w:szCs w:val="21"/>
        </w:rPr>
      </w:pPr>
      <w:r>
        <w:rPr>
          <w:rFonts w:ascii="宋体" w:hAnsi="宋体" w:cs="宋体" w:eastAsia="宋体" w:hint="default"/>
          <w:sz w:val="21"/>
          <w:szCs w:val="21"/>
        </w:rPr>
        <w:t>无。</w:t>
      </w:r>
    </w:p>
    <w:p>
      <w:pPr>
        <w:spacing w:line="240" w:lineRule="auto" w:before="6"/>
        <w:rPr>
          <w:rFonts w:ascii="宋体" w:hAnsi="宋体" w:cs="宋体" w:eastAsia="宋体" w:hint="default"/>
          <w:sz w:val="19"/>
          <w:szCs w:val="19"/>
        </w:rPr>
      </w:pPr>
    </w:p>
    <w:p>
      <w:pPr>
        <w:spacing w:line="436" w:lineRule="auto" w:before="0"/>
        <w:ind w:left="563" w:right="3361"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b/>
          <w:bCs/>
          <w:spacing w:val="1"/>
          <w:w w:val="99"/>
          <w:sz w:val="21"/>
          <w:szCs w:val="21"/>
        </w:rPr>
        <w:t> </w:t>
      </w:r>
      <w:r>
        <w:rPr>
          <w:rFonts w:ascii="宋体" w:hAnsi="宋体" w:cs="宋体" w:eastAsia="宋体" w:hint="default"/>
          <w:sz w:val="21"/>
          <w:szCs w:val="21"/>
        </w:rPr>
        <w:t>现金是指本公司的库存现金以及随时用于支付的存款。</w:t>
      </w:r>
    </w:p>
    <w:p>
      <w:pPr>
        <w:spacing w:line="357" w:lineRule="auto" w:before="81"/>
        <w:ind w:left="143" w:right="111" w:firstLine="420"/>
        <w:jc w:val="left"/>
        <w:rPr>
          <w:rFonts w:ascii="宋体" w:hAnsi="宋体" w:cs="宋体" w:eastAsia="宋体" w:hint="default"/>
          <w:sz w:val="21"/>
          <w:szCs w:val="21"/>
        </w:rPr>
      </w:pPr>
      <w:r>
        <w:rPr>
          <w:rFonts w:ascii="宋体" w:hAnsi="宋体" w:cs="宋体" w:eastAsia="宋体" w:hint="default"/>
          <w:spacing w:val="-6"/>
          <w:sz w:val="21"/>
          <w:szCs w:val="21"/>
        </w:rPr>
        <w:t>现金等价物为本公司持有的期限短（一般是指从购买日起三个月内到期）、流动性强、易于</w:t>
      </w:r>
      <w:r>
        <w:rPr>
          <w:rFonts w:ascii="宋体" w:hAnsi="宋体" w:cs="宋体" w:eastAsia="宋体" w:hint="default"/>
          <w:sz w:val="21"/>
          <w:szCs w:val="21"/>
        </w:rPr>
        <w:t> 转换为已知金额现金且价值变动风险很小的投资。</w:t>
      </w:r>
    </w:p>
    <w:p>
      <w:pPr>
        <w:spacing w:before="150"/>
        <w:ind w:left="143" w:right="3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line="436" w:lineRule="auto" w:before="0"/>
        <w:ind w:left="564" w:right="21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）外币业务核算方法 本公司外币交易均按交易发生日的即期近似汇率折算为记账本位币。该即期近似汇率指交</w:t>
      </w:r>
    </w:p>
    <w:p>
      <w:pPr>
        <w:spacing w:line="237" w:lineRule="exact" w:before="0"/>
        <w:ind w:left="144" w:right="333" w:firstLine="0"/>
        <w:jc w:val="left"/>
        <w:rPr>
          <w:rFonts w:ascii="宋体" w:hAnsi="宋体" w:cs="宋体" w:eastAsia="宋体" w:hint="default"/>
          <w:sz w:val="21"/>
          <w:szCs w:val="21"/>
        </w:rPr>
      </w:pPr>
      <w:r>
        <w:rPr>
          <w:rFonts w:ascii="宋体" w:hAnsi="宋体" w:cs="宋体" w:eastAsia="宋体" w:hint="default"/>
          <w:sz w:val="21"/>
          <w:szCs w:val="21"/>
        </w:rPr>
        <w:t>易发生日当月月初的汇率。</w:t>
      </w:r>
    </w:p>
    <w:p>
      <w:pPr>
        <w:spacing w:line="240" w:lineRule="auto" w:before="5"/>
        <w:rPr>
          <w:rFonts w:ascii="宋体" w:hAnsi="宋体" w:cs="宋体" w:eastAsia="宋体" w:hint="default"/>
          <w:sz w:val="19"/>
          <w:szCs w:val="19"/>
        </w:rPr>
      </w:pPr>
    </w:p>
    <w:p>
      <w:pPr>
        <w:spacing w:before="0"/>
        <w:ind w:left="564" w:right="333" w:firstLine="0"/>
        <w:jc w:val="left"/>
        <w:rPr>
          <w:rFonts w:ascii="宋体" w:hAnsi="宋体" w:cs="宋体" w:eastAsia="宋体" w:hint="default"/>
          <w:sz w:val="21"/>
          <w:szCs w:val="21"/>
        </w:rPr>
      </w:pPr>
      <w:r>
        <w:rPr>
          <w:rFonts w:ascii="宋体" w:hAnsi="宋体" w:cs="宋体" w:eastAsia="宋体" w:hint="default"/>
          <w:sz w:val="21"/>
          <w:szCs w:val="21"/>
        </w:rPr>
        <w:t>在资产负债表日，应当按照下列规定对外币货币性项目和外币非货币性项目进行处理：</w:t>
      </w:r>
    </w:p>
    <w:p>
      <w:pPr>
        <w:spacing w:line="240" w:lineRule="auto" w:before="5"/>
        <w:rPr>
          <w:rFonts w:ascii="宋体" w:hAnsi="宋体" w:cs="宋体" w:eastAsia="宋体" w:hint="default"/>
          <w:sz w:val="19"/>
          <w:szCs w:val="19"/>
        </w:rPr>
      </w:pPr>
    </w:p>
    <w:p>
      <w:pPr>
        <w:spacing w:line="338" w:lineRule="auto" w:before="0"/>
        <w:ind w:left="144" w:right="11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、外币货币性项目，采用资产负债表日即期汇率折算。因资产负债表日即期汇率与初始 确认时或前一资产负债表日即期汇率不同而产生的汇兑差额，计入当期损益。</w:t>
      </w:r>
    </w:p>
    <w:p>
      <w:pPr>
        <w:spacing w:line="338" w:lineRule="auto" w:before="167"/>
        <w:ind w:left="144" w:right="11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、以历史成本计量的外币非货币性项目，仍采用交易发生日的即期汇率折算，不改变其 记账本位币金额。</w:t>
      </w:r>
    </w:p>
    <w:p>
      <w:pPr>
        <w:spacing w:line="338" w:lineRule="auto" w:before="167"/>
        <w:ind w:left="144" w:right="11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、以公允价值计量的外币非货币性项目，采用公允价值确定日的即期汇率折算，折算后 的记账本位币金额与原记账本位币金额的差额，作为公允价值变动处理，计入当期损益。</w:t>
      </w:r>
    </w:p>
    <w:p>
      <w:pPr>
        <w:spacing w:before="167"/>
        <w:ind w:left="564" w:right="3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）外币财务报表的折算方法</w:t>
      </w:r>
    </w:p>
    <w:p>
      <w:pPr>
        <w:spacing w:after="0"/>
        <w:jc w:val="left"/>
        <w:rPr>
          <w:rFonts w:ascii="宋体" w:hAnsi="宋体" w:cs="宋体" w:eastAsia="宋体" w:hint="default"/>
          <w:sz w:val="21"/>
          <w:szCs w:val="21"/>
        </w:rPr>
        <w:sectPr>
          <w:pgSz w:w="11910" w:h="16840"/>
          <w:pgMar w:header="877" w:footer="982" w:top="1100" w:bottom="1180" w:left="1500" w:right="1420"/>
        </w:sectPr>
      </w:pPr>
    </w:p>
    <w:p>
      <w:pPr>
        <w:spacing w:line="240" w:lineRule="auto" w:before="2"/>
        <w:rPr>
          <w:rFonts w:ascii="宋体" w:hAnsi="宋体" w:cs="宋体" w:eastAsia="宋体" w:hint="default"/>
          <w:sz w:val="19"/>
          <w:szCs w:val="19"/>
        </w:rPr>
      </w:pPr>
    </w:p>
    <w:p>
      <w:pPr>
        <w:spacing w:before="35"/>
        <w:ind w:left="564" w:right="333" w:firstLine="0"/>
        <w:jc w:val="left"/>
        <w:rPr>
          <w:rFonts w:ascii="宋体" w:hAnsi="宋体" w:cs="宋体" w:eastAsia="宋体" w:hint="default"/>
          <w:sz w:val="21"/>
          <w:szCs w:val="21"/>
        </w:rPr>
      </w:pPr>
      <w:r>
        <w:rPr>
          <w:rFonts w:ascii="宋体" w:hAnsi="宋体" w:cs="宋体" w:eastAsia="宋体" w:hint="default"/>
          <w:sz w:val="21"/>
          <w:szCs w:val="21"/>
        </w:rPr>
        <w:t>公司对境外经营的财务报表进行折算时，遵循下列规定：</w:t>
      </w:r>
    </w:p>
    <w:p>
      <w:pPr>
        <w:spacing w:line="240" w:lineRule="auto" w:before="5"/>
        <w:rPr>
          <w:rFonts w:ascii="宋体" w:hAnsi="宋体" w:cs="宋体" w:eastAsia="宋体" w:hint="default"/>
          <w:sz w:val="19"/>
          <w:szCs w:val="19"/>
        </w:rPr>
      </w:pPr>
    </w:p>
    <w:p>
      <w:pPr>
        <w:spacing w:line="338" w:lineRule="auto" w:before="0"/>
        <w:ind w:left="143" w:right="11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、资产负债表中的资产和负债项目，采用资产负债表日的即期汇率折算，所有者权益项 目除</w:t>
      </w:r>
      <w:r>
        <w:rPr>
          <w:rFonts w:ascii="Times New Roman" w:hAnsi="Times New Roman" w:cs="Times New Roman" w:eastAsia="Times New Roman" w:hint="default"/>
          <w:sz w:val="21"/>
          <w:szCs w:val="21"/>
        </w:rPr>
        <w:t>“</w:t>
      </w:r>
      <w:r>
        <w:rPr>
          <w:rFonts w:ascii="宋体" w:hAnsi="宋体" w:cs="宋体" w:eastAsia="宋体" w:hint="default"/>
          <w:sz w:val="21"/>
          <w:szCs w:val="21"/>
        </w:rPr>
        <w:t>未分配利润</w:t>
      </w:r>
      <w:r>
        <w:rPr>
          <w:rFonts w:ascii="Times New Roman" w:hAnsi="Times New Roman" w:cs="Times New Roman" w:eastAsia="Times New Roman" w:hint="default"/>
          <w:sz w:val="21"/>
          <w:szCs w:val="21"/>
        </w:rPr>
        <w:t>”</w:t>
      </w:r>
      <w:r>
        <w:rPr>
          <w:rFonts w:ascii="宋体" w:hAnsi="宋体" w:cs="宋体" w:eastAsia="宋体" w:hint="default"/>
          <w:sz w:val="21"/>
          <w:szCs w:val="21"/>
        </w:rPr>
        <w:t>项目外，其他项目采用发生时的即期近似汇率折算。</w:t>
      </w:r>
    </w:p>
    <w:p>
      <w:pPr>
        <w:spacing w:line="436" w:lineRule="auto" w:before="142"/>
        <w:ind w:left="563" w:right="21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、利润表中的收入和费用项目，采用交易发生日的即期近似汇率折算。 按照上述方法折算产生的外币财务报表折算差额，在资产负债表中所有者权益项目下单独</w:t>
      </w:r>
    </w:p>
    <w:p>
      <w:pPr>
        <w:spacing w:line="236" w:lineRule="exact" w:before="0"/>
        <w:ind w:left="143" w:right="333" w:firstLine="0"/>
        <w:jc w:val="left"/>
        <w:rPr>
          <w:rFonts w:ascii="宋体" w:hAnsi="宋体" w:cs="宋体" w:eastAsia="宋体" w:hint="default"/>
          <w:sz w:val="21"/>
          <w:szCs w:val="21"/>
        </w:rPr>
      </w:pPr>
      <w:r>
        <w:rPr>
          <w:rFonts w:ascii="宋体" w:hAnsi="宋体" w:cs="宋体" w:eastAsia="宋体" w:hint="default"/>
          <w:sz w:val="21"/>
          <w:szCs w:val="21"/>
        </w:rPr>
        <w:t>列示。</w:t>
      </w:r>
    </w:p>
    <w:p>
      <w:pPr>
        <w:spacing w:line="240" w:lineRule="auto" w:before="6"/>
        <w:rPr>
          <w:rFonts w:ascii="宋体" w:hAnsi="宋体" w:cs="宋体" w:eastAsia="宋体" w:hint="default"/>
          <w:sz w:val="19"/>
          <w:szCs w:val="19"/>
        </w:rPr>
      </w:pPr>
    </w:p>
    <w:p>
      <w:pPr>
        <w:spacing w:before="0"/>
        <w:ind w:left="143" w:right="3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436" w:lineRule="auto" w:before="0"/>
        <w:ind w:left="564" w:right="21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）金融资产的分类： 金融资产分为以公允价值计量且其变动计入当期损益的金融资产（包括交易性金融资产和</w:t>
      </w:r>
    </w:p>
    <w:p>
      <w:pPr>
        <w:spacing w:line="237" w:lineRule="exact" w:before="0"/>
        <w:ind w:left="144" w:right="0" w:firstLine="0"/>
        <w:jc w:val="left"/>
        <w:rPr>
          <w:rFonts w:ascii="宋体" w:hAnsi="宋体" w:cs="宋体" w:eastAsia="宋体" w:hint="default"/>
          <w:sz w:val="21"/>
          <w:szCs w:val="21"/>
        </w:rPr>
      </w:pPr>
      <w:r>
        <w:rPr>
          <w:rFonts w:ascii="宋体" w:hAnsi="宋体" w:cs="宋体" w:eastAsia="宋体" w:hint="default"/>
          <w:sz w:val="21"/>
          <w:szCs w:val="21"/>
        </w:rPr>
        <w:t>指定为以公允价值计量且其变动计入当期损益的金融资产</w:t>
      </w:r>
      <w:r>
        <w:rPr>
          <w:rFonts w:ascii="宋体" w:hAnsi="宋体" w:cs="宋体" w:eastAsia="宋体" w:hint="default"/>
          <w:spacing w:val="-106"/>
          <w:sz w:val="21"/>
          <w:szCs w:val="21"/>
        </w:rPr>
        <w:t>）</w:t>
      </w:r>
      <w:r>
        <w:rPr>
          <w:rFonts w:ascii="宋体" w:hAnsi="宋体" w:cs="宋体" w:eastAsia="宋体" w:hint="default"/>
          <w:spacing w:val="-101"/>
          <w:sz w:val="21"/>
          <w:szCs w:val="21"/>
        </w:rPr>
        <w:t>、</w:t>
      </w:r>
      <w:r>
        <w:rPr>
          <w:rFonts w:ascii="宋体" w:hAnsi="宋体" w:cs="宋体" w:eastAsia="宋体" w:hint="default"/>
          <w:sz w:val="21"/>
          <w:szCs w:val="21"/>
        </w:rPr>
        <w:t>持有至到期投资</w:t>
      </w:r>
      <w:r>
        <w:rPr>
          <w:rFonts w:ascii="宋体" w:hAnsi="宋体" w:cs="宋体" w:eastAsia="宋体" w:hint="default"/>
          <w:spacing w:val="-101"/>
          <w:sz w:val="21"/>
          <w:szCs w:val="21"/>
        </w:rPr>
        <w:t>、</w:t>
      </w:r>
      <w:r>
        <w:rPr>
          <w:rFonts w:ascii="宋体" w:hAnsi="宋体" w:cs="宋体" w:eastAsia="宋体" w:hint="default"/>
          <w:sz w:val="21"/>
          <w:szCs w:val="21"/>
        </w:rPr>
        <w:t>贷款和应收款项、</w:t>
      </w:r>
    </w:p>
    <w:p>
      <w:pPr>
        <w:spacing w:before="133"/>
        <w:ind w:left="144" w:right="333" w:firstLine="0"/>
        <w:jc w:val="left"/>
        <w:rPr>
          <w:rFonts w:ascii="宋体" w:hAnsi="宋体" w:cs="宋体" w:eastAsia="宋体" w:hint="default"/>
          <w:sz w:val="21"/>
          <w:szCs w:val="21"/>
        </w:rPr>
      </w:pPr>
      <w:r>
        <w:rPr>
          <w:rFonts w:ascii="宋体" w:hAnsi="宋体" w:cs="宋体" w:eastAsia="宋体" w:hint="default"/>
          <w:sz w:val="21"/>
          <w:szCs w:val="21"/>
        </w:rPr>
        <w:t>可供出售金融资产等四类。</w:t>
      </w:r>
    </w:p>
    <w:p>
      <w:pPr>
        <w:spacing w:line="240" w:lineRule="auto" w:before="6"/>
        <w:rPr>
          <w:rFonts w:ascii="宋体" w:hAnsi="宋体" w:cs="宋体" w:eastAsia="宋体" w:hint="default"/>
          <w:sz w:val="19"/>
          <w:szCs w:val="19"/>
        </w:rPr>
      </w:pPr>
    </w:p>
    <w:p>
      <w:pPr>
        <w:spacing w:before="0"/>
        <w:ind w:left="564" w:right="3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）金融资产的计量：</w:t>
      </w:r>
    </w:p>
    <w:p>
      <w:pPr>
        <w:spacing w:line="240" w:lineRule="auto" w:before="2"/>
        <w:rPr>
          <w:rFonts w:ascii="宋体" w:hAnsi="宋体" w:cs="宋体" w:eastAsia="宋体" w:hint="default"/>
          <w:sz w:val="18"/>
          <w:szCs w:val="18"/>
        </w:rPr>
      </w:pPr>
    </w:p>
    <w:p>
      <w:pPr>
        <w:spacing w:line="348" w:lineRule="auto" w:before="0"/>
        <w:ind w:left="144" w:right="21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、初始确认金融资产按照公允价值计量。对于以公允价值计量且其变动计入当期损益的 金融资产，相关交易费用直接计入当期损益；对于其他类别的金融资产，相关交易费用计入初</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始确认金额。</w:t>
      </w:r>
    </w:p>
    <w:p>
      <w:pPr>
        <w:spacing w:line="338" w:lineRule="auto" w:before="158"/>
        <w:ind w:left="144" w:right="11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、本公司按照公允价值对金融资产进行后续计量，且不扣除将来处置该金融资产时可能 发生的交易费用。但是，下列情况除外：</w:t>
      </w:r>
    </w:p>
    <w:p>
      <w:pPr>
        <w:spacing w:before="167"/>
        <w:ind w:left="564" w:right="33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、持有至到期投资以及贷款和应收款项，采用实际利率法，按摊余成本计量。</w:t>
      </w:r>
    </w:p>
    <w:p>
      <w:pPr>
        <w:spacing w:line="240" w:lineRule="auto" w:before="3"/>
        <w:rPr>
          <w:rFonts w:ascii="宋体" w:hAnsi="宋体" w:cs="宋体" w:eastAsia="宋体" w:hint="default"/>
          <w:sz w:val="18"/>
          <w:szCs w:val="18"/>
        </w:rPr>
      </w:pPr>
    </w:p>
    <w:p>
      <w:pPr>
        <w:spacing w:line="336" w:lineRule="auto" w:before="0"/>
        <w:ind w:left="144" w:right="111" w:firstLine="42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b</w:t>
      </w:r>
      <w:r>
        <w:rPr>
          <w:rFonts w:ascii="宋体" w:hAnsi="宋体" w:cs="宋体" w:eastAsia="宋体" w:hint="default"/>
          <w:spacing w:val="-3"/>
          <w:sz w:val="21"/>
          <w:szCs w:val="21"/>
        </w:rPr>
        <w:t>、在活跃市场中没有报价且其公允价值不能可靠计量的权益工具投资，以及与该权益工具</w:t>
      </w:r>
      <w:r>
        <w:rPr>
          <w:rFonts w:ascii="宋体" w:hAnsi="宋体" w:cs="宋体" w:eastAsia="宋体" w:hint="default"/>
          <w:sz w:val="21"/>
          <w:szCs w:val="21"/>
        </w:rPr>
        <w:t> 挂钩并须通过交付该权益工具结算的衍生金融资产，按照成本计量。</w:t>
      </w:r>
    </w:p>
    <w:p>
      <w:pPr>
        <w:spacing w:before="170"/>
        <w:ind w:left="564" w:right="3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）金融资产公允价值的确定：</w:t>
      </w:r>
    </w:p>
    <w:p>
      <w:pPr>
        <w:spacing w:line="530" w:lineRule="atLeast" w:before="0"/>
        <w:ind w:left="564" w:right="11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、存在活跃市场的金融资产，将活跃市场中的报价确定为公允价值； </w:t>
      </w:r>
      <w:r>
        <w:rPr>
          <w:rFonts w:ascii="Times New Roman" w:hAnsi="Times New Roman" w:cs="Times New Roman" w:eastAsia="Times New Roman" w:hint="default"/>
          <w:spacing w:val="-1"/>
          <w:sz w:val="21"/>
          <w:szCs w:val="21"/>
        </w:rPr>
        <w:t>B</w:t>
      </w:r>
      <w:r>
        <w:rPr>
          <w:rFonts w:ascii="宋体" w:hAnsi="宋体" w:cs="宋体" w:eastAsia="宋体" w:hint="default"/>
          <w:spacing w:val="-1"/>
          <w:sz w:val="21"/>
          <w:szCs w:val="21"/>
        </w:rPr>
        <w:t>、金融资产不存在活跃市场的，采用估值技术确定公允价值。采用估值技术得出的结果，</w:t>
      </w:r>
    </w:p>
    <w:p>
      <w:pPr>
        <w:spacing w:before="118"/>
        <w:ind w:left="144" w:right="333" w:firstLine="0"/>
        <w:jc w:val="left"/>
        <w:rPr>
          <w:rFonts w:ascii="宋体" w:hAnsi="宋体" w:cs="宋体" w:eastAsia="宋体" w:hint="default"/>
          <w:sz w:val="21"/>
          <w:szCs w:val="21"/>
        </w:rPr>
      </w:pPr>
      <w:r>
        <w:rPr>
          <w:rFonts w:ascii="宋体" w:hAnsi="宋体" w:cs="宋体" w:eastAsia="宋体" w:hint="default"/>
          <w:sz w:val="21"/>
          <w:szCs w:val="21"/>
        </w:rPr>
        <w:t>反映估值日在公平交易中可能采用的交易价格。</w:t>
      </w:r>
    </w:p>
    <w:p>
      <w:pPr>
        <w:spacing w:line="240" w:lineRule="auto" w:before="5"/>
        <w:rPr>
          <w:rFonts w:ascii="宋体" w:hAnsi="宋体" w:cs="宋体" w:eastAsia="宋体" w:hint="default"/>
          <w:sz w:val="19"/>
          <w:szCs w:val="19"/>
        </w:rPr>
      </w:pPr>
    </w:p>
    <w:p>
      <w:pPr>
        <w:spacing w:line="436" w:lineRule="auto" w:before="0"/>
        <w:ind w:left="564" w:right="21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）金融资产转移： 本公司于将金融资产所有权上几乎所有的风险和报酬转移给转入方或已放弃对该金融资产</w:t>
      </w:r>
    </w:p>
    <w:p>
      <w:pPr>
        <w:spacing w:line="236" w:lineRule="exact" w:before="0"/>
        <w:ind w:left="144" w:right="333" w:firstLine="0"/>
        <w:jc w:val="left"/>
        <w:rPr>
          <w:rFonts w:ascii="宋体" w:hAnsi="宋体" w:cs="宋体" w:eastAsia="宋体" w:hint="default"/>
          <w:sz w:val="21"/>
          <w:szCs w:val="21"/>
        </w:rPr>
      </w:pPr>
      <w:r>
        <w:rPr>
          <w:rFonts w:ascii="宋体" w:hAnsi="宋体" w:cs="宋体" w:eastAsia="宋体" w:hint="default"/>
          <w:sz w:val="21"/>
          <w:szCs w:val="21"/>
        </w:rPr>
        <w:t>的控制时，终止确认该金融资产。</w:t>
      </w:r>
    </w:p>
    <w:p>
      <w:pPr>
        <w:spacing w:line="240" w:lineRule="auto" w:before="6"/>
        <w:rPr>
          <w:rFonts w:ascii="宋体" w:hAnsi="宋体" w:cs="宋体" w:eastAsia="宋体" w:hint="default"/>
          <w:sz w:val="19"/>
          <w:szCs w:val="19"/>
        </w:rPr>
      </w:pPr>
    </w:p>
    <w:p>
      <w:pPr>
        <w:spacing w:line="436" w:lineRule="auto" w:before="0"/>
        <w:ind w:left="564" w:right="21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）金融资产减值： 在资产负债表日对以公允价值计量且其变动计入当期损益的金融资产以外的金融资产的账</w:t>
      </w:r>
    </w:p>
    <w:p>
      <w:pPr>
        <w:spacing w:after="0" w:line="436" w:lineRule="auto"/>
        <w:jc w:val="left"/>
        <w:rPr>
          <w:rFonts w:ascii="宋体" w:hAnsi="宋体" w:cs="宋体" w:eastAsia="宋体" w:hint="default"/>
          <w:sz w:val="21"/>
          <w:szCs w:val="21"/>
        </w:rPr>
        <w:sectPr>
          <w:pgSz w:w="11910" w:h="16840"/>
          <w:pgMar w:header="877" w:footer="982" w:top="1100" w:bottom="1180" w:left="1500" w:right="1420"/>
        </w:sectPr>
      </w:pPr>
    </w:p>
    <w:p>
      <w:pPr>
        <w:spacing w:line="240" w:lineRule="auto" w:before="2"/>
        <w:rPr>
          <w:rFonts w:ascii="宋体" w:hAnsi="宋体" w:cs="宋体" w:eastAsia="宋体" w:hint="default"/>
          <w:sz w:val="19"/>
          <w:szCs w:val="19"/>
        </w:rPr>
      </w:pPr>
    </w:p>
    <w:p>
      <w:pPr>
        <w:spacing w:line="355" w:lineRule="auto" w:before="35"/>
        <w:ind w:left="144" w:right="210" w:firstLine="0"/>
        <w:jc w:val="left"/>
        <w:rPr>
          <w:rFonts w:ascii="宋体" w:hAnsi="宋体" w:cs="宋体" w:eastAsia="宋体" w:hint="default"/>
          <w:sz w:val="21"/>
          <w:szCs w:val="21"/>
        </w:rPr>
      </w:pPr>
      <w:r>
        <w:rPr>
          <w:rFonts w:ascii="宋体" w:hAnsi="宋体" w:cs="宋体" w:eastAsia="宋体" w:hint="default"/>
          <w:sz w:val="21"/>
          <w:szCs w:val="21"/>
        </w:rPr>
        <w:t>面价值进行检查，有客观证据表明该金融资产发生减值的，计提减值准备。金融资产发生减值</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的客观证据，包括下列各项：</w:t>
      </w:r>
    </w:p>
    <w:p>
      <w:pPr>
        <w:spacing w:line="436" w:lineRule="auto" w:before="153"/>
        <w:ind w:left="563" w:right="33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、发行方或债务人发生严重财务困难； </w:t>
      </w:r>
      <w:r>
        <w:rPr>
          <w:rFonts w:ascii="Times New Roman" w:hAnsi="Times New Roman" w:cs="Times New Roman" w:eastAsia="Times New Roman" w:hint="default"/>
          <w:sz w:val="21"/>
          <w:szCs w:val="21"/>
        </w:rPr>
        <w:t>B</w:t>
      </w:r>
      <w:r>
        <w:rPr>
          <w:rFonts w:ascii="宋体" w:hAnsi="宋体" w:cs="宋体" w:eastAsia="宋体" w:hint="default"/>
          <w:sz w:val="21"/>
          <w:szCs w:val="21"/>
        </w:rPr>
        <w:t>、债务人违反了合同条款，如偿付利息或本金发生违约或逾期等； </w:t>
      </w:r>
      <w:r>
        <w:rPr>
          <w:rFonts w:ascii="Times New Roman" w:hAnsi="Times New Roman" w:cs="Times New Roman" w:eastAsia="Times New Roman" w:hint="default"/>
          <w:sz w:val="21"/>
          <w:szCs w:val="21"/>
        </w:rPr>
        <w:t>C</w:t>
      </w:r>
      <w:r>
        <w:rPr>
          <w:rFonts w:ascii="宋体" w:hAnsi="宋体" w:cs="宋体" w:eastAsia="宋体" w:hint="default"/>
          <w:sz w:val="21"/>
          <w:szCs w:val="21"/>
        </w:rPr>
        <w:t>、本公司出于经济或法律等方面因素的考虑，对发生困难的债务人作出让步； </w:t>
      </w:r>
      <w:r>
        <w:rPr>
          <w:rFonts w:ascii="Times New Roman" w:hAnsi="Times New Roman" w:cs="Times New Roman" w:eastAsia="Times New Roman" w:hint="default"/>
          <w:sz w:val="21"/>
          <w:szCs w:val="21"/>
        </w:rPr>
        <w:t>D</w:t>
      </w:r>
      <w:r>
        <w:rPr>
          <w:rFonts w:ascii="宋体" w:hAnsi="宋体" w:cs="宋体" w:eastAsia="宋体" w:hint="default"/>
          <w:sz w:val="21"/>
          <w:szCs w:val="21"/>
        </w:rPr>
        <w:t>、债务人很可能倒闭或进行其他财务重组； </w:t>
      </w:r>
      <w:r>
        <w:rPr>
          <w:rFonts w:ascii="Times New Roman" w:hAnsi="Times New Roman" w:cs="Times New Roman" w:eastAsia="Times New Roman" w:hint="default"/>
          <w:sz w:val="21"/>
          <w:szCs w:val="21"/>
        </w:rPr>
        <w:t>E</w:t>
      </w:r>
      <w:r>
        <w:rPr>
          <w:rFonts w:ascii="宋体" w:hAnsi="宋体" w:cs="宋体" w:eastAsia="宋体" w:hint="default"/>
          <w:sz w:val="21"/>
          <w:szCs w:val="21"/>
        </w:rPr>
        <w:t>、因发行方发生重大财务困难，该金融资产无法在活跃市场继续交易；</w:t>
      </w:r>
    </w:p>
    <w:p>
      <w:pPr>
        <w:spacing w:line="336" w:lineRule="auto" w:before="46"/>
        <w:ind w:left="144" w:right="111"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F</w:t>
      </w:r>
      <w:r>
        <w:rPr>
          <w:rFonts w:ascii="宋体" w:hAnsi="宋体" w:cs="宋体" w:eastAsia="宋体" w:hint="default"/>
          <w:spacing w:val="2"/>
          <w:sz w:val="21"/>
          <w:szCs w:val="21"/>
        </w:rPr>
        <w:t>、债务人经营所处的技术、市场、经济和法律环境等发生重大不利变化，使本公司可能 </w:t>
      </w:r>
      <w:r>
        <w:rPr>
          <w:rFonts w:ascii="宋体" w:hAnsi="宋体" w:cs="宋体" w:eastAsia="宋体" w:hint="default"/>
          <w:sz w:val="21"/>
          <w:szCs w:val="21"/>
        </w:rPr>
        <w:t>无法收回投资成本；</w:t>
      </w:r>
    </w:p>
    <w:p>
      <w:pPr>
        <w:spacing w:line="336" w:lineRule="auto" w:before="170"/>
        <w:ind w:left="144" w:right="11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G</w:t>
      </w:r>
      <w:r>
        <w:rPr>
          <w:rFonts w:ascii="宋体" w:hAnsi="宋体" w:cs="宋体" w:eastAsia="宋体" w:hint="default"/>
          <w:sz w:val="21"/>
          <w:szCs w:val="21"/>
        </w:rPr>
        <w:t>、无法辨认一组金融资产中的某项资产的现金流量是否已经减少，但根据公开的数据对 </w:t>
      </w:r>
      <w:r>
        <w:rPr>
          <w:rFonts w:ascii="宋体" w:hAnsi="宋体" w:cs="宋体" w:eastAsia="宋体" w:hint="default"/>
          <w:spacing w:val="-3"/>
          <w:sz w:val="21"/>
          <w:szCs w:val="21"/>
        </w:rPr>
        <w:t>其进行总体评价后发现，该组金融资产自初始确认以来的预计未来现金流量确已减少且可计量；</w:t>
      </w:r>
    </w:p>
    <w:p>
      <w:pPr>
        <w:spacing w:line="436" w:lineRule="auto" w:before="170"/>
        <w:ind w:left="564" w:right="320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H</w:t>
      </w:r>
      <w:r>
        <w:rPr>
          <w:rFonts w:ascii="宋体" w:hAnsi="宋体" w:cs="宋体" w:eastAsia="宋体" w:hint="default"/>
          <w:sz w:val="21"/>
          <w:szCs w:val="21"/>
        </w:rPr>
        <w:t>、权益工具投资的公允价值发生严重或非暂时性下跌； </w:t>
      </w:r>
      <w:r>
        <w:rPr>
          <w:rFonts w:ascii="Times New Roman" w:hAnsi="Times New Roman" w:cs="Times New Roman" w:eastAsia="Times New Roman" w:hint="default"/>
          <w:sz w:val="21"/>
          <w:szCs w:val="21"/>
        </w:rPr>
        <w:t>I</w:t>
      </w:r>
      <w:r>
        <w:rPr>
          <w:rFonts w:ascii="宋体" w:hAnsi="宋体" w:cs="宋体" w:eastAsia="宋体" w:hint="default"/>
          <w:sz w:val="21"/>
          <w:szCs w:val="21"/>
        </w:rPr>
        <w:t>、其他表明金融资产发生减值的客观证据。</w:t>
      </w:r>
    </w:p>
    <w:p>
      <w:pPr>
        <w:spacing w:before="48"/>
        <w:ind w:left="564" w:right="3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）金融资产减值损失的计量：</w:t>
      </w:r>
    </w:p>
    <w:p>
      <w:pPr>
        <w:spacing w:line="530" w:lineRule="atLeast" w:before="0"/>
        <w:ind w:left="564" w:right="11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、以公允价值计量且其变动计入当期损益的金融资产不需要进行减值测试； </w:t>
      </w:r>
      <w:r>
        <w:rPr>
          <w:rFonts w:ascii="Times New Roman" w:hAnsi="Times New Roman" w:cs="Times New Roman" w:eastAsia="Times New Roman" w:hint="default"/>
          <w:sz w:val="21"/>
          <w:szCs w:val="21"/>
        </w:rPr>
        <w:t>B</w:t>
      </w:r>
      <w:r>
        <w:rPr>
          <w:rFonts w:ascii="宋体" w:hAnsi="宋体" w:cs="宋体" w:eastAsia="宋体" w:hint="default"/>
          <w:sz w:val="21"/>
          <w:szCs w:val="21"/>
        </w:rPr>
        <w:t>、持有至到期投资的减值损失的计量：按预计未来现金流现值低于期末账面价值的差额</w:t>
      </w:r>
    </w:p>
    <w:p>
      <w:pPr>
        <w:spacing w:before="118"/>
        <w:ind w:left="144" w:right="333" w:firstLine="0"/>
        <w:jc w:val="left"/>
        <w:rPr>
          <w:rFonts w:ascii="宋体" w:hAnsi="宋体" w:cs="宋体" w:eastAsia="宋体" w:hint="default"/>
          <w:sz w:val="21"/>
          <w:szCs w:val="21"/>
        </w:rPr>
      </w:pPr>
      <w:r>
        <w:rPr>
          <w:rFonts w:ascii="宋体" w:hAnsi="宋体" w:cs="宋体" w:eastAsia="宋体" w:hint="default"/>
          <w:sz w:val="21"/>
          <w:szCs w:val="21"/>
        </w:rPr>
        <w:t>计提减值准备；</w:t>
      </w:r>
    </w:p>
    <w:p>
      <w:pPr>
        <w:spacing w:line="240" w:lineRule="auto" w:before="5"/>
        <w:rPr>
          <w:rFonts w:ascii="宋体" w:hAnsi="宋体" w:cs="宋体" w:eastAsia="宋体" w:hint="default"/>
          <w:sz w:val="19"/>
          <w:szCs w:val="19"/>
        </w:rPr>
      </w:pPr>
    </w:p>
    <w:p>
      <w:pPr>
        <w:spacing w:line="352" w:lineRule="auto" w:before="0"/>
        <w:ind w:left="144" w:right="11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、应收款项坏账准备的确认标准、计提方法：单项金额重大的，单独进行减值测试，根 据其未来现金流量现值低于其账面价值的差额，确认减值损失，计提坏账准备；单项金额不重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大，经测试未减值的应收款项，采用账龄分析法，按应收款项的账龄和规定的提取比例确认减</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3"/>
          <w:sz w:val="21"/>
          <w:szCs w:val="21"/>
        </w:rPr>
        <w:t>值损失，计提坏账准备；单项金额不重大但按信用风险特征组合法组合后风险较大的应收款项，</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单独进行测试，并计提个别坏账准备。经单独测试未减值的应收款项，采用账龄分析法，按应</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收款项的账龄和规定的提取比例确认减值损失。</w:t>
      </w:r>
    </w:p>
    <w:p>
      <w:pPr>
        <w:spacing w:line="336" w:lineRule="auto" w:before="155"/>
        <w:ind w:left="144" w:right="11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、可供出售的金融资产减值的判断：若该项金融资产公允价值出现持续下降，且其下降 属于非暂时性的，则可认定该项金融资产发生了减值。</w:t>
      </w:r>
    </w:p>
    <w:p>
      <w:pPr>
        <w:spacing w:line="336" w:lineRule="auto" w:before="170"/>
        <w:ind w:left="144" w:right="111" w:firstLine="42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）将尚未到期的持有至到期投资重分类为可供出售金融资产的，说明持有意图或能力发</w:t>
      </w:r>
      <w:r>
        <w:rPr>
          <w:rFonts w:ascii="宋体" w:hAnsi="宋体" w:cs="宋体" w:eastAsia="宋体" w:hint="default"/>
          <w:sz w:val="21"/>
          <w:szCs w:val="21"/>
        </w:rPr>
        <w:t> 生改变的依据。</w:t>
      </w:r>
    </w:p>
    <w:p>
      <w:pPr>
        <w:spacing w:before="170"/>
        <w:ind w:left="564" w:right="333" w:firstLine="0"/>
        <w:jc w:val="left"/>
        <w:rPr>
          <w:rFonts w:ascii="宋体" w:hAnsi="宋体" w:cs="宋体" w:eastAsia="宋体" w:hint="default"/>
          <w:sz w:val="21"/>
          <w:szCs w:val="21"/>
        </w:rPr>
      </w:pPr>
      <w:r>
        <w:rPr>
          <w:rFonts w:ascii="宋体" w:hAnsi="宋体" w:cs="宋体" w:eastAsia="宋体" w:hint="default"/>
          <w:sz w:val="21"/>
          <w:szCs w:val="21"/>
        </w:rPr>
        <w:t>无。</w:t>
      </w:r>
    </w:p>
    <w:p>
      <w:pPr>
        <w:spacing w:after="0"/>
        <w:jc w:val="left"/>
        <w:rPr>
          <w:rFonts w:ascii="宋体" w:hAnsi="宋体" w:cs="宋体" w:eastAsia="宋体" w:hint="default"/>
          <w:sz w:val="21"/>
          <w:szCs w:val="21"/>
        </w:rPr>
        <w:sectPr>
          <w:pgSz w:w="11910" w:h="16840"/>
          <w:pgMar w:header="877" w:footer="982" w:top="1100" w:bottom="1180" w:left="1500" w:right="1420"/>
        </w:sectPr>
      </w:pPr>
    </w:p>
    <w:p>
      <w:pPr>
        <w:spacing w:line="240" w:lineRule="auto" w:before="2"/>
        <w:rPr>
          <w:rFonts w:ascii="宋体" w:hAnsi="宋体" w:cs="宋体" w:eastAsia="宋体" w:hint="default"/>
          <w:sz w:val="19"/>
          <w:szCs w:val="19"/>
        </w:rPr>
      </w:pPr>
    </w:p>
    <w:p>
      <w:pPr>
        <w:spacing w:before="35"/>
        <w:ind w:left="244" w:right="2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243" w:right="25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）单项金额重大并单项计提坏账准备的应收款项：</w:t>
      </w:r>
    </w:p>
    <w:p>
      <w:pPr>
        <w:spacing w:line="240" w:lineRule="auto" w:before="11"/>
        <w:rPr>
          <w:rFonts w:ascii="宋体" w:hAnsi="宋体" w:cs="宋体" w:eastAsia="宋体" w:hint="default"/>
          <w:sz w:val="20"/>
          <w:szCs w:val="20"/>
        </w:rPr>
      </w:pPr>
    </w:p>
    <w:tbl>
      <w:tblPr>
        <w:tblW w:w="0" w:type="auto"/>
        <w:jc w:val="left"/>
        <w:tblInd w:w="116" w:type="dxa"/>
        <w:tblLayout w:type="fixed"/>
        <w:tblCellMar>
          <w:top w:w="0" w:type="dxa"/>
          <w:left w:w="0" w:type="dxa"/>
          <w:bottom w:w="0" w:type="dxa"/>
          <w:right w:w="0" w:type="dxa"/>
        </w:tblCellMar>
        <w:tblLook w:val="01E0"/>
      </w:tblPr>
      <w:tblGrid>
        <w:gridCol w:w="1564"/>
        <w:gridCol w:w="7262"/>
      </w:tblGrid>
      <w:tr>
        <w:trPr>
          <w:trHeight w:val="1067" w:hRule="exact"/>
        </w:trPr>
        <w:tc>
          <w:tcPr>
            <w:tcW w:w="1564"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12"/>
              <w:ind w:left="122" w:right="101"/>
              <w:jc w:val="both"/>
              <w:rPr>
                <w:rFonts w:ascii="宋体" w:hAnsi="宋体" w:cs="宋体" w:eastAsia="宋体" w:hint="default"/>
                <w:sz w:val="21"/>
                <w:szCs w:val="21"/>
              </w:rPr>
            </w:pPr>
            <w:r>
              <w:rPr>
                <w:rFonts w:ascii="宋体" w:hAnsi="宋体" w:cs="宋体" w:eastAsia="宋体" w:hint="default"/>
                <w:spacing w:val="11"/>
                <w:sz w:val="21"/>
                <w:szCs w:val="21"/>
              </w:rPr>
              <w:t>单项金额重大</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1"/>
                <w:sz w:val="21"/>
                <w:szCs w:val="21"/>
              </w:rPr>
              <w:t>的判断依据或</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金额标准</w:t>
            </w:r>
          </w:p>
        </w:tc>
        <w:tc>
          <w:tcPr>
            <w:tcW w:w="7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本公司将在资产负债表日单个客户欠款余额在</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万元（含）以上的应收账款</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万元（含）以上其他应收款确定为单项金额重大的应收款项。</w:t>
            </w:r>
          </w:p>
        </w:tc>
      </w:tr>
      <w:tr>
        <w:trPr>
          <w:trHeight w:val="396" w:hRule="exact"/>
        </w:trPr>
        <w:tc>
          <w:tcPr>
            <w:tcW w:w="1564" w:type="dxa"/>
            <w:tcBorders>
              <w:top w:val="single" w:sz="4" w:space="0" w:color="000000"/>
              <w:left w:val="nil" w:sz="6" w:space="0" w:color="auto"/>
              <w:bottom w:val="nil" w:sz="6" w:space="0" w:color="auto"/>
              <w:right w:val="single" w:sz="4" w:space="0" w:color="000000"/>
            </w:tcBorders>
          </w:tcPr>
          <w:p>
            <w:pPr>
              <w:pStyle w:val="TableParagraph"/>
              <w:spacing w:line="240" w:lineRule="auto" w:before="84"/>
              <w:ind w:left="122" w:right="0"/>
              <w:jc w:val="left"/>
              <w:rPr>
                <w:rFonts w:ascii="宋体" w:hAnsi="宋体" w:cs="宋体" w:eastAsia="宋体" w:hint="default"/>
                <w:sz w:val="21"/>
                <w:szCs w:val="21"/>
              </w:rPr>
            </w:pPr>
            <w:r>
              <w:rPr>
                <w:rFonts w:ascii="宋体" w:hAnsi="宋体" w:cs="宋体" w:eastAsia="宋体" w:hint="default"/>
                <w:spacing w:val="11"/>
                <w:sz w:val="21"/>
                <w:szCs w:val="21"/>
              </w:rPr>
              <w:t>单项金额重大</w:t>
            </w:r>
          </w:p>
        </w:tc>
        <w:tc>
          <w:tcPr>
            <w:tcW w:w="7262" w:type="dxa"/>
            <w:tcBorders>
              <w:top w:val="single" w:sz="4" w:space="0" w:color="000000"/>
              <w:left w:val="single" w:sz="4" w:space="0" w:color="000000"/>
              <w:bottom w:val="nil" w:sz="6" w:space="0" w:color="auto"/>
              <w:right w:val="nil" w:sz="6" w:space="0" w:color="auto"/>
            </w:tcBorders>
          </w:tcPr>
          <w:p>
            <w:pPr/>
          </w:p>
        </w:tc>
      </w:tr>
      <w:tr>
        <w:trPr>
          <w:trHeight w:val="272" w:hRule="exact"/>
        </w:trPr>
        <w:tc>
          <w:tcPr>
            <w:tcW w:w="1564" w:type="dxa"/>
            <w:tcBorders>
              <w:top w:val="nil" w:sz="6" w:space="0" w:color="auto"/>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1"/>
                <w:sz w:val="21"/>
                <w:szCs w:val="21"/>
              </w:rPr>
              <w:t>并单项计提坏</w:t>
            </w:r>
          </w:p>
        </w:tc>
        <w:tc>
          <w:tcPr>
            <w:tcW w:w="7262" w:type="dxa"/>
            <w:tcBorders>
              <w:top w:val="nil" w:sz="6" w:space="0" w:color="auto"/>
              <w:left w:val="single" w:sz="4" w:space="0" w:color="000000"/>
              <w:bottom w:val="nil" w:sz="6" w:space="0" w:color="auto"/>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单独进行减值测试，如有客观证据表明其发生了减值的，根据其未来现金流量</w:t>
            </w:r>
          </w:p>
        </w:tc>
      </w:tr>
      <w:tr>
        <w:trPr>
          <w:trHeight w:val="272" w:hRule="exact"/>
        </w:trPr>
        <w:tc>
          <w:tcPr>
            <w:tcW w:w="1564" w:type="dxa"/>
            <w:tcBorders>
              <w:top w:val="nil" w:sz="6" w:space="0" w:color="auto"/>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1"/>
                <w:sz w:val="21"/>
                <w:szCs w:val="21"/>
              </w:rPr>
              <w:t>账准备的计提</w:t>
            </w:r>
          </w:p>
        </w:tc>
        <w:tc>
          <w:tcPr>
            <w:tcW w:w="7262" w:type="dxa"/>
            <w:tcBorders>
              <w:top w:val="nil" w:sz="6" w:space="0" w:color="auto"/>
              <w:left w:val="single" w:sz="4" w:space="0" w:color="000000"/>
              <w:bottom w:val="nil" w:sz="6" w:space="0" w:color="auto"/>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现值低于其账面价值的差额，确认减值损失，计提坏账准备。</w:t>
            </w:r>
          </w:p>
        </w:tc>
      </w:tr>
      <w:tr>
        <w:trPr>
          <w:trHeight w:val="400" w:hRule="exact"/>
        </w:trPr>
        <w:tc>
          <w:tcPr>
            <w:tcW w:w="1564" w:type="dxa"/>
            <w:tcBorders>
              <w:top w:val="nil" w:sz="6" w:space="0" w:color="auto"/>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方法</w:t>
            </w:r>
          </w:p>
        </w:tc>
        <w:tc>
          <w:tcPr>
            <w:tcW w:w="7262" w:type="dxa"/>
            <w:tcBorders>
              <w:top w:val="nil" w:sz="6" w:space="0" w:color="auto"/>
              <w:left w:val="single" w:sz="4" w:space="0" w:color="000000"/>
              <w:bottom w:val="single" w:sz="4" w:space="0" w:color="000000"/>
              <w:right w:val="nil" w:sz="6" w:space="0" w:color="auto"/>
            </w:tcBorders>
          </w:tcPr>
          <w:p>
            <w:pPr/>
          </w:p>
        </w:tc>
      </w:tr>
    </w:tbl>
    <w:p>
      <w:pPr>
        <w:spacing w:line="542" w:lineRule="auto" w:before="86"/>
        <w:ind w:left="244" w:right="5456" w:hanging="1"/>
        <w:jc w:val="left"/>
        <w:rPr>
          <w:rFonts w:ascii="宋体" w:hAnsi="宋体" w:cs="宋体" w:eastAsia="宋体" w:hint="default"/>
          <w:sz w:val="21"/>
          <w:szCs w:val="21"/>
        </w:rPr>
      </w:pPr>
      <w:r>
        <w:rPr/>
        <w:pict>
          <v:group style="position:absolute;margin-left:76.800003pt;margin-top:32.6441pt;width:441.4pt;height:.1pt;mso-position-horizontal-relative:page;mso-position-vertical-relative:paragraph;z-index:-614176" coordorigin="1536,653" coordsize="8828,2">
            <v:shape style="position:absolute;left:1536;top:653;width:8828;height:2" coordorigin="1536,653" coordsize="8828,0" path="m1536,653l10363,653e" filled="false" stroked="true" strokeweight=".47998pt" strokecolor="#000000">
              <v:path arrowok="t"/>
            </v:shape>
            <w10:wrap type="none"/>
          </v:group>
        </w:pict>
      </w:r>
      <w:r>
        <w:rPr/>
        <w:pict>
          <v:group style="position:absolute;margin-left:76.559998pt;margin-top:58.504108pt;width:441.85pt;height:53.85pt;mso-position-horizontal-relative:page;mso-position-vertical-relative:paragraph;z-index:-614104" coordorigin="1531,1170" coordsize="8837,1077">
            <v:group style="position:absolute;left:1536;top:1175;width:8828;height:2" coordorigin="1536,1175" coordsize="8828,2">
              <v:shape style="position:absolute;left:1536;top:1175;width:8828;height:2" coordorigin="1536,1175" coordsize="8828,0" path="m1536,1175l10363,1175e" filled="false" stroked="true" strokeweight=".47998pt" strokecolor="#000000">
                <v:path arrowok="t"/>
              </v:shape>
            </v:group>
            <v:group style="position:absolute;left:3409;top:1180;width:2;height:1058" coordorigin="3409,1180" coordsize="2,1058">
              <v:shape style="position:absolute;left:3409;top:1180;width:2;height:1058" coordorigin="3409,1180" coordsize="0,1058" path="m3409,1180l3409,2237e" filled="false" stroked="true" strokeweight=".48pt" strokecolor="#000000">
                <v:path arrowok="t"/>
              </v:shape>
            </v:group>
            <v:group style="position:absolute;left:1536;top:2242;width:8828;height:2" coordorigin="1536,2242" coordsize="8828,2">
              <v:shape style="position:absolute;left:1536;top:2242;width:8828;height:2" coordorigin="1536,2242" coordsize="8828,0" path="m1536,2242l10363,2242e" filled="false" stroked="true" strokeweight=".48001pt" strokecolor="#000000">
                <v:path arrowok="t"/>
              </v:shape>
              <v:shape style="position:absolute;left:1644;top:1602;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账龄组合</w:t>
                      </w:r>
                    </w:p>
                  </w:txbxContent>
                </v:textbox>
                <w10:wrap type="none"/>
              </v:shape>
              <v:shape style="position:absolute;left:3517;top:1329;width:6744;height:755"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单项金额不重大的应收款项，与经单独测试后未减值的单项金额重大的应</w:t>
                      </w:r>
                    </w:p>
                    <w:p>
                      <w:pPr>
                        <w:spacing w:line="272" w:lineRule="exact" w:before="26"/>
                        <w:ind w:left="0" w:right="0" w:firstLine="0"/>
                        <w:jc w:val="left"/>
                        <w:rPr>
                          <w:rFonts w:ascii="宋体" w:hAnsi="宋体" w:cs="宋体" w:eastAsia="宋体" w:hint="default"/>
                          <w:sz w:val="21"/>
                          <w:szCs w:val="21"/>
                        </w:rPr>
                      </w:pPr>
                      <w:r>
                        <w:rPr>
                          <w:rFonts w:ascii="宋体" w:hAnsi="宋体" w:cs="宋体" w:eastAsia="宋体" w:hint="default"/>
                          <w:sz w:val="21"/>
                          <w:szCs w:val="21"/>
                        </w:rPr>
                        <w:t>收款项，以账龄为信用风险特征进行组合并结合现实的实际损失率确定不</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同账龄应计提坏账准备的比例。</w:t>
                      </w:r>
                    </w:p>
                  </w:txbxContent>
                </v:textbox>
                <w10:wrap type="none"/>
              </v:shape>
            </v:group>
            <w10:wrap type="none"/>
          </v:group>
        </w:pic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）按组合计提坏账准备应收款项： 确定组合的依据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before="35"/>
        <w:ind w:left="244" w:right="250" w:firstLine="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p>
      <w:pPr>
        <w:spacing w:line="240" w:lineRule="auto" w:before="10"/>
        <w:rPr>
          <w:rFonts w:ascii="宋体" w:hAnsi="宋体" w:cs="宋体" w:eastAsia="宋体" w:hint="default"/>
          <w:sz w:val="11"/>
          <w:szCs w:val="11"/>
        </w:rPr>
      </w:pPr>
    </w:p>
    <w:p>
      <w:pPr>
        <w:spacing w:line="536" w:lineRule="exact"/>
        <w:ind w:left="116"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442.95pt;height:26.85pt;mso-position-horizontal-relative:char;mso-position-vertical-relative:line" coordorigin="0,0" coordsize="8859,537">
            <v:group style="position:absolute;left:19;top:5;width:8828;height:2" coordorigin="19,5" coordsize="8828,2">
              <v:shape style="position:absolute;left:19;top:5;width:8828;height:2" coordorigin="19,5" coordsize="8828,0" path="m19,5l8846,5e" filled="false" stroked="true" strokeweight=".48001pt" strokecolor="#000000">
                <v:path arrowok="t"/>
              </v:shape>
            </v:group>
            <v:group style="position:absolute;left:5;top:527;width:1883;height:2" coordorigin="5,527" coordsize="1883,2">
              <v:shape style="position:absolute;left:5;top:527;width:1883;height:2" coordorigin="5,527" coordsize="1883,0" path="m5,527l1888,527e" filled="false" stroked="true" strokeweight=".47998pt" strokecolor="#000000">
                <v:path arrowok="t"/>
              </v:shape>
            </v:group>
            <v:group style="position:absolute;left:1892;top:10;width:2;height:522" coordorigin="1892,10" coordsize="2,522">
              <v:shape style="position:absolute;left:1892;top:10;width:2;height:522" coordorigin="1892,10" coordsize="0,522" path="m1892,10l1892,532e" filled="false" stroked="true" strokeweight=".48pt" strokecolor="#000000">
                <v:path arrowok="t"/>
              </v:shape>
            </v:group>
            <v:group style="position:absolute;left:1897;top:527;width:6957;height:2" coordorigin="1897,527" coordsize="6957,2">
              <v:shape style="position:absolute;left:1897;top:527;width:6957;height:2" coordorigin="1897,527" coordsize="6957,0" path="m1897,527l8854,527e" filled="false" stroked="true" strokeweight=".47998pt" strokecolor="#000000">
                <v:path arrowok="t"/>
              </v:shape>
              <v:shape style="position:absolute;left:127;top:159;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账龄分析</w:t>
                      </w:r>
                    </w:p>
                  </w:txbxContent>
                </v:textbox>
                <w10:wrap type="none"/>
              </v:shape>
              <v:shape style="position:absolute;left:2000;top:159;width:546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根据应收款项的不同账龄确定不同的计提比例计提坏账准备</w:t>
                      </w:r>
                    </w:p>
                  </w:txbxContent>
                </v:textbox>
                <w10:wrap type="none"/>
              </v:shape>
            </v:group>
          </v:group>
        </w:pict>
      </w:r>
      <w:r>
        <w:rPr>
          <w:rFonts w:ascii="宋体" w:hAnsi="宋体" w:cs="宋体" w:eastAsia="宋体" w:hint="default"/>
          <w:position w:val="-10"/>
          <w:sz w:val="20"/>
          <w:szCs w:val="20"/>
        </w:rPr>
      </w:r>
    </w:p>
    <w:p>
      <w:pPr>
        <w:spacing w:line="240" w:lineRule="auto" w:before="1"/>
        <w:rPr>
          <w:rFonts w:ascii="宋体" w:hAnsi="宋体" w:cs="宋体" w:eastAsia="宋体" w:hint="default"/>
          <w:sz w:val="22"/>
          <w:szCs w:val="22"/>
        </w:rPr>
      </w:pPr>
    </w:p>
    <w:p>
      <w:pPr>
        <w:spacing w:before="35"/>
        <w:ind w:left="664" w:right="250" w:firstLine="0"/>
        <w:jc w:val="left"/>
        <w:rPr>
          <w:rFonts w:ascii="宋体" w:hAnsi="宋体" w:cs="宋体" w:eastAsia="宋体" w:hint="default"/>
          <w:sz w:val="21"/>
          <w:szCs w:val="21"/>
        </w:rPr>
      </w:pPr>
      <w:r>
        <w:rPr>
          <w:rFonts w:ascii="宋体" w:hAnsi="宋体" w:cs="宋体" w:eastAsia="宋体" w:hint="default"/>
          <w:sz w:val="21"/>
          <w:szCs w:val="21"/>
        </w:rPr>
        <w:t>账龄组合中，采用账龄分析法计提坏账准备的：</w:t>
      </w:r>
    </w:p>
    <w:p>
      <w:pPr>
        <w:spacing w:line="240" w:lineRule="auto" w:before="12"/>
        <w:rPr>
          <w:rFonts w:ascii="宋体" w:hAnsi="宋体" w:cs="宋体" w:eastAsia="宋体" w:hint="default"/>
          <w:sz w:val="21"/>
          <w:szCs w:val="21"/>
        </w:rPr>
      </w:pPr>
    </w:p>
    <w:tbl>
      <w:tblPr>
        <w:tblW w:w="0" w:type="auto"/>
        <w:jc w:val="left"/>
        <w:tblInd w:w="116" w:type="dxa"/>
        <w:tblLayout w:type="fixed"/>
        <w:tblCellMar>
          <w:top w:w="0" w:type="dxa"/>
          <w:left w:w="0" w:type="dxa"/>
          <w:bottom w:w="0" w:type="dxa"/>
          <w:right w:w="0" w:type="dxa"/>
        </w:tblCellMar>
        <w:tblLook w:val="01E0"/>
      </w:tblPr>
      <w:tblGrid>
        <w:gridCol w:w="3542"/>
        <w:gridCol w:w="2700"/>
        <w:gridCol w:w="2606"/>
      </w:tblGrid>
      <w:tr>
        <w:trPr>
          <w:trHeight w:val="522"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4"/>
              <w:ind w:left="1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6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4"/>
              <w:ind w:left="89" w:right="0"/>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23"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Times New Roman" w:hAnsi="Times New Roman" w:cs="Times New Roman" w:eastAsia="Times New Roman" w:hint="default"/>
                <w:sz w:val="21"/>
                <w:szCs w:val="21"/>
              </w:rPr>
            </w:pPr>
            <w:r>
              <w:rPr>
                <w:rFonts w:ascii="Times New Roman"/>
                <w:sz w:val="21"/>
              </w:rPr>
              <w:t>5</w:t>
            </w:r>
          </w:p>
        </w:tc>
        <w:tc>
          <w:tcPr>
            <w:tcW w:w="26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3"/>
              <w:jc w:val="center"/>
              <w:rPr>
                <w:rFonts w:ascii="Times New Roman" w:hAnsi="Times New Roman" w:cs="Times New Roman" w:eastAsia="Times New Roman" w:hint="default"/>
                <w:sz w:val="21"/>
                <w:szCs w:val="21"/>
              </w:rPr>
            </w:pPr>
            <w:r>
              <w:rPr>
                <w:rFonts w:ascii="Times New Roman"/>
                <w:sz w:val="21"/>
              </w:rPr>
              <w:t>5</w:t>
            </w:r>
          </w:p>
        </w:tc>
      </w:tr>
      <w:tr>
        <w:trPr>
          <w:trHeight w:val="522"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Times New Roman" w:hAnsi="Times New Roman" w:cs="Times New Roman" w:eastAsia="Times New Roman" w:hint="default"/>
                <w:sz w:val="21"/>
                <w:szCs w:val="21"/>
              </w:rPr>
            </w:pPr>
            <w:r>
              <w:rPr>
                <w:rFonts w:ascii="Times New Roman"/>
                <w:sz w:val="21"/>
              </w:rPr>
              <w:t>10</w:t>
            </w:r>
          </w:p>
        </w:tc>
        <w:tc>
          <w:tcPr>
            <w:tcW w:w="26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2"/>
              <w:jc w:val="center"/>
              <w:rPr>
                <w:rFonts w:ascii="Times New Roman" w:hAnsi="Times New Roman" w:cs="Times New Roman" w:eastAsia="Times New Roman" w:hint="default"/>
                <w:sz w:val="21"/>
                <w:szCs w:val="21"/>
              </w:rPr>
            </w:pPr>
            <w:r>
              <w:rPr>
                <w:rFonts w:ascii="Times New Roman"/>
                <w:sz w:val="21"/>
              </w:rPr>
              <w:t>10</w:t>
            </w:r>
          </w:p>
        </w:tc>
      </w:tr>
      <w:tr>
        <w:trPr>
          <w:trHeight w:val="522"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Times New Roman" w:hAnsi="Times New Roman" w:cs="Times New Roman" w:eastAsia="Times New Roman" w:hint="default"/>
                <w:sz w:val="21"/>
                <w:szCs w:val="21"/>
              </w:rPr>
            </w:pPr>
            <w:r>
              <w:rPr>
                <w:rFonts w:ascii="Times New Roman"/>
                <w:sz w:val="21"/>
              </w:rPr>
              <w:t>20</w:t>
            </w:r>
          </w:p>
        </w:tc>
        <w:tc>
          <w:tcPr>
            <w:tcW w:w="26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2"/>
              <w:jc w:val="center"/>
              <w:rPr>
                <w:rFonts w:ascii="Times New Roman" w:hAnsi="Times New Roman" w:cs="Times New Roman" w:eastAsia="Times New Roman" w:hint="default"/>
                <w:sz w:val="21"/>
                <w:szCs w:val="21"/>
              </w:rPr>
            </w:pPr>
            <w:r>
              <w:rPr>
                <w:rFonts w:ascii="Times New Roman"/>
                <w:sz w:val="21"/>
              </w:rPr>
              <w:t>20</w:t>
            </w:r>
          </w:p>
        </w:tc>
      </w:tr>
      <w:tr>
        <w:trPr>
          <w:trHeight w:val="523"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Times New Roman" w:hAnsi="Times New Roman" w:cs="Times New Roman" w:eastAsia="Times New Roman" w:hint="default"/>
                <w:sz w:val="21"/>
                <w:szCs w:val="21"/>
              </w:rPr>
            </w:pPr>
            <w:r>
              <w:rPr>
                <w:rFonts w:ascii="Times New Roman"/>
                <w:sz w:val="21"/>
              </w:rPr>
              <w:t>50</w:t>
            </w:r>
          </w:p>
        </w:tc>
        <w:tc>
          <w:tcPr>
            <w:tcW w:w="26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2"/>
              <w:jc w:val="center"/>
              <w:rPr>
                <w:rFonts w:ascii="Times New Roman" w:hAnsi="Times New Roman" w:cs="Times New Roman" w:eastAsia="Times New Roman" w:hint="default"/>
                <w:sz w:val="21"/>
                <w:szCs w:val="21"/>
              </w:rPr>
            </w:pPr>
            <w:r>
              <w:rPr>
                <w:rFonts w:ascii="Times New Roman"/>
                <w:sz w:val="21"/>
              </w:rPr>
              <w:t>50</w:t>
            </w:r>
          </w:p>
        </w:tc>
      </w:tr>
    </w:tbl>
    <w:p>
      <w:pPr>
        <w:spacing w:line="240" w:lineRule="auto" w:before="4"/>
        <w:rPr>
          <w:rFonts w:ascii="宋体" w:hAnsi="宋体" w:cs="宋体" w:eastAsia="宋体" w:hint="default"/>
          <w:sz w:val="22"/>
          <w:szCs w:val="22"/>
        </w:rPr>
      </w:pPr>
    </w:p>
    <w:p>
      <w:pPr>
        <w:spacing w:before="35"/>
        <w:ind w:left="244" w:right="25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）单项金额虽不重大但单项计提坏账准备的应收账款：</w:t>
      </w:r>
    </w:p>
    <w:p>
      <w:pPr>
        <w:spacing w:line="240" w:lineRule="auto" w:before="10"/>
        <w:rPr>
          <w:rFonts w:ascii="宋体" w:hAnsi="宋体" w:cs="宋体" w:eastAsia="宋体" w:hint="default"/>
          <w:sz w:val="20"/>
          <w:szCs w:val="20"/>
        </w:rPr>
      </w:pPr>
    </w:p>
    <w:tbl>
      <w:tblPr>
        <w:tblW w:w="0" w:type="auto"/>
        <w:jc w:val="left"/>
        <w:tblInd w:w="114" w:type="dxa"/>
        <w:tblLayout w:type="fixed"/>
        <w:tblCellMar>
          <w:top w:w="0" w:type="dxa"/>
          <w:left w:w="0" w:type="dxa"/>
          <w:bottom w:w="0" w:type="dxa"/>
          <w:right w:w="0" w:type="dxa"/>
        </w:tblCellMar>
        <w:tblLook w:val="01E0"/>
      </w:tblPr>
      <w:tblGrid>
        <w:gridCol w:w="2642"/>
        <w:gridCol w:w="6300"/>
      </w:tblGrid>
      <w:tr>
        <w:trPr>
          <w:trHeight w:val="528"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3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left="100" w:right="0"/>
              <w:jc w:val="left"/>
              <w:rPr>
                <w:rFonts w:ascii="宋体" w:hAnsi="宋体" w:cs="宋体" w:eastAsia="宋体" w:hint="default"/>
                <w:sz w:val="21"/>
                <w:szCs w:val="21"/>
              </w:rPr>
            </w:pPr>
            <w:r>
              <w:rPr>
                <w:rFonts w:ascii="宋体" w:hAnsi="宋体" w:cs="宋体" w:eastAsia="宋体" w:hint="default"/>
                <w:sz w:val="21"/>
                <w:szCs w:val="21"/>
              </w:rPr>
              <w:t>有确凿证据表明可收回性存在明显差异</w:t>
            </w:r>
          </w:p>
        </w:tc>
      </w:tr>
      <w:tr>
        <w:trPr>
          <w:trHeight w:val="800"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300" w:type="dxa"/>
            <w:tcBorders>
              <w:top w:val="single" w:sz="6" w:space="0" w:color="000000"/>
              <w:left w:val="single" w:sz="6" w:space="0" w:color="000000"/>
              <w:bottom w:val="single" w:sz="6" w:space="0" w:color="000000"/>
              <w:right w:val="nil" w:sz="6" w:space="0" w:color="auto"/>
            </w:tcBorders>
          </w:tcPr>
          <w:p>
            <w:pPr>
              <w:pStyle w:val="TableParagraph"/>
              <w:spacing w:line="272" w:lineRule="exact" w:before="113"/>
              <w:ind w:left="100" w:right="108"/>
              <w:jc w:val="left"/>
              <w:rPr>
                <w:rFonts w:ascii="宋体" w:hAnsi="宋体" w:cs="宋体" w:eastAsia="宋体" w:hint="default"/>
                <w:sz w:val="21"/>
                <w:szCs w:val="21"/>
              </w:rPr>
            </w:pPr>
            <w:r>
              <w:rPr>
                <w:rFonts w:ascii="宋体" w:hAnsi="宋体" w:cs="宋体" w:eastAsia="宋体" w:hint="default"/>
                <w:spacing w:val="6"/>
                <w:sz w:val="21"/>
                <w:szCs w:val="21"/>
              </w:rPr>
              <w:t>根据应收款项未来现金流量现值低于其账面价值的差额计提坏账</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准备。</w:t>
            </w:r>
          </w:p>
        </w:tc>
      </w:tr>
    </w:tbl>
    <w:p>
      <w:pPr>
        <w:spacing w:line="240" w:lineRule="auto" w:before="4"/>
        <w:rPr>
          <w:rFonts w:ascii="宋体" w:hAnsi="宋体" w:cs="宋体" w:eastAsia="宋体" w:hint="default"/>
          <w:sz w:val="22"/>
          <w:szCs w:val="22"/>
        </w:rPr>
      </w:pPr>
    </w:p>
    <w:p>
      <w:pPr>
        <w:spacing w:before="35"/>
        <w:ind w:left="244" w:right="250" w:firstLine="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11</w:t>
      </w:r>
      <w:r>
        <w:rPr>
          <w:rFonts w:ascii="宋体" w:hAnsi="宋体" w:cs="宋体" w:eastAsia="宋体" w:hint="default"/>
          <w:b/>
          <w:bCs/>
          <w:spacing w:val="-3"/>
          <w:sz w:val="21"/>
          <w:szCs w:val="21"/>
        </w:rPr>
        <w:t>、存货</w:t>
      </w:r>
      <w:r>
        <w:rPr>
          <w:rFonts w:ascii="宋体" w:hAnsi="宋体" w:cs="宋体" w:eastAsia="宋体" w:hint="default"/>
          <w:spacing w:val="-3"/>
          <w:sz w:val="21"/>
          <w:szCs w:val="21"/>
        </w:rPr>
      </w:r>
    </w:p>
    <w:p>
      <w:pPr>
        <w:spacing w:line="240" w:lineRule="auto" w:before="2"/>
        <w:rPr>
          <w:rFonts w:ascii="宋体" w:hAnsi="宋体" w:cs="宋体" w:eastAsia="宋体" w:hint="default"/>
          <w:b/>
          <w:bCs/>
          <w:sz w:val="18"/>
          <w:szCs w:val="18"/>
        </w:rPr>
      </w:pPr>
    </w:p>
    <w:p>
      <w:pPr>
        <w:spacing w:before="0"/>
        <w:ind w:left="244" w:right="25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）存货的分类</w:t>
      </w:r>
    </w:p>
    <w:p>
      <w:pPr>
        <w:spacing w:after="0"/>
        <w:jc w:val="left"/>
        <w:rPr>
          <w:rFonts w:ascii="宋体" w:hAnsi="宋体" w:cs="宋体" w:eastAsia="宋体" w:hint="default"/>
          <w:sz w:val="21"/>
          <w:szCs w:val="21"/>
        </w:rPr>
        <w:sectPr>
          <w:pgSz w:w="11910" w:h="16840"/>
          <w:pgMar w:header="877" w:footer="982" w:top="1100" w:bottom="1180" w:left="1400" w:right="1320"/>
        </w:sectPr>
      </w:pPr>
    </w:p>
    <w:p>
      <w:pPr>
        <w:spacing w:line="240" w:lineRule="auto" w:before="2"/>
        <w:rPr>
          <w:rFonts w:ascii="宋体" w:hAnsi="宋体" w:cs="宋体" w:eastAsia="宋体" w:hint="default"/>
          <w:sz w:val="19"/>
          <w:szCs w:val="19"/>
        </w:rPr>
      </w:pPr>
    </w:p>
    <w:p>
      <w:pPr>
        <w:spacing w:before="35"/>
        <w:ind w:left="564" w:right="273" w:firstLine="0"/>
        <w:jc w:val="left"/>
        <w:rPr>
          <w:rFonts w:ascii="宋体" w:hAnsi="宋体" w:cs="宋体" w:eastAsia="宋体" w:hint="default"/>
          <w:sz w:val="21"/>
          <w:szCs w:val="21"/>
        </w:rPr>
      </w:pPr>
      <w:r>
        <w:rPr>
          <w:rFonts w:ascii="宋体" w:hAnsi="宋体" w:cs="宋体" w:eastAsia="宋体" w:hint="default"/>
          <w:sz w:val="21"/>
          <w:szCs w:val="21"/>
        </w:rPr>
        <w:t>存货分为库存商品、原材料、低值易耗品、包装物等四大类。</w:t>
      </w:r>
    </w:p>
    <w:p>
      <w:pPr>
        <w:spacing w:line="240" w:lineRule="auto" w:before="5"/>
        <w:rPr>
          <w:rFonts w:ascii="宋体" w:hAnsi="宋体" w:cs="宋体" w:eastAsia="宋体" w:hint="default"/>
          <w:sz w:val="19"/>
          <w:szCs w:val="19"/>
        </w:rPr>
      </w:pPr>
    </w:p>
    <w:p>
      <w:pPr>
        <w:spacing w:line="436" w:lineRule="auto" w:before="0"/>
        <w:ind w:left="564" w:right="2020"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）发出存货的计价方法 各类存货的购入与入库按实际成本计价，发出采用加权平均法计价。</w:t>
      </w:r>
    </w:p>
    <w:p>
      <w:pPr>
        <w:spacing w:line="436" w:lineRule="auto" w:before="81"/>
        <w:ind w:left="564" w:right="130"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）存货可变现净值的确定依据及存货跌价准备的计提方法 存货可变现净值系根据本公司在正常经营过程中，以估计售价减去估计完工成本及销售所</w:t>
      </w:r>
    </w:p>
    <w:p>
      <w:pPr>
        <w:spacing w:line="236" w:lineRule="exact" w:before="0"/>
        <w:ind w:left="144" w:right="273" w:firstLine="0"/>
        <w:jc w:val="left"/>
        <w:rPr>
          <w:rFonts w:ascii="宋体" w:hAnsi="宋体" w:cs="宋体" w:eastAsia="宋体" w:hint="default"/>
          <w:sz w:val="21"/>
          <w:szCs w:val="21"/>
        </w:rPr>
      </w:pPr>
      <w:r>
        <w:rPr>
          <w:rFonts w:ascii="宋体" w:hAnsi="宋体" w:cs="宋体" w:eastAsia="宋体" w:hint="default"/>
          <w:sz w:val="21"/>
          <w:szCs w:val="21"/>
        </w:rPr>
        <w:t>必须的估计费用后的价值。</w:t>
      </w:r>
    </w:p>
    <w:p>
      <w:pPr>
        <w:spacing w:line="240" w:lineRule="auto" w:before="6"/>
        <w:rPr>
          <w:rFonts w:ascii="宋体" w:hAnsi="宋体" w:cs="宋体" w:eastAsia="宋体" w:hint="default"/>
          <w:sz w:val="19"/>
          <w:szCs w:val="19"/>
        </w:rPr>
      </w:pPr>
    </w:p>
    <w:p>
      <w:pPr>
        <w:spacing w:line="357" w:lineRule="auto" w:before="0"/>
        <w:ind w:left="144" w:right="138" w:firstLine="420"/>
        <w:jc w:val="both"/>
        <w:rPr>
          <w:rFonts w:ascii="宋体" w:hAnsi="宋体" w:cs="宋体" w:eastAsia="宋体" w:hint="default"/>
          <w:sz w:val="21"/>
          <w:szCs w:val="21"/>
        </w:rPr>
      </w:pPr>
      <w:r>
        <w:rPr>
          <w:rFonts w:ascii="宋体" w:hAnsi="宋体" w:cs="宋体" w:eastAsia="宋体" w:hint="default"/>
          <w:sz w:val="21"/>
          <w:szCs w:val="21"/>
        </w:rPr>
        <w:t>存货跌价准备的计提方法：本公司于每年中期期末及年度终了在对存货进行全面盘点的基 础上，对遭受损失，全部或部分陈旧过时或销售价格低于成本的存货，根据存货成本与可变现</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净值孰低计量，按单个存货项目对同类存货项目的可变现净值低于存货成本的差额计提存货跌</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价准备，并计入当期损益。确定可变现净值时，除考虑持有目的和资产负债表日该存货的价格</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与成本波动外，还需要考虑未来事项的影响。</w:t>
      </w:r>
    </w:p>
    <w:p>
      <w:pPr>
        <w:spacing w:line="436" w:lineRule="auto" w:before="151"/>
        <w:ind w:left="564" w:right="5170"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）存货的盘存制度 存货的盘存制度采用永续盘存法。</w:t>
      </w:r>
    </w:p>
    <w:p>
      <w:pPr>
        <w:spacing w:line="448" w:lineRule="auto" w:before="82"/>
        <w:ind w:left="564" w:right="2650"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）低值易耗品和包装物的摊销方法 低值易耗品：低值易耗品于其领用时采用一次性摊销法摊销。 包装物：包装物于其领用时采用一次性摊销法摊销。</w:t>
      </w:r>
    </w:p>
    <w:p>
      <w:pPr>
        <w:spacing w:before="71"/>
        <w:ind w:left="144"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144" w:right="27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）初始投资成本确定</w:t>
      </w:r>
    </w:p>
    <w:p>
      <w:pPr>
        <w:spacing w:line="530" w:lineRule="atLeast" w:before="0"/>
        <w:ind w:left="564" w:right="1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、企业合并形成的长期股权投资，按照下列规定确定其初始投资成本： </w:t>
      </w:r>
      <w:r>
        <w:rPr>
          <w:rFonts w:ascii="Times New Roman" w:hAnsi="Times New Roman" w:cs="Times New Roman" w:eastAsia="Times New Roman" w:hint="default"/>
          <w:spacing w:val="-3"/>
          <w:sz w:val="21"/>
          <w:szCs w:val="21"/>
        </w:rPr>
        <w:t>a</w:t>
      </w:r>
      <w:r>
        <w:rPr>
          <w:rFonts w:ascii="宋体" w:hAnsi="宋体" w:cs="宋体" w:eastAsia="宋体" w:hint="default"/>
          <w:spacing w:val="-3"/>
          <w:sz w:val="21"/>
          <w:szCs w:val="21"/>
        </w:rPr>
        <w:t>、同一控制下的企业合并，合并方以支付现金、转让非现金资产或承担债务方式作为合并</w:t>
      </w:r>
    </w:p>
    <w:p>
      <w:pPr>
        <w:spacing w:line="355" w:lineRule="auto" w:before="118"/>
        <w:ind w:left="144" w:right="138" w:firstLine="0"/>
        <w:jc w:val="both"/>
        <w:rPr>
          <w:rFonts w:ascii="宋体" w:hAnsi="宋体" w:cs="宋体" w:eastAsia="宋体" w:hint="default"/>
          <w:sz w:val="21"/>
          <w:szCs w:val="21"/>
        </w:rPr>
      </w:pPr>
      <w:r>
        <w:rPr>
          <w:rFonts w:ascii="宋体" w:hAnsi="宋体" w:cs="宋体" w:eastAsia="宋体" w:hint="default"/>
          <w:sz w:val="21"/>
          <w:szCs w:val="21"/>
        </w:rPr>
        <w:t>对价的，在合并日按照取得被合并方所有者权益账面价值的份额作为长期股权投资的初始投资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成本。长期股权投资初始投资成本与支付的现金、转让的非现金资产以及所承担债务账面价值</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之间的差额，调整资本公积；资本公积不足冲减的，调整留存收益。</w:t>
      </w:r>
    </w:p>
    <w:p>
      <w:pPr>
        <w:spacing w:line="357" w:lineRule="auto" w:before="153"/>
        <w:ind w:left="144" w:right="138" w:firstLine="420"/>
        <w:jc w:val="both"/>
        <w:rPr>
          <w:rFonts w:ascii="宋体" w:hAnsi="宋体" w:cs="宋体" w:eastAsia="宋体" w:hint="default"/>
          <w:sz w:val="21"/>
          <w:szCs w:val="21"/>
        </w:rPr>
      </w:pPr>
      <w:r>
        <w:rPr>
          <w:rFonts w:ascii="宋体" w:hAnsi="宋体" w:cs="宋体" w:eastAsia="宋体" w:hint="default"/>
          <w:sz w:val="21"/>
          <w:szCs w:val="21"/>
        </w:rPr>
        <w:t>合并方以发行权益性证券作为合并对价的，在合并日按照取得被合并方所有者权益账面价 值的份额作为长期股权投资的初始投资成本。按照发行股份的面值总额作为股本，长期股权投</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资初始投资成本与所发行股份面值总额之间的差额，调整资本公积；资本公积不足冲减的，调</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整留存收益。</w:t>
      </w:r>
    </w:p>
    <w:p>
      <w:pPr>
        <w:spacing w:line="336" w:lineRule="auto" w:before="151"/>
        <w:ind w:left="144" w:right="139" w:firstLine="42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b</w:t>
      </w:r>
      <w:r>
        <w:rPr>
          <w:rFonts w:ascii="宋体" w:hAnsi="宋体" w:cs="宋体" w:eastAsia="宋体" w:hint="default"/>
          <w:spacing w:val="-3"/>
          <w:sz w:val="21"/>
          <w:szCs w:val="21"/>
        </w:rPr>
        <w:t>、非同一控制下的企业合并，按照下列规定确定的合并成本作为长期股权投资的初始投资</w:t>
      </w:r>
      <w:r>
        <w:rPr>
          <w:rFonts w:ascii="宋体" w:hAnsi="宋体" w:cs="宋体" w:eastAsia="宋体" w:hint="default"/>
          <w:sz w:val="21"/>
          <w:szCs w:val="21"/>
        </w:rPr>
        <w:t> 成本：</w:t>
      </w:r>
    </w:p>
    <w:p>
      <w:pPr>
        <w:spacing w:after="0" w:line="336" w:lineRule="auto"/>
        <w:jc w:val="both"/>
        <w:rPr>
          <w:rFonts w:ascii="宋体" w:hAnsi="宋体" w:cs="宋体" w:eastAsia="宋体" w:hint="default"/>
          <w:sz w:val="21"/>
          <w:szCs w:val="21"/>
        </w:rPr>
        <w:sectPr>
          <w:pgSz w:w="11910" w:h="16840"/>
          <w:pgMar w:header="877" w:footer="982" w:top="1100" w:bottom="1180" w:left="1500" w:right="1500"/>
        </w:sectPr>
      </w:pPr>
    </w:p>
    <w:p>
      <w:pPr>
        <w:spacing w:line="240" w:lineRule="auto" w:before="2"/>
        <w:rPr>
          <w:rFonts w:ascii="宋体" w:hAnsi="宋体" w:cs="宋体" w:eastAsia="宋体" w:hint="default"/>
          <w:sz w:val="19"/>
          <w:szCs w:val="19"/>
        </w:rPr>
      </w:pPr>
    </w:p>
    <w:p>
      <w:pPr>
        <w:spacing w:line="355" w:lineRule="auto" w:before="35"/>
        <w:ind w:left="143" w:right="221" w:firstLine="420"/>
        <w:jc w:val="both"/>
        <w:rPr>
          <w:rFonts w:ascii="宋体" w:hAnsi="宋体" w:cs="宋体" w:eastAsia="宋体" w:hint="default"/>
          <w:sz w:val="21"/>
          <w:szCs w:val="21"/>
        </w:rPr>
      </w:pPr>
      <w:r>
        <w:rPr>
          <w:rFonts w:ascii="新宋体" w:hAnsi="新宋体" w:cs="新宋体" w:eastAsia="新宋体" w:hint="default"/>
          <w:sz w:val="21"/>
          <w:szCs w:val="21"/>
        </w:rPr>
        <w:t>①</w:t>
      </w:r>
      <w:r>
        <w:rPr>
          <w:rFonts w:ascii="新宋体" w:hAnsi="新宋体" w:cs="新宋体" w:eastAsia="新宋体" w:hint="default"/>
          <w:spacing w:val="12"/>
          <w:sz w:val="21"/>
          <w:szCs w:val="21"/>
        </w:rPr>
        <w:t> </w:t>
      </w:r>
      <w:r>
        <w:rPr>
          <w:rFonts w:ascii="宋体" w:hAnsi="宋体" w:cs="宋体" w:eastAsia="宋体" w:hint="default"/>
          <w:spacing w:val="-3"/>
          <w:sz w:val="21"/>
          <w:szCs w:val="21"/>
        </w:rPr>
        <w:t>一次交换交易实现的企业合并，合并成本为购买方在购买日为取得对被购买方的控制权</w:t>
      </w:r>
      <w:r>
        <w:rPr>
          <w:rFonts w:ascii="宋体" w:hAnsi="宋体" w:cs="宋体" w:eastAsia="宋体" w:hint="default"/>
          <w:sz w:val="21"/>
          <w:szCs w:val="21"/>
        </w:rPr>
        <w:t> 而付出的资产、发生或承担的负债以及发行的权益性证券的公允价值。</w:t>
      </w:r>
    </w:p>
    <w:p>
      <w:pPr>
        <w:spacing w:before="153"/>
        <w:ind w:left="563" w:right="333" w:firstLine="0"/>
        <w:jc w:val="left"/>
        <w:rPr>
          <w:rFonts w:ascii="宋体" w:hAnsi="宋体" w:cs="宋体" w:eastAsia="宋体" w:hint="default"/>
          <w:sz w:val="21"/>
          <w:szCs w:val="21"/>
        </w:rPr>
      </w:pPr>
      <w:r>
        <w:rPr>
          <w:rFonts w:ascii="新宋体" w:hAnsi="新宋体" w:cs="新宋体" w:eastAsia="新宋体" w:hint="default"/>
          <w:sz w:val="21"/>
          <w:szCs w:val="21"/>
        </w:rPr>
        <w:t>②</w:t>
      </w:r>
      <w:r>
        <w:rPr>
          <w:rFonts w:ascii="新宋体" w:hAnsi="新宋体" w:cs="新宋体" w:eastAsia="新宋体" w:hint="default"/>
          <w:spacing w:val="-2"/>
          <w:sz w:val="21"/>
          <w:szCs w:val="21"/>
        </w:rPr>
        <w:t> </w:t>
      </w:r>
      <w:r>
        <w:rPr>
          <w:rFonts w:ascii="宋体" w:hAnsi="宋体" w:cs="宋体" w:eastAsia="宋体" w:hint="default"/>
          <w:sz w:val="21"/>
          <w:szCs w:val="21"/>
        </w:rPr>
        <w:t>通过多次交换交易分步实现的企业合并，合并成本为每一单项交易成本之和。</w:t>
      </w:r>
    </w:p>
    <w:p>
      <w:pPr>
        <w:spacing w:line="240" w:lineRule="auto" w:before="5"/>
        <w:rPr>
          <w:rFonts w:ascii="宋体" w:hAnsi="宋体" w:cs="宋体" w:eastAsia="宋体" w:hint="default"/>
          <w:sz w:val="19"/>
          <w:szCs w:val="19"/>
        </w:rPr>
      </w:pPr>
    </w:p>
    <w:p>
      <w:pPr>
        <w:spacing w:line="357" w:lineRule="auto" w:before="0"/>
        <w:ind w:left="144" w:right="115" w:firstLine="419"/>
        <w:jc w:val="both"/>
        <w:rPr>
          <w:rFonts w:ascii="宋体" w:hAnsi="宋体" w:cs="宋体" w:eastAsia="宋体" w:hint="default"/>
          <w:sz w:val="21"/>
          <w:szCs w:val="21"/>
        </w:rPr>
      </w:pPr>
      <w:r>
        <w:rPr>
          <w:rFonts w:ascii="新宋体" w:hAnsi="新宋体" w:cs="新宋体" w:eastAsia="新宋体" w:hint="default"/>
          <w:sz w:val="21"/>
          <w:szCs w:val="21"/>
        </w:rPr>
        <w:t>③</w:t>
      </w:r>
      <w:r>
        <w:rPr>
          <w:rFonts w:ascii="新宋体" w:hAnsi="新宋体" w:cs="新宋体" w:eastAsia="新宋体" w:hint="default"/>
          <w:spacing w:val="27"/>
          <w:sz w:val="21"/>
          <w:szCs w:val="21"/>
        </w:rPr>
        <w:t> </w:t>
      </w:r>
      <w:r>
        <w:rPr>
          <w:rFonts w:ascii="宋体" w:hAnsi="宋体" w:cs="宋体" w:eastAsia="宋体" w:hint="default"/>
          <w:spacing w:val="-6"/>
          <w:sz w:val="21"/>
          <w:szCs w:val="21"/>
        </w:rPr>
        <w:t>购买方为企业合并发生的审计、法律服务、评估咨询等中介费用以及其他相关管理费用，</w:t>
      </w:r>
      <w:r>
        <w:rPr>
          <w:rFonts w:ascii="宋体" w:hAnsi="宋体" w:cs="宋体" w:eastAsia="宋体" w:hint="default"/>
          <w:sz w:val="21"/>
          <w:szCs w:val="21"/>
        </w:rPr>
        <w:t> </w:t>
      </w:r>
      <w:r>
        <w:rPr>
          <w:rFonts w:ascii="宋体" w:hAnsi="宋体" w:cs="宋体" w:eastAsia="宋体" w:hint="default"/>
          <w:spacing w:val="-3"/>
          <w:sz w:val="21"/>
          <w:szCs w:val="21"/>
        </w:rPr>
        <w:t>应当于发生时计入当期损益；购买方作为合并对价发行的权益性证券或债务性证券的交易费用，</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应当计入权益性证券或债务性证券的初始确认金额。</w:t>
      </w:r>
    </w:p>
    <w:p>
      <w:pPr>
        <w:spacing w:line="355" w:lineRule="auto" w:before="151"/>
        <w:ind w:left="144" w:right="217" w:firstLine="420"/>
        <w:jc w:val="right"/>
        <w:rPr>
          <w:rFonts w:ascii="宋体" w:hAnsi="宋体" w:cs="宋体" w:eastAsia="宋体" w:hint="default"/>
          <w:sz w:val="21"/>
          <w:szCs w:val="21"/>
        </w:rPr>
      </w:pPr>
      <w:r>
        <w:rPr>
          <w:rFonts w:ascii="新宋体" w:hAnsi="新宋体" w:cs="新宋体" w:eastAsia="新宋体" w:hint="default"/>
          <w:sz w:val="21"/>
          <w:szCs w:val="21"/>
        </w:rPr>
        <w:t>④</w:t>
      </w:r>
      <w:r>
        <w:rPr>
          <w:rFonts w:ascii="新宋体" w:hAnsi="新宋体" w:cs="新宋体" w:eastAsia="新宋体" w:hint="default"/>
          <w:spacing w:val="14"/>
          <w:sz w:val="21"/>
          <w:szCs w:val="21"/>
        </w:rPr>
        <w:t> </w:t>
      </w:r>
      <w:r>
        <w:rPr>
          <w:rFonts w:ascii="宋体" w:hAnsi="宋体" w:cs="宋体" w:eastAsia="宋体" w:hint="default"/>
          <w:spacing w:val="-3"/>
          <w:sz w:val="21"/>
          <w:szCs w:val="21"/>
        </w:rPr>
        <w:t>在合并合同或协议中对可能影响合并成本的未来事项作出约定的，购买日如果估计未来</w:t>
      </w:r>
      <w:r>
        <w:rPr>
          <w:rFonts w:ascii="宋体" w:hAnsi="宋体" w:cs="宋体" w:eastAsia="宋体" w:hint="default"/>
          <w:sz w:val="21"/>
          <w:szCs w:val="21"/>
        </w:rPr>
        <w:t> 事项很可能发生并且对合并成本的影响金额能够可靠计量的，购买方应当将其计入合并成本。</w:t>
      </w:r>
    </w:p>
    <w:p>
      <w:pPr>
        <w:spacing w:line="338" w:lineRule="auto" w:before="152"/>
        <w:ind w:left="144" w:right="21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、除企业合并形成的长期股权投资以外，其它方式取得的长期股权投资，按照下列规定 确定其初始投资成本：</w:t>
      </w:r>
    </w:p>
    <w:p>
      <w:pPr>
        <w:spacing w:line="338" w:lineRule="auto" w:before="167"/>
        <w:ind w:left="144" w:right="221" w:firstLine="42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a</w:t>
      </w:r>
      <w:r>
        <w:rPr>
          <w:rFonts w:ascii="宋体" w:hAnsi="宋体" w:cs="宋体" w:eastAsia="宋体" w:hint="default"/>
          <w:spacing w:val="-3"/>
          <w:sz w:val="21"/>
          <w:szCs w:val="21"/>
        </w:rPr>
        <w:t>、以支付现金取得的长期股权投资，按照实际支付的购买价款作为初始投资成本。初始投</w:t>
      </w:r>
      <w:r>
        <w:rPr>
          <w:rFonts w:ascii="宋体" w:hAnsi="宋体" w:cs="宋体" w:eastAsia="宋体" w:hint="default"/>
          <w:sz w:val="21"/>
          <w:szCs w:val="21"/>
        </w:rPr>
        <w:t> 资成本包括与取得长期股权投资直接相关的费用、税金及其它必要支出。</w:t>
      </w:r>
    </w:p>
    <w:p>
      <w:pPr>
        <w:spacing w:line="338" w:lineRule="auto" w:before="167"/>
        <w:ind w:left="144" w:right="219" w:firstLine="42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b</w:t>
      </w:r>
      <w:r>
        <w:rPr>
          <w:rFonts w:ascii="宋体" w:hAnsi="宋体" w:cs="宋体" w:eastAsia="宋体" w:hint="default"/>
          <w:spacing w:val="-3"/>
          <w:sz w:val="21"/>
          <w:szCs w:val="21"/>
        </w:rPr>
        <w:t>、以发行权益性证券取得的长期股权投资，按照发行权益性证券的公允价值作为初始投资</w:t>
      </w:r>
      <w:r>
        <w:rPr>
          <w:rFonts w:ascii="宋体" w:hAnsi="宋体" w:cs="宋体" w:eastAsia="宋体" w:hint="default"/>
          <w:sz w:val="21"/>
          <w:szCs w:val="21"/>
        </w:rPr>
        <w:t> 成本。</w:t>
      </w:r>
    </w:p>
    <w:p>
      <w:pPr>
        <w:spacing w:line="336" w:lineRule="auto" w:before="167"/>
        <w:ind w:left="144" w:right="221" w:firstLine="42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c</w:t>
      </w:r>
      <w:r>
        <w:rPr>
          <w:rFonts w:ascii="宋体" w:hAnsi="宋体" w:cs="宋体" w:eastAsia="宋体" w:hint="default"/>
          <w:spacing w:val="-3"/>
          <w:sz w:val="21"/>
          <w:szCs w:val="21"/>
        </w:rPr>
        <w:t>、投资者投入的长期股权投资，按照投资合同或协议约定的价值作为初始投资成本，但合</w:t>
      </w:r>
      <w:r>
        <w:rPr>
          <w:rFonts w:ascii="宋体" w:hAnsi="宋体" w:cs="宋体" w:eastAsia="宋体" w:hint="default"/>
          <w:sz w:val="21"/>
          <w:szCs w:val="21"/>
        </w:rPr>
        <w:t> 同或协议约定价值不公允的除外。</w:t>
      </w:r>
    </w:p>
    <w:p>
      <w:pPr>
        <w:spacing w:line="350" w:lineRule="auto" w:before="170"/>
        <w:ind w:left="144" w:right="218" w:firstLine="42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d</w:t>
      </w:r>
      <w:r>
        <w:rPr>
          <w:rFonts w:ascii="宋体" w:hAnsi="宋体" w:cs="宋体" w:eastAsia="宋体" w:hint="default"/>
          <w:spacing w:val="-3"/>
          <w:sz w:val="21"/>
          <w:szCs w:val="21"/>
        </w:rPr>
        <w:t>、通过非货币性资产交换取得的长期股权投资，如非货币性资产交换具有商业实质，换入</w:t>
      </w:r>
      <w:r>
        <w:rPr>
          <w:rFonts w:ascii="宋体" w:hAnsi="宋体" w:cs="宋体" w:eastAsia="宋体" w:hint="default"/>
          <w:sz w:val="21"/>
          <w:szCs w:val="21"/>
        </w:rPr>
        <w:t> 的长期股权投资按照公允价值和应支付的相关税费作为初始投资成本；如非货币资产交易不具</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有商业实质，换入的长期股权投资以换出资产的账面价值和应支付的相关税费作为初始投资成</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本。</w:t>
      </w:r>
    </w:p>
    <w:p>
      <w:pPr>
        <w:spacing w:line="336" w:lineRule="auto" w:before="157"/>
        <w:ind w:left="144" w:right="221" w:firstLine="42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e</w:t>
      </w:r>
      <w:r>
        <w:rPr>
          <w:rFonts w:ascii="宋体" w:hAnsi="宋体" w:cs="宋体" w:eastAsia="宋体" w:hint="default"/>
          <w:spacing w:val="-3"/>
          <w:sz w:val="21"/>
          <w:szCs w:val="21"/>
        </w:rPr>
        <w:t>、通过债务重组取得的长期股权投资，其初始投资成本按照公允价值和应付的相关税费确</w:t>
      </w:r>
      <w:r>
        <w:rPr>
          <w:rFonts w:ascii="宋体" w:hAnsi="宋体" w:cs="宋体" w:eastAsia="宋体" w:hint="default"/>
          <w:sz w:val="21"/>
          <w:szCs w:val="21"/>
        </w:rPr>
        <w:t> 定。</w:t>
      </w:r>
    </w:p>
    <w:p>
      <w:pPr>
        <w:spacing w:before="169"/>
        <w:ind w:left="144" w:right="3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）后续计量及损益确认方法</w:t>
      </w:r>
    </w:p>
    <w:p>
      <w:pPr>
        <w:spacing w:line="240" w:lineRule="auto" w:before="3"/>
        <w:rPr>
          <w:rFonts w:ascii="宋体" w:hAnsi="宋体" w:cs="宋体" w:eastAsia="宋体" w:hint="default"/>
          <w:sz w:val="18"/>
          <w:szCs w:val="18"/>
        </w:rPr>
      </w:pPr>
    </w:p>
    <w:p>
      <w:pPr>
        <w:spacing w:line="348" w:lineRule="auto" w:before="0"/>
        <w:ind w:left="144" w:right="21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、本公司能够对被投资单位实施控制的长期股权投资或本公司对被投资单位不具有共同 控制或重大影响，并且在活跃市场中没有报价、公允价值不能可靠计量的长期股权投资采用成</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本法核算。</w:t>
      </w:r>
    </w:p>
    <w:p>
      <w:pPr>
        <w:spacing w:line="357" w:lineRule="auto" w:before="158"/>
        <w:ind w:left="144" w:right="218" w:firstLine="420"/>
        <w:jc w:val="both"/>
        <w:rPr>
          <w:rFonts w:ascii="宋体" w:hAnsi="宋体" w:cs="宋体" w:eastAsia="宋体" w:hint="default"/>
          <w:sz w:val="21"/>
          <w:szCs w:val="21"/>
        </w:rPr>
      </w:pPr>
      <w:r>
        <w:rPr>
          <w:rFonts w:ascii="宋体" w:hAnsi="宋体" w:cs="宋体" w:eastAsia="宋体" w:hint="default"/>
          <w:sz w:val="21"/>
          <w:szCs w:val="21"/>
        </w:rPr>
        <w:t>采用成本法核算的长期股权投资按照投资成本计价。追加或收回投资时调整长期股权投资 的成本。被投资单位宣告分派的现金股利或利润，除取得投资时实际支付的价款或对价中包含</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的已宣告但尚未发放的现金股利或利润外，本公司按照享有被投资单位宣告发放的现金股利或</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利润确认当期投资收益。</w:t>
      </w:r>
    </w:p>
    <w:p>
      <w:pPr>
        <w:spacing w:after="0" w:line="357" w:lineRule="auto"/>
        <w:jc w:val="both"/>
        <w:rPr>
          <w:rFonts w:ascii="宋体" w:hAnsi="宋体" w:cs="宋体" w:eastAsia="宋体" w:hint="default"/>
          <w:sz w:val="21"/>
          <w:szCs w:val="21"/>
        </w:rPr>
        <w:sectPr>
          <w:pgSz w:w="11910" w:h="16840"/>
          <w:pgMar w:header="877" w:footer="982" w:top="1100" w:bottom="1180" w:left="1500" w:right="1420"/>
        </w:sectPr>
      </w:pPr>
    </w:p>
    <w:p>
      <w:pPr>
        <w:spacing w:line="240" w:lineRule="auto" w:before="2"/>
        <w:rPr>
          <w:rFonts w:ascii="宋体" w:hAnsi="宋体" w:cs="宋体" w:eastAsia="宋体" w:hint="default"/>
          <w:sz w:val="19"/>
          <w:szCs w:val="19"/>
        </w:rPr>
      </w:pPr>
    </w:p>
    <w:p>
      <w:pPr>
        <w:spacing w:line="436" w:lineRule="auto" w:before="35"/>
        <w:ind w:left="564" w:right="13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、本公司对被投资单位具有共同控制或重大影响的长期股权投资，采用权益法核算。 长期股权投资的投资成本大于投资时应享有被投资单位可辨认净资产公允价值份额的，不</w:t>
      </w:r>
    </w:p>
    <w:p>
      <w:pPr>
        <w:spacing w:line="237" w:lineRule="exact" w:before="0"/>
        <w:ind w:left="144" w:right="0" w:firstLine="0"/>
        <w:jc w:val="left"/>
        <w:rPr>
          <w:rFonts w:ascii="宋体" w:hAnsi="宋体" w:cs="宋体" w:eastAsia="宋体" w:hint="default"/>
          <w:sz w:val="21"/>
          <w:szCs w:val="21"/>
        </w:rPr>
      </w:pPr>
      <w:r>
        <w:rPr>
          <w:rFonts w:ascii="宋体" w:hAnsi="宋体" w:cs="宋体" w:eastAsia="宋体" w:hint="default"/>
          <w:sz w:val="21"/>
          <w:szCs w:val="21"/>
        </w:rPr>
        <w:t>调整长期股权投资的投资成本；长期股权投资的投资成本本小于投资时应享有被投资单位可辨</w:t>
      </w:r>
    </w:p>
    <w:p>
      <w:pPr>
        <w:spacing w:before="133"/>
        <w:ind w:left="144" w:right="273" w:firstLine="0"/>
        <w:jc w:val="left"/>
        <w:rPr>
          <w:rFonts w:ascii="宋体" w:hAnsi="宋体" w:cs="宋体" w:eastAsia="宋体" w:hint="default"/>
          <w:sz w:val="21"/>
          <w:szCs w:val="21"/>
        </w:rPr>
      </w:pPr>
      <w:r>
        <w:rPr>
          <w:rFonts w:ascii="宋体" w:hAnsi="宋体" w:cs="宋体" w:eastAsia="宋体" w:hint="default"/>
          <w:sz w:val="21"/>
          <w:szCs w:val="21"/>
        </w:rPr>
        <w:t>认净资产公允价值份额的，其差额应当计入当期损益，同时调整长期股权投资的成本。</w:t>
      </w:r>
    </w:p>
    <w:p>
      <w:pPr>
        <w:spacing w:line="240" w:lineRule="auto" w:before="6"/>
        <w:rPr>
          <w:rFonts w:ascii="宋体" w:hAnsi="宋体" w:cs="宋体" w:eastAsia="宋体" w:hint="default"/>
          <w:sz w:val="19"/>
          <w:szCs w:val="19"/>
        </w:rPr>
      </w:pPr>
    </w:p>
    <w:p>
      <w:pPr>
        <w:spacing w:line="357" w:lineRule="auto" w:before="0"/>
        <w:ind w:left="144" w:right="138" w:firstLine="420"/>
        <w:jc w:val="both"/>
        <w:rPr>
          <w:rFonts w:ascii="宋体" w:hAnsi="宋体" w:cs="宋体" w:eastAsia="宋体" w:hint="default"/>
          <w:sz w:val="21"/>
          <w:szCs w:val="21"/>
        </w:rPr>
      </w:pPr>
      <w:r>
        <w:rPr>
          <w:rFonts w:ascii="宋体" w:hAnsi="宋体" w:cs="宋体" w:eastAsia="宋体" w:hint="default"/>
          <w:sz w:val="21"/>
          <w:szCs w:val="21"/>
        </w:rPr>
        <w:t>公司取得长期股权投资后，按照应享有或应分担的被投资单位实现的净损益的份额，确认 投资损益并调整长期股权投资的账面价值；按照被投资单位宣告分派的利润或现金股利计算应</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分得的部分，相应减少长期股权投资的账面价值。公司确认被投资单位发生的净亏损，以长期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股权投资的账面价值以及其他实质上构成对被投资单位净投资的长期权益减记至零为限，公司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负有承担额外损失义务的除外。被投资单位以后实现净利润的，投资企业在其收益分享额弥补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未确认的亏损分担额后，恢复确认收益分享额。</w:t>
      </w:r>
    </w:p>
    <w:p>
      <w:pPr>
        <w:spacing w:line="357" w:lineRule="auto" w:before="150"/>
        <w:ind w:left="144" w:right="138" w:firstLine="420"/>
        <w:jc w:val="both"/>
        <w:rPr>
          <w:rFonts w:ascii="宋体" w:hAnsi="宋体" w:cs="宋体" w:eastAsia="宋体" w:hint="default"/>
          <w:sz w:val="21"/>
          <w:szCs w:val="21"/>
        </w:rPr>
      </w:pPr>
      <w:r>
        <w:rPr>
          <w:rFonts w:ascii="宋体" w:hAnsi="宋体" w:cs="宋体" w:eastAsia="宋体" w:hint="default"/>
          <w:sz w:val="21"/>
          <w:szCs w:val="21"/>
        </w:rPr>
        <w:t>在确认应享有被投资单位净损益的份额时，以取得投资时被投资单位各项可辨认资产等的 公允价值为基础，对被投资单位的净利润进行调整后确认。被投资单位采用的会计政策及会计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期间与投资企业不一致的，应当按照投资企业的会计政策及会计期间对被投资单位的财务报表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进行调整，并据以确认投资损益。</w:t>
      </w:r>
    </w:p>
    <w:p>
      <w:pPr>
        <w:spacing w:before="150"/>
        <w:ind w:left="564" w:right="27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、处置长期股权投资，其账面价值与实际取得价款的差额，应当计入当期损益。</w:t>
      </w:r>
    </w:p>
    <w:p>
      <w:pPr>
        <w:spacing w:line="240" w:lineRule="auto" w:before="2"/>
        <w:rPr>
          <w:rFonts w:ascii="宋体" w:hAnsi="宋体" w:cs="宋体" w:eastAsia="宋体" w:hint="default"/>
          <w:sz w:val="18"/>
          <w:szCs w:val="18"/>
        </w:rPr>
      </w:pPr>
    </w:p>
    <w:p>
      <w:pPr>
        <w:spacing w:line="436" w:lineRule="auto" w:before="0"/>
        <w:ind w:left="564" w:right="130"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）确定对被投资单位具有共同控制、重大影响的依据 共同控制，是指按照合同约定对某项经济活动所共有的控制，仅在与该项经济活动相关的</w:t>
      </w:r>
    </w:p>
    <w:p>
      <w:pPr>
        <w:spacing w:line="236" w:lineRule="exact" w:before="0"/>
        <w:ind w:left="144" w:right="273" w:firstLine="0"/>
        <w:jc w:val="left"/>
        <w:rPr>
          <w:rFonts w:ascii="宋体" w:hAnsi="宋体" w:cs="宋体" w:eastAsia="宋体" w:hint="default"/>
          <w:sz w:val="21"/>
          <w:szCs w:val="21"/>
        </w:rPr>
      </w:pPr>
      <w:r>
        <w:rPr>
          <w:rFonts w:ascii="宋体" w:hAnsi="宋体" w:cs="宋体" w:eastAsia="宋体" w:hint="default"/>
          <w:sz w:val="21"/>
          <w:szCs w:val="21"/>
        </w:rPr>
        <w:t>重要财务和经营决策需要分享控制权的投资方一致同意时存在。</w:t>
      </w:r>
    </w:p>
    <w:p>
      <w:pPr>
        <w:spacing w:line="240" w:lineRule="auto" w:before="6"/>
        <w:rPr>
          <w:rFonts w:ascii="宋体" w:hAnsi="宋体" w:cs="宋体" w:eastAsia="宋体" w:hint="default"/>
          <w:sz w:val="19"/>
          <w:szCs w:val="19"/>
        </w:rPr>
      </w:pPr>
    </w:p>
    <w:p>
      <w:pPr>
        <w:spacing w:line="355" w:lineRule="auto" w:before="0"/>
        <w:ind w:left="144" w:right="141" w:firstLine="420"/>
        <w:jc w:val="both"/>
        <w:rPr>
          <w:rFonts w:ascii="宋体" w:hAnsi="宋体" w:cs="宋体" w:eastAsia="宋体" w:hint="default"/>
          <w:sz w:val="21"/>
          <w:szCs w:val="21"/>
        </w:rPr>
      </w:pPr>
      <w:r>
        <w:rPr>
          <w:rFonts w:ascii="宋体" w:hAnsi="宋体" w:cs="宋体" w:eastAsia="宋体" w:hint="default"/>
          <w:sz w:val="21"/>
          <w:szCs w:val="21"/>
        </w:rPr>
        <w:t>重大影响，是指对一个企业的财务和经营政策有参与决策的权力，但并不能够控制或者与 其他方一起共同控制这些政策的制定。</w:t>
      </w:r>
    </w:p>
    <w:p>
      <w:pPr>
        <w:spacing w:line="436" w:lineRule="auto" w:before="153"/>
        <w:ind w:left="564" w:right="130"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）减值测试方法及简直准备计提方法 资产负债表日对长期股权投资逐项进行检查，判断长期股权投资是否存在可能发生减值的</w:t>
      </w:r>
    </w:p>
    <w:p>
      <w:pPr>
        <w:spacing w:line="236" w:lineRule="exact" w:before="0"/>
        <w:ind w:left="144" w:right="0" w:firstLine="0"/>
        <w:jc w:val="left"/>
        <w:rPr>
          <w:rFonts w:ascii="宋体" w:hAnsi="宋体" w:cs="宋体" w:eastAsia="宋体" w:hint="default"/>
          <w:sz w:val="21"/>
          <w:szCs w:val="21"/>
        </w:rPr>
      </w:pPr>
      <w:r>
        <w:rPr>
          <w:rFonts w:ascii="宋体" w:hAnsi="宋体" w:cs="宋体" w:eastAsia="宋体" w:hint="default"/>
          <w:sz w:val="21"/>
          <w:szCs w:val="21"/>
        </w:rPr>
        <w:t>迹象。如果存在被投资单位经营状况恶化等减值迹象的，则估计其可收回金额。可收回金额的</w:t>
      </w:r>
    </w:p>
    <w:p>
      <w:pPr>
        <w:spacing w:line="357" w:lineRule="auto" w:before="134"/>
        <w:ind w:left="144" w:right="138" w:firstLine="0"/>
        <w:jc w:val="both"/>
        <w:rPr>
          <w:rFonts w:ascii="宋体" w:hAnsi="宋体" w:cs="宋体" w:eastAsia="宋体" w:hint="default"/>
          <w:sz w:val="21"/>
          <w:szCs w:val="21"/>
        </w:rPr>
      </w:pPr>
      <w:r>
        <w:rPr>
          <w:rFonts w:ascii="宋体" w:hAnsi="宋体" w:cs="宋体" w:eastAsia="宋体" w:hint="default"/>
          <w:spacing w:val="-3"/>
          <w:sz w:val="21"/>
          <w:szCs w:val="21"/>
        </w:rPr>
        <w:t>计量结果表明，长期股权投资的可收回金额低于其</w:t>
      </w:r>
      <w:r>
        <w:rPr>
          <w:rFonts w:ascii="宋体" w:hAnsi="宋体" w:cs="宋体" w:eastAsia="宋体" w:hint="default"/>
          <w:spacing w:val="22"/>
          <w:sz w:val="21"/>
          <w:szCs w:val="21"/>
        </w:rPr>
        <w:t> </w:t>
      </w:r>
      <w:r>
        <w:rPr>
          <w:rFonts w:ascii="宋体" w:hAnsi="宋体" w:cs="宋体" w:eastAsia="宋体" w:hint="default"/>
          <w:spacing w:val="-3"/>
          <w:sz w:val="21"/>
          <w:szCs w:val="21"/>
        </w:rPr>
        <w:t>账面价值的，将长期股权投资的账面价值减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记至可收回金额，减记的金额确认为资产减值损失，计入当期损益，同时计提相应的长期投资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减值准备。长期投资减值损失一经确认，在以后会计期间不再转回。</w:t>
      </w:r>
    </w:p>
    <w:p>
      <w:pPr>
        <w:spacing w:before="150"/>
        <w:ind w:left="144"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564" w:right="27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）投资性房地产，是指为赚取租金或资本增值，或两者兼有而持有的房地产。</w:t>
      </w:r>
    </w:p>
    <w:p>
      <w:pPr>
        <w:spacing w:line="240" w:lineRule="auto" w:before="2"/>
        <w:rPr>
          <w:rFonts w:ascii="宋体" w:hAnsi="宋体" w:cs="宋体" w:eastAsia="宋体" w:hint="default"/>
          <w:sz w:val="18"/>
          <w:szCs w:val="18"/>
        </w:rPr>
      </w:pPr>
    </w:p>
    <w:p>
      <w:pPr>
        <w:spacing w:before="0"/>
        <w:ind w:left="564" w:right="27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）投资性房地产按照成本进行初始计量：</w:t>
      </w:r>
    </w:p>
    <w:p>
      <w:pPr>
        <w:spacing w:line="240" w:lineRule="auto" w:before="2"/>
        <w:rPr>
          <w:rFonts w:ascii="宋体" w:hAnsi="宋体" w:cs="宋体" w:eastAsia="宋体" w:hint="default"/>
          <w:sz w:val="18"/>
          <w:szCs w:val="18"/>
        </w:rPr>
      </w:pPr>
    </w:p>
    <w:p>
      <w:pPr>
        <w:spacing w:before="0"/>
        <w:ind w:left="564" w:right="1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、外购投资性房地产的成本，包括购买价款、相关税费和可直接归属于该资产的其他支</w:t>
      </w:r>
    </w:p>
    <w:p>
      <w:pPr>
        <w:spacing w:after="0"/>
        <w:jc w:val="left"/>
        <w:rPr>
          <w:rFonts w:ascii="宋体" w:hAnsi="宋体" w:cs="宋体" w:eastAsia="宋体" w:hint="default"/>
          <w:sz w:val="21"/>
          <w:szCs w:val="21"/>
        </w:rPr>
        <w:sectPr>
          <w:pgSz w:w="11910" w:h="16840"/>
          <w:pgMar w:header="877" w:footer="982" w:top="1100" w:bottom="1180" w:left="1500" w:right="1500"/>
        </w:sectPr>
      </w:pPr>
    </w:p>
    <w:p>
      <w:pPr>
        <w:spacing w:line="240" w:lineRule="auto" w:before="2"/>
        <w:rPr>
          <w:rFonts w:ascii="宋体" w:hAnsi="宋体" w:cs="宋体" w:eastAsia="宋体" w:hint="default"/>
          <w:sz w:val="19"/>
          <w:szCs w:val="19"/>
        </w:rPr>
      </w:pPr>
    </w:p>
    <w:p>
      <w:pPr>
        <w:spacing w:before="35"/>
        <w:ind w:left="244" w:right="210" w:firstLine="0"/>
        <w:jc w:val="left"/>
        <w:rPr>
          <w:rFonts w:ascii="宋体" w:hAnsi="宋体" w:cs="宋体" w:eastAsia="宋体" w:hint="default"/>
          <w:sz w:val="21"/>
          <w:szCs w:val="21"/>
        </w:rPr>
      </w:pPr>
      <w:r>
        <w:rPr>
          <w:rFonts w:ascii="宋体" w:hAnsi="宋体" w:cs="宋体" w:eastAsia="宋体" w:hint="default"/>
          <w:sz w:val="21"/>
          <w:szCs w:val="21"/>
        </w:rPr>
        <w:t>出。</w:t>
      </w:r>
    </w:p>
    <w:p>
      <w:pPr>
        <w:spacing w:line="240" w:lineRule="auto" w:before="5"/>
        <w:rPr>
          <w:rFonts w:ascii="宋体" w:hAnsi="宋体" w:cs="宋体" w:eastAsia="宋体" w:hint="default"/>
          <w:sz w:val="19"/>
          <w:szCs w:val="19"/>
        </w:rPr>
      </w:pPr>
    </w:p>
    <w:p>
      <w:pPr>
        <w:spacing w:line="338" w:lineRule="auto" w:before="0"/>
        <w:ind w:left="244" w:right="21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、自行建造投资性房地产的成本，由建造该项资产达到预定可使用状态前所发生的必要 支出构成。</w:t>
      </w:r>
    </w:p>
    <w:p>
      <w:pPr>
        <w:spacing w:before="167"/>
        <w:ind w:left="663" w:right="21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、以其他方式取得的投资性房地产的成本，按照相关会计准则的规定确定。</w:t>
      </w:r>
    </w:p>
    <w:p>
      <w:pPr>
        <w:spacing w:line="240" w:lineRule="auto" w:before="3"/>
        <w:rPr>
          <w:rFonts w:ascii="宋体" w:hAnsi="宋体" w:cs="宋体" w:eastAsia="宋体" w:hint="default"/>
          <w:sz w:val="18"/>
          <w:szCs w:val="18"/>
        </w:rPr>
      </w:pPr>
    </w:p>
    <w:p>
      <w:pPr>
        <w:spacing w:line="436" w:lineRule="auto" w:before="0"/>
        <w:ind w:left="664" w:right="21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）后续计量 与投资性房地产有关的后续支出，如与该投资性房地产有关的经济利益很可能流入企业且</w:t>
      </w:r>
    </w:p>
    <w:p>
      <w:pPr>
        <w:spacing w:line="237" w:lineRule="exact" w:before="0"/>
        <w:ind w:left="244" w:right="0" w:firstLine="0"/>
        <w:jc w:val="left"/>
        <w:rPr>
          <w:rFonts w:ascii="宋体" w:hAnsi="宋体" w:cs="宋体" w:eastAsia="宋体" w:hint="default"/>
          <w:sz w:val="21"/>
          <w:szCs w:val="21"/>
        </w:rPr>
      </w:pPr>
      <w:r>
        <w:rPr>
          <w:rFonts w:ascii="宋体" w:hAnsi="宋体" w:cs="宋体" w:eastAsia="宋体" w:hint="default"/>
          <w:sz w:val="21"/>
          <w:szCs w:val="21"/>
        </w:rPr>
        <w:t>该投资性房地产的成本能够可靠地计量，则计入投资性房地产成本；否则在发生时计入当期损</w:t>
      </w:r>
    </w:p>
    <w:p>
      <w:pPr>
        <w:spacing w:before="133"/>
        <w:ind w:left="244" w:right="210" w:firstLine="0"/>
        <w:jc w:val="left"/>
        <w:rPr>
          <w:rFonts w:ascii="宋体" w:hAnsi="宋体" w:cs="宋体" w:eastAsia="宋体" w:hint="default"/>
          <w:sz w:val="21"/>
          <w:szCs w:val="21"/>
        </w:rPr>
      </w:pPr>
      <w:r>
        <w:rPr>
          <w:rFonts w:ascii="宋体" w:hAnsi="宋体" w:cs="宋体" w:eastAsia="宋体" w:hint="default"/>
          <w:sz w:val="21"/>
          <w:szCs w:val="21"/>
        </w:rPr>
        <w:t>益。</w:t>
      </w:r>
    </w:p>
    <w:p>
      <w:pPr>
        <w:spacing w:line="240" w:lineRule="auto" w:before="5"/>
        <w:rPr>
          <w:rFonts w:ascii="宋体" w:hAnsi="宋体" w:cs="宋体" w:eastAsia="宋体" w:hint="default"/>
          <w:sz w:val="19"/>
          <w:szCs w:val="19"/>
        </w:rPr>
      </w:pPr>
    </w:p>
    <w:p>
      <w:pPr>
        <w:spacing w:before="0"/>
        <w:ind w:left="664" w:right="210" w:firstLine="0"/>
        <w:jc w:val="left"/>
        <w:rPr>
          <w:rFonts w:ascii="宋体" w:hAnsi="宋体" w:cs="宋体" w:eastAsia="宋体" w:hint="default"/>
          <w:sz w:val="21"/>
          <w:szCs w:val="21"/>
        </w:rPr>
      </w:pPr>
      <w:r>
        <w:rPr>
          <w:rFonts w:ascii="宋体" w:hAnsi="宋体" w:cs="宋体" w:eastAsia="宋体" w:hint="default"/>
          <w:sz w:val="21"/>
          <w:szCs w:val="21"/>
        </w:rPr>
        <w:t>公司在资产负债表日采用成本模式对投资性房地产进行后续计量。</w:t>
      </w:r>
    </w:p>
    <w:p>
      <w:pPr>
        <w:spacing w:line="240" w:lineRule="auto" w:before="6"/>
        <w:rPr>
          <w:rFonts w:ascii="宋体" w:hAnsi="宋体" w:cs="宋体" w:eastAsia="宋体" w:hint="default"/>
          <w:sz w:val="19"/>
          <w:szCs w:val="19"/>
        </w:rPr>
      </w:pPr>
    </w:p>
    <w:p>
      <w:pPr>
        <w:spacing w:before="0"/>
        <w:ind w:left="664" w:right="2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）折旧及减值准备</w:t>
      </w:r>
    </w:p>
    <w:p>
      <w:pPr>
        <w:spacing w:line="240" w:lineRule="auto" w:before="2"/>
        <w:rPr>
          <w:rFonts w:ascii="宋体" w:hAnsi="宋体" w:cs="宋体" w:eastAsia="宋体" w:hint="default"/>
          <w:sz w:val="18"/>
          <w:szCs w:val="18"/>
        </w:rPr>
      </w:pPr>
    </w:p>
    <w:p>
      <w:pPr>
        <w:spacing w:before="0"/>
        <w:ind w:left="664" w:right="210" w:firstLine="0"/>
        <w:jc w:val="left"/>
        <w:rPr>
          <w:rFonts w:ascii="宋体" w:hAnsi="宋体" w:cs="宋体" w:eastAsia="宋体" w:hint="default"/>
          <w:sz w:val="21"/>
          <w:szCs w:val="21"/>
        </w:rPr>
      </w:pPr>
      <w:r>
        <w:rPr>
          <w:rFonts w:ascii="宋体" w:hAnsi="宋体" w:cs="宋体" w:eastAsia="宋体" w:hint="default"/>
          <w:sz w:val="21"/>
          <w:szCs w:val="21"/>
        </w:rPr>
        <w:t>比照本附注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固定资产的折旧和减值准备执行。</w:t>
      </w:r>
    </w:p>
    <w:p>
      <w:pPr>
        <w:spacing w:line="240" w:lineRule="auto" w:before="3"/>
        <w:rPr>
          <w:rFonts w:ascii="宋体" w:hAnsi="宋体" w:cs="宋体" w:eastAsia="宋体" w:hint="default"/>
          <w:sz w:val="18"/>
          <w:szCs w:val="18"/>
        </w:rPr>
      </w:pPr>
    </w:p>
    <w:p>
      <w:pPr>
        <w:spacing w:before="0"/>
        <w:ind w:left="244" w:right="2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436" w:lineRule="auto" w:before="0"/>
        <w:ind w:left="664" w:right="210"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）固定资产确认条件 固定资产指为生产商品、提供劳务、出租或经营管理而持有的，使用寿命超过一个会计年</w:t>
      </w:r>
    </w:p>
    <w:p>
      <w:pPr>
        <w:spacing w:line="236" w:lineRule="exact" w:before="0"/>
        <w:ind w:left="244" w:right="0" w:firstLine="0"/>
        <w:jc w:val="left"/>
        <w:rPr>
          <w:rFonts w:ascii="宋体" w:hAnsi="宋体" w:cs="宋体" w:eastAsia="宋体" w:hint="default"/>
          <w:sz w:val="21"/>
          <w:szCs w:val="21"/>
        </w:rPr>
      </w:pPr>
      <w:r>
        <w:rPr>
          <w:rFonts w:ascii="宋体" w:hAnsi="宋体" w:cs="宋体" w:eastAsia="宋体" w:hint="default"/>
          <w:sz w:val="21"/>
          <w:szCs w:val="21"/>
        </w:rPr>
        <w:t>度的有形资产。固定资产以实际成本进行初始计量。当与该固定资产有关的经济利益很可能流</w:t>
      </w:r>
    </w:p>
    <w:p>
      <w:pPr>
        <w:spacing w:before="133"/>
        <w:ind w:left="244" w:right="210" w:firstLine="0"/>
        <w:jc w:val="left"/>
        <w:rPr>
          <w:rFonts w:ascii="宋体" w:hAnsi="宋体" w:cs="宋体" w:eastAsia="宋体" w:hint="default"/>
          <w:sz w:val="21"/>
          <w:szCs w:val="21"/>
        </w:rPr>
      </w:pPr>
      <w:r>
        <w:rPr>
          <w:rFonts w:ascii="宋体" w:hAnsi="宋体" w:cs="宋体" w:eastAsia="宋体" w:hint="default"/>
          <w:sz w:val="21"/>
          <w:szCs w:val="21"/>
        </w:rPr>
        <w:t>入企业，且该固定资产资产的成本能够可靠地计量时，确认固定资产。</w:t>
      </w:r>
    </w:p>
    <w:p>
      <w:pPr>
        <w:spacing w:line="240" w:lineRule="auto" w:before="6"/>
        <w:rPr>
          <w:rFonts w:ascii="宋体" w:hAnsi="宋体" w:cs="宋体" w:eastAsia="宋体" w:hint="default"/>
          <w:sz w:val="19"/>
          <w:szCs w:val="19"/>
        </w:rPr>
      </w:pPr>
    </w:p>
    <w:p>
      <w:pPr>
        <w:spacing w:before="0"/>
        <w:ind w:left="244" w:right="2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）各类固定资产的折旧方法</w:t>
      </w:r>
    </w:p>
    <w:p>
      <w:pPr>
        <w:spacing w:line="240" w:lineRule="auto" w:before="10"/>
        <w:rPr>
          <w:rFonts w:ascii="宋体" w:hAnsi="宋体" w:cs="宋体" w:eastAsia="宋体" w:hint="default"/>
          <w:sz w:val="20"/>
          <w:szCs w:val="20"/>
        </w:rPr>
      </w:pPr>
    </w:p>
    <w:tbl>
      <w:tblPr>
        <w:tblW w:w="0" w:type="auto"/>
        <w:jc w:val="left"/>
        <w:tblInd w:w="116" w:type="dxa"/>
        <w:tblLayout w:type="fixed"/>
        <w:tblCellMar>
          <w:top w:w="0" w:type="dxa"/>
          <w:left w:w="0" w:type="dxa"/>
          <w:bottom w:w="0" w:type="dxa"/>
          <w:right w:w="0" w:type="dxa"/>
        </w:tblCellMar>
        <w:tblLook w:val="01E0"/>
      </w:tblPr>
      <w:tblGrid>
        <w:gridCol w:w="2222"/>
        <w:gridCol w:w="2208"/>
        <w:gridCol w:w="2209"/>
        <w:gridCol w:w="2209"/>
      </w:tblGrid>
      <w:tr>
        <w:trPr>
          <w:trHeight w:val="427" w:hRule="exact"/>
        </w:trPr>
        <w:tc>
          <w:tcPr>
            <w:tcW w:w="2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3"/>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26" w:hRule="exact"/>
        </w:trPr>
        <w:tc>
          <w:tcPr>
            <w:tcW w:w="2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40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21"/>
                <w:szCs w:val="21"/>
              </w:rPr>
            </w:pPr>
            <w:r>
              <w:rPr>
                <w:rFonts w:ascii="Times New Roman"/>
                <w:sz w:val="21"/>
              </w:rPr>
              <w:t>5</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2"/>
              <w:jc w:val="center"/>
              <w:rPr>
                <w:rFonts w:ascii="Times New Roman" w:hAnsi="Times New Roman" w:cs="Times New Roman" w:eastAsia="Times New Roman" w:hint="default"/>
                <w:sz w:val="21"/>
                <w:szCs w:val="21"/>
              </w:rPr>
            </w:pPr>
            <w:r>
              <w:rPr>
                <w:rFonts w:ascii="Times New Roman"/>
                <w:sz w:val="21"/>
              </w:rPr>
              <w:t>2.375</w:t>
            </w:r>
          </w:p>
        </w:tc>
      </w:tr>
      <w:tr>
        <w:trPr>
          <w:trHeight w:val="426" w:hRule="exact"/>
        </w:trPr>
        <w:tc>
          <w:tcPr>
            <w:tcW w:w="2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5</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21"/>
                <w:szCs w:val="21"/>
              </w:rPr>
            </w:pPr>
            <w:r>
              <w:rPr>
                <w:rFonts w:ascii="Times New Roman"/>
                <w:sz w:val="21"/>
              </w:rPr>
              <w:t>5</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3"/>
              <w:jc w:val="center"/>
              <w:rPr>
                <w:rFonts w:ascii="Times New Roman" w:hAnsi="Times New Roman" w:cs="Times New Roman" w:eastAsia="Times New Roman" w:hint="default"/>
                <w:sz w:val="21"/>
                <w:szCs w:val="21"/>
              </w:rPr>
            </w:pPr>
            <w:r>
              <w:rPr>
                <w:rFonts w:ascii="Times New Roman"/>
                <w:sz w:val="21"/>
              </w:rPr>
              <w:t>19</w:t>
            </w:r>
          </w:p>
        </w:tc>
      </w:tr>
      <w:tr>
        <w:trPr>
          <w:trHeight w:val="426" w:hRule="exact"/>
        </w:trPr>
        <w:tc>
          <w:tcPr>
            <w:tcW w:w="2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5</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21"/>
                <w:szCs w:val="21"/>
              </w:rPr>
            </w:pPr>
            <w:r>
              <w:rPr>
                <w:rFonts w:ascii="Times New Roman"/>
                <w:sz w:val="21"/>
              </w:rPr>
              <w:t>5</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3"/>
              <w:jc w:val="center"/>
              <w:rPr>
                <w:rFonts w:ascii="Times New Roman" w:hAnsi="Times New Roman" w:cs="Times New Roman" w:eastAsia="Times New Roman" w:hint="default"/>
                <w:sz w:val="21"/>
                <w:szCs w:val="21"/>
              </w:rPr>
            </w:pPr>
            <w:r>
              <w:rPr>
                <w:rFonts w:ascii="Times New Roman"/>
                <w:sz w:val="21"/>
              </w:rPr>
              <w:t>19</w:t>
            </w:r>
          </w:p>
        </w:tc>
      </w:tr>
      <w:tr>
        <w:trPr>
          <w:trHeight w:val="427" w:hRule="exact"/>
        </w:trPr>
        <w:tc>
          <w:tcPr>
            <w:tcW w:w="2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5</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21"/>
                <w:szCs w:val="21"/>
              </w:rPr>
            </w:pPr>
            <w:r>
              <w:rPr>
                <w:rFonts w:ascii="Times New Roman"/>
                <w:sz w:val="21"/>
              </w:rPr>
              <w:t>5</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3"/>
              <w:jc w:val="center"/>
              <w:rPr>
                <w:rFonts w:ascii="Times New Roman" w:hAnsi="Times New Roman" w:cs="Times New Roman" w:eastAsia="Times New Roman" w:hint="default"/>
                <w:sz w:val="21"/>
                <w:szCs w:val="21"/>
              </w:rPr>
            </w:pPr>
            <w:r>
              <w:rPr>
                <w:rFonts w:ascii="Times New Roman"/>
                <w:sz w:val="21"/>
              </w:rPr>
              <w:t>19</w:t>
            </w:r>
          </w:p>
        </w:tc>
      </w:tr>
      <w:tr>
        <w:trPr>
          <w:trHeight w:val="426" w:hRule="exact"/>
        </w:trPr>
        <w:tc>
          <w:tcPr>
            <w:tcW w:w="2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5</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21"/>
                <w:szCs w:val="21"/>
              </w:rPr>
            </w:pPr>
            <w:r>
              <w:rPr>
                <w:rFonts w:ascii="Times New Roman"/>
                <w:sz w:val="21"/>
              </w:rPr>
              <w:t>5</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3"/>
              <w:jc w:val="center"/>
              <w:rPr>
                <w:rFonts w:ascii="Times New Roman" w:hAnsi="Times New Roman" w:cs="Times New Roman" w:eastAsia="Times New Roman" w:hint="default"/>
                <w:sz w:val="21"/>
                <w:szCs w:val="21"/>
              </w:rPr>
            </w:pPr>
            <w:r>
              <w:rPr>
                <w:rFonts w:ascii="Times New Roman"/>
                <w:sz w:val="21"/>
              </w:rPr>
              <w:t>19</w:t>
            </w:r>
          </w:p>
        </w:tc>
      </w:tr>
    </w:tbl>
    <w:p>
      <w:pPr>
        <w:spacing w:line="240" w:lineRule="auto" w:before="5"/>
        <w:rPr>
          <w:rFonts w:ascii="宋体" w:hAnsi="宋体" w:cs="宋体" w:eastAsia="宋体" w:hint="default"/>
          <w:sz w:val="22"/>
          <w:szCs w:val="22"/>
        </w:rPr>
      </w:pPr>
    </w:p>
    <w:p>
      <w:pPr>
        <w:spacing w:line="436" w:lineRule="auto" w:before="35"/>
        <w:ind w:left="664" w:right="210"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）固定资产的减值测试方法、减值准备计提方法 资产负债表日判断固定资产是否存在可能发生减值的迹象。如果存在资产市价持续下跌，</w:t>
      </w:r>
    </w:p>
    <w:p>
      <w:pPr>
        <w:spacing w:line="236" w:lineRule="exact" w:before="0"/>
        <w:ind w:left="244" w:right="0" w:firstLine="0"/>
        <w:jc w:val="both"/>
        <w:rPr>
          <w:rFonts w:ascii="宋体" w:hAnsi="宋体" w:cs="宋体" w:eastAsia="宋体" w:hint="default"/>
          <w:sz w:val="21"/>
          <w:szCs w:val="21"/>
        </w:rPr>
      </w:pPr>
      <w:r>
        <w:rPr>
          <w:rFonts w:ascii="宋体" w:hAnsi="宋体" w:cs="宋体" w:eastAsia="宋体" w:hint="default"/>
          <w:sz w:val="21"/>
          <w:szCs w:val="21"/>
        </w:rPr>
        <w:t>或技术陈旧、损坏、长期闲置等减值迹象的，则估计其可收回金额。可收回金额的计量结果表</w:t>
      </w:r>
    </w:p>
    <w:p>
      <w:pPr>
        <w:spacing w:line="357" w:lineRule="auto" w:before="134"/>
        <w:ind w:left="244" w:right="218" w:firstLine="0"/>
        <w:jc w:val="both"/>
        <w:rPr>
          <w:rFonts w:ascii="宋体" w:hAnsi="宋体" w:cs="宋体" w:eastAsia="宋体" w:hint="default"/>
          <w:sz w:val="21"/>
          <w:szCs w:val="21"/>
        </w:rPr>
      </w:pPr>
      <w:r>
        <w:rPr>
          <w:rFonts w:ascii="宋体" w:hAnsi="宋体" w:cs="宋体" w:eastAsia="宋体" w:hint="default"/>
          <w:sz w:val="21"/>
          <w:szCs w:val="21"/>
        </w:rPr>
        <w:t>明，固定资产的可收回金额低于其账面价值的，将固定资产的账面价值减记至可收回金额，减</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记的金额确认为资产减值损失，计入当期损益，同时计提相应的固定资产减值准备。固定资产</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减值损失一经确认，在以后会计期间不再转回。</w:t>
      </w:r>
    </w:p>
    <w:p>
      <w:pPr>
        <w:spacing w:after="0" w:line="357" w:lineRule="auto"/>
        <w:jc w:val="both"/>
        <w:rPr>
          <w:rFonts w:ascii="宋体" w:hAnsi="宋体" w:cs="宋体" w:eastAsia="宋体" w:hint="default"/>
          <w:sz w:val="21"/>
          <w:szCs w:val="21"/>
        </w:rPr>
        <w:sectPr>
          <w:pgSz w:w="11910" w:h="16840"/>
          <w:pgMar w:header="877" w:footer="982" w:top="1100" w:bottom="1180" w:left="1400" w:right="1420"/>
        </w:sectPr>
      </w:pPr>
    </w:p>
    <w:p>
      <w:pPr>
        <w:spacing w:line="240" w:lineRule="auto" w:before="2"/>
        <w:rPr>
          <w:rFonts w:ascii="宋体" w:hAnsi="宋体" w:cs="宋体" w:eastAsia="宋体" w:hint="default"/>
          <w:sz w:val="19"/>
          <w:szCs w:val="19"/>
        </w:rPr>
      </w:pPr>
    </w:p>
    <w:p>
      <w:pPr>
        <w:spacing w:line="436" w:lineRule="auto" w:before="35"/>
        <w:ind w:left="564" w:right="111"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）融资租入固定资产的认定依据、计价方法 </w:t>
      </w:r>
      <w:r>
        <w:rPr>
          <w:rFonts w:ascii="宋体" w:hAnsi="宋体" w:cs="宋体" w:eastAsia="宋体" w:hint="default"/>
          <w:spacing w:val="-3"/>
          <w:sz w:val="21"/>
          <w:szCs w:val="21"/>
        </w:rPr>
        <w:t>如果与某项租入固定资产有关的全部风险和报酬实质上已经转移，本公司认定为融资租赁。</w:t>
      </w:r>
    </w:p>
    <w:p>
      <w:pPr>
        <w:spacing w:line="237" w:lineRule="exact" w:before="0"/>
        <w:ind w:left="144" w:right="0" w:firstLine="0"/>
        <w:jc w:val="both"/>
        <w:rPr>
          <w:rFonts w:ascii="宋体" w:hAnsi="宋体" w:cs="宋体" w:eastAsia="宋体" w:hint="default"/>
          <w:sz w:val="21"/>
          <w:szCs w:val="21"/>
        </w:rPr>
      </w:pPr>
      <w:r>
        <w:rPr>
          <w:rFonts w:ascii="宋体" w:hAnsi="宋体" w:cs="宋体" w:eastAsia="宋体" w:hint="default"/>
          <w:spacing w:val="5"/>
          <w:sz w:val="21"/>
          <w:szCs w:val="21"/>
        </w:rPr>
        <w:t>融资租入固定资产需按租赁开始日租赁资产的公允价值与最低租赁付款额现值两者中的较低</w:t>
      </w:r>
    </w:p>
    <w:p>
      <w:pPr>
        <w:spacing w:line="357" w:lineRule="auto" w:before="133"/>
        <w:ind w:left="144" w:right="115" w:firstLine="0"/>
        <w:jc w:val="both"/>
        <w:rPr>
          <w:rFonts w:ascii="宋体" w:hAnsi="宋体" w:cs="宋体" w:eastAsia="宋体" w:hint="default"/>
          <w:sz w:val="21"/>
          <w:szCs w:val="21"/>
        </w:rPr>
      </w:pPr>
      <w:r>
        <w:rPr>
          <w:rFonts w:ascii="宋体" w:hAnsi="宋体" w:cs="宋体" w:eastAsia="宋体" w:hint="default"/>
          <w:sz w:val="21"/>
          <w:szCs w:val="21"/>
        </w:rPr>
        <w:t>者，加上可直接归属于租赁项目的初始直接费用，作为租入资产的入账价值，将最低租赁付款</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额作为长期应付款的入账价值，其差额作为未确认融资费用。未确认融资费用采用实际利率法</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3"/>
          <w:sz w:val="21"/>
          <w:szCs w:val="21"/>
        </w:rPr>
        <w:t>在租赁期内分摊。融资租入固定资产采用与自有固定资产相一致的折旧政策计提租赁资产折旧。</w:t>
      </w:r>
    </w:p>
    <w:p>
      <w:pPr>
        <w:spacing w:before="151"/>
        <w:ind w:left="14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436" w:lineRule="auto" w:before="0"/>
        <w:ind w:left="564" w:right="21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）在建工程的核算方法 在建工程包括施工前期准备、正在施工中的建筑工程、安装工程、技术改造工程和大修理</w:t>
      </w:r>
    </w:p>
    <w:p>
      <w:pPr>
        <w:spacing w:line="237" w:lineRule="exact" w:before="0"/>
        <w:ind w:left="144" w:right="0" w:firstLine="0"/>
        <w:jc w:val="both"/>
        <w:rPr>
          <w:rFonts w:ascii="宋体" w:hAnsi="宋体" w:cs="宋体" w:eastAsia="宋体" w:hint="default"/>
          <w:sz w:val="21"/>
          <w:szCs w:val="21"/>
        </w:rPr>
      </w:pPr>
      <w:r>
        <w:rPr>
          <w:rFonts w:ascii="宋体" w:hAnsi="宋体" w:cs="宋体" w:eastAsia="宋体" w:hint="default"/>
          <w:sz w:val="21"/>
          <w:szCs w:val="21"/>
        </w:rPr>
        <w:t>工程等。在建工程按照实际发生的支出分项目核算，并在工程达到预定可使用状态时结转为固</w:t>
      </w:r>
    </w:p>
    <w:p>
      <w:pPr>
        <w:spacing w:line="357" w:lineRule="auto" w:before="133"/>
        <w:ind w:left="144" w:right="218" w:firstLine="0"/>
        <w:jc w:val="both"/>
        <w:rPr>
          <w:rFonts w:ascii="宋体" w:hAnsi="宋体" w:cs="宋体" w:eastAsia="宋体" w:hint="default"/>
          <w:sz w:val="21"/>
          <w:szCs w:val="21"/>
        </w:rPr>
      </w:pPr>
      <w:r>
        <w:rPr>
          <w:rFonts w:ascii="宋体" w:hAnsi="宋体" w:cs="宋体" w:eastAsia="宋体" w:hint="default"/>
          <w:spacing w:val="-5"/>
          <w:sz w:val="21"/>
          <w:szCs w:val="21"/>
        </w:rPr>
        <w:t>定资产。与在建工程有关的借款费用（包括借款利息、溢折价摊销、汇兑损益等），在相关工程</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达到预定可使用状态前的计入工程成本，在相关工程达到预定可使用状态后的计入当期财务费</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用。</w:t>
      </w:r>
    </w:p>
    <w:p>
      <w:pPr>
        <w:spacing w:line="436" w:lineRule="auto" w:before="151"/>
        <w:ind w:left="564" w:right="21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）在建工程减值准备 资产负债表日对在建工程进行全面检查，判断在建工程是否存在可能发生减值的迹象。如</w:t>
      </w:r>
    </w:p>
    <w:p>
      <w:pPr>
        <w:spacing w:line="252" w:lineRule="exact" w:before="0"/>
        <w:ind w:left="144" w:right="0" w:hanging="1"/>
        <w:jc w:val="both"/>
        <w:rPr>
          <w:rFonts w:ascii="宋体" w:hAnsi="宋体" w:cs="宋体" w:eastAsia="宋体" w:hint="default"/>
          <w:sz w:val="21"/>
          <w:szCs w:val="21"/>
        </w:rPr>
      </w:pPr>
      <w:r>
        <w:rPr>
          <w:rFonts w:ascii="宋体" w:hAnsi="宋体" w:cs="宋体" w:eastAsia="宋体" w:hint="default"/>
          <w:sz w:val="21"/>
          <w:szCs w:val="21"/>
        </w:rPr>
        <w:t>果存在</w:t>
      </w:r>
      <w:r>
        <w:rPr>
          <w:rFonts w:ascii="宋体" w:hAnsi="宋体" w:cs="宋体" w:eastAsia="宋体" w:hint="default"/>
          <w:spacing w:val="-129"/>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pacing w:val="-26"/>
          <w:sz w:val="21"/>
          <w:szCs w:val="21"/>
        </w:rPr>
        <w:t>）</w:t>
      </w:r>
      <w:r>
        <w:rPr>
          <w:rFonts w:ascii="宋体" w:hAnsi="宋体" w:cs="宋体" w:eastAsia="宋体" w:hint="default"/>
          <w:sz w:val="21"/>
          <w:szCs w:val="21"/>
        </w:rPr>
        <w:t>在建工程长期停建并且预计在未来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年内不会</w:t>
      </w:r>
      <w:r>
        <w:rPr>
          <w:rFonts w:ascii="宋体" w:hAnsi="宋体" w:cs="宋体" w:eastAsia="宋体" w:hint="default"/>
          <w:spacing w:val="-2"/>
          <w:sz w:val="21"/>
          <w:szCs w:val="21"/>
        </w:rPr>
        <w:t>重</w:t>
      </w:r>
      <w:r>
        <w:rPr>
          <w:rFonts w:ascii="宋体" w:hAnsi="宋体" w:cs="宋体" w:eastAsia="宋体" w:hint="default"/>
          <w:sz w:val="21"/>
          <w:szCs w:val="21"/>
        </w:rPr>
        <w:t>新开工</w:t>
      </w:r>
      <w:r>
        <w:rPr>
          <w:rFonts w:ascii="宋体" w:hAnsi="宋体" w:cs="宋体" w:eastAsia="宋体" w:hint="default"/>
          <w:spacing w:val="-129"/>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pacing w:val="-26"/>
          <w:sz w:val="21"/>
          <w:szCs w:val="21"/>
        </w:rPr>
        <w:t>）</w:t>
      </w:r>
      <w:r>
        <w:rPr>
          <w:rFonts w:ascii="宋体" w:hAnsi="宋体" w:cs="宋体" w:eastAsia="宋体" w:hint="default"/>
          <w:sz w:val="21"/>
          <w:szCs w:val="21"/>
        </w:rPr>
        <w:t>所建项目在性能上、</w:t>
      </w:r>
    </w:p>
    <w:p>
      <w:pPr>
        <w:spacing w:line="357" w:lineRule="auto" w:before="118"/>
        <w:ind w:left="144" w:right="218" w:firstLine="0"/>
        <w:jc w:val="both"/>
        <w:rPr>
          <w:rFonts w:ascii="宋体" w:hAnsi="宋体" w:cs="宋体" w:eastAsia="宋体" w:hint="default"/>
          <w:sz w:val="21"/>
          <w:szCs w:val="21"/>
        </w:rPr>
      </w:pPr>
      <w:r>
        <w:rPr>
          <w:rFonts w:ascii="宋体" w:hAnsi="宋体" w:cs="宋体" w:eastAsia="宋体" w:hint="default"/>
          <w:sz w:val="21"/>
          <w:szCs w:val="21"/>
        </w:rPr>
        <w:t>技术上已经落后并且所带来的经济效益具有很大的不确定性等减值迹象的，则估计其可收回金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额。可收回金额的计量结果表明，在建工程的可收回金额低于其账面价值的，将在建工程的账</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面价值减记至可收回金额，减记的金额确认为资产减值损失，计入当期损益，同时计提相应的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在建工程减值准备。在建工程减值损失一经确认，在以后会计期间不再转回。</w:t>
      </w:r>
    </w:p>
    <w:p>
      <w:pPr>
        <w:spacing w:before="151"/>
        <w:ind w:left="14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348" w:lineRule="auto" w:before="0"/>
        <w:ind w:left="144" w:right="218"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）企业发生的借款费用，可直接归属于符合资本化条件的资产的购建或者生产的，予以</w:t>
      </w:r>
      <w:r>
        <w:rPr>
          <w:rFonts w:ascii="宋体" w:hAnsi="宋体" w:cs="宋体" w:eastAsia="宋体" w:hint="default"/>
          <w:sz w:val="21"/>
          <w:szCs w:val="21"/>
        </w:rPr>
        <w:t> 资本化，计入相关资产成本；其他借款费用，在发生时根据其发生额确认为费用，计入当期损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益。借款费用同时满足下列条件的，开始资本化：</w:t>
      </w:r>
    </w:p>
    <w:p>
      <w:pPr>
        <w:spacing w:line="338" w:lineRule="auto" w:before="158"/>
        <w:ind w:left="144" w:right="222"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、资产支出已经发生，资产支出包括为购建或者生产符合资本化条件的资产而以支付现 金、转移非现金资产或者承担带息债务形式发生的支出；</w:t>
      </w:r>
    </w:p>
    <w:p>
      <w:pPr>
        <w:spacing w:line="436" w:lineRule="auto" w:before="167"/>
        <w:ind w:left="564" w:right="7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、借款费用已经发生； </w:t>
      </w:r>
      <w:r>
        <w:rPr>
          <w:rFonts w:ascii="Times New Roman" w:hAnsi="Times New Roman" w:cs="Times New Roman" w:eastAsia="Times New Roman" w:hint="default"/>
          <w:sz w:val="21"/>
          <w:szCs w:val="21"/>
        </w:rPr>
        <w:t>C</w:t>
      </w:r>
      <w:r>
        <w:rPr>
          <w:rFonts w:ascii="宋体" w:hAnsi="宋体" w:cs="宋体" w:eastAsia="宋体" w:hint="default"/>
          <w:sz w:val="21"/>
          <w:szCs w:val="21"/>
        </w:rPr>
        <w:t>、为使资产达到预定可使用或者可销售状态所必要的购建或者生产活动已经开始。</w:t>
      </w:r>
    </w:p>
    <w:p>
      <w:pPr>
        <w:spacing w:line="336" w:lineRule="auto" w:before="46"/>
        <w:ind w:left="144" w:right="218"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）购建或者生产符合资本化条件的资产达到预定可使用或者可销售状态时，借款费用停</w:t>
      </w:r>
      <w:r>
        <w:rPr>
          <w:rFonts w:ascii="宋体" w:hAnsi="宋体" w:cs="宋体" w:eastAsia="宋体" w:hint="default"/>
          <w:sz w:val="21"/>
          <w:szCs w:val="21"/>
        </w:rPr>
        <w:t> 止资本化。在符合资本化条件的资产达到预定可使用或者可销售状态之后所发生的借款费用，</w:t>
      </w:r>
    </w:p>
    <w:p>
      <w:pPr>
        <w:spacing w:after="0" w:line="336" w:lineRule="auto"/>
        <w:jc w:val="both"/>
        <w:rPr>
          <w:rFonts w:ascii="宋体" w:hAnsi="宋体" w:cs="宋体" w:eastAsia="宋体" w:hint="default"/>
          <w:sz w:val="21"/>
          <w:szCs w:val="21"/>
        </w:rPr>
        <w:sectPr>
          <w:pgSz w:w="11910" w:h="16840"/>
          <w:pgMar w:header="877" w:footer="982" w:top="1100" w:bottom="1180" w:left="1500" w:right="1420"/>
        </w:sectPr>
      </w:pPr>
    </w:p>
    <w:p>
      <w:pPr>
        <w:spacing w:line="240" w:lineRule="auto" w:before="2"/>
        <w:rPr>
          <w:rFonts w:ascii="宋体" w:hAnsi="宋体" w:cs="宋体" w:eastAsia="宋体" w:hint="default"/>
          <w:sz w:val="19"/>
          <w:szCs w:val="19"/>
        </w:rPr>
      </w:pPr>
    </w:p>
    <w:p>
      <w:pPr>
        <w:spacing w:before="35"/>
        <w:ind w:left="144" w:right="2349" w:firstLine="0"/>
        <w:jc w:val="left"/>
        <w:rPr>
          <w:rFonts w:ascii="宋体" w:hAnsi="宋体" w:cs="宋体" w:eastAsia="宋体" w:hint="default"/>
          <w:sz w:val="21"/>
          <w:szCs w:val="21"/>
        </w:rPr>
      </w:pPr>
      <w:r>
        <w:rPr>
          <w:rFonts w:ascii="宋体" w:hAnsi="宋体" w:cs="宋体" w:eastAsia="宋体" w:hint="default"/>
          <w:sz w:val="21"/>
          <w:szCs w:val="21"/>
        </w:rPr>
        <w:t>在发生时根据其发生额确认为费用，计入当期损益。</w:t>
      </w:r>
    </w:p>
    <w:p>
      <w:pPr>
        <w:spacing w:line="240" w:lineRule="auto" w:before="5"/>
        <w:rPr>
          <w:rFonts w:ascii="宋体" w:hAnsi="宋体" w:cs="宋体" w:eastAsia="宋体" w:hint="default"/>
          <w:sz w:val="19"/>
          <w:szCs w:val="19"/>
        </w:rPr>
      </w:pPr>
    </w:p>
    <w:p>
      <w:pPr>
        <w:spacing w:before="0"/>
        <w:ind w:left="143" w:right="234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line="336" w:lineRule="auto" w:before="0"/>
        <w:ind w:left="143" w:right="104"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）无形资产指企业拥有或控制的没有实物形态的可辨认非货币性资产，包括专有技术、 土地使用权等。</w:t>
      </w:r>
    </w:p>
    <w:p>
      <w:pPr>
        <w:spacing w:before="170"/>
        <w:ind w:left="563" w:right="234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）无形资产在取得时按照实际成本计价。</w:t>
      </w:r>
    </w:p>
    <w:p>
      <w:pPr>
        <w:spacing w:line="240" w:lineRule="auto" w:before="2"/>
        <w:rPr>
          <w:rFonts w:ascii="宋体" w:hAnsi="宋体" w:cs="宋体" w:eastAsia="宋体" w:hint="default"/>
          <w:sz w:val="18"/>
          <w:szCs w:val="18"/>
        </w:rPr>
      </w:pPr>
    </w:p>
    <w:p>
      <w:pPr>
        <w:spacing w:line="350" w:lineRule="auto" w:before="0"/>
        <w:ind w:left="143" w:right="198"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）对使用寿命确定的无形资产，自无形资产可供使用时起，在使用寿命内采用直线法摊</w:t>
      </w:r>
      <w:r>
        <w:rPr>
          <w:rFonts w:ascii="宋体" w:hAnsi="宋体" w:cs="宋体" w:eastAsia="宋体" w:hint="default"/>
          <w:sz w:val="21"/>
          <w:szCs w:val="21"/>
        </w:rPr>
        <w:t> 销，计入当期损益；对使用寿命不确定的无形资产不摊销；公司于年度终了对无形资产的使用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寿命及摊销方法进行复核，使用寿命及摊销方法与以前估计不同的，则改变摊销期限和摊销方</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法。本公司的无形资产摊销年限如下：</w:t>
      </w:r>
    </w:p>
    <w:p>
      <w:pPr>
        <w:spacing w:line="240" w:lineRule="auto" w:before="9"/>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3974"/>
        <w:gridCol w:w="4680"/>
      </w:tblGrid>
      <w:tr>
        <w:trPr>
          <w:trHeight w:val="510"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120"/>
              <w:ind w:left="19" w:right="0"/>
              <w:jc w:val="center"/>
              <w:rPr>
                <w:rFonts w:ascii="宋体" w:hAnsi="宋体" w:cs="宋体" w:eastAsia="宋体" w:hint="default"/>
                <w:sz w:val="21"/>
                <w:szCs w:val="21"/>
              </w:rPr>
            </w:pPr>
            <w:r>
              <w:rPr>
                <w:rFonts w:ascii="宋体" w:hAnsi="宋体" w:cs="宋体" w:eastAsia="宋体" w:hint="default"/>
                <w:sz w:val="21"/>
                <w:szCs w:val="21"/>
              </w:rPr>
              <w:t>类</w:t>
              <w:tab/>
              <w:t>别</w:t>
            </w:r>
          </w:p>
        </w:tc>
        <w:tc>
          <w:tcPr>
            <w:tcW w:w="4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2"/>
              <w:jc w:val="center"/>
              <w:rPr>
                <w:rFonts w:ascii="宋体" w:hAnsi="宋体" w:cs="宋体" w:eastAsia="宋体" w:hint="default"/>
                <w:sz w:val="21"/>
                <w:szCs w:val="21"/>
              </w:rPr>
            </w:pPr>
            <w:r>
              <w:rPr>
                <w:rFonts w:ascii="宋体" w:hAnsi="宋体" w:cs="宋体" w:eastAsia="宋体" w:hint="default"/>
                <w:sz w:val="21"/>
                <w:szCs w:val="21"/>
              </w:rPr>
              <w:t>摊销年限</w:t>
            </w:r>
          </w:p>
        </w:tc>
      </w:tr>
      <w:tr>
        <w:trPr>
          <w:trHeight w:val="510"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219" w:right="0"/>
              <w:jc w:val="left"/>
              <w:rPr>
                <w:rFonts w:ascii="宋体" w:hAnsi="宋体" w:cs="宋体" w:eastAsia="宋体" w:hint="default"/>
                <w:sz w:val="21"/>
                <w:szCs w:val="21"/>
              </w:rPr>
            </w:pPr>
            <w:r>
              <w:rPr>
                <w:rFonts w:ascii="宋体" w:hAnsi="宋体" w:cs="宋体" w:eastAsia="宋体" w:hint="default"/>
                <w:sz w:val="21"/>
                <w:szCs w:val="21"/>
              </w:rPr>
              <w:t>外购软件</w:t>
            </w:r>
          </w:p>
        </w:tc>
        <w:tc>
          <w:tcPr>
            <w:tcW w:w="4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left="9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5-10 </w:t>
            </w:r>
            <w:r>
              <w:rPr>
                <w:rFonts w:ascii="宋体" w:hAnsi="宋体" w:cs="宋体" w:eastAsia="宋体" w:hint="default"/>
                <w:sz w:val="21"/>
                <w:szCs w:val="21"/>
              </w:rPr>
              <w:t>年</w:t>
            </w:r>
          </w:p>
        </w:tc>
      </w:tr>
      <w:tr>
        <w:trPr>
          <w:trHeight w:val="510"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219"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4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left="9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年</w:t>
            </w:r>
          </w:p>
        </w:tc>
      </w:tr>
    </w:tbl>
    <w:p>
      <w:pPr>
        <w:spacing w:line="240" w:lineRule="auto" w:before="4"/>
        <w:rPr>
          <w:rFonts w:ascii="宋体" w:hAnsi="宋体" w:cs="宋体" w:eastAsia="宋体" w:hint="default"/>
          <w:sz w:val="22"/>
          <w:szCs w:val="22"/>
        </w:rPr>
      </w:pPr>
    </w:p>
    <w:p>
      <w:pPr>
        <w:spacing w:line="350" w:lineRule="auto" w:before="35"/>
        <w:ind w:left="144" w:right="198"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）本公司内部研究开发项目的支出，区分研究阶段的支出与开发阶段的支出。研究是指</w:t>
      </w:r>
      <w:r>
        <w:rPr>
          <w:rFonts w:ascii="宋体" w:hAnsi="宋体" w:cs="宋体" w:eastAsia="宋体" w:hint="default"/>
          <w:sz w:val="21"/>
          <w:szCs w:val="21"/>
        </w:rPr>
        <w:t> 为获取并理解新的科学或技术知识而进行的独创性的有计划调查。开发是指在进行商业性生产</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或使用前，将研究成果或其他知识应用于某项计划或设计，以生产出新的或具有实质性改进的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材料、装置、产品等。</w:t>
      </w:r>
    </w:p>
    <w:p>
      <w:pPr>
        <w:spacing w:line="357" w:lineRule="auto" w:before="156"/>
        <w:ind w:left="143" w:right="200" w:firstLine="420"/>
        <w:jc w:val="both"/>
        <w:rPr>
          <w:rFonts w:ascii="宋体" w:hAnsi="宋体" w:cs="宋体" w:eastAsia="宋体" w:hint="default"/>
          <w:sz w:val="21"/>
          <w:szCs w:val="21"/>
        </w:rPr>
      </w:pPr>
      <w:r>
        <w:rPr>
          <w:rFonts w:ascii="宋体" w:hAnsi="宋体" w:cs="宋体" w:eastAsia="宋体" w:hint="default"/>
          <w:sz w:val="21"/>
          <w:szCs w:val="21"/>
        </w:rPr>
        <w:t>本公司内部研究开发项目研究阶段的支出在发生时计入当期损益；开发阶段的支出，仅在 同时满足下列条件时，确认为无形资产：</w:t>
      </w:r>
    </w:p>
    <w:p>
      <w:pPr>
        <w:spacing w:line="436" w:lineRule="auto" w:before="150"/>
        <w:ind w:left="563" w:right="234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、完成该无形资产以使其能够使用或出售在技术上具有可行性； </w:t>
      </w:r>
      <w:r>
        <w:rPr>
          <w:rFonts w:ascii="Times New Roman" w:hAnsi="Times New Roman" w:cs="Times New Roman" w:eastAsia="Times New Roman" w:hint="default"/>
          <w:sz w:val="21"/>
          <w:szCs w:val="21"/>
        </w:rPr>
        <w:t>B</w:t>
      </w:r>
      <w:r>
        <w:rPr>
          <w:rFonts w:ascii="宋体" w:hAnsi="宋体" w:cs="宋体" w:eastAsia="宋体" w:hint="default"/>
          <w:sz w:val="21"/>
          <w:szCs w:val="21"/>
        </w:rPr>
        <w:t>、具有完成该无形资产并使用或出售的意图； </w:t>
      </w:r>
      <w:r>
        <w:rPr>
          <w:rFonts w:ascii="Times New Roman" w:hAnsi="Times New Roman" w:cs="Times New Roman" w:eastAsia="Times New Roman" w:hint="default"/>
          <w:sz w:val="21"/>
          <w:szCs w:val="21"/>
        </w:rPr>
        <w:t>C</w:t>
      </w:r>
      <w:r>
        <w:rPr>
          <w:rFonts w:ascii="宋体" w:hAnsi="宋体" w:cs="宋体" w:eastAsia="宋体" w:hint="default"/>
          <w:sz w:val="21"/>
          <w:szCs w:val="21"/>
        </w:rPr>
        <w:t>、该无形资产能够带来经济利益；</w:t>
      </w:r>
    </w:p>
    <w:p>
      <w:pPr>
        <w:spacing w:line="338" w:lineRule="auto" w:before="46"/>
        <w:ind w:left="144" w:right="202"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、有足够的技术、财务资源和其他资源支持，以完成该无形资产的开发，并有能力使用 或出售该无形资产；</w:t>
      </w:r>
    </w:p>
    <w:p>
      <w:pPr>
        <w:spacing w:line="436" w:lineRule="auto" w:before="167"/>
        <w:ind w:left="564" w:right="321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E</w:t>
      </w:r>
      <w:r>
        <w:rPr>
          <w:rFonts w:ascii="宋体" w:hAnsi="宋体" w:cs="宋体" w:eastAsia="宋体" w:hint="default"/>
          <w:sz w:val="21"/>
          <w:szCs w:val="21"/>
        </w:rPr>
        <w:t>、归属于该无形资产开发阶段的支出能够可靠地计量。 不能同时满足上述条件的，于发生时计入当期损益。</w:t>
      </w:r>
    </w:p>
    <w:p>
      <w:pPr>
        <w:spacing w:line="436" w:lineRule="auto" w:before="81"/>
        <w:ind w:left="564" w:right="19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）无形资产减值准备 期末检查各项无形资产预计给本公司带来未来经济利益的能力，当存在以下情形之一时：</w:t>
      </w:r>
    </w:p>
    <w:p>
      <w:pPr>
        <w:spacing w:line="253" w:lineRule="exact" w:before="0"/>
        <w:ind w:left="144" w:right="190"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）某项无形资产已被其他新技术等所替代，使其为企业创造经济利益的能力受到重大不利影</w:t>
      </w:r>
    </w:p>
    <w:p>
      <w:pPr>
        <w:spacing w:after="0" w:line="253" w:lineRule="exact"/>
        <w:jc w:val="left"/>
        <w:rPr>
          <w:rFonts w:ascii="宋体" w:hAnsi="宋体" w:cs="宋体" w:eastAsia="宋体" w:hint="default"/>
          <w:sz w:val="21"/>
          <w:szCs w:val="21"/>
        </w:rPr>
        <w:sectPr>
          <w:pgSz w:w="11910" w:h="16840"/>
          <w:pgMar w:header="877" w:footer="982" w:top="1100" w:bottom="1180" w:left="1500" w:right="1440"/>
        </w:sectPr>
      </w:pPr>
    </w:p>
    <w:p>
      <w:pPr>
        <w:spacing w:line="240" w:lineRule="auto" w:before="2"/>
        <w:rPr>
          <w:rFonts w:ascii="宋体" w:hAnsi="宋体" w:cs="宋体" w:eastAsia="宋体" w:hint="default"/>
          <w:sz w:val="19"/>
          <w:szCs w:val="19"/>
        </w:rPr>
      </w:pPr>
    </w:p>
    <w:p>
      <w:pPr>
        <w:spacing w:line="350" w:lineRule="auto" w:before="35"/>
        <w:ind w:left="144" w:right="138" w:hanging="1"/>
        <w:jc w:val="both"/>
        <w:rPr>
          <w:rFonts w:ascii="宋体" w:hAnsi="宋体" w:cs="宋体" w:eastAsia="宋体" w:hint="default"/>
          <w:sz w:val="21"/>
          <w:szCs w:val="21"/>
        </w:rPr>
      </w:pPr>
      <w:r>
        <w:rPr>
          <w:rFonts w:ascii="宋体" w:hAnsi="宋体" w:cs="宋体" w:eastAsia="宋体" w:hint="default"/>
          <w:spacing w:val="-5"/>
          <w:sz w:val="21"/>
          <w:szCs w:val="21"/>
        </w:rPr>
        <w:t>响；（</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）某项无形资产的市价在当期大幅下跌，在剩余摊销年限内预期不会恢复；（</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）某项无</w:t>
      </w:r>
      <w:r>
        <w:rPr>
          <w:rFonts w:ascii="宋体" w:hAnsi="宋体" w:cs="宋体" w:eastAsia="宋体" w:hint="default"/>
          <w:spacing w:val="-95"/>
          <w:sz w:val="21"/>
          <w:szCs w:val="21"/>
        </w:rPr>
        <w:t> </w:t>
      </w:r>
      <w:r>
        <w:rPr>
          <w:rFonts w:ascii="宋体" w:hAnsi="宋体" w:cs="宋体" w:eastAsia="宋体" w:hint="default"/>
          <w:sz w:val="21"/>
          <w:szCs w:val="21"/>
        </w:rPr>
        <w:t>形资产已超过法律保护期限，但仍然具有部分使用价值等减值迹象的，则估计其可收回金额。</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可收回金额的计量结果表明，无形资产的可收回金额低于其账面价值的，将无形资产的账面价</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值减记至可收回金额，减记的金额确认为资产减值损失，计入当期损益，同时计提相应的无形</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3"/>
          <w:sz w:val="21"/>
          <w:szCs w:val="21"/>
        </w:rPr>
        <w:t>资产减值准备；（</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）其他足以证明某项无形资产实质上已发生了减值准备情形的情况，按预计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可收回金额低于账面价值的差额计提无形资产减值准备。无形资产减值损失一经确认，在以后</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会计期间不再转回。</w:t>
      </w:r>
    </w:p>
    <w:p>
      <w:pPr>
        <w:spacing w:before="156"/>
        <w:ind w:left="14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564" w:right="27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）长期待摊费用指应由本期和以后各期负担的分摊期限在一年以上的各项费用。</w:t>
      </w:r>
    </w:p>
    <w:p>
      <w:pPr>
        <w:spacing w:line="240" w:lineRule="auto" w:before="3"/>
        <w:rPr>
          <w:rFonts w:ascii="宋体" w:hAnsi="宋体" w:cs="宋体" w:eastAsia="宋体" w:hint="default"/>
          <w:sz w:val="18"/>
          <w:szCs w:val="18"/>
        </w:rPr>
      </w:pPr>
    </w:p>
    <w:p>
      <w:pPr>
        <w:spacing w:line="343" w:lineRule="auto" w:before="0"/>
        <w:ind w:left="144" w:right="138"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）长期待摊费用在取得时按照实际成本计价，开办费在发生时计入当期损益；经营性租</w:t>
      </w:r>
      <w:r>
        <w:rPr>
          <w:rFonts w:ascii="宋体" w:hAnsi="宋体" w:cs="宋体" w:eastAsia="宋体" w:hint="default"/>
          <w:sz w:val="21"/>
          <w:szCs w:val="21"/>
        </w:rPr>
        <w:t> 赁固定资产的装修费用在自生产经营之日起</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6"/>
          <w:sz w:val="21"/>
          <w:szCs w:val="21"/>
        </w:rPr>
        <w:t> </w:t>
      </w:r>
      <w:r>
        <w:rPr>
          <w:rFonts w:ascii="宋体" w:hAnsi="宋体" w:cs="宋体" w:eastAsia="宋体" w:hint="default"/>
          <w:spacing w:val="-10"/>
          <w:sz w:val="21"/>
          <w:szCs w:val="21"/>
        </w:rPr>
        <w:t>年内平均摊销，，其他长期待摊费用按项目的受益</w:t>
      </w:r>
      <w:r>
        <w:rPr>
          <w:rFonts w:ascii="宋体" w:hAnsi="宋体" w:cs="宋体" w:eastAsia="宋体" w:hint="default"/>
          <w:sz w:val="21"/>
          <w:szCs w:val="21"/>
        </w:rPr>
        <w:t> 期平均摊销。对于在以后会计期间已无法带来预期经济利益的长期待摊费用，本公司对其尚未</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摊销的摊余价值全部转入当期损益。</w:t>
      </w:r>
    </w:p>
    <w:p>
      <w:pPr>
        <w:spacing w:before="164"/>
        <w:ind w:left="14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348" w:lineRule="auto" w:before="0"/>
        <w:ind w:left="144" w:right="138"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）与或有事项相关的义务同时符合以下条件，本公司将其确认为预计负债：该义务是本</w:t>
      </w:r>
      <w:r>
        <w:rPr>
          <w:rFonts w:ascii="宋体" w:hAnsi="宋体" w:cs="宋体" w:eastAsia="宋体" w:hint="default"/>
          <w:sz w:val="21"/>
          <w:szCs w:val="21"/>
        </w:rPr>
        <w:t> 公司承担的现时义务；该义务的履行很可能导致经济利益流出企业；该义务的金额能够可靠的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计量；</w:t>
      </w:r>
    </w:p>
    <w:p>
      <w:pPr>
        <w:spacing w:line="348" w:lineRule="auto" w:before="158"/>
        <w:ind w:left="144" w:right="138"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）本公司清偿预计负债所需支出全部或部分预期由第三方补偿的，补偿金额只有在基本</w:t>
      </w:r>
      <w:r>
        <w:rPr>
          <w:rFonts w:ascii="宋体" w:hAnsi="宋体" w:cs="宋体" w:eastAsia="宋体" w:hint="default"/>
          <w:sz w:val="21"/>
          <w:szCs w:val="21"/>
        </w:rPr>
        <w:t> 确定能够收到时，才能作为资产单独确认，同时对该项单独核算的资产确认的补偿金额不超过</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对应的预计负债的账面金额。</w:t>
      </w:r>
    </w:p>
    <w:p>
      <w:pPr>
        <w:spacing w:before="160"/>
        <w:ind w:left="14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436" w:lineRule="auto" w:before="0"/>
        <w:ind w:left="564" w:right="13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）销售商品收入 企业已将商品所有权上的主要风险和报酬转移给购货方；企业既没有保留通常与所有权相</w:t>
      </w:r>
    </w:p>
    <w:p>
      <w:pPr>
        <w:spacing w:line="237" w:lineRule="exact" w:before="0"/>
        <w:ind w:left="144" w:right="0" w:firstLine="0"/>
        <w:jc w:val="both"/>
        <w:rPr>
          <w:rFonts w:ascii="宋体" w:hAnsi="宋体" w:cs="宋体" w:eastAsia="宋体" w:hint="default"/>
          <w:sz w:val="21"/>
          <w:szCs w:val="21"/>
        </w:rPr>
      </w:pPr>
      <w:r>
        <w:rPr>
          <w:rFonts w:ascii="宋体" w:hAnsi="宋体" w:cs="宋体" w:eastAsia="宋体" w:hint="default"/>
          <w:sz w:val="21"/>
          <w:szCs w:val="21"/>
        </w:rPr>
        <w:t>联系的继续管理权，也没有对已售出的商品实施有效控制；收入的金额能够可靠地计量；相关</w:t>
      </w:r>
    </w:p>
    <w:p>
      <w:pPr>
        <w:spacing w:line="463" w:lineRule="auto" w:before="133"/>
        <w:ind w:left="564" w:right="273" w:hanging="420"/>
        <w:jc w:val="left"/>
        <w:rPr>
          <w:rFonts w:ascii="宋体" w:hAnsi="宋体" w:cs="宋体" w:eastAsia="宋体" w:hint="default"/>
          <w:sz w:val="21"/>
          <w:szCs w:val="21"/>
        </w:rPr>
      </w:pPr>
      <w:r>
        <w:rPr>
          <w:rFonts w:ascii="宋体" w:hAnsi="宋体" w:cs="宋体" w:eastAsia="宋体" w:hint="default"/>
          <w:sz w:val="21"/>
          <w:szCs w:val="21"/>
        </w:rPr>
        <w:t>的经济利益很可能流入企业；相关的已发生或将发生的成本能够可靠地计量。 本公司商品销售主要有软件产品和系统集成收入，其收入的具体确认原则：</w:t>
      </w:r>
    </w:p>
    <w:p>
      <w:pPr>
        <w:spacing w:line="338" w:lineRule="auto" w:before="58"/>
        <w:ind w:left="144" w:right="142"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、软件产品：是指本公司自主开发的，取得了软件产品登记认证，购买方个性化差异很 小，基本具有行业通用性，因而可以批量复制销售的应用软件。</w:t>
      </w:r>
    </w:p>
    <w:p>
      <w:pPr>
        <w:spacing w:line="355" w:lineRule="auto" w:before="167"/>
        <w:ind w:left="144" w:right="139" w:firstLine="420"/>
        <w:jc w:val="both"/>
        <w:rPr>
          <w:rFonts w:ascii="宋体" w:hAnsi="宋体" w:cs="宋体" w:eastAsia="宋体" w:hint="default"/>
          <w:sz w:val="21"/>
          <w:szCs w:val="21"/>
        </w:rPr>
      </w:pPr>
      <w:r>
        <w:rPr>
          <w:rFonts w:ascii="宋体" w:hAnsi="宋体" w:cs="宋体" w:eastAsia="宋体" w:hint="default"/>
          <w:sz w:val="21"/>
          <w:szCs w:val="21"/>
        </w:rPr>
        <w:t>对于软件产品本公司在按照合同约定内容向购买方移交，并完成安装、调试工作，取得了 购买方安装确认单据后确认收入。</w:t>
      </w:r>
    </w:p>
    <w:p>
      <w:pPr>
        <w:spacing w:after="0" w:line="355" w:lineRule="auto"/>
        <w:jc w:val="both"/>
        <w:rPr>
          <w:rFonts w:ascii="宋体" w:hAnsi="宋体" w:cs="宋体" w:eastAsia="宋体" w:hint="default"/>
          <w:sz w:val="21"/>
          <w:szCs w:val="21"/>
        </w:rPr>
        <w:sectPr>
          <w:pgSz w:w="11910" w:h="16840"/>
          <w:pgMar w:header="877" w:footer="982" w:top="1100" w:bottom="1180" w:left="1500" w:right="1500"/>
        </w:sectPr>
      </w:pPr>
    </w:p>
    <w:p>
      <w:pPr>
        <w:spacing w:line="240" w:lineRule="auto" w:before="2"/>
        <w:rPr>
          <w:rFonts w:ascii="宋体" w:hAnsi="宋体" w:cs="宋体" w:eastAsia="宋体" w:hint="default"/>
          <w:sz w:val="19"/>
          <w:szCs w:val="19"/>
        </w:rPr>
      </w:pPr>
    </w:p>
    <w:p>
      <w:pPr>
        <w:spacing w:line="336" w:lineRule="auto" w:before="35"/>
        <w:ind w:left="144" w:right="21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、系统集成：是指与本公司为客户提供的软件产品和软件开发相关的，应客户要求代客 户购买硬件设备或第三方软件，并提供相应的集成服务。</w:t>
      </w:r>
    </w:p>
    <w:p>
      <w:pPr>
        <w:spacing w:line="355" w:lineRule="auto" w:before="170"/>
        <w:ind w:left="143" w:right="220" w:firstLine="420"/>
        <w:jc w:val="both"/>
        <w:rPr>
          <w:rFonts w:ascii="宋体" w:hAnsi="宋体" w:cs="宋体" w:eastAsia="宋体" w:hint="default"/>
          <w:sz w:val="21"/>
          <w:szCs w:val="21"/>
        </w:rPr>
      </w:pPr>
      <w:r>
        <w:rPr>
          <w:rFonts w:ascii="宋体" w:hAnsi="宋体" w:cs="宋体" w:eastAsia="宋体" w:hint="default"/>
          <w:sz w:val="21"/>
          <w:szCs w:val="21"/>
        </w:rPr>
        <w:t>系统集成在按照合同约定内容向购买方移交了所提供的硬件设备或第三方软件的所有权， 并取得了购买方的验收单据后确认收入。</w:t>
      </w:r>
    </w:p>
    <w:p>
      <w:pPr>
        <w:spacing w:line="436" w:lineRule="auto" w:before="153"/>
        <w:ind w:left="564" w:right="252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）提供劳务收入 在同一会计年度内开始并完成的劳务，在完成劳务时确认收入；</w:t>
      </w:r>
    </w:p>
    <w:p>
      <w:pPr>
        <w:spacing w:line="355" w:lineRule="auto" w:before="82"/>
        <w:ind w:left="144" w:right="111" w:firstLine="420"/>
        <w:jc w:val="left"/>
        <w:rPr>
          <w:rFonts w:ascii="宋体" w:hAnsi="宋体" w:cs="宋体" w:eastAsia="宋体" w:hint="default"/>
          <w:sz w:val="21"/>
          <w:szCs w:val="21"/>
        </w:rPr>
      </w:pPr>
      <w:r>
        <w:rPr>
          <w:rFonts w:ascii="宋体" w:hAnsi="宋体" w:cs="宋体" w:eastAsia="宋体" w:hint="default"/>
          <w:sz w:val="21"/>
          <w:szCs w:val="21"/>
        </w:rPr>
        <w:t>如劳务的开始和完成超过一个完整会计年度，在提供劳务交易的结果能够可靠地估计（即 </w:t>
      </w:r>
      <w:r>
        <w:rPr>
          <w:rFonts w:ascii="宋体" w:hAnsi="宋体" w:cs="宋体" w:eastAsia="宋体" w:hint="default"/>
          <w:spacing w:val="-3"/>
          <w:sz w:val="21"/>
          <w:szCs w:val="21"/>
        </w:rPr>
        <w:t>劳务总收入及总成本能够可靠地计量，劳务的完成程度能够可靠地确定，相关的价款能够流入）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时，于资产负债表日按完工百分比法确认相关的劳务收入。</w:t>
      </w:r>
    </w:p>
    <w:p>
      <w:pPr>
        <w:spacing w:line="343" w:lineRule="auto" w:before="153"/>
        <w:ind w:left="144" w:right="218" w:firstLine="420"/>
        <w:jc w:val="both"/>
        <w:rPr>
          <w:rFonts w:ascii="宋体" w:hAnsi="宋体" w:cs="宋体" w:eastAsia="宋体" w:hint="default"/>
          <w:sz w:val="21"/>
          <w:szCs w:val="21"/>
        </w:rPr>
      </w:pPr>
      <w:r>
        <w:rPr>
          <w:rFonts w:ascii="宋体" w:hAnsi="宋体" w:cs="宋体" w:eastAsia="宋体" w:hint="default"/>
          <w:spacing w:val="-1"/>
          <w:sz w:val="21"/>
          <w:szCs w:val="21"/>
        </w:rPr>
        <w:t>在资产负债表日提供劳务交易结果不能够可靠估计的，分别下列情况处理：</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已经发生的</w:t>
      </w:r>
      <w:r>
        <w:rPr>
          <w:rFonts w:ascii="宋体" w:hAnsi="宋体" w:cs="宋体" w:eastAsia="宋体" w:hint="default"/>
          <w:sz w:val="21"/>
          <w:szCs w:val="21"/>
        </w:rPr>
        <w:t> 劳务成本预计能够得到补偿的，按照已经发生的劳务成本金额确认提供劳务收入，并按相同金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3"/>
          <w:sz w:val="21"/>
          <w:szCs w:val="21"/>
        </w:rPr>
        <w:t>额结转劳务成本；（</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）已经发生的劳务成本预计不能够得到补偿的，应当将已经发生的劳务成</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本计入当期损益，不确认提供劳务收入。</w:t>
      </w:r>
    </w:p>
    <w:p>
      <w:pPr>
        <w:spacing w:before="164"/>
        <w:ind w:left="564" w:right="333" w:firstLine="0"/>
        <w:jc w:val="left"/>
        <w:rPr>
          <w:rFonts w:ascii="宋体" w:hAnsi="宋体" w:cs="宋体" w:eastAsia="宋体" w:hint="default"/>
          <w:sz w:val="21"/>
          <w:szCs w:val="21"/>
        </w:rPr>
      </w:pPr>
      <w:r>
        <w:rPr>
          <w:rFonts w:ascii="宋体" w:hAnsi="宋体" w:cs="宋体" w:eastAsia="宋体" w:hint="default"/>
          <w:sz w:val="21"/>
          <w:szCs w:val="21"/>
        </w:rPr>
        <w:t>本公司提供劳务主要有软件开发和服务类收入，其收入的具体确认原则：</w:t>
      </w:r>
    </w:p>
    <w:p>
      <w:pPr>
        <w:spacing w:line="240" w:lineRule="auto" w:before="5"/>
        <w:rPr>
          <w:rFonts w:ascii="宋体" w:hAnsi="宋体" w:cs="宋体" w:eastAsia="宋体" w:hint="default"/>
          <w:sz w:val="19"/>
          <w:szCs w:val="19"/>
        </w:rPr>
      </w:pPr>
    </w:p>
    <w:p>
      <w:pPr>
        <w:spacing w:line="336" w:lineRule="auto" w:before="0"/>
        <w:ind w:left="144" w:right="222"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、软件开发：是指本公司在自主研发的各种底层开发平台或技术的基础上，按照客户的 个性化需求进行定制性开发而形成的应用软件。</w:t>
      </w:r>
    </w:p>
    <w:p>
      <w:pPr>
        <w:spacing w:line="357" w:lineRule="auto" w:before="170"/>
        <w:ind w:left="144" w:right="218" w:firstLine="420"/>
        <w:jc w:val="both"/>
        <w:rPr>
          <w:rFonts w:ascii="宋体" w:hAnsi="宋体" w:cs="宋体" w:eastAsia="宋体" w:hint="default"/>
          <w:sz w:val="21"/>
          <w:szCs w:val="21"/>
        </w:rPr>
      </w:pPr>
      <w:r>
        <w:rPr>
          <w:rFonts w:ascii="宋体" w:hAnsi="宋体" w:cs="宋体" w:eastAsia="宋体" w:hint="default"/>
          <w:sz w:val="21"/>
          <w:szCs w:val="21"/>
        </w:rPr>
        <w:t>对于软件开发本公司在按照合同约定内容实施了开发工作，并为购买方完成了安装、调试 工作，且至少具备以下条件之一时确认收入：①已取得购买方的验收文件；②取得购买方对软</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件已正式投入使用的确认文件；③已符合合同约定的验收条件。</w:t>
      </w:r>
    </w:p>
    <w:p>
      <w:pPr>
        <w:spacing w:line="338" w:lineRule="auto" w:before="150"/>
        <w:ind w:left="144" w:right="21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、技术服务：是指本公司对已销售的软件产品、软件开发、系统集成等，为客户提供的 后续技术支持或维护服务。</w:t>
      </w:r>
    </w:p>
    <w:p>
      <w:pPr>
        <w:spacing w:line="357" w:lineRule="auto" w:before="167"/>
        <w:ind w:left="144" w:right="218" w:firstLine="420"/>
        <w:jc w:val="both"/>
        <w:rPr>
          <w:rFonts w:ascii="宋体" w:hAnsi="宋体" w:cs="宋体" w:eastAsia="宋体" w:hint="default"/>
          <w:sz w:val="21"/>
          <w:szCs w:val="21"/>
        </w:rPr>
      </w:pPr>
      <w:r>
        <w:rPr>
          <w:rFonts w:ascii="宋体" w:hAnsi="宋体" w:cs="宋体" w:eastAsia="宋体" w:hint="default"/>
          <w:sz w:val="21"/>
          <w:szCs w:val="21"/>
        </w:rPr>
        <w:t>对于按期提供劳务并计价收费的技术服务，本公司在按照合同约定内容提供了劳务后，分 期确认收入；对于按次提供劳务并计价收费的技术服务，本公司在劳务已经提供，并取得购买</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方的服务确认单据后确认收入。</w:t>
      </w:r>
    </w:p>
    <w:p>
      <w:pPr>
        <w:spacing w:line="436" w:lineRule="auto" w:before="150"/>
        <w:ind w:left="564" w:right="21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）让渡资产使用权收入 让渡资产使用权收入包括利息收入和使用费收入等；利息收入金额，按照他人使用本公司</w:t>
      </w:r>
    </w:p>
    <w:p>
      <w:pPr>
        <w:spacing w:line="236" w:lineRule="exact" w:before="0"/>
        <w:ind w:left="144" w:right="111" w:firstLine="0"/>
        <w:jc w:val="left"/>
        <w:rPr>
          <w:rFonts w:ascii="宋体" w:hAnsi="宋体" w:cs="宋体" w:eastAsia="宋体" w:hint="default"/>
          <w:sz w:val="21"/>
          <w:szCs w:val="21"/>
        </w:rPr>
      </w:pPr>
      <w:r>
        <w:rPr>
          <w:rFonts w:ascii="宋体" w:hAnsi="宋体" w:cs="宋体" w:eastAsia="宋体" w:hint="default"/>
          <w:sz w:val="21"/>
          <w:szCs w:val="21"/>
        </w:rPr>
        <w:t>货币资金的时间和实际利率计算确定；使用费收入金额，按照有关合同或协议约定的收费时间</w:t>
      </w:r>
    </w:p>
    <w:p>
      <w:pPr>
        <w:spacing w:line="460" w:lineRule="auto" w:before="134"/>
        <w:ind w:left="564" w:right="1680" w:hanging="420"/>
        <w:jc w:val="left"/>
        <w:rPr>
          <w:rFonts w:ascii="宋体" w:hAnsi="宋体" w:cs="宋体" w:eastAsia="宋体" w:hint="default"/>
          <w:sz w:val="21"/>
          <w:szCs w:val="21"/>
        </w:rPr>
      </w:pPr>
      <w:r>
        <w:rPr>
          <w:rFonts w:ascii="宋体" w:hAnsi="宋体" w:cs="宋体" w:eastAsia="宋体" w:hint="default"/>
          <w:sz w:val="21"/>
          <w:szCs w:val="21"/>
        </w:rPr>
        <w:t>和方法计算确定。 本公司让渡资产使用权主要有为房屋租赁收入，其收入的具体确认原则：</w:t>
      </w:r>
    </w:p>
    <w:p>
      <w:pPr>
        <w:spacing w:before="60"/>
        <w:ind w:left="564" w:right="11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、房屋租赁按照《企业会计准则第</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号——租赁》第</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条的规定确认收入，即对于经</w:t>
      </w:r>
    </w:p>
    <w:p>
      <w:pPr>
        <w:spacing w:after="0"/>
        <w:jc w:val="left"/>
        <w:rPr>
          <w:rFonts w:ascii="宋体" w:hAnsi="宋体" w:cs="宋体" w:eastAsia="宋体" w:hint="default"/>
          <w:sz w:val="21"/>
          <w:szCs w:val="21"/>
        </w:rPr>
        <w:sectPr>
          <w:pgSz w:w="11910" w:h="16840"/>
          <w:pgMar w:header="877" w:footer="982" w:top="1100" w:bottom="1180" w:left="1500" w:right="1420"/>
        </w:sectPr>
      </w:pPr>
    </w:p>
    <w:p>
      <w:pPr>
        <w:spacing w:line="240" w:lineRule="auto" w:before="2"/>
        <w:rPr>
          <w:rFonts w:ascii="宋体" w:hAnsi="宋体" w:cs="宋体" w:eastAsia="宋体" w:hint="default"/>
          <w:sz w:val="19"/>
          <w:szCs w:val="19"/>
        </w:rPr>
      </w:pPr>
    </w:p>
    <w:p>
      <w:pPr>
        <w:spacing w:before="35"/>
        <w:ind w:left="144" w:right="273" w:firstLine="0"/>
        <w:jc w:val="left"/>
        <w:rPr>
          <w:rFonts w:ascii="宋体" w:hAnsi="宋体" w:cs="宋体" w:eastAsia="宋体" w:hint="default"/>
          <w:sz w:val="21"/>
          <w:szCs w:val="21"/>
        </w:rPr>
      </w:pPr>
      <w:r>
        <w:rPr>
          <w:rFonts w:ascii="宋体" w:hAnsi="宋体" w:cs="宋体" w:eastAsia="宋体" w:hint="default"/>
          <w:sz w:val="21"/>
          <w:szCs w:val="21"/>
        </w:rPr>
        <w:t>营租赁的租金，按照租赁期内合同总金额在租赁期内各个期间按照直线法确认为当期损益。</w:t>
      </w:r>
    </w:p>
    <w:p>
      <w:pPr>
        <w:spacing w:line="240" w:lineRule="auto" w:before="5"/>
        <w:rPr>
          <w:rFonts w:ascii="宋体" w:hAnsi="宋体" w:cs="宋体" w:eastAsia="宋体" w:hint="default"/>
          <w:sz w:val="19"/>
          <w:szCs w:val="19"/>
        </w:rPr>
      </w:pPr>
    </w:p>
    <w:p>
      <w:pPr>
        <w:spacing w:before="0"/>
        <w:ind w:left="143"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line="357" w:lineRule="auto" w:before="0"/>
        <w:ind w:left="143" w:right="138" w:firstLine="420"/>
        <w:jc w:val="both"/>
        <w:rPr>
          <w:rFonts w:ascii="宋体" w:hAnsi="宋体" w:cs="宋体" w:eastAsia="宋体" w:hint="default"/>
          <w:sz w:val="21"/>
          <w:szCs w:val="21"/>
        </w:rPr>
      </w:pPr>
      <w:r>
        <w:rPr>
          <w:rFonts w:ascii="宋体" w:hAnsi="宋体" w:cs="宋体" w:eastAsia="宋体" w:hint="default"/>
          <w:sz w:val="21"/>
          <w:szCs w:val="21"/>
        </w:rPr>
        <w:t>包括财政拨款、财政贴息、税收返还和无偿划拨非货币性资产。本公司收到的与资产相关 的政府补助，确认为递延收益，自相关资产达到预定可使用状态时起，在该资产使用寿命内平</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均计入各期损益。相关资产在使用寿命结束前被出售、转让、报废或发生毁损的，将递延收益</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余额一次性转入资产处置当期的损益。收到的与收益相关的政府补助，用于补偿以后期间的相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关费用或损失的，确认为递延收益，在确认相关费用的期间计入当期损益；用于补偿已经发生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的相关费用或损失的，取得时直接计入当期损益。</w:t>
      </w:r>
    </w:p>
    <w:p>
      <w:pPr>
        <w:spacing w:before="131"/>
        <w:ind w:left="143"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sz w:val="32"/>
          <w:szCs w:val="32"/>
        </w:rPr>
        <w:t>、</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3"/>
        <w:rPr>
          <w:rFonts w:ascii="宋体" w:hAnsi="宋体" w:cs="宋体" w:eastAsia="宋体" w:hint="default"/>
          <w:b/>
          <w:bCs/>
          <w:sz w:val="26"/>
          <w:szCs w:val="26"/>
        </w:rPr>
      </w:pPr>
    </w:p>
    <w:p>
      <w:pPr>
        <w:spacing w:before="0"/>
        <w:ind w:left="564" w:right="27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）递延所得税资产的确认</w:t>
      </w:r>
    </w:p>
    <w:p>
      <w:pPr>
        <w:spacing w:line="240" w:lineRule="auto" w:before="3"/>
        <w:rPr>
          <w:rFonts w:ascii="宋体" w:hAnsi="宋体" w:cs="宋体" w:eastAsia="宋体" w:hint="default"/>
          <w:sz w:val="18"/>
          <w:szCs w:val="18"/>
        </w:rPr>
      </w:pPr>
    </w:p>
    <w:p>
      <w:pPr>
        <w:spacing w:line="345" w:lineRule="auto" w:before="0"/>
        <w:ind w:left="144" w:right="13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、本公司以很可能取得用来抵扣可抵扣暂时性差异的应纳税所得额为限，确认由可抵扣 暂时性差异产生的递延所得税资产。但是同时具有下列特征的交易中因资产或负债的初始确认</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所产生的递延所得税资产不予确认：</w:t>
      </w:r>
    </w:p>
    <w:p>
      <w:pPr>
        <w:spacing w:line="436" w:lineRule="auto" w:before="162"/>
        <w:ind w:left="564" w:right="27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、该项交易不是企业合并； </w:t>
      </w:r>
      <w:r>
        <w:rPr>
          <w:rFonts w:ascii="Times New Roman" w:hAnsi="Times New Roman" w:cs="Times New Roman" w:eastAsia="Times New Roman" w:hint="default"/>
          <w:spacing w:val="-4"/>
          <w:sz w:val="21"/>
          <w:szCs w:val="21"/>
        </w:rPr>
        <w:t>b</w:t>
      </w:r>
      <w:r>
        <w:rPr>
          <w:rFonts w:ascii="宋体" w:hAnsi="宋体" w:cs="宋体" w:eastAsia="宋体" w:hint="default"/>
          <w:spacing w:val="-4"/>
          <w:sz w:val="21"/>
          <w:szCs w:val="21"/>
        </w:rPr>
        <w:t>、交易发生时既不影响会计利润也不影响应纳税所得额（或可抵扣亏损）。</w:t>
      </w:r>
    </w:p>
    <w:p>
      <w:pPr>
        <w:spacing w:line="336" w:lineRule="auto" w:before="48"/>
        <w:ind w:left="144" w:right="13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、本公司对与子公司、联营公司及合营企业投资相关的可抵扣暂时性差异，同时满足下 列条件的，确认相应的递延所得税资产：</w:t>
      </w:r>
    </w:p>
    <w:p>
      <w:pPr>
        <w:spacing w:line="436" w:lineRule="auto" w:before="170"/>
        <w:ind w:left="564" w:right="27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、暂时性差异在可预见的未来很可能转回； </w:t>
      </w:r>
      <w:r>
        <w:rPr>
          <w:rFonts w:ascii="Times New Roman" w:hAnsi="Times New Roman" w:cs="Times New Roman" w:eastAsia="Times New Roman" w:hint="default"/>
          <w:sz w:val="21"/>
          <w:szCs w:val="21"/>
        </w:rPr>
        <w:t>b</w:t>
      </w:r>
      <w:r>
        <w:rPr>
          <w:rFonts w:ascii="宋体" w:hAnsi="宋体" w:cs="宋体" w:eastAsia="宋体" w:hint="default"/>
          <w:sz w:val="21"/>
          <w:szCs w:val="21"/>
        </w:rPr>
        <w:t>、未来很可能获得用来抵扣暂时性差异的应纳税所得额。</w:t>
      </w:r>
    </w:p>
    <w:p>
      <w:pPr>
        <w:spacing w:line="338" w:lineRule="auto" w:before="46"/>
        <w:ind w:left="144" w:right="13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、本公司对于能够结转以后年度的可抵扣亏损和税款抵减，以很可能获得用来抵扣可抵 扣亏损和税款抵减的未来应纳税所得额为限，确认相应的递延所得税资产。</w:t>
      </w:r>
    </w:p>
    <w:p>
      <w:pPr>
        <w:spacing w:line="436" w:lineRule="auto" w:before="167"/>
        <w:ind w:left="564" w:right="13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）递延所得税负债的确认 除下列情况产生的递延所得税负债以外，本公司确认所有应纳税暂时性差异产生的递延所</w:t>
      </w:r>
    </w:p>
    <w:p>
      <w:pPr>
        <w:spacing w:line="236" w:lineRule="exact" w:before="0"/>
        <w:ind w:left="144" w:right="273" w:firstLine="0"/>
        <w:jc w:val="left"/>
        <w:rPr>
          <w:rFonts w:ascii="宋体" w:hAnsi="宋体" w:cs="宋体" w:eastAsia="宋体" w:hint="default"/>
          <w:sz w:val="21"/>
          <w:szCs w:val="21"/>
        </w:rPr>
      </w:pPr>
      <w:r>
        <w:rPr>
          <w:rFonts w:ascii="宋体" w:hAnsi="宋体" w:cs="宋体" w:eastAsia="宋体" w:hint="default"/>
          <w:sz w:val="21"/>
          <w:szCs w:val="21"/>
        </w:rPr>
        <w:t>得税负债：</w:t>
      </w:r>
    </w:p>
    <w:p>
      <w:pPr>
        <w:spacing w:line="240" w:lineRule="auto" w:before="6"/>
        <w:rPr>
          <w:rFonts w:ascii="宋体" w:hAnsi="宋体" w:cs="宋体" w:eastAsia="宋体" w:hint="default"/>
          <w:sz w:val="19"/>
          <w:szCs w:val="19"/>
        </w:rPr>
      </w:pPr>
    </w:p>
    <w:p>
      <w:pPr>
        <w:spacing w:line="436" w:lineRule="auto" w:before="0"/>
        <w:ind w:left="564" w:right="27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、商誉的初始确认； </w:t>
      </w:r>
      <w:r>
        <w:rPr>
          <w:rFonts w:ascii="Times New Roman" w:hAnsi="Times New Roman" w:cs="Times New Roman" w:eastAsia="Times New Roman" w:hint="default"/>
          <w:sz w:val="21"/>
          <w:szCs w:val="21"/>
        </w:rPr>
        <w:t>B</w:t>
      </w:r>
      <w:r>
        <w:rPr>
          <w:rFonts w:ascii="宋体" w:hAnsi="宋体" w:cs="宋体" w:eastAsia="宋体" w:hint="default"/>
          <w:sz w:val="21"/>
          <w:szCs w:val="21"/>
        </w:rPr>
        <w:t>、同时满足具有下列特征的交易中产生的资产或负债的初始确认： </w:t>
      </w:r>
      <w:r>
        <w:rPr>
          <w:rFonts w:ascii="Times New Roman" w:hAnsi="Times New Roman" w:cs="Times New Roman" w:eastAsia="Times New Roman" w:hint="default"/>
          <w:sz w:val="21"/>
          <w:szCs w:val="21"/>
        </w:rPr>
        <w:t>a</w:t>
      </w:r>
      <w:r>
        <w:rPr>
          <w:rFonts w:ascii="宋体" w:hAnsi="宋体" w:cs="宋体" w:eastAsia="宋体" w:hint="default"/>
          <w:sz w:val="21"/>
          <w:szCs w:val="21"/>
        </w:rPr>
        <w:t>、该项交易不是企业合并； </w:t>
      </w:r>
      <w:r>
        <w:rPr>
          <w:rFonts w:ascii="Times New Roman" w:hAnsi="Times New Roman" w:cs="Times New Roman" w:eastAsia="Times New Roman" w:hint="default"/>
          <w:spacing w:val="-4"/>
          <w:sz w:val="21"/>
          <w:szCs w:val="21"/>
        </w:rPr>
        <w:t>b</w:t>
      </w:r>
      <w:r>
        <w:rPr>
          <w:rFonts w:ascii="宋体" w:hAnsi="宋体" w:cs="宋体" w:eastAsia="宋体" w:hint="default"/>
          <w:spacing w:val="-4"/>
          <w:sz w:val="21"/>
          <w:szCs w:val="21"/>
        </w:rPr>
        <w:t>、交易发生时既不影响会计利润也不影响应纳税所得额（或可抵扣亏损）。</w:t>
      </w:r>
    </w:p>
    <w:p>
      <w:pPr>
        <w:spacing w:after="0" w:line="436" w:lineRule="auto"/>
        <w:jc w:val="left"/>
        <w:rPr>
          <w:rFonts w:ascii="宋体" w:hAnsi="宋体" w:cs="宋体" w:eastAsia="宋体" w:hint="default"/>
          <w:sz w:val="21"/>
          <w:szCs w:val="21"/>
        </w:rPr>
        <w:sectPr>
          <w:pgSz w:w="11910" w:h="16840"/>
          <w:pgMar w:header="877" w:footer="982" w:top="1100" w:bottom="1180" w:left="1500" w:right="1500"/>
        </w:sectPr>
      </w:pPr>
    </w:p>
    <w:p>
      <w:pPr>
        <w:spacing w:line="240" w:lineRule="auto" w:before="2"/>
        <w:rPr>
          <w:rFonts w:ascii="宋体" w:hAnsi="宋体" w:cs="宋体" w:eastAsia="宋体" w:hint="default"/>
          <w:sz w:val="19"/>
          <w:szCs w:val="19"/>
        </w:rPr>
      </w:pPr>
    </w:p>
    <w:p>
      <w:pPr>
        <w:spacing w:line="336" w:lineRule="auto" w:before="35"/>
        <w:ind w:left="244" w:right="21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、本公司对与子公司、联营公司及合营企业投资产生相关的应纳税暂时性差异，同时满 足下列条件的：</w:t>
      </w:r>
    </w:p>
    <w:p>
      <w:pPr>
        <w:spacing w:line="436" w:lineRule="auto" w:before="170"/>
        <w:ind w:left="663" w:right="388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、投资企业能够控制暂时性差异的转回的时间； </w:t>
      </w:r>
      <w:r>
        <w:rPr>
          <w:rFonts w:ascii="Times New Roman" w:hAnsi="Times New Roman" w:cs="Times New Roman" w:eastAsia="Times New Roman" w:hint="default"/>
          <w:sz w:val="21"/>
          <w:szCs w:val="21"/>
        </w:rPr>
        <w:t>b</w:t>
      </w:r>
      <w:r>
        <w:rPr>
          <w:rFonts w:ascii="宋体" w:hAnsi="宋体" w:cs="宋体" w:eastAsia="宋体" w:hint="default"/>
          <w:sz w:val="21"/>
          <w:szCs w:val="21"/>
        </w:rPr>
        <w:t>、暂时性差异在可预见的未来很可能不会转回。</w:t>
      </w:r>
    </w:p>
    <w:p>
      <w:pPr>
        <w:spacing w:before="48"/>
        <w:ind w:left="244" w:right="2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、主要会计政策、会计估计的变更</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436" w:lineRule="auto" w:before="0"/>
        <w:ind w:left="664" w:right="4620"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）会计政策变更： 本报告期公司主要会计政策未发生变更。</w:t>
      </w:r>
    </w:p>
    <w:p>
      <w:pPr>
        <w:spacing w:line="436" w:lineRule="auto" w:before="81"/>
        <w:ind w:left="664" w:right="4620"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）会计估计变更： 本报告期公司主要会计估计未发生变更。</w:t>
      </w:r>
    </w:p>
    <w:p>
      <w:pPr>
        <w:spacing w:line="436" w:lineRule="auto" w:before="82"/>
        <w:ind w:left="664" w:right="462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、前期会计差错更正</w:t>
      </w:r>
      <w:r>
        <w:rPr>
          <w:rFonts w:ascii="宋体" w:hAnsi="宋体" w:cs="宋体" w:eastAsia="宋体" w:hint="default"/>
          <w:b/>
          <w:bCs/>
          <w:w w:val="99"/>
          <w:sz w:val="21"/>
          <w:szCs w:val="21"/>
        </w:rPr>
        <w:t> </w:t>
      </w:r>
      <w:r>
        <w:rPr>
          <w:rFonts w:ascii="宋体" w:hAnsi="宋体" w:cs="宋体" w:eastAsia="宋体" w:hint="default"/>
          <w:sz w:val="21"/>
          <w:szCs w:val="21"/>
        </w:rPr>
        <w:t>本报告期公司未发生前期会计差错更正。</w:t>
      </w:r>
    </w:p>
    <w:p>
      <w:pPr>
        <w:spacing w:line="436" w:lineRule="auto" w:before="82"/>
        <w:ind w:left="664" w:right="3761"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、其他主要会计政策、会计估计和财务报表编制方法</w:t>
      </w:r>
      <w:r>
        <w:rPr>
          <w:rFonts w:ascii="宋体" w:hAnsi="宋体" w:cs="宋体" w:eastAsia="宋体" w:hint="default"/>
          <w:b/>
          <w:bCs/>
          <w:spacing w:val="1"/>
          <w:w w:val="99"/>
          <w:sz w:val="21"/>
          <w:szCs w:val="21"/>
        </w:rPr>
        <w:t> </w:t>
      </w:r>
      <w:r>
        <w:rPr>
          <w:rFonts w:ascii="宋体" w:hAnsi="宋体" w:cs="宋体" w:eastAsia="宋体" w:hint="default"/>
          <w:sz w:val="21"/>
          <w:szCs w:val="21"/>
        </w:rPr>
        <w:t>无。</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5"/>
        <w:spacing w:line="240" w:lineRule="auto"/>
        <w:ind w:left="244" w:right="210"/>
        <w:jc w:val="left"/>
        <w:rPr>
          <w:b w:val="0"/>
          <w:bCs w:val="0"/>
        </w:rPr>
      </w:pPr>
      <w:r>
        <w:rPr/>
        <w:t>三、</w:t>
      </w:r>
      <w:r>
        <w:rPr>
          <w:spacing w:val="-38"/>
        </w:rPr>
        <w:t> </w:t>
      </w:r>
      <w:r>
        <w:rPr/>
        <w:t>税项</w:t>
      </w:r>
      <w:r>
        <w:rPr>
          <w:b w:val="0"/>
          <w:bCs w:val="0"/>
        </w:rPr>
      </w:r>
    </w:p>
    <w:p>
      <w:pPr>
        <w:spacing w:line="240" w:lineRule="auto" w:before="9"/>
        <w:rPr>
          <w:rFonts w:ascii="宋体" w:hAnsi="宋体" w:cs="宋体" w:eastAsia="宋体" w:hint="default"/>
          <w:b/>
          <w:bCs/>
          <w:sz w:val="20"/>
          <w:szCs w:val="20"/>
        </w:rPr>
      </w:pPr>
    </w:p>
    <w:p>
      <w:pPr>
        <w:spacing w:before="0"/>
        <w:ind w:left="244" w:right="2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11"/>
        <w:rPr>
          <w:rFonts w:ascii="宋体" w:hAnsi="宋体" w:cs="宋体" w:eastAsia="宋体" w:hint="default"/>
          <w:b/>
          <w:bCs/>
          <w:sz w:val="20"/>
          <w:szCs w:val="20"/>
        </w:rPr>
      </w:pPr>
    </w:p>
    <w:tbl>
      <w:tblPr>
        <w:tblW w:w="0" w:type="auto"/>
        <w:jc w:val="left"/>
        <w:tblInd w:w="116" w:type="dxa"/>
        <w:tblLayout w:type="fixed"/>
        <w:tblCellMar>
          <w:top w:w="0" w:type="dxa"/>
          <w:left w:w="0" w:type="dxa"/>
          <w:bottom w:w="0" w:type="dxa"/>
          <w:right w:w="0" w:type="dxa"/>
        </w:tblCellMar>
        <w:tblLook w:val="01E0"/>
      </w:tblPr>
      <w:tblGrid>
        <w:gridCol w:w="2958"/>
        <w:gridCol w:w="2946"/>
        <w:gridCol w:w="2945"/>
      </w:tblGrid>
      <w:tr>
        <w:trPr>
          <w:trHeight w:val="426"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8"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9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426"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产品销售收入</w:t>
            </w:r>
          </w:p>
        </w:tc>
        <w:tc>
          <w:tcPr>
            <w:tcW w:w="29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Times New Roman" w:hAnsi="Times New Roman" w:cs="Times New Roman" w:eastAsia="Times New Roman" w:hint="default"/>
                <w:sz w:val="21"/>
                <w:szCs w:val="21"/>
              </w:rPr>
            </w:pPr>
            <w:r>
              <w:rPr>
                <w:rFonts w:ascii="Times New Roman"/>
                <w:sz w:val="21"/>
              </w:rPr>
              <w:t>17%</w:t>
            </w:r>
          </w:p>
        </w:tc>
      </w:tr>
      <w:tr>
        <w:trPr>
          <w:trHeight w:val="427"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服务收入、租赁收入</w:t>
            </w:r>
          </w:p>
        </w:tc>
        <w:tc>
          <w:tcPr>
            <w:tcW w:w="29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Times New Roman" w:hAnsi="Times New Roman" w:cs="Times New Roman" w:eastAsia="Times New Roman" w:hint="default"/>
                <w:sz w:val="21"/>
                <w:szCs w:val="21"/>
              </w:rPr>
            </w:pPr>
            <w:r>
              <w:rPr>
                <w:rFonts w:ascii="Times New Roman"/>
                <w:sz w:val="21"/>
              </w:rPr>
              <w:t>5%</w:t>
            </w:r>
          </w:p>
        </w:tc>
      </w:tr>
      <w:tr>
        <w:trPr>
          <w:trHeight w:val="426"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应纳增值税额、应纳营业税额</w:t>
            </w:r>
          </w:p>
        </w:tc>
        <w:tc>
          <w:tcPr>
            <w:tcW w:w="29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Times New Roman" w:hAnsi="Times New Roman" w:cs="Times New Roman" w:eastAsia="Times New Roman" w:hint="default"/>
                <w:sz w:val="21"/>
                <w:szCs w:val="21"/>
              </w:rPr>
            </w:pPr>
            <w:r>
              <w:rPr>
                <w:rFonts w:ascii="Times New Roman"/>
                <w:sz w:val="21"/>
              </w:rPr>
              <w:t>7%</w:t>
            </w:r>
          </w:p>
        </w:tc>
      </w:tr>
      <w:tr>
        <w:trPr>
          <w:trHeight w:val="426"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应纳增值税额、应纳营业税额</w:t>
            </w:r>
          </w:p>
        </w:tc>
        <w:tc>
          <w:tcPr>
            <w:tcW w:w="29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Times New Roman" w:hAnsi="Times New Roman" w:cs="Times New Roman" w:eastAsia="Times New Roman" w:hint="default"/>
                <w:sz w:val="21"/>
                <w:szCs w:val="21"/>
              </w:rPr>
            </w:pPr>
            <w:r>
              <w:rPr>
                <w:rFonts w:ascii="Times New Roman"/>
                <w:sz w:val="21"/>
              </w:rPr>
              <w:t>3%</w:t>
            </w:r>
          </w:p>
        </w:tc>
      </w:tr>
      <w:tr>
        <w:trPr>
          <w:trHeight w:val="426"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应纳增值税额、应纳营业税额</w:t>
            </w:r>
          </w:p>
        </w:tc>
        <w:tc>
          <w:tcPr>
            <w:tcW w:w="29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Times New Roman" w:hAnsi="Times New Roman" w:cs="Times New Roman" w:eastAsia="Times New Roman" w:hint="default"/>
                <w:sz w:val="21"/>
                <w:szCs w:val="21"/>
              </w:rPr>
            </w:pPr>
            <w:r>
              <w:rPr>
                <w:rFonts w:ascii="Times New Roman"/>
                <w:sz w:val="21"/>
              </w:rPr>
              <w:t>2%</w:t>
            </w:r>
          </w:p>
        </w:tc>
      </w:tr>
      <w:tr>
        <w:trPr>
          <w:trHeight w:val="427"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应纳税所得额</w:t>
            </w:r>
          </w:p>
        </w:tc>
        <w:tc>
          <w:tcPr>
            <w:tcW w:w="29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Times New Roman" w:hAnsi="Times New Roman" w:cs="Times New Roman" w:eastAsia="Times New Roman" w:hint="default"/>
                <w:sz w:val="21"/>
                <w:szCs w:val="21"/>
              </w:rPr>
            </w:pPr>
            <w:r>
              <w:rPr>
                <w:rFonts w:ascii="Times New Roman"/>
                <w:sz w:val="21"/>
              </w:rPr>
              <w:t>25%</w:t>
            </w:r>
          </w:p>
        </w:tc>
      </w:tr>
    </w:tbl>
    <w:p>
      <w:pPr>
        <w:spacing w:line="240" w:lineRule="auto" w:before="4"/>
        <w:rPr>
          <w:rFonts w:ascii="宋体" w:hAnsi="宋体" w:cs="宋体" w:eastAsia="宋体" w:hint="default"/>
          <w:b/>
          <w:bCs/>
          <w:sz w:val="22"/>
          <w:szCs w:val="22"/>
        </w:rPr>
      </w:pPr>
    </w:p>
    <w:p>
      <w:pPr>
        <w:spacing w:before="35"/>
        <w:ind w:left="244" w:right="2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、税收优惠及批文</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line="460" w:lineRule="auto" w:before="0"/>
        <w:ind w:left="664" w:right="2296" w:firstLine="0"/>
        <w:jc w:val="left"/>
        <w:rPr>
          <w:rFonts w:ascii="宋体" w:hAnsi="宋体" w:cs="宋体" w:eastAsia="宋体" w:hint="default"/>
          <w:sz w:val="21"/>
          <w:szCs w:val="21"/>
        </w:rPr>
      </w:pPr>
      <w:r>
        <w:rPr>
          <w:rFonts w:ascii="宋体" w:hAnsi="宋体" w:cs="宋体" w:eastAsia="宋体" w:hint="default"/>
          <w:sz w:val="21"/>
          <w:szCs w:val="21"/>
        </w:rPr>
        <w:t>（一）增值税及享受的税收优惠政策 本公司及控股子公司为增值税一般纳税人，适用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17%</w:t>
      </w:r>
      <w:r>
        <w:rPr>
          <w:rFonts w:ascii="宋体" w:hAnsi="宋体" w:cs="宋体" w:eastAsia="宋体" w:hint="default"/>
          <w:sz w:val="21"/>
          <w:szCs w:val="21"/>
        </w:rPr>
        <w:t>的基本税率。</w:t>
      </w:r>
    </w:p>
    <w:p>
      <w:pPr>
        <w:spacing w:before="24"/>
        <w:ind w:left="664" w:right="0" w:firstLine="0"/>
        <w:jc w:val="left"/>
        <w:rPr>
          <w:rFonts w:ascii="宋体" w:hAnsi="宋体" w:cs="宋体" w:eastAsia="宋体" w:hint="default"/>
          <w:sz w:val="21"/>
          <w:szCs w:val="21"/>
        </w:rPr>
      </w:pPr>
      <w:r>
        <w:rPr>
          <w:rFonts w:ascii="宋体" w:hAnsi="宋体" w:cs="宋体" w:eastAsia="宋体" w:hint="default"/>
          <w:spacing w:val="-3"/>
          <w:sz w:val="21"/>
          <w:szCs w:val="21"/>
        </w:rPr>
        <w:t>根据财政部、国家税务总局</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日发布的《财政部、国家税务总局关于软件产</w:t>
      </w:r>
    </w:p>
    <w:p>
      <w:pPr>
        <w:spacing w:before="117"/>
        <w:ind w:left="244" w:right="0" w:firstLine="0"/>
        <w:jc w:val="left"/>
        <w:rPr>
          <w:rFonts w:ascii="宋体" w:hAnsi="宋体" w:cs="宋体" w:eastAsia="宋体" w:hint="default"/>
          <w:sz w:val="21"/>
          <w:szCs w:val="21"/>
        </w:rPr>
      </w:pPr>
      <w:r>
        <w:rPr>
          <w:rFonts w:ascii="宋体" w:hAnsi="宋体" w:cs="宋体" w:eastAsia="宋体" w:hint="default"/>
          <w:sz w:val="21"/>
          <w:szCs w:val="21"/>
        </w:rPr>
        <w:t>品增值税政策的通知</w:t>
      </w:r>
      <w:r>
        <w:rPr>
          <w:rFonts w:ascii="宋体" w:hAnsi="宋体" w:cs="宋体" w:eastAsia="宋体" w:hint="default"/>
          <w:spacing w:val="-126"/>
          <w:sz w:val="21"/>
          <w:szCs w:val="21"/>
        </w:rPr>
        <w:t>》</w:t>
      </w:r>
      <w:r>
        <w:rPr>
          <w:rFonts w:ascii="宋体" w:hAnsi="宋体" w:cs="宋体" w:eastAsia="宋体" w:hint="default"/>
          <w:sz w:val="21"/>
          <w:szCs w:val="21"/>
        </w:rPr>
        <w:t>（财税</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20</w:t>
      </w:r>
      <w:r>
        <w:rPr>
          <w:rFonts w:ascii="Times New Roman" w:hAnsi="Times New Roman" w:cs="Times New Roman" w:eastAsia="Times New Roman" w:hint="default"/>
          <w:spacing w:val="-7"/>
          <w:sz w:val="21"/>
          <w:szCs w:val="21"/>
        </w:rPr>
        <w:t>1</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]10</w:t>
      </w:r>
      <w:r>
        <w:rPr>
          <w:rFonts w:ascii="Times New Roman" w:hAnsi="Times New Roman" w:cs="Times New Roman" w:eastAsia="Times New Roman" w:hint="default"/>
          <w:sz w:val="21"/>
          <w:szCs w:val="21"/>
        </w:rPr>
        <w:t>0 </w:t>
      </w:r>
      <w:r>
        <w:rPr>
          <w:rFonts w:ascii="宋体" w:hAnsi="宋体" w:cs="宋体" w:eastAsia="宋体" w:hint="default"/>
          <w:sz w:val="21"/>
          <w:szCs w:val="21"/>
        </w:rPr>
        <w:t>号文</w:t>
      </w:r>
      <w:r>
        <w:rPr>
          <w:rFonts w:ascii="宋体" w:hAnsi="宋体" w:cs="宋体" w:eastAsia="宋体" w:hint="default"/>
          <w:spacing w:val="-22"/>
          <w:sz w:val="21"/>
          <w:szCs w:val="21"/>
        </w:rPr>
        <w:t>）</w:t>
      </w:r>
      <w:r>
        <w:rPr>
          <w:rFonts w:ascii="宋体" w:hAnsi="宋体" w:cs="宋体" w:eastAsia="宋体" w:hint="default"/>
          <w:sz w:val="21"/>
          <w:szCs w:val="21"/>
        </w:rPr>
        <w:t>的</w:t>
      </w:r>
      <w:r>
        <w:rPr>
          <w:rFonts w:ascii="宋体" w:hAnsi="宋体" w:cs="宋体" w:eastAsia="宋体" w:hint="default"/>
          <w:spacing w:val="-2"/>
          <w:sz w:val="21"/>
          <w:szCs w:val="21"/>
        </w:rPr>
        <w:t>有</w:t>
      </w:r>
      <w:r>
        <w:rPr>
          <w:rFonts w:ascii="宋体" w:hAnsi="宋体" w:cs="宋体" w:eastAsia="宋体" w:hint="default"/>
          <w:sz w:val="21"/>
          <w:szCs w:val="21"/>
        </w:rPr>
        <w:t>关规定</w:t>
      </w:r>
      <w:r>
        <w:rPr>
          <w:rFonts w:ascii="宋体" w:hAnsi="宋体" w:cs="宋体" w:eastAsia="宋体" w:hint="default"/>
          <w:spacing w:val="-22"/>
          <w:sz w:val="21"/>
          <w:szCs w:val="21"/>
        </w:rPr>
        <w:t>，</w:t>
      </w: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20</w:t>
      </w:r>
      <w:r>
        <w:rPr>
          <w:rFonts w:ascii="Times New Roman" w:hAnsi="Times New Roman" w:cs="Times New Roman" w:eastAsia="Times New Roman" w:hint="default"/>
          <w:spacing w:val="-7"/>
          <w:sz w:val="21"/>
          <w:szCs w:val="21"/>
        </w:rPr>
        <w:t>1</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日起对增值税一般</w:t>
      </w:r>
    </w:p>
    <w:p>
      <w:pPr>
        <w:spacing w:after="0"/>
        <w:jc w:val="left"/>
        <w:rPr>
          <w:rFonts w:ascii="宋体" w:hAnsi="宋体" w:cs="宋体" w:eastAsia="宋体" w:hint="default"/>
          <w:sz w:val="21"/>
          <w:szCs w:val="21"/>
        </w:rPr>
        <w:sectPr>
          <w:pgSz w:w="11910" w:h="16840"/>
          <w:pgMar w:header="877" w:footer="982" w:top="1100" w:bottom="1180" w:left="1400" w:right="1420"/>
        </w:sectPr>
      </w:pPr>
    </w:p>
    <w:p>
      <w:pPr>
        <w:spacing w:line="240" w:lineRule="auto" w:before="2"/>
        <w:rPr>
          <w:rFonts w:ascii="宋体" w:hAnsi="宋体" w:cs="宋体" w:eastAsia="宋体" w:hint="default"/>
          <w:sz w:val="19"/>
          <w:szCs w:val="19"/>
        </w:rPr>
      </w:pPr>
    </w:p>
    <w:p>
      <w:pPr>
        <w:spacing w:line="336" w:lineRule="auto" w:before="35"/>
        <w:ind w:left="143" w:right="213" w:firstLine="0"/>
        <w:jc w:val="left"/>
        <w:rPr>
          <w:rFonts w:ascii="宋体" w:hAnsi="宋体" w:cs="宋体" w:eastAsia="宋体" w:hint="default"/>
          <w:sz w:val="21"/>
          <w:szCs w:val="21"/>
        </w:rPr>
      </w:pPr>
      <w:r>
        <w:rPr>
          <w:rFonts w:ascii="宋体" w:hAnsi="宋体" w:cs="宋体" w:eastAsia="宋体" w:hint="default"/>
          <w:spacing w:val="-2"/>
          <w:sz w:val="21"/>
          <w:szCs w:val="21"/>
        </w:rPr>
        <w:t>纳税人销售其自行开发生产的软件产品，按</w:t>
      </w:r>
      <w:r>
        <w:rPr>
          <w:rFonts w:ascii="宋体" w:hAnsi="宋体" w:cs="宋体" w:eastAsia="宋体" w:hint="default"/>
          <w:spacing w:val="-23"/>
          <w:sz w:val="21"/>
          <w:szCs w:val="21"/>
        </w:rPr>
        <w:t> </w:t>
      </w:r>
      <w:r>
        <w:rPr>
          <w:rFonts w:ascii="Times New Roman" w:hAnsi="Times New Roman" w:cs="Times New Roman" w:eastAsia="Times New Roman" w:hint="default"/>
          <w:spacing w:val="-2"/>
          <w:sz w:val="21"/>
          <w:szCs w:val="21"/>
        </w:rPr>
        <w:t>17</w:t>
      </w:r>
      <w:r>
        <w:rPr>
          <w:rFonts w:ascii="宋体" w:hAnsi="宋体" w:cs="宋体" w:eastAsia="宋体" w:hint="default"/>
          <w:spacing w:val="-2"/>
          <w:sz w:val="21"/>
          <w:szCs w:val="21"/>
        </w:rPr>
        <w:t>％的法定税率征收增值税后，对其增值税实际税</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负超过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％的部分实行即征即退政策。</w:t>
      </w:r>
    </w:p>
    <w:p>
      <w:pPr>
        <w:spacing w:line="460" w:lineRule="auto" w:before="145"/>
        <w:ind w:left="563" w:right="4079" w:firstLine="0"/>
        <w:jc w:val="left"/>
        <w:rPr>
          <w:rFonts w:ascii="宋体" w:hAnsi="宋体" w:cs="宋体" w:eastAsia="宋体" w:hint="default"/>
          <w:sz w:val="21"/>
          <w:szCs w:val="21"/>
        </w:rPr>
      </w:pPr>
      <w:r>
        <w:rPr>
          <w:rFonts w:ascii="宋体" w:hAnsi="宋体" w:cs="宋体" w:eastAsia="宋体" w:hint="default"/>
          <w:sz w:val="21"/>
          <w:szCs w:val="21"/>
        </w:rPr>
        <w:t>（二）营业税及享受的税收优惠政策 本公司及控股子公司按应税劳务收入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计征。</w:t>
      </w:r>
    </w:p>
    <w:p>
      <w:pPr>
        <w:spacing w:line="340" w:lineRule="auto" w:before="24"/>
        <w:ind w:left="143" w:right="217" w:firstLine="420"/>
        <w:jc w:val="both"/>
        <w:rPr>
          <w:rFonts w:ascii="宋体" w:hAnsi="宋体" w:cs="宋体" w:eastAsia="宋体" w:hint="default"/>
          <w:sz w:val="21"/>
          <w:szCs w:val="21"/>
        </w:rPr>
      </w:pPr>
      <w:r>
        <w:rPr>
          <w:rFonts w:ascii="宋体" w:hAnsi="宋体" w:cs="宋体" w:eastAsia="宋体" w:hint="default"/>
          <w:spacing w:val="2"/>
          <w:sz w:val="21"/>
          <w:szCs w:val="21"/>
        </w:rPr>
        <w:t>根据《财政部、国家税务总局关于贯彻落实</w:t>
      </w:r>
      <w:r>
        <w:rPr>
          <w:rFonts w:ascii="Times New Roman" w:hAnsi="Times New Roman" w:cs="Times New Roman" w:eastAsia="Times New Roman" w:hint="default"/>
          <w:spacing w:val="2"/>
          <w:sz w:val="21"/>
          <w:szCs w:val="21"/>
        </w:rPr>
        <w:t>&lt;</w:t>
      </w:r>
      <w:r>
        <w:rPr>
          <w:rFonts w:ascii="宋体" w:hAnsi="宋体" w:cs="宋体" w:eastAsia="宋体" w:hint="default"/>
          <w:spacing w:val="2"/>
          <w:sz w:val="21"/>
          <w:szCs w:val="21"/>
        </w:rPr>
        <w:t>中共中央国务院关于加强技术创新，发展高 </w:t>
      </w:r>
      <w:r>
        <w:rPr>
          <w:rFonts w:ascii="宋体" w:hAnsi="宋体" w:cs="宋体" w:eastAsia="宋体" w:hint="default"/>
          <w:sz w:val="21"/>
          <w:szCs w:val="21"/>
        </w:rPr>
        <w:t>科技，实现产业化的决定</w:t>
      </w:r>
      <w:r>
        <w:rPr>
          <w:rFonts w:ascii="Times New Roman" w:hAnsi="Times New Roman" w:cs="Times New Roman" w:eastAsia="Times New Roman" w:hint="default"/>
          <w:sz w:val="21"/>
          <w:szCs w:val="21"/>
        </w:rPr>
        <w:t>&gt;</w:t>
      </w:r>
      <w:r>
        <w:rPr>
          <w:rFonts w:ascii="宋体" w:hAnsi="宋体" w:cs="宋体" w:eastAsia="宋体" w:hint="default"/>
          <w:sz w:val="21"/>
          <w:szCs w:val="21"/>
        </w:rPr>
        <w:t>有关税收问题的通知》</w:t>
      </w:r>
      <w:r>
        <w:rPr>
          <w:rFonts w:ascii="Times New Roman" w:hAnsi="Times New Roman" w:cs="Times New Roman" w:eastAsia="Times New Roman" w:hint="default"/>
          <w:sz w:val="21"/>
          <w:szCs w:val="21"/>
        </w:rPr>
        <w:t>(</w:t>
      </w:r>
      <w:r>
        <w:rPr>
          <w:rFonts w:ascii="宋体" w:hAnsi="宋体" w:cs="宋体" w:eastAsia="宋体" w:hint="default"/>
          <w:sz w:val="21"/>
          <w:szCs w:val="21"/>
        </w:rPr>
        <w:t>财税字</w:t>
      </w:r>
      <w:r>
        <w:rPr>
          <w:rFonts w:ascii="Times New Roman" w:hAnsi="Times New Roman" w:cs="Times New Roman" w:eastAsia="Times New Roman" w:hint="default"/>
          <w:sz w:val="21"/>
          <w:szCs w:val="21"/>
        </w:rPr>
        <w:t>[1999]</w:t>
      </w:r>
      <w:r>
        <w:rPr>
          <w:rFonts w:ascii="宋体" w:hAnsi="宋体" w:cs="宋体" w:eastAsia="宋体" w:hint="default"/>
          <w:sz w:val="21"/>
          <w:szCs w:val="21"/>
        </w:rPr>
        <w:t>第</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273</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6"/>
          <w:sz w:val="21"/>
          <w:szCs w:val="21"/>
        </w:rPr>
        <w:t> </w:t>
      </w:r>
      <w:r>
        <w:rPr>
          <w:rFonts w:ascii="宋体" w:hAnsi="宋体" w:cs="宋体" w:eastAsia="宋体" w:hint="default"/>
          <w:spacing w:val="-3"/>
          <w:sz w:val="21"/>
          <w:szCs w:val="21"/>
        </w:rPr>
        <w:t>及《深圳市技术转让</w:t>
      </w:r>
      <w:r>
        <w:rPr>
          <w:rFonts w:ascii="宋体" w:hAnsi="宋体" w:cs="宋体" w:eastAsia="宋体" w:hint="default"/>
          <w:sz w:val="21"/>
          <w:szCs w:val="21"/>
        </w:rPr>
        <w:t> </w:t>
      </w:r>
      <w:r>
        <w:rPr>
          <w:rFonts w:ascii="宋体" w:hAnsi="宋体" w:cs="宋体" w:eastAsia="宋体" w:hint="default"/>
          <w:spacing w:val="-3"/>
          <w:sz w:val="21"/>
          <w:szCs w:val="21"/>
        </w:rPr>
        <w:t>技术开发及相关服务性收入免征营业税审批管理办法》（深地税发〔</w:t>
      </w:r>
      <w:r>
        <w:rPr>
          <w:rFonts w:ascii="Times New Roman" w:hAnsi="Times New Roman" w:cs="Times New Roman" w:eastAsia="Times New Roman" w:hint="default"/>
          <w:spacing w:val="-3"/>
          <w:sz w:val="21"/>
          <w:szCs w:val="21"/>
        </w:rPr>
        <w:t>2003</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348</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规定：对单</w:t>
      </w:r>
      <w:r>
        <w:rPr>
          <w:rFonts w:ascii="宋体" w:hAnsi="宋体" w:cs="宋体" w:eastAsia="宋体" w:hint="default"/>
          <w:spacing w:val="-99"/>
          <w:sz w:val="21"/>
          <w:szCs w:val="21"/>
        </w:rPr>
        <w:t> </w:t>
      </w:r>
      <w:r>
        <w:rPr>
          <w:rFonts w:ascii="宋体" w:hAnsi="宋体" w:cs="宋体" w:eastAsia="宋体" w:hint="default"/>
          <w:sz w:val="21"/>
          <w:szCs w:val="21"/>
        </w:rPr>
        <w:t>位和个人从事技术转让、技术开发业务和与之相关的技术咨询、技术服务业务取得的收入，免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征营业税。</w:t>
      </w:r>
    </w:p>
    <w:p>
      <w:pPr>
        <w:spacing w:before="166"/>
        <w:ind w:left="563" w:right="333" w:firstLine="0"/>
        <w:jc w:val="left"/>
        <w:rPr>
          <w:rFonts w:ascii="宋体" w:hAnsi="宋体" w:cs="宋体" w:eastAsia="宋体" w:hint="default"/>
          <w:sz w:val="21"/>
          <w:szCs w:val="21"/>
        </w:rPr>
      </w:pPr>
      <w:r>
        <w:rPr>
          <w:rFonts w:ascii="宋体" w:hAnsi="宋体" w:cs="宋体" w:eastAsia="宋体" w:hint="default"/>
          <w:sz w:val="21"/>
          <w:szCs w:val="21"/>
        </w:rPr>
        <w:t>（三）企业所得税及享受的税收优惠政策</w:t>
      </w:r>
    </w:p>
    <w:p>
      <w:pPr>
        <w:spacing w:line="240" w:lineRule="auto" w:before="5"/>
        <w:rPr>
          <w:rFonts w:ascii="宋体" w:hAnsi="宋体" w:cs="宋体" w:eastAsia="宋体" w:hint="default"/>
          <w:sz w:val="19"/>
          <w:szCs w:val="19"/>
        </w:rPr>
      </w:pPr>
    </w:p>
    <w:p>
      <w:pPr>
        <w:spacing w:line="338" w:lineRule="auto" w:before="0"/>
        <w:ind w:left="143" w:right="116" w:firstLine="420"/>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）根据《国务院关于实施企业所得税过渡优惠政策的通知》（国发〔</w:t>
      </w:r>
      <w:r>
        <w:rPr>
          <w:rFonts w:ascii="Times New Roman" w:hAnsi="Times New Roman" w:cs="Times New Roman" w:eastAsia="Times New Roman" w:hint="default"/>
          <w:spacing w:val="-4"/>
          <w:sz w:val="21"/>
          <w:szCs w:val="21"/>
        </w:rPr>
        <w:t>2007</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39</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号）第一</w:t>
      </w:r>
      <w:r>
        <w:rPr>
          <w:rFonts w:ascii="宋体" w:hAnsi="宋体" w:cs="宋体" w:eastAsia="宋体" w:hint="default"/>
          <w:sz w:val="21"/>
          <w:szCs w:val="21"/>
        </w:rPr>
        <w:t> </w:t>
      </w:r>
      <w:r>
        <w:rPr>
          <w:rFonts w:ascii="宋体" w:hAnsi="宋体" w:cs="宋体" w:eastAsia="宋体" w:hint="default"/>
          <w:spacing w:val="-6"/>
          <w:sz w:val="21"/>
          <w:szCs w:val="21"/>
        </w:rPr>
        <w:t>条的规定，自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pacing w:val="-3"/>
          <w:sz w:val="21"/>
          <w:szCs w:val="21"/>
        </w:rPr>
        <w:t>日起，原享受低税率优惠政策的企业，在新税法施行后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年内逐步 过渡到法定税率。其中：享受企业所得税</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税率的企业，</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年按</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18%</w:t>
      </w:r>
      <w:r>
        <w:rPr>
          <w:rFonts w:ascii="宋体" w:hAnsi="宋体" w:cs="宋体" w:eastAsia="宋体" w:hint="default"/>
          <w:sz w:val="21"/>
          <w:szCs w:val="21"/>
        </w:rPr>
        <w:t>税率执行，</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 按</w:t>
      </w:r>
      <w:r>
        <w:rPr>
          <w:rFonts w:ascii="宋体" w:hAnsi="宋体" w:cs="宋体" w:eastAsia="宋体" w:hint="default"/>
          <w:spacing w:val="-51"/>
          <w:sz w:val="21"/>
          <w:szCs w:val="21"/>
        </w:rPr>
        <w:t> </w:t>
      </w:r>
      <w:r>
        <w:rPr>
          <w:rFonts w:ascii="Times New Roman" w:hAnsi="Times New Roman" w:cs="Times New Roman" w:eastAsia="Times New Roman" w:hint="default"/>
          <w:spacing w:val="-4"/>
          <w:sz w:val="21"/>
          <w:szCs w:val="21"/>
        </w:rPr>
        <w:t>20%</w:t>
      </w:r>
      <w:r>
        <w:rPr>
          <w:rFonts w:ascii="宋体" w:hAnsi="宋体" w:cs="宋体" w:eastAsia="宋体" w:hint="default"/>
          <w:spacing w:val="-4"/>
          <w:sz w:val="21"/>
          <w:szCs w:val="21"/>
        </w:rPr>
        <w:t>税率执行，</w:t>
      </w:r>
      <w:r>
        <w:rPr>
          <w:rFonts w:ascii="Times New Roman" w:hAnsi="Times New Roman" w:cs="Times New Roman" w:eastAsia="Times New Roman" w:hint="default"/>
          <w:spacing w:val="-4"/>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年按</w:t>
      </w:r>
      <w:r>
        <w:rPr>
          <w:rFonts w:ascii="宋体" w:hAnsi="宋体" w:cs="宋体" w:eastAsia="宋体" w:hint="default"/>
          <w:spacing w:val="-51"/>
          <w:sz w:val="21"/>
          <w:szCs w:val="21"/>
        </w:rPr>
        <w:t> </w:t>
      </w:r>
      <w:r>
        <w:rPr>
          <w:rFonts w:ascii="Times New Roman" w:hAnsi="Times New Roman" w:cs="Times New Roman" w:eastAsia="Times New Roman" w:hint="default"/>
          <w:spacing w:val="-4"/>
          <w:sz w:val="21"/>
          <w:szCs w:val="21"/>
        </w:rPr>
        <w:t>22%</w:t>
      </w:r>
      <w:r>
        <w:rPr>
          <w:rFonts w:ascii="宋体" w:hAnsi="宋体" w:cs="宋体" w:eastAsia="宋体" w:hint="default"/>
          <w:spacing w:val="-4"/>
          <w:sz w:val="21"/>
          <w:szCs w:val="21"/>
        </w:rPr>
        <w:t>税率执行，</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年按</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24%</w:t>
      </w:r>
      <w:r>
        <w:rPr>
          <w:rFonts w:ascii="宋体" w:hAnsi="宋体" w:cs="宋体" w:eastAsia="宋体" w:hint="default"/>
          <w:spacing w:val="-4"/>
          <w:sz w:val="21"/>
          <w:szCs w:val="21"/>
        </w:rPr>
        <w:t>税率执行，</w:t>
      </w:r>
      <w:r>
        <w:rPr>
          <w:rFonts w:ascii="Times New Roman" w:hAnsi="Times New Roman" w:cs="Times New Roman" w:eastAsia="Times New Roman" w:hint="default"/>
          <w:spacing w:val="-4"/>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年按</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税率执行。</w:t>
      </w:r>
    </w:p>
    <w:p>
      <w:pPr>
        <w:spacing w:line="348" w:lineRule="auto" w:before="142"/>
        <w:ind w:left="143" w:right="115" w:firstLine="420"/>
        <w:jc w:val="both"/>
        <w:rPr>
          <w:rFonts w:ascii="宋体" w:hAnsi="宋体" w:cs="宋体" w:eastAsia="宋体" w:hint="default"/>
          <w:sz w:val="21"/>
          <w:szCs w:val="21"/>
        </w:rPr>
      </w:pPr>
      <w:r>
        <w:rPr>
          <w:rFonts w:ascii="宋体" w:hAnsi="宋体" w:cs="宋体" w:eastAsia="宋体" w:hint="default"/>
          <w:spacing w:val="-7"/>
          <w:sz w:val="21"/>
          <w:szCs w:val="21"/>
        </w:rPr>
        <w:t>本公司通过高新技术企业复审，于</w:t>
      </w:r>
      <w:r>
        <w:rPr>
          <w:rFonts w:ascii="宋体" w:hAnsi="宋体" w:cs="宋体" w:eastAsia="宋体" w:hint="default"/>
          <w:spacing w:val="-68"/>
          <w:sz w:val="21"/>
          <w:szCs w:val="21"/>
        </w:rPr>
        <w:t> </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pacing w:val="-1"/>
          <w:sz w:val="21"/>
          <w:szCs w:val="21"/>
        </w:rPr>
        <w:t>31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日取得深圳市科技工贸和信息化委员会、 </w:t>
      </w:r>
      <w:r>
        <w:rPr>
          <w:rFonts w:ascii="宋体" w:hAnsi="宋体" w:cs="宋体" w:eastAsia="宋体" w:hint="default"/>
          <w:spacing w:val="-3"/>
          <w:sz w:val="21"/>
          <w:szCs w:val="21"/>
        </w:rPr>
        <w:t>深圳市财政委员会、深圳市国家税务局、深圳市地方税务局联合下发的《高新技术企业证书》，</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有效期三年。本公司从</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年度起连续三年继续享受减按</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税率征收企业所得税。</w:t>
      </w:r>
    </w:p>
    <w:p>
      <w:pPr>
        <w:spacing w:line="338" w:lineRule="auto" w:before="132"/>
        <w:ind w:left="143" w:right="212"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）本公司的控股子公司深圳市银之杰软件技术有限公司成立于</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2"/>
          <w:sz w:val="21"/>
          <w:szCs w:val="21"/>
        </w:rPr>
        <w:t> </w:t>
      </w:r>
      <w:r>
        <w:rPr>
          <w:rFonts w:ascii="宋体" w:hAnsi="宋体" w:cs="宋体" w:eastAsia="宋体" w:hint="default"/>
          <w:spacing w:val="-8"/>
          <w:sz w:val="21"/>
          <w:szCs w:val="21"/>
        </w:rPr>
        <w:t>月，法定企业</w:t>
      </w:r>
      <w:r>
        <w:rPr>
          <w:rFonts w:ascii="宋体" w:hAnsi="宋体" w:cs="宋体" w:eastAsia="宋体" w:hint="default"/>
          <w:sz w:val="21"/>
          <w:szCs w:val="21"/>
        </w:rPr>
        <w:t> 所得税税率为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w:t>
      </w:r>
    </w:p>
    <w:p>
      <w:pPr>
        <w:spacing w:line="336" w:lineRule="auto" w:before="142"/>
        <w:ind w:left="143" w:right="105" w:firstLine="420"/>
        <w:jc w:val="left"/>
        <w:rPr>
          <w:rFonts w:ascii="宋体" w:hAnsi="宋体" w:cs="宋体" w:eastAsia="宋体" w:hint="default"/>
          <w:sz w:val="21"/>
          <w:szCs w:val="21"/>
        </w:rPr>
      </w:pPr>
      <w:r>
        <w:rPr>
          <w:rFonts w:ascii="宋体" w:hAnsi="宋体" w:cs="宋体" w:eastAsia="宋体" w:hint="default"/>
          <w:spacing w:val="-3"/>
          <w:sz w:val="21"/>
          <w:szCs w:val="21"/>
        </w:rPr>
        <w:t>根据《财政部、国家税务总局关于企业所得税若干优惠政策的通知》</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财税</w:t>
      </w:r>
      <w:r>
        <w:rPr>
          <w:rFonts w:ascii="Times New Roman" w:hAnsi="Times New Roman" w:cs="Times New Roman" w:eastAsia="Times New Roman" w:hint="default"/>
          <w:spacing w:val="-3"/>
          <w:sz w:val="21"/>
          <w:szCs w:val="21"/>
        </w:rPr>
        <w:t>[2008]1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规定， 本公司的控股子公司深圳市银之杰软件技术有限公司于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月经深圳市福田区国家税务 局深国税福减免备案</w:t>
      </w:r>
      <w:r>
        <w:rPr>
          <w:rFonts w:ascii="Times New Roman" w:hAnsi="Times New Roman" w:cs="Times New Roman" w:eastAsia="Times New Roman" w:hint="default"/>
          <w:sz w:val="21"/>
          <w:szCs w:val="21"/>
        </w:rPr>
        <w:t>[2009]227</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号文件备案登记，同意该公司从开始获利年度起，两年免征企业</w:t>
      </w:r>
      <w:r>
        <w:rPr>
          <w:rFonts w:ascii="宋体" w:hAnsi="宋体" w:cs="宋体" w:eastAsia="宋体" w:hint="default"/>
          <w:sz w:val="21"/>
          <w:szCs w:val="21"/>
        </w:rPr>
        <w:t> 所得税，三年减半征收企业所得税。</w:t>
      </w:r>
    </w:p>
    <w:p>
      <w:pPr>
        <w:spacing w:line="336" w:lineRule="auto" w:before="170"/>
        <w:ind w:left="143" w:right="11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1"/>
          <w:sz w:val="21"/>
          <w:szCs w:val="21"/>
        </w:rPr>
        <w:t> </w:t>
      </w:r>
      <w:r>
        <w:rPr>
          <w:rFonts w:ascii="宋体" w:hAnsi="宋体" w:cs="宋体" w:eastAsia="宋体" w:hint="default"/>
          <w:spacing w:val="2"/>
          <w:sz w:val="21"/>
          <w:szCs w:val="21"/>
        </w:rPr>
        <w:t>年度为本公司的控股子公司深圳市银之杰软件技术有限公司的第一获利年度，</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年度为减半征收，企业所得税率为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12.5%</w:t>
      </w:r>
      <w:r>
        <w:rPr>
          <w:rFonts w:ascii="宋体" w:hAnsi="宋体" w:cs="宋体" w:eastAsia="宋体" w:hint="default"/>
          <w:sz w:val="21"/>
          <w:szCs w:val="21"/>
        </w:rPr>
        <w:t>。</w:t>
      </w:r>
    </w:p>
    <w:p>
      <w:pPr>
        <w:spacing w:line="336" w:lineRule="auto" w:before="145"/>
        <w:ind w:left="144" w:right="209"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）本公司的控股子公司深圳市银之杰技术开发有限公司成立于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月，法定企业 所得税税率为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w:t>
      </w:r>
    </w:p>
    <w:p>
      <w:pPr>
        <w:spacing w:before="145"/>
        <w:ind w:left="144" w:right="3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564" w:right="111" w:firstLine="0"/>
        <w:jc w:val="left"/>
        <w:rPr>
          <w:rFonts w:ascii="宋体" w:hAnsi="宋体" w:cs="宋体" w:eastAsia="宋体" w:hint="default"/>
          <w:sz w:val="21"/>
          <w:szCs w:val="21"/>
        </w:rPr>
      </w:pPr>
      <w:r>
        <w:rPr>
          <w:rFonts w:ascii="宋体" w:hAnsi="宋体" w:cs="宋体" w:eastAsia="宋体" w:hint="default"/>
          <w:spacing w:val="3"/>
          <w:sz w:val="21"/>
          <w:szCs w:val="21"/>
        </w:rPr>
        <w:t>根据《国务院关于印发进一步鼓励软件产业和集成电路产业发展若干政策的通知》</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国发</w:t>
      </w:r>
      <w:r>
        <w:rPr>
          <w:rFonts w:ascii="宋体" w:hAnsi="宋体" w:cs="宋体" w:eastAsia="宋体" w:hint="default"/>
          <w:sz w:val="21"/>
          <w:szCs w:val="21"/>
        </w:rPr>
      </w:r>
    </w:p>
    <w:p>
      <w:pPr>
        <w:spacing w:before="117"/>
        <w:ind w:left="144" w:right="1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的有关规定，继续实施软件增值税优惠政策；对符合条件的软件企业和集成电路</w:t>
      </w:r>
    </w:p>
    <w:p>
      <w:pPr>
        <w:spacing w:after="0"/>
        <w:jc w:val="left"/>
        <w:rPr>
          <w:rFonts w:ascii="宋体" w:hAnsi="宋体" w:cs="宋体" w:eastAsia="宋体" w:hint="default"/>
          <w:sz w:val="21"/>
          <w:szCs w:val="21"/>
        </w:rPr>
        <w:sectPr>
          <w:pgSz w:w="11910" w:h="16840"/>
          <w:pgMar w:header="877" w:footer="982" w:top="1100" w:bottom="1180" w:left="1500" w:right="1420"/>
        </w:sectPr>
      </w:pPr>
    </w:p>
    <w:p>
      <w:pPr>
        <w:spacing w:line="240" w:lineRule="auto" w:before="2"/>
        <w:rPr>
          <w:rFonts w:ascii="宋体" w:hAnsi="宋体" w:cs="宋体" w:eastAsia="宋体" w:hint="default"/>
          <w:sz w:val="19"/>
          <w:szCs w:val="19"/>
        </w:rPr>
      </w:pPr>
    </w:p>
    <w:p>
      <w:pPr>
        <w:spacing w:line="355" w:lineRule="auto" w:before="35"/>
        <w:ind w:left="364" w:right="330" w:firstLine="0"/>
        <w:jc w:val="left"/>
        <w:rPr>
          <w:rFonts w:ascii="宋体" w:hAnsi="宋体" w:cs="宋体" w:eastAsia="宋体" w:hint="default"/>
          <w:sz w:val="21"/>
          <w:szCs w:val="21"/>
        </w:rPr>
      </w:pPr>
      <w:r>
        <w:rPr>
          <w:rFonts w:ascii="宋体" w:hAnsi="宋体" w:cs="宋体" w:eastAsia="宋体" w:hint="default"/>
          <w:sz w:val="21"/>
          <w:szCs w:val="21"/>
        </w:rPr>
        <w:t>设计企业从事软件开发与测试，信息系统集成、咨询和运营维护，集成电路设计等业务，免征</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营业税。</w:t>
      </w:r>
    </w:p>
    <w:p>
      <w:pPr>
        <w:pStyle w:val="Heading5"/>
        <w:spacing w:line="240" w:lineRule="auto" w:before="149"/>
        <w:ind w:left="364" w:right="330"/>
        <w:jc w:val="left"/>
        <w:rPr>
          <w:b w:val="0"/>
          <w:bCs w:val="0"/>
        </w:rPr>
      </w:pPr>
      <w:r>
        <w:rPr/>
        <w:t>四、</w:t>
      </w:r>
      <w:r>
        <w:rPr>
          <w:spacing w:val="-40"/>
        </w:rPr>
        <w:t> </w:t>
      </w:r>
      <w:r>
        <w:rPr/>
        <w:t>企业合并及合并财务报表</w:t>
      </w:r>
      <w:r>
        <w:rPr>
          <w:b w:val="0"/>
          <w:bCs w:val="0"/>
        </w:rPr>
      </w:r>
    </w:p>
    <w:p>
      <w:pPr>
        <w:spacing w:line="240" w:lineRule="auto" w:before="9"/>
        <w:rPr>
          <w:rFonts w:ascii="宋体" w:hAnsi="宋体" w:cs="宋体" w:eastAsia="宋体" w:hint="default"/>
          <w:b/>
          <w:bCs/>
          <w:sz w:val="20"/>
          <w:szCs w:val="20"/>
        </w:rPr>
      </w:pPr>
    </w:p>
    <w:p>
      <w:pPr>
        <w:spacing w:before="0"/>
        <w:ind w:left="364" w:right="3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364" w:right="330" w:firstLine="0"/>
        <w:jc w:val="left"/>
        <w:rPr>
          <w:rFonts w:ascii="宋体" w:hAnsi="宋体" w:cs="宋体" w:eastAsia="宋体" w:hint="default"/>
          <w:sz w:val="21"/>
          <w:szCs w:val="21"/>
        </w:rPr>
      </w:pPr>
      <w:r>
        <w:rPr>
          <w:rFonts w:ascii="宋体" w:hAnsi="宋体" w:cs="宋体" w:eastAsia="宋体" w:hint="default"/>
          <w:sz w:val="21"/>
          <w:szCs w:val="21"/>
        </w:rPr>
        <w:t>（一）通过设立或投资等方式取得的子公司</w:t>
      </w:r>
    </w:p>
    <w:p>
      <w:pPr>
        <w:spacing w:line="240" w:lineRule="auto" w:before="5"/>
        <w:rPr>
          <w:rFonts w:ascii="宋体" w:hAnsi="宋体" w:cs="宋体" w:eastAsia="宋体" w:hint="default"/>
          <w:sz w:val="19"/>
          <w:szCs w:val="19"/>
        </w:rPr>
      </w:pPr>
    </w:p>
    <w:p>
      <w:pPr>
        <w:tabs>
          <w:tab w:pos="1259" w:val="left" w:leader="none"/>
        </w:tabs>
        <w:spacing w:before="0"/>
        <w:ind w:left="0" w:right="339" w:firstLine="0"/>
        <w:jc w:val="right"/>
        <w:rPr>
          <w:rFonts w:ascii="宋体" w:hAnsi="宋体" w:cs="宋体" w:eastAsia="宋体" w:hint="default"/>
          <w:sz w:val="21"/>
          <w:szCs w:val="21"/>
        </w:rPr>
      </w:pPr>
      <w:r>
        <w:rPr>
          <w:rFonts w:ascii="宋体" w:hAnsi="宋体" w:cs="宋体" w:eastAsia="宋体" w:hint="default"/>
          <w:sz w:val="21"/>
          <w:szCs w:val="21"/>
        </w:rPr>
        <w:t>单位：万元</w:t>
        <w:tab/>
      </w:r>
      <w:r>
        <w:rPr>
          <w:rFonts w:ascii="宋体" w:hAnsi="宋体" w:cs="宋体" w:eastAsia="宋体" w:hint="default"/>
          <w:spacing w:val="-1"/>
          <w:sz w:val="21"/>
          <w:szCs w:val="21"/>
        </w:rPr>
        <w:t>币种：人民币</w:t>
      </w:r>
    </w:p>
    <w:p>
      <w:pPr>
        <w:spacing w:line="240" w:lineRule="auto" w:before="9"/>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769"/>
        <w:gridCol w:w="403"/>
        <w:gridCol w:w="403"/>
        <w:gridCol w:w="366"/>
        <w:gridCol w:w="440"/>
        <w:gridCol w:w="1508"/>
        <w:gridCol w:w="490"/>
        <w:gridCol w:w="740"/>
        <w:gridCol w:w="566"/>
        <w:gridCol w:w="565"/>
        <w:gridCol w:w="366"/>
        <w:gridCol w:w="366"/>
        <w:gridCol w:w="694"/>
        <w:gridCol w:w="1408"/>
      </w:tblGrid>
      <w:tr>
        <w:trPr>
          <w:trHeight w:val="1566" w:hRule="exact"/>
        </w:trPr>
        <w:tc>
          <w:tcPr>
            <w:tcW w:w="76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1" w:right="145" w:hanging="75"/>
              <w:jc w:val="left"/>
              <w:rPr>
                <w:rFonts w:ascii="宋体" w:hAnsi="宋体" w:cs="宋体" w:eastAsia="宋体" w:hint="default"/>
                <w:sz w:val="15"/>
                <w:szCs w:val="15"/>
              </w:rPr>
            </w:pPr>
            <w:r>
              <w:rPr>
                <w:rFonts w:ascii="宋体" w:hAnsi="宋体" w:cs="宋体" w:eastAsia="宋体" w:hint="default"/>
                <w:sz w:val="15"/>
                <w:szCs w:val="15"/>
              </w:rPr>
              <w:t>子公司 全称</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21" w:right="120"/>
              <w:jc w:val="both"/>
              <w:rPr>
                <w:rFonts w:ascii="宋体" w:hAnsi="宋体" w:cs="宋体" w:eastAsia="宋体" w:hint="default"/>
                <w:sz w:val="15"/>
                <w:szCs w:val="15"/>
              </w:rPr>
            </w:pPr>
            <w:r>
              <w:rPr>
                <w:rFonts w:ascii="宋体" w:hAnsi="宋体" w:cs="宋体" w:eastAsia="宋体" w:hint="default"/>
                <w:sz w:val="15"/>
                <w:szCs w:val="15"/>
              </w:rPr>
              <w:t>子 公 司 类 型</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21" w:right="120"/>
              <w:jc w:val="both"/>
              <w:rPr>
                <w:rFonts w:ascii="宋体" w:hAnsi="宋体" w:cs="宋体" w:eastAsia="宋体" w:hint="default"/>
                <w:sz w:val="15"/>
                <w:szCs w:val="15"/>
              </w:rPr>
            </w:pPr>
            <w:r>
              <w:rPr>
                <w:rFonts w:ascii="宋体" w:hAnsi="宋体" w:cs="宋体" w:eastAsia="宋体" w:hint="default"/>
                <w:sz w:val="15"/>
                <w:szCs w:val="15"/>
              </w:rPr>
              <w:t>注 册 地</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3" w:right="101"/>
              <w:jc w:val="both"/>
              <w:rPr>
                <w:rFonts w:ascii="宋体" w:hAnsi="宋体" w:cs="宋体" w:eastAsia="宋体" w:hint="default"/>
                <w:sz w:val="15"/>
                <w:szCs w:val="15"/>
              </w:rPr>
            </w:pPr>
            <w:r>
              <w:rPr>
                <w:rFonts w:ascii="宋体" w:hAnsi="宋体" w:cs="宋体" w:eastAsia="宋体" w:hint="default"/>
                <w:sz w:val="15"/>
                <w:szCs w:val="15"/>
              </w:rPr>
              <w:t>业 务 性 质</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40" w:right="138"/>
              <w:jc w:val="both"/>
              <w:rPr>
                <w:rFonts w:ascii="宋体" w:hAnsi="宋体" w:cs="宋体" w:eastAsia="宋体" w:hint="default"/>
                <w:sz w:val="15"/>
                <w:szCs w:val="15"/>
              </w:rPr>
            </w:pPr>
            <w:r>
              <w:rPr>
                <w:rFonts w:ascii="宋体" w:hAnsi="宋体" w:cs="宋体" w:eastAsia="宋体" w:hint="default"/>
                <w:sz w:val="15"/>
                <w:szCs w:val="15"/>
              </w:rPr>
              <w:t>注 册 资 本</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48" w:right="0"/>
              <w:jc w:val="left"/>
              <w:rPr>
                <w:rFonts w:ascii="宋体" w:hAnsi="宋体" w:cs="宋体" w:eastAsia="宋体" w:hint="default"/>
                <w:sz w:val="15"/>
                <w:szCs w:val="15"/>
              </w:rPr>
            </w:pPr>
            <w:r>
              <w:rPr>
                <w:rFonts w:ascii="宋体" w:hAnsi="宋体" w:cs="宋体" w:eastAsia="宋体" w:hint="default"/>
                <w:sz w:val="15"/>
                <w:szCs w:val="15"/>
              </w:rPr>
              <w:t>经营范围</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64" w:right="163"/>
              <w:jc w:val="both"/>
              <w:rPr>
                <w:rFonts w:ascii="宋体" w:hAnsi="宋体" w:cs="宋体" w:eastAsia="宋体" w:hint="default"/>
                <w:sz w:val="15"/>
                <w:szCs w:val="15"/>
              </w:rPr>
            </w:pPr>
            <w:r>
              <w:rPr>
                <w:rFonts w:ascii="宋体" w:hAnsi="宋体" w:cs="宋体" w:eastAsia="宋体" w:hint="default"/>
                <w:sz w:val="15"/>
                <w:szCs w:val="15"/>
              </w:rPr>
              <w:t>期 末 实 际 出 资 额</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40" w:right="138"/>
              <w:jc w:val="center"/>
              <w:rPr>
                <w:rFonts w:ascii="宋体" w:hAnsi="宋体" w:cs="宋体" w:eastAsia="宋体" w:hint="default"/>
                <w:sz w:val="15"/>
                <w:szCs w:val="15"/>
              </w:rPr>
            </w:pPr>
            <w:r>
              <w:rPr>
                <w:rFonts w:ascii="宋体" w:hAnsi="宋体" w:cs="宋体" w:eastAsia="宋体" w:hint="default"/>
                <w:sz w:val="15"/>
                <w:szCs w:val="15"/>
              </w:rPr>
              <w:t>实质上 构成对 子公司 净投资 的其他 项目余 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9" w:lineRule="auto" w:before="100"/>
              <w:ind w:left="128" w:right="126"/>
              <w:jc w:val="both"/>
              <w:rPr>
                <w:rFonts w:ascii="Times New Roman" w:hAnsi="Times New Roman" w:cs="Times New Roman" w:eastAsia="Times New Roman" w:hint="default"/>
                <w:sz w:val="15"/>
                <w:szCs w:val="15"/>
              </w:rPr>
            </w:pPr>
            <w:r>
              <w:rPr>
                <w:rFonts w:ascii="宋体" w:hAnsi="宋体" w:cs="宋体" w:eastAsia="宋体" w:hint="default"/>
                <w:sz w:val="15"/>
                <w:szCs w:val="15"/>
              </w:rPr>
              <w:t>持股 比例 </w:t>
            </w:r>
            <w:r>
              <w:rPr>
                <w:rFonts w:ascii="Times New Roman" w:hAnsi="Times New Roman" w:cs="Times New Roman" w:eastAsia="Times New Roman" w:hint="default"/>
                <w:sz w:val="15"/>
                <w:szCs w:val="15"/>
              </w:rPr>
              <w:t>(%)</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7" w:lineRule="auto"/>
              <w:ind w:left="128" w:right="125"/>
              <w:jc w:val="center"/>
              <w:rPr>
                <w:rFonts w:ascii="Times New Roman" w:hAnsi="Times New Roman" w:cs="Times New Roman" w:eastAsia="Times New Roman" w:hint="default"/>
                <w:sz w:val="15"/>
                <w:szCs w:val="15"/>
              </w:rPr>
            </w:pPr>
            <w:r>
              <w:rPr>
                <w:rFonts w:ascii="宋体" w:hAnsi="宋体" w:cs="宋体" w:eastAsia="宋体" w:hint="default"/>
                <w:sz w:val="15"/>
                <w:szCs w:val="15"/>
              </w:rPr>
              <w:t>表决 权比 例 </w:t>
            </w:r>
            <w:r>
              <w:rPr>
                <w:rFonts w:ascii="Times New Roman" w:hAnsi="Times New Roman" w:cs="Times New Roman" w:eastAsia="Times New Roman" w:hint="default"/>
                <w:sz w:val="15"/>
                <w:szCs w:val="15"/>
              </w:rPr>
              <w:t>(%)</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101"/>
              <w:jc w:val="both"/>
              <w:rPr>
                <w:rFonts w:ascii="宋体" w:hAnsi="宋体" w:cs="宋体" w:eastAsia="宋体" w:hint="default"/>
                <w:sz w:val="15"/>
                <w:szCs w:val="15"/>
              </w:rPr>
            </w:pPr>
            <w:r>
              <w:rPr>
                <w:rFonts w:ascii="宋体" w:hAnsi="宋体" w:cs="宋体" w:eastAsia="宋体" w:hint="default"/>
                <w:sz w:val="15"/>
                <w:szCs w:val="15"/>
              </w:rPr>
              <w:t>是 否 合 并 报 表</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101"/>
              <w:jc w:val="both"/>
              <w:rPr>
                <w:rFonts w:ascii="宋体" w:hAnsi="宋体" w:cs="宋体" w:eastAsia="宋体" w:hint="default"/>
                <w:sz w:val="15"/>
                <w:szCs w:val="15"/>
              </w:rPr>
            </w:pPr>
            <w:r>
              <w:rPr>
                <w:rFonts w:ascii="宋体" w:hAnsi="宋体" w:cs="宋体" w:eastAsia="宋体" w:hint="default"/>
                <w:sz w:val="15"/>
                <w:szCs w:val="15"/>
              </w:rPr>
              <w:t>少 数 股 东 权 益</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16" w:right="115"/>
              <w:jc w:val="both"/>
              <w:rPr>
                <w:rFonts w:ascii="宋体" w:hAnsi="宋体" w:cs="宋体" w:eastAsia="宋体" w:hint="default"/>
                <w:sz w:val="15"/>
                <w:szCs w:val="15"/>
              </w:rPr>
            </w:pPr>
            <w:r>
              <w:rPr>
                <w:rFonts w:ascii="宋体" w:hAnsi="宋体" w:cs="宋体" w:eastAsia="宋体" w:hint="default"/>
                <w:sz w:val="15"/>
                <w:szCs w:val="15"/>
              </w:rPr>
              <w:t>少数股 东权益 中用于 冲减少 数股东 损益的 金额</w:t>
            </w:r>
          </w:p>
        </w:tc>
        <w:tc>
          <w:tcPr>
            <w:tcW w:w="1408" w:type="dxa"/>
            <w:tcBorders>
              <w:top w:val="single" w:sz="4" w:space="0" w:color="000000"/>
              <w:left w:val="single" w:sz="4" w:space="0" w:color="000000"/>
              <w:bottom w:val="single" w:sz="4" w:space="0" w:color="000000"/>
              <w:right w:val="nil" w:sz="6" w:space="0" w:color="auto"/>
            </w:tcBorders>
          </w:tcPr>
          <w:p>
            <w:pPr>
              <w:pStyle w:val="TableParagraph"/>
              <w:spacing w:line="170" w:lineRule="exact"/>
              <w:ind w:right="2"/>
              <w:jc w:val="center"/>
              <w:rPr>
                <w:rFonts w:ascii="宋体" w:hAnsi="宋体" w:cs="宋体" w:eastAsia="宋体" w:hint="default"/>
                <w:sz w:val="15"/>
                <w:szCs w:val="15"/>
              </w:rPr>
            </w:pPr>
            <w:r>
              <w:rPr>
                <w:rFonts w:ascii="宋体" w:hAnsi="宋体" w:cs="宋体" w:eastAsia="宋体" w:hint="default"/>
                <w:sz w:val="15"/>
                <w:szCs w:val="15"/>
              </w:rPr>
              <w:t>从母公司所有者</w:t>
            </w:r>
          </w:p>
          <w:p>
            <w:pPr>
              <w:pStyle w:val="TableParagraph"/>
              <w:spacing w:line="240" w:lineRule="auto"/>
              <w:ind w:left="173" w:right="176"/>
              <w:jc w:val="center"/>
              <w:rPr>
                <w:rFonts w:ascii="宋体" w:hAnsi="宋体" w:cs="宋体" w:eastAsia="宋体" w:hint="default"/>
                <w:sz w:val="15"/>
                <w:szCs w:val="15"/>
              </w:rPr>
            </w:pPr>
            <w:r>
              <w:rPr>
                <w:rFonts w:ascii="宋体" w:hAnsi="宋体" w:cs="宋体" w:eastAsia="宋体" w:hint="default"/>
                <w:sz w:val="15"/>
                <w:szCs w:val="15"/>
              </w:rPr>
              <w:t>权益冲减子公司 少数股东分担的 本期亏损超过少 数股东在该子公 司期初所有者权 益中所享有份额 后的余额</w:t>
            </w:r>
          </w:p>
        </w:tc>
      </w:tr>
      <w:tr>
        <w:trPr>
          <w:trHeight w:val="983" w:hRule="exact"/>
        </w:trPr>
        <w:tc>
          <w:tcPr>
            <w:tcW w:w="769" w:type="dxa"/>
            <w:tcBorders>
              <w:top w:val="single" w:sz="4" w:space="0" w:color="000000"/>
              <w:left w:val="nil" w:sz="6" w:space="0" w:color="auto"/>
              <w:bottom w:val="single" w:sz="4" w:space="0" w:color="000000"/>
              <w:right w:val="single" w:sz="4" w:space="0" w:color="000000"/>
            </w:tcBorders>
          </w:tcPr>
          <w:p>
            <w:pPr>
              <w:pStyle w:val="TableParagraph"/>
              <w:spacing w:line="170" w:lineRule="exact"/>
              <w:ind w:left="122" w:right="0"/>
              <w:jc w:val="both"/>
              <w:rPr>
                <w:rFonts w:ascii="宋体" w:hAnsi="宋体" w:cs="宋体" w:eastAsia="宋体" w:hint="default"/>
                <w:sz w:val="15"/>
                <w:szCs w:val="15"/>
              </w:rPr>
            </w:pPr>
            <w:r>
              <w:rPr>
                <w:rFonts w:ascii="宋体" w:hAnsi="宋体" w:cs="宋体" w:eastAsia="宋体" w:hint="default"/>
                <w:spacing w:val="29"/>
                <w:sz w:val="15"/>
                <w:szCs w:val="15"/>
              </w:rPr>
              <w:t>深圳市</w:t>
            </w:r>
            <w:r>
              <w:rPr>
                <w:rFonts w:ascii="宋体" w:hAnsi="宋体" w:cs="宋体" w:eastAsia="宋体" w:hint="default"/>
                <w:spacing w:val="-31"/>
                <w:sz w:val="15"/>
                <w:szCs w:val="15"/>
              </w:rPr>
              <w:t> </w:t>
            </w:r>
            <w:r>
              <w:rPr>
                <w:rFonts w:ascii="宋体" w:hAnsi="宋体" w:cs="宋体" w:eastAsia="宋体" w:hint="default"/>
                <w:sz w:val="15"/>
                <w:szCs w:val="15"/>
              </w:rPr>
            </w:r>
          </w:p>
          <w:p>
            <w:pPr>
              <w:pStyle w:val="TableParagraph"/>
              <w:spacing w:line="240" w:lineRule="auto"/>
              <w:ind w:left="122" w:right="56"/>
              <w:jc w:val="both"/>
              <w:rPr>
                <w:rFonts w:ascii="宋体" w:hAnsi="宋体" w:cs="宋体" w:eastAsia="宋体" w:hint="default"/>
                <w:sz w:val="15"/>
                <w:szCs w:val="15"/>
              </w:rPr>
            </w:pPr>
            <w:r>
              <w:rPr>
                <w:rFonts w:ascii="宋体" w:hAnsi="宋体" w:cs="宋体" w:eastAsia="宋体" w:hint="default"/>
                <w:spacing w:val="29"/>
                <w:sz w:val="15"/>
                <w:szCs w:val="15"/>
              </w:rPr>
              <w:t>银之杰</w:t>
            </w:r>
            <w:r>
              <w:rPr>
                <w:rFonts w:ascii="宋体" w:hAnsi="宋体" w:cs="宋体" w:eastAsia="宋体" w:hint="default"/>
                <w:spacing w:val="-31"/>
                <w:sz w:val="15"/>
                <w:szCs w:val="15"/>
              </w:rPr>
              <w:t> </w:t>
            </w:r>
            <w:r>
              <w:rPr>
                <w:rFonts w:ascii="宋体" w:hAnsi="宋体" w:cs="宋体" w:eastAsia="宋体" w:hint="default"/>
                <w:spacing w:val="29"/>
                <w:sz w:val="15"/>
                <w:szCs w:val="15"/>
              </w:rPr>
              <w:t>软件技</w:t>
            </w:r>
            <w:r>
              <w:rPr>
                <w:rFonts w:ascii="宋体" w:hAnsi="宋体" w:cs="宋体" w:eastAsia="宋体" w:hint="default"/>
                <w:spacing w:val="-31"/>
                <w:sz w:val="15"/>
                <w:szCs w:val="15"/>
              </w:rPr>
              <w:t> </w:t>
            </w:r>
            <w:r>
              <w:rPr>
                <w:rFonts w:ascii="宋体" w:hAnsi="宋体" w:cs="宋体" w:eastAsia="宋体" w:hint="default"/>
                <w:spacing w:val="29"/>
                <w:sz w:val="15"/>
                <w:szCs w:val="15"/>
              </w:rPr>
              <w:t>术有限</w:t>
            </w:r>
            <w:r>
              <w:rPr>
                <w:rFonts w:ascii="宋体" w:hAnsi="宋体" w:cs="宋体" w:eastAsia="宋体" w:hint="default"/>
                <w:spacing w:val="-31"/>
                <w:sz w:val="15"/>
                <w:szCs w:val="15"/>
              </w:rPr>
              <w:t> </w:t>
            </w:r>
            <w:r>
              <w:rPr>
                <w:rFonts w:ascii="宋体" w:hAnsi="宋体" w:cs="宋体" w:eastAsia="宋体" w:hint="default"/>
                <w:sz w:val="15"/>
                <w:szCs w:val="15"/>
              </w:rPr>
              <w:t>公司</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03" w:right="138"/>
              <w:jc w:val="left"/>
              <w:rPr>
                <w:rFonts w:ascii="宋体" w:hAnsi="宋体" w:cs="宋体" w:eastAsia="宋体" w:hint="default"/>
                <w:sz w:val="15"/>
                <w:szCs w:val="15"/>
              </w:rPr>
            </w:pPr>
            <w:r>
              <w:rPr>
                <w:rFonts w:ascii="宋体" w:hAnsi="宋体" w:cs="宋体" w:eastAsia="宋体" w:hint="default"/>
                <w:sz w:val="15"/>
                <w:szCs w:val="15"/>
              </w:rPr>
              <w:t>控 股</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92" w:lineRule="auto"/>
              <w:ind w:left="103" w:right="138"/>
              <w:jc w:val="left"/>
              <w:rPr>
                <w:rFonts w:ascii="宋体" w:hAnsi="宋体" w:cs="宋体" w:eastAsia="宋体" w:hint="default"/>
                <w:sz w:val="15"/>
                <w:szCs w:val="15"/>
              </w:rPr>
            </w:pPr>
            <w:r>
              <w:rPr>
                <w:rFonts w:ascii="宋体" w:hAnsi="宋体" w:cs="宋体" w:eastAsia="宋体" w:hint="default"/>
                <w:sz w:val="15"/>
                <w:szCs w:val="15"/>
              </w:rPr>
              <w:t>深 圳</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3" w:right="101"/>
              <w:jc w:val="both"/>
              <w:rPr>
                <w:rFonts w:ascii="宋体" w:hAnsi="宋体" w:cs="宋体" w:eastAsia="宋体" w:hint="default"/>
                <w:sz w:val="15"/>
                <w:szCs w:val="15"/>
              </w:rPr>
            </w:pPr>
            <w:r>
              <w:rPr>
                <w:rFonts w:ascii="宋体" w:hAnsi="宋体" w:cs="宋体" w:eastAsia="宋体" w:hint="default"/>
                <w:sz w:val="15"/>
                <w:szCs w:val="15"/>
              </w:rPr>
              <w:t>软 件 开 发</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3" w:right="43"/>
              <w:jc w:val="both"/>
              <w:rPr>
                <w:rFonts w:ascii="宋体" w:hAnsi="宋体" w:cs="宋体" w:eastAsia="宋体" w:hint="default"/>
                <w:sz w:val="15"/>
                <w:szCs w:val="15"/>
              </w:rPr>
            </w:pPr>
            <w:r>
              <w:rPr>
                <w:rFonts w:ascii="宋体" w:hAnsi="宋体" w:cs="宋体" w:eastAsia="宋体" w:hint="default"/>
                <w:spacing w:val="13"/>
                <w:sz w:val="15"/>
                <w:szCs w:val="15"/>
              </w:rPr>
              <w:t>金融应用软件技术 </w:t>
            </w:r>
            <w:r>
              <w:rPr>
                <w:rFonts w:ascii="宋体" w:hAnsi="宋体" w:cs="宋体" w:eastAsia="宋体" w:hint="default"/>
                <w:spacing w:val="-7"/>
                <w:sz w:val="15"/>
                <w:szCs w:val="15"/>
              </w:rPr>
              <w:t>开发，销售、计算机</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软、硬件技术开发、 技术咨询</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25"/>
              <w:jc w:val="right"/>
              <w:rPr>
                <w:rFonts w:ascii="Times New Roman" w:hAnsi="Times New Roman" w:cs="Times New Roman" w:eastAsia="Times New Roman" w:hint="default"/>
                <w:sz w:val="15"/>
                <w:szCs w:val="15"/>
              </w:rPr>
            </w:pPr>
            <w:r>
              <w:rPr>
                <w:rFonts w:ascii="Times New Roman"/>
                <w:spacing w:val="-1"/>
                <w:sz w:val="15"/>
              </w:rPr>
              <w:t>100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27" w:right="0"/>
              <w:jc w:val="left"/>
              <w:rPr>
                <w:rFonts w:ascii="Times New Roman" w:hAnsi="Times New Roman" w:cs="Times New Roman" w:eastAsia="Times New Roman" w:hint="default"/>
                <w:sz w:val="15"/>
                <w:szCs w:val="15"/>
              </w:rPr>
            </w:pPr>
            <w:r>
              <w:rPr>
                <w:rFonts w:ascii="Times New Roman"/>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100%</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100%</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0</w:t>
            </w:r>
          </w:p>
        </w:tc>
        <w:tc>
          <w:tcPr>
            <w:tcW w:w="140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3"/>
              <w:jc w:val="center"/>
              <w:rPr>
                <w:rFonts w:ascii="Times New Roman" w:hAnsi="Times New Roman" w:cs="Times New Roman" w:eastAsia="Times New Roman" w:hint="default"/>
                <w:sz w:val="15"/>
                <w:szCs w:val="15"/>
              </w:rPr>
            </w:pPr>
            <w:r>
              <w:rPr>
                <w:rFonts w:ascii="Times New Roman"/>
                <w:sz w:val="15"/>
              </w:rPr>
              <w:t>0</w:t>
            </w:r>
          </w:p>
        </w:tc>
      </w:tr>
      <w:tr>
        <w:trPr>
          <w:trHeight w:val="983" w:hRule="exact"/>
        </w:trPr>
        <w:tc>
          <w:tcPr>
            <w:tcW w:w="769" w:type="dxa"/>
            <w:tcBorders>
              <w:top w:val="single" w:sz="4" w:space="0" w:color="000000"/>
              <w:left w:val="nil" w:sz="6" w:space="0" w:color="auto"/>
              <w:bottom w:val="single" w:sz="4" w:space="0" w:color="000000"/>
              <w:right w:val="single" w:sz="4" w:space="0" w:color="000000"/>
            </w:tcBorders>
          </w:tcPr>
          <w:p>
            <w:pPr>
              <w:pStyle w:val="TableParagraph"/>
              <w:spacing w:line="170" w:lineRule="exact"/>
              <w:ind w:left="122" w:right="0"/>
              <w:jc w:val="both"/>
              <w:rPr>
                <w:rFonts w:ascii="宋体" w:hAnsi="宋体" w:cs="宋体" w:eastAsia="宋体" w:hint="default"/>
                <w:sz w:val="15"/>
                <w:szCs w:val="15"/>
              </w:rPr>
            </w:pPr>
            <w:r>
              <w:rPr>
                <w:rFonts w:ascii="宋体" w:hAnsi="宋体" w:cs="宋体" w:eastAsia="宋体" w:hint="default"/>
                <w:spacing w:val="29"/>
                <w:sz w:val="15"/>
                <w:szCs w:val="15"/>
              </w:rPr>
              <w:t>深圳市</w:t>
            </w:r>
            <w:r>
              <w:rPr>
                <w:rFonts w:ascii="宋体" w:hAnsi="宋体" w:cs="宋体" w:eastAsia="宋体" w:hint="default"/>
                <w:spacing w:val="-31"/>
                <w:sz w:val="15"/>
                <w:szCs w:val="15"/>
              </w:rPr>
              <w:t> </w:t>
            </w:r>
            <w:r>
              <w:rPr>
                <w:rFonts w:ascii="宋体" w:hAnsi="宋体" w:cs="宋体" w:eastAsia="宋体" w:hint="default"/>
                <w:sz w:val="15"/>
                <w:szCs w:val="15"/>
              </w:rPr>
            </w:r>
          </w:p>
          <w:p>
            <w:pPr>
              <w:pStyle w:val="TableParagraph"/>
              <w:spacing w:line="240" w:lineRule="auto"/>
              <w:ind w:left="122" w:right="56"/>
              <w:jc w:val="both"/>
              <w:rPr>
                <w:rFonts w:ascii="宋体" w:hAnsi="宋体" w:cs="宋体" w:eastAsia="宋体" w:hint="default"/>
                <w:sz w:val="15"/>
                <w:szCs w:val="15"/>
              </w:rPr>
            </w:pPr>
            <w:r>
              <w:rPr>
                <w:rFonts w:ascii="宋体" w:hAnsi="宋体" w:cs="宋体" w:eastAsia="宋体" w:hint="default"/>
                <w:spacing w:val="29"/>
                <w:sz w:val="15"/>
                <w:szCs w:val="15"/>
              </w:rPr>
              <w:t>银之杰</w:t>
            </w:r>
            <w:r>
              <w:rPr>
                <w:rFonts w:ascii="宋体" w:hAnsi="宋体" w:cs="宋体" w:eastAsia="宋体" w:hint="default"/>
                <w:spacing w:val="-31"/>
                <w:sz w:val="15"/>
                <w:szCs w:val="15"/>
              </w:rPr>
              <w:t> </w:t>
            </w:r>
            <w:r>
              <w:rPr>
                <w:rFonts w:ascii="宋体" w:hAnsi="宋体" w:cs="宋体" w:eastAsia="宋体" w:hint="default"/>
                <w:spacing w:val="29"/>
                <w:sz w:val="15"/>
                <w:szCs w:val="15"/>
              </w:rPr>
              <w:t>技术开</w:t>
            </w:r>
            <w:r>
              <w:rPr>
                <w:rFonts w:ascii="宋体" w:hAnsi="宋体" w:cs="宋体" w:eastAsia="宋体" w:hint="default"/>
                <w:spacing w:val="-31"/>
                <w:sz w:val="15"/>
                <w:szCs w:val="15"/>
              </w:rPr>
              <w:t> </w:t>
            </w:r>
            <w:r>
              <w:rPr>
                <w:rFonts w:ascii="宋体" w:hAnsi="宋体" w:cs="宋体" w:eastAsia="宋体" w:hint="default"/>
                <w:spacing w:val="29"/>
                <w:sz w:val="15"/>
                <w:szCs w:val="15"/>
              </w:rPr>
              <w:t>发有限</w:t>
            </w:r>
            <w:r>
              <w:rPr>
                <w:rFonts w:ascii="宋体" w:hAnsi="宋体" w:cs="宋体" w:eastAsia="宋体" w:hint="default"/>
                <w:spacing w:val="-31"/>
                <w:sz w:val="15"/>
                <w:szCs w:val="15"/>
              </w:rPr>
              <w:t> </w:t>
            </w:r>
            <w:r>
              <w:rPr>
                <w:rFonts w:ascii="宋体" w:hAnsi="宋体" w:cs="宋体" w:eastAsia="宋体" w:hint="default"/>
                <w:sz w:val="15"/>
                <w:szCs w:val="15"/>
              </w:rPr>
              <w:t>公司</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03" w:right="138"/>
              <w:jc w:val="left"/>
              <w:rPr>
                <w:rFonts w:ascii="宋体" w:hAnsi="宋体" w:cs="宋体" w:eastAsia="宋体" w:hint="default"/>
                <w:sz w:val="15"/>
                <w:szCs w:val="15"/>
              </w:rPr>
            </w:pPr>
            <w:r>
              <w:rPr>
                <w:rFonts w:ascii="宋体" w:hAnsi="宋体" w:cs="宋体" w:eastAsia="宋体" w:hint="default"/>
                <w:sz w:val="15"/>
                <w:szCs w:val="15"/>
              </w:rPr>
              <w:t>控 股</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92" w:lineRule="auto"/>
              <w:ind w:left="103" w:right="138"/>
              <w:jc w:val="left"/>
              <w:rPr>
                <w:rFonts w:ascii="宋体" w:hAnsi="宋体" w:cs="宋体" w:eastAsia="宋体" w:hint="default"/>
                <w:sz w:val="15"/>
                <w:szCs w:val="15"/>
              </w:rPr>
            </w:pPr>
            <w:r>
              <w:rPr>
                <w:rFonts w:ascii="宋体" w:hAnsi="宋体" w:cs="宋体" w:eastAsia="宋体" w:hint="default"/>
                <w:sz w:val="15"/>
                <w:szCs w:val="15"/>
              </w:rPr>
              <w:t>深 圳</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3" w:right="101"/>
              <w:jc w:val="both"/>
              <w:rPr>
                <w:rFonts w:ascii="宋体" w:hAnsi="宋体" w:cs="宋体" w:eastAsia="宋体" w:hint="default"/>
                <w:sz w:val="15"/>
                <w:szCs w:val="15"/>
              </w:rPr>
            </w:pPr>
            <w:r>
              <w:rPr>
                <w:rFonts w:ascii="宋体" w:hAnsi="宋体" w:cs="宋体" w:eastAsia="宋体" w:hint="default"/>
                <w:sz w:val="15"/>
                <w:szCs w:val="15"/>
              </w:rPr>
              <w:t>软 件 开 发</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300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92" w:lineRule="auto"/>
              <w:ind w:left="103" w:right="43" w:hanging="58"/>
              <w:jc w:val="center"/>
              <w:rPr>
                <w:rFonts w:ascii="宋体" w:hAnsi="宋体" w:cs="宋体" w:eastAsia="宋体" w:hint="default"/>
                <w:sz w:val="15"/>
                <w:szCs w:val="15"/>
              </w:rPr>
            </w:pPr>
            <w:r>
              <w:rPr>
                <w:rFonts w:ascii="宋体" w:hAnsi="宋体" w:cs="宋体" w:eastAsia="宋体" w:hint="default"/>
                <w:spacing w:val="-7"/>
                <w:sz w:val="15"/>
                <w:szCs w:val="15"/>
              </w:rPr>
              <w:t>计算机软、硬件的技</w:t>
            </w:r>
            <w:r>
              <w:rPr>
                <w:rFonts w:ascii="宋体" w:hAnsi="宋体" w:cs="宋体" w:eastAsia="宋体" w:hint="default"/>
                <w:sz w:val="15"/>
                <w:szCs w:val="15"/>
              </w:rPr>
              <w:t> 术设计、技术开发、 技术咨询与销售</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25"/>
              <w:jc w:val="right"/>
              <w:rPr>
                <w:rFonts w:ascii="Calibri" w:hAnsi="Calibri" w:cs="Calibri" w:eastAsia="Calibri" w:hint="default"/>
                <w:sz w:val="15"/>
                <w:szCs w:val="15"/>
              </w:rPr>
            </w:pPr>
            <w:r>
              <w:rPr>
                <w:rFonts w:ascii="Calibri"/>
                <w:spacing w:val="-1"/>
                <w:w w:val="95"/>
                <w:sz w:val="15"/>
              </w:rPr>
              <w:t>300</w:t>
            </w:r>
            <w:r>
              <w:rPr>
                <w:rFonts w:ascii="Calibri"/>
                <w:w w:val="95"/>
                <w:sz w:val="15"/>
              </w:rPr>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27" w:right="0"/>
              <w:jc w:val="left"/>
              <w:rPr>
                <w:rFonts w:ascii="Times New Roman" w:hAnsi="Times New Roman" w:cs="Times New Roman" w:eastAsia="Times New Roman" w:hint="default"/>
                <w:sz w:val="15"/>
                <w:szCs w:val="15"/>
              </w:rPr>
            </w:pPr>
            <w:r>
              <w:rPr>
                <w:rFonts w:ascii="Times New Roman"/>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100%</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100%</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0</w:t>
            </w:r>
          </w:p>
        </w:tc>
        <w:tc>
          <w:tcPr>
            <w:tcW w:w="140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3"/>
              <w:jc w:val="center"/>
              <w:rPr>
                <w:rFonts w:ascii="Times New Roman" w:hAnsi="Times New Roman" w:cs="Times New Roman" w:eastAsia="Times New Roman" w:hint="default"/>
                <w:sz w:val="15"/>
                <w:szCs w:val="15"/>
              </w:rPr>
            </w:pPr>
            <w:r>
              <w:rPr>
                <w:rFonts w:ascii="Times New Roman"/>
                <w:sz w:val="15"/>
              </w:rPr>
              <w:t>0</w:t>
            </w:r>
          </w:p>
        </w:tc>
      </w:tr>
    </w:tbl>
    <w:p>
      <w:pPr>
        <w:spacing w:line="240" w:lineRule="auto" w:before="4"/>
        <w:rPr>
          <w:rFonts w:ascii="宋体" w:hAnsi="宋体" w:cs="宋体" w:eastAsia="宋体" w:hint="default"/>
          <w:sz w:val="22"/>
          <w:szCs w:val="22"/>
        </w:rPr>
      </w:pPr>
    </w:p>
    <w:p>
      <w:pPr>
        <w:spacing w:line="436" w:lineRule="auto" w:before="35"/>
        <w:ind w:left="784" w:right="138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、合并范围发生变更的说明</w:t>
      </w:r>
      <w:r>
        <w:rPr>
          <w:rFonts w:ascii="宋体" w:hAnsi="宋体" w:cs="宋体" w:eastAsia="宋体" w:hint="default"/>
          <w:b/>
          <w:bCs/>
          <w:w w:val="99"/>
          <w:sz w:val="21"/>
          <w:szCs w:val="21"/>
        </w:rPr>
        <w:t> </w:t>
      </w:r>
      <w:r>
        <w:rPr>
          <w:rFonts w:ascii="宋体" w:hAnsi="宋体" w:cs="宋体" w:eastAsia="宋体" w:hint="default"/>
          <w:sz w:val="21"/>
          <w:szCs w:val="21"/>
        </w:rPr>
        <w:t>将本期新设立的控股子公司深圳市银之杰技术开发有限公司纳入了合并范围。</w:t>
      </w:r>
    </w:p>
    <w:p>
      <w:pPr>
        <w:spacing w:before="82"/>
        <w:ind w:left="364" w:right="3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、本期新纳入合并范围的主体和本期不再纳入合并范围的主体</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338" w:lineRule="auto" w:before="0"/>
        <w:ind w:left="364" w:right="330" w:firstLine="42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）本期新纳入合并范围的子公司、特殊目的主体、通过受托经营或承租等方式形成控制</w:t>
      </w:r>
      <w:r>
        <w:rPr>
          <w:rFonts w:ascii="宋体" w:hAnsi="宋体" w:cs="宋体" w:eastAsia="宋体" w:hint="default"/>
          <w:sz w:val="21"/>
          <w:szCs w:val="21"/>
        </w:rPr>
        <w:t> 权的经营实体：</w:t>
      </w:r>
    </w:p>
    <w:p>
      <w:pPr>
        <w:spacing w:before="167"/>
        <w:ind w:left="784" w:right="330" w:firstLine="0"/>
        <w:jc w:val="left"/>
        <w:rPr>
          <w:rFonts w:ascii="宋体" w:hAnsi="宋体" w:cs="宋体" w:eastAsia="宋体" w:hint="default"/>
          <w:sz w:val="21"/>
          <w:szCs w:val="21"/>
        </w:rPr>
      </w:pPr>
      <w:r>
        <w:rPr>
          <w:rFonts w:ascii="宋体" w:hAnsi="宋体" w:cs="宋体" w:eastAsia="宋体" w:hint="default"/>
          <w:sz w:val="21"/>
          <w:szCs w:val="21"/>
        </w:rPr>
        <w:t>本期新纳入合并范围是控股子公司深圳市银之杰技术开发有限公司。</w:t>
      </w:r>
    </w:p>
    <w:p>
      <w:pPr>
        <w:spacing w:after="0"/>
        <w:jc w:val="left"/>
        <w:rPr>
          <w:rFonts w:ascii="宋体" w:hAnsi="宋体" w:cs="宋体" w:eastAsia="宋体" w:hint="default"/>
          <w:sz w:val="21"/>
          <w:szCs w:val="21"/>
        </w:rPr>
        <w:sectPr>
          <w:pgSz w:w="11910" w:h="16840"/>
          <w:pgMar w:header="877" w:footer="982" w:top="1100" w:bottom="1180" w:left="1280" w:right="13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5"/>
        <w:spacing w:line="240" w:lineRule="auto" w:before="29"/>
        <w:ind w:left="304" w:right="250"/>
        <w:jc w:val="left"/>
        <w:rPr>
          <w:b w:val="0"/>
          <w:bCs w:val="0"/>
        </w:rPr>
      </w:pPr>
      <w:r>
        <w:rPr/>
        <w:t>五、</w:t>
      </w:r>
      <w:r>
        <w:rPr>
          <w:spacing w:val="-39"/>
        </w:rPr>
        <w:t> </w:t>
      </w:r>
      <w:r>
        <w:rPr/>
        <w:t>合并财务报表项目注释</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6"/>
          <w:szCs w:val="26"/>
        </w:rPr>
      </w:pPr>
    </w:p>
    <w:p>
      <w:pPr>
        <w:spacing w:before="0"/>
        <w:ind w:left="304" w:right="2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6"/>
        <w:rPr>
          <w:rFonts w:ascii="宋体" w:hAnsi="宋体" w:cs="宋体" w:eastAsia="宋体" w:hint="default"/>
          <w:b/>
          <w:bCs/>
          <w:sz w:val="15"/>
          <w:szCs w:val="15"/>
        </w:rPr>
      </w:pPr>
    </w:p>
    <w:p>
      <w:pPr>
        <w:tabs>
          <w:tab w:pos="1049" w:val="left" w:leader="none"/>
        </w:tabs>
        <w:spacing w:before="35"/>
        <w:ind w:left="0" w:right="237"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9"/>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1603"/>
        <w:gridCol w:w="1237"/>
        <w:gridCol w:w="887"/>
        <w:gridCol w:w="1588"/>
        <w:gridCol w:w="1238"/>
        <w:gridCol w:w="882"/>
        <w:gridCol w:w="1414"/>
      </w:tblGrid>
      <w:tr>
        <w:trPr>
          <w:trHeight w:val="388" w:hRule="exact"/>
        </w:trPr>
        <w:tc>
          <w:tcPr>
            <w:tcW w:w="1603"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3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86" w:hRule="exact"/>
        </w:trPr>
        <w:tc>
          <w:tcPr>
            <w:tcW w:w="1603" w:type="dxa"/>
            <w:vMerge/>
            <w:tcBorders>
              <w:left w:val="nil" w:sz="6" w:space="0" w:color="auto"/>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3"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38"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252"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510"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105,096.28</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41,079.64</w:t>
            </w:r>
          </w:p>
        </w:tc>
      </w:tr>
      <w:tr>
        <w:trPr>
          <w:trHeight w:val="510"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105,096.28</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41,079.64</w:t>
            </w:r>
          </w:p>
        </w:tc>
      </w:tr>
      <w:tr>
        <w:trPr>
          <w:trHeight w:val="510"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387,686,414.24</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432,965,735.83</w:t>
            </w:r>
          </w:p>
        </w:tc>
      </w:tr>
      <w:tr>
        <w:trPr>
          <w:trHeight w:val="510"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387,686,414.24</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432,965,735.83</w:t>
            </w:r>
          </w:p>
        </w:tc>
      </w:tr>
      <w:tr>
        <w:trPr>
          <w:trHeight w:val="510"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1"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387,791,510.52</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433,006,815.47</w:t>
            </w:r>
          </w:p>
        </w:tc>
      </w:tr>
    </w:tbl>
    <w:p>
      <w:pPr>
        <w:spacing w:before="86"/>
        <w:ind w:left="304" w:right="250" w:firstLine="0"/>
        <w:jc w:val="left"/>
        <w:rPr>
          <w:rFonts w:ascii="宋体" w:hAnsi="宋体" w:cs="宋体" w:eastAsia="宋体" w:hint="default"/>
          <w:sz w:val="21"/>
          <w:szCs w:val="21"/>
        </w:rPr>
      </w:pPr>
      <w:r>
        <w:rPr>
          <w:rFonts w:ascii="宋体" w:hAnsi="宋体" w:cs="宋体" w:eastAsia="宋体" w:hint="default"/>
          <w:sz w:val="21"/>
          <w:szCs w:val="21"/>
        </w:rPr>
        <w:t>期末货币资金不存在抵押，质押和冻结情况。</w:t>
      </w:r>
    </w:p>
    <w:p>
      <w:pPr>
        <w:spacing w:line="240" w:lineRule="auto" w:before="5"/>
        <w:rPr>
          <w:rFonts w:ascii="宋体" w:hAnsi="宋体" w:cs="宋体" w:eastAsia="宋体" w:hint="default"/>
          <w:sz w:val="19"/>
          <w:szCs w:val="19"/>
        </w:rPr>
      </w:pPr>
    </w:p>
    <w:p>
      <w:pPr>
        <w:spacing w:before="0"/>
        <w:ind w:left="303" w:right="2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304" w:right="25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）应收账款按种类披露：</w:t>
      </w:r>
    </w:p>
    <w:p>
      <w:pPr>
        <w:spacing w:line="240" w:lineRule="auto" w:before="5"/>
        <w:rPr>
          <w:rFonts w:ascii="宋体" w:hAnsi="宋体" w:cs="宋体" w:eastAsia="宋体" w:hint="default"/>
          <w:sz w:val="15"/>
          <w:szCs w:val="15"/>
        </w:rPr>
      </w:pPr>
    </w:p>
    <w:p>
      <w:pPr>
        <w:spacing w:before="35"/>
        <w:ind w:left="0" w:right="23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47" w:type="dxa"/>
        <w:tblLayout w:type="fixed"/>
        <w:tblCellMar>
          <w:top w:w="0" w:type="dxa"/>
          <w:left w:w="0" w:type="dxa"/>
          <w:bottom w:w="0" w:type="dxa"/>
          <w:right w:w="0" w:type="dxa"/>
        </w:tblCellMar>
        <w:tblLook w:val="01E0"/>
      </w:tblPr>
      <w:tblGrid>
        <w:gridCol w:w="2066"/>
        <w:gridCol w:w="1110"/>
        <w:gridCol w:w="644"/>
        <w:gridCol w:w="1026"/>
        <w:gridCol w:w="665"/>
        <w:gridCol w:w="1110"/>
        <w:gridCol w:w="612"/>
        <w:gridCol w:w="1026"/>
        <w:gridCol w:w="654"/>
      </w:tblGrid>
      <w:tr>
        <w:trPr>
          <w:trHeight w:val="388" w:hRule="exact"/>
        </w:trPr>
        <w:tc>
          <w:tcPr>
            <w:tcW w:w="206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44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02"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88" w:hRule="exact"/>
        </w:trPr>
        <w:tc>
          <w:tcPr>
            <w:tcW w:w="2066" w:type="dxa"/>
            <w:vMerge/>
            <w:tcBorders>
              <w:left w:val="nil" w:sz="6" w:space="0" w:color="auto"/>
              <w:right w:val="single" w:sz="4" w:space="0" w:color="000000"/>
            </w:tcBorders>
          </w:tcPr>
          <w:p>
            <w:pPr/>
          </w:p>
        </w:tc>
        <w:tc>
          <w:tcPr>
            <w:tcW w:w="17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8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47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94" w:hRule="exact"/>
        </w:trPr>
        <w:tc>
          <w:tcPr>
            <w:tcW w:w="2066" w:type="dxa"/>
            <w:vMerge/>
            <w:tcBorders>
              <w:left w:val="nil" w:sz="6" w:space="0" w:color="auto"/>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6" w:right="0"/>
              <w:jc w:val="center"/>
              <w:rPr>
                <w:rFonts w:ascii="宋体" w:hAnsi="宋体" w:cs="宋体" w:eastAsia="宋体" w:hint="default"/>
                <w:sz w:val="18"/>
                <w:szCs w:val="18"/>
              </w:rPr>
            </w:pPr>
            <w:r>
              <w:rPr>
                <w:rFonts w:ascii="宋体" w:hAnsi="宋体" w:cs="宋体" w:eastAsia="宋体" w:hint="default"/>
                <w:spacing w:val="-24"/>
                <w:sz w:val="18"/>
                <w:szCs w:val="18"/>
              </w:rPr>
              <w:t>比例</w:t>
            </w:r>
          </w:p>
          <w:p>
            <w:pPr>
              <w:pStyle w:val="TableParagraph"/>
              <w:spacing w:line="240" w:lineRule="auto" w:before="22"/>
              <w:ind w:right="0"/>
              <w:jc w:val="center"/>
              <w:rPr>
                <w:rFonts w:ascii="Times New Roman" w:hAnsi="Times New Roman" w:cs="Times New Roman" w:eastAsia="Times New Roman" w:hint="default"/>
                <w:sz w:val="18"/>
                <w:szCs w:val="18"/>
              </w:rPr>
            </w:pPr>
            <w:r>
              <w:rPr>
                <w:rFonts w:ascii="Times New Roman"/>
                <w:spacing w:val="-24"/>
                <w:sz w:val="18"/>
              </w:rPr>
              <w:t>(%)</w:t>
            </w:r>
            <w:r>
              <w:rPr>
                <w:rFonts w:ascii="Times New Roman"/>
                <w:sz w:val="18"/>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7" w:right="0"/>
              <w:jc w:val="center"/>
              <w:rPr>
                <w:rFonts w:ascii="宋体" w:hAnsi="宋体" w:cs="宋体" w:eastAsia="宋体" w:hint="default"/>
                <w:sz w:val="18"/>
                <w:szCs w:val="18"/>
              </w:rPr>
            </w:pPr>
            <w:r>
              <w:rPr>
                <w:rFonts w:ascii="宋体" w:hAnsi="宋体" w:cs="宋体" w:eastAsia="宋体" w:hint="default"/>
                <w:spacing w:val="-24"/>
                <w:sz w:val="18"/>
                <w:szCs w:val="18"/>
              </w:rPr>
              <w:t>比例</w:t>
            </w:r>
          </w:p>
          <w:p>
            <w:pPr>
              <w:pStyle w:val="TableParagraph"/>
              <w:spacing w:line="240" w:lineRule="auto" w:before="22"/>
              <w:ind w:right="1"/>
              <w:jc w:val="center"/>
              <w:rPr>
                <w:rFonts w:ascii="Times New Roman" w:hAnsi="Times New Roman" w:cs="Times New Roman" w:eastAsia="Times New Roman" w:hint="default"/>
                <w:sz w:val="18"/>
                <w:szCs w:val="18"/>
              </w:rPr>
            </w:pPr>
            <w:r>
              <w:rPr>
                <w:rFonts w:ascii="Times New Roman"/>
                <w:spacing w:val="-24"/>
                <w:sz w:val="18"/>
              </w:rPr>
              <w:t>(%)</w:t>
            </w:r>
            <w:r>
              <w:rPr>
                <w:rFonts w:ascii="Times New Roman"/>
                <w:sz w:val="18"/>
              </w:rPr>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7" w:right="0"/>
              <w:jc w:val="center"/>
              <w:rPr>
                <w:rFonts w:ascii="宋体" w:hAnsi="宋体" w:cs="宋体" w:eastAsia="宋体" w:hint="default"/>
                <w:sz w:val="18"/>
                <w:szCs w:val="18"/>
              </w:rPr>
            </w:pPr>
            <w:r>
              <w:rPr>
                <w:rFonts w:ascii="宋体" w:hAnsi="宋体" w:cs="宋体" w:eastAsia="宋体" w:hint="default"/>
                <w:spacing w:val="-24"/>
                <w:sz w:val="18"/>
                <w:szCs w:val="18"/>
              </w:rPr>
              <w:t>比例</w:t>
            </w:r>
          </w:p>
          <w:p>
            <w:pPr>
              <w:pStyle w:val="TableParagraph"/>
              <w:spacing w:line="240" w:lineRule="auto" w:before="22"/>
              <w:ind w:right="1"/>
              <w:jc w:val="center"/>
              <w:rPr>
                <w:rFonts w:ascii="Times New Roman" w:hAnsi="Times New Roman" w:cs="Times New Roman" w:eastAsia="Times New Roman" w:hint="default"/>
                <w:sz w:val="18"/>
                <w:szCs w:val="18"/>
              </w:rPr>
            </w:pPr>
            <w:r>
              <w:rPr>
                <w:rFonts w:ascii="Times New Roman"/>
                <w:spacing w:val="-24"/>
                <w:sz w:val="18"/>
              </w:rPr>
              <w:t>(%)</w:t>
            </w:r>
            <w:r>
              <w:rPr>
                <w:rFonts w:ascii="Times New Roman"/>
                <w:sz w:val="18"/>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49" w:right="0"/>
              <w:jc w:val="center"/>
              <w:rPr>
                <w:rFonts w:ascii="宋体" w:hAnsi="宋体" w:cs="宋体" w:eastAsia="宋体" w:hint="default"/>
                <w:sz w:val="18"/>
                <w:szCs w:val="18"/>
              </w:rPr>
            </w:pPr>
            <w:r>
              <w:rPr>
                <w:rFonts w:ascii="宋体" w:hAnsi="宋体" w:cs="宋体" w:eastAsia="宋体" w:hint="default"/>
                <w:spacing w:val="-24"/>
                <w:sz w:val="18"/>
                <w:szCs w:val="18"/>
              </w:rPr>
              <w:t>比例</w:t>
            </w:r>
          </w:p>
          <w:p>
            <w:pPr>
              <w:pStyle w:val="TableParagraph"/>
              <w:spacing w:line="240" w:lineRule="auto" w:before="22"/>
              <w:ind w:left="2" w:right="0"/>
              <w:jc w:val="center"/>
              <w:rPr>
                <w:rFonts w:ascii="Times New Roman" w:hAnsi="Times New Roman" w:cs="Times New Roman" w:eastAsia="Times New Roman" w:hint="default"/>
                <w:sz w:val="18"/>
                <w:szCs w:val="18"/>
              </w:rPr>
            </w:pPr>
            <w:r>
              <w:rPr>
                <w:rFonts w:ascii="Times New Roman"/>
                <w:spacing w:val="-24"/>
                <w:sz w:val="18"/>
              </w:rPr>
              <w:t>(%)</w:t>
            </w:r>
            <w:r>
              <w:rPr>
                <w:rFonts w:ascii="Times New Roman"/>
                <w:sz w:val="18"/>
              </w:rPr>
            </w:r>
          </w:p>
        </w:tc>
      </w:tr>
      <w:tr>
        <w:trPr>
          <w:trHeight w:val="620" w:hRule="exact"/>
        </w:trPr>
        <w:tc>
          <w:tcPr>
            <w:tcW w:w="2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08" w:right="94"/>
              <w:jc w:val="left"/>
              <w:rPr>
                <w:rFonts w:ascii="宋体" w:hAnsi="宋体" w:cs="宋体" w:eastAsia="宋体" w:hint="default"/>
                <w:sz w:val="18"/>
                <w:szCs w:val="18"/>
              </w:rPr>
            </w:pPr>
            <w:r>
              <w:rPr>
                <w:rFonts w:ascii="宋体" w:hAnsi="宋体" w:cs="宋体" w:eastAsia="宋体" w:hint="default"/>
                <w:spacing w:val="5"/>
                <w:sz w:val="18"/>
                <w:szCs w:val="18"/>
              </w:rPr>
              <w:t>单项金额重大并单项计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提坏账准备的应收账款</w:t>
            </w:r>
          </w:p>
        </w:tc>
        <w:tc>
          <w:tcPr>
            <w:tcW w:w="1110"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nil" w:sz="6" w:space="0" w:color="auto"/>
            </w:tcBorders>
          </w:tcPr>
          <w:p>
            <w:pPr/>
          </w:p>
        </w:tc>
      </w:tr>
    </w:tbl>
    <w:p>
      <w:pPr>
        <w:spacing w:before="41"/>
        <w:ind w:left="260" w:right="250" w:firstLine="0"/>
        <w:jc w:val="left"/>
        <w:rPr>
          <w:rFonts w:ascii="宋体" w:hAnsi="宋体" w:cs="宋体" w:eastAsia="宋体" w:hint="default"/>
          <w:sz w:val="18"/>
          <w:szCs w:val="18"/>
        </w:rPr>
      </w:pPr>
      <w:r>
        <w:rPr>
          <w:rFonts w:ascii="宋体" w:hAnsi="宋体" w:cs="宋体" w:eastAsia="宋体" w:hint="default"/>
          <w:spacing w:val="-12"/>
          <w:sz w:val="18"/>
          <w:szCs w:val="18"/>
        </w:rPr>
        <w:t>按组合计提坏账准备的应收账款</w:t>
      </w:r>
      <w:r>
        <w:rPr>
          <w:rFonts w:ascii="宋体" w:hAnsi="宋体" w:cs="宋体" w:eastAsia="宋体" w:hint="default"/>
          <w:sz w:val="18"/>
          <w:szCs w:val="18"/>
        </w:rPr>
      </w:r>
    </w:p>
    <w:p>
      <w:pPr>
        <w:spacing w:line="240" w:lineRule="auto" w:before="9"/>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2081"/>
        <w:gridCol w:w="1110"/>
        <w:gridCol w:w="644"/>
        <w:gridCol w:w="1026"/>
        <w:gridCol w:w="665"/>
        <w:gridCol w:w="1110"/>
        <w:gridCol w:w="612"/>
        <w:gridCol w:w="1026"/>
        <w:gridCol w:w="661"/>
      </w:tblGrid>
      <w:tr>
        <w:trPr>
          <w:trHeight w:val="394" w:hRule="exact"/>
        </w:trPr>
        <w:tc>
          <w:tcPr>
            <w:tcW w:w="20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按款项账龄的组合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43"/>
              <w:jc w:val="right"/>
              <w:rPr>
                <w:rFonts w:ascii="Times New Roman" w:hAnsi="Times New Roman" w:cs="Times New Roman" w:eastAsia="Times New Roman" w:hint="default"/>
                <w:sz w:val="18"/>
                <w:szCs w:val="18"/>
              </w:rPr>
            </w:pPr>
            <w:r>
              <w:rPr>
                <w:rFonts w:ascii="Times New Roman"/>
                <w:spacing w:val="-7"/>
                <w:sz w:val="18"/>
              </w:rPr>
              <w:t>68,109,224.31</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60"/>
              <w:jc w:val="right"/>
              <w:rPr>
                <w:rFonts w:ascii="Times New Roman" w:hAnsi="Times New Roman" w:cs="Times New Roman" w:eastAsia="Times New Roman" w:hint="default"/>
                <w:sz w:val="18"/>
                <w:szCs w:val="18"/>
              </w:rPr>
            </w:pPr>
            <w:r>
              <w:rPr>
                <w:rFonts w:ascii="Times New Roman"/>
                <w:spacing w:val="-6"/>
                <w:sz w:val="18"/>
              </w:rPr>
              <w:t>100.00</w:t>
            </w:r>
            <w:r>
              <w:rPr>
                <w:rFonts w:ascii="Times New Roman"/>
                <w:sz w:val="18"/>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44"/>
              <w:jc w:val="right"/>
              <w:rPr>
                <w:rFonts w:ascii="Times New Roman" w:hAnsi="Times New Roman" w:cs="Times New Roman" w:eastAsia="Times New Roman" w:hint="default"/>
                <w:sz w:val="18"/>
                <w:szCs w:val="18"/>
              </w:rPr>
            </w:pPr>
            <w:r>
              <w:rPr>
                <w:rFonts w:ascii="Times New Roman"/>
                <w:spacing w:val="-7"/>
                <w:sz w:val="18"/>
              </w:rPr>
              <w:t>5,538,259.71</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54"/>
              <w:jc w:val="right"/>
              <w:rPr>
                <w:rFonts w:ascii="Times New Roman" w:hAnsi="Times New Roman" w:cs="Times New Roman" w:eastAsia="Times New Roman" w:hint="default"/>
                <w:sz w:val="18"/>
                <w:szCs w:val="18"/>
              </w:rPr>
            </w:pPr>
            <w:r>
              <w:rPr>
                <w:rFonts w:ascii="Times New Roman"/>
                <w:spacing w:val="-6"/>
                <w:w w:val="95"/>
                <w:sz w:val="18"/>
              </w:rPr>
              <w:t>8.13</w:t>
            </w:r>
            <w:r>
              <w:rPr>
                <w:rFonts w:ascii="Times New Roman"/>
                <w:w w:val="95"/>
                <w:sz w:val="18"/>
              </w:rPr>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43"/>
              <w:jc w:val="right"/>
              <w:rPr>
                <w:rFonts w:ascii="Times New Roman" w:hAnsi="Times New Roman" w:cs="Times New Roman" w:eastAsia="Times New Roman" w:hint="default"/>
                <w:sz w:val="18"/>
                <w:szCs w:val="18"/>
              </w:rPr>
            </w:pPr>
            <w:r>
              <w:rPr>
                <w:rFonts w:ascii="Times New Roman"/>
                <w:spacing w:val="-7"/>
                <w:sz w:val="18"/>
              </w:rPr>
              <w:t>52,152,301.34</w:t>
            </w:r>
            <w:r>
              <w:rPr>
                <w:rFonts w:ascii="Times New Roman"/>
                <w:sz w:val="18"/>
              </w:rPr>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43"/>
              <w:jc w:val="right"/>
              <w:rPr>
                <w:rFonts w:ascii="Times New Roman" w:hAnsi="Times New Roman" w:cs="Times New Roman" w:eastAsia="Times New Roman" w:hint="default"/>
                <w:sz w:val="18"/>
                <w:szCs w:val="18"/>
              </w:rPr>
            </w:pPr>
            <w:r>
              <w:rPr>
                <w:rFonts w:ascii="Times New Roman"/>
                <w:spacing w:val="-6"/>
                <w:sz w:val="18"/>
              </w:rPr>
              <w:t>100.00</w:t>
            </w:r>
            <w:r>
              <w:rPr>
                <w:rFonts w:ascii="Times New Roman"/>
                <w:sz w:val="18"/>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51" w:right="0"/>
              <w:jc w:val="center"/>
              <w:rPr>
                <w:rFonts w:ascii="Times New Roman" w:hAnsi="Times New Roman" w:cs="Times New Roman" w:eastAsia="Times New Roman" w:hint="default"/>
                <w:sz w:val="18"/>
                <w:szCs w:val="18"/>
              </w:rPr>
            </w:pPr>
            <w:r>
              <w:rPr>
                <w:rFonts w:ascii="Times New Roman"/>
                <w:spacing w:val="-7"/>
                <w:sz w:val="18"/>
              </w:rPr>
              <w:t>4,530,651.70</w:t>
            </w:r>
            <w:r>
              <w:rPr>
                <w:rFonts w:ascii="Times New Roman"/>
                <w:sz w:val="18"/>
              </w:rPr>
            </w:r>
          </w:p>
        </w:tc>
        <w:tc>
          <w:tcPr>
            <w:tcW w:w="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4"/>
              <w:ind w:right="158"/>
              <w:jc w:val="right"/>
              <w:rPr>
                <w:rFonts w:ascii="Times New Roman" w:hAnsi="Times New Roman" w:cs="Times New Roman" w:eastAsia="Times New Roman" w:hint="default"/>
                <w:sz w:val="18"/>
                <w:szCs w:val="18"/>
              </w:rPr>
            </w:pPr>
            <w:r>
              <w:rPr>
                <w:rFonts w:ascii="Times New Roman"/>
                <w:spacing w:val="-6"/>
                <w:w w:val="95"/>
                <w:sz w:val="18"/>
              </w:rPr>
              <w:t>8.69</w:t>
            </w:r>
            <w:r>
              <w:rPr>
                <w:rFonts w:ascii="Times New Roman"/>
                <w:w w:val="95"/>
                <w:sz w:val="18"/>
              </w:rPr>
            </w:r>
          </w:p>
        </w:tc>
      </w:tr>
      <w:tr>
        <w:trPr>
          <w:trHeight w:val="394" w:hRule="exact"/>
        </w:trPr>
        <w:tc>
          <w:tcPr>
            <w:tcW w:w="20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43"/>
              <w:jc w:val="right"/>
              <w:rPr>
                <w:rFonts w:ascii="Times New Roman" w:hAnsi="Times New Roman" w:cs="Times New Roman" w:eastAsia="Times New Roman" w:hint="default"/>
                <w:sz w:val="18"/>
                <w:szCs w:val="18"/>
              </w:rPr>
            </w:pPr>
            <w:r>
              <w:rPr>
                <w:rFonts w:ascii="Times New Roman"/>
                <w:spacing w:val="-7"/>
                <w:sz w:val="18"/>
              </w:rPr>
              <w:t>68,109,224.31</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60"/>
              <w:jc w:val="right"/>
              <w:rPr>
                <w:rFonts w:ascii="Times New Roman" w:hAnsi="Times New Roman" w:cs="Times New Roman" w:eastAsia="Times New Roman" w:hint="default"/>
                <w:sz w:val="18"/>
                <w:szCs w:val="18"/>
              </w:rPr>
            </w:pPr>
            <w:r>
              <w:rPr>
                <w:rFonts w:ascii="Times New Roman"/>
                <w:spacing w:val="-6"/>
                <w:sz w:val="18"/>
              </w:rPr>
              <w:t>100.00</w:t>
            </w:r>
            <w:r>
              <w:rPr>
                <w:rFonts w:ascii="Times New Roman"/>
                <w:sz w:val="18"/>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44"/>
              <w:jc w:val="right"/>
              <w:rPr>
                <w:rFonts w:ascii="Times New Roman" w:hAnsi="Times New Roman" w:cs="Times New Roman" w:eastAsia="Times New Roman" w:hint="default"/>
                <w:sz w:val="18"/>
                <w:szCs w:val="18"/>
              </w:rPr>
            </w:pPr>
            <w:r>
              <w:rPr>
                <w:rFonts w:ascii="Times New Roman"/>
                <w:spacing w:val="-7"/>
                <w:sz w:val="18"/>
              </w:rPr>
              <w:t>5,538,259.71</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54"/>
              <w:jc w:val="right"/>
              <w:rPr>
                <w:rFonts w:ascii="Times New Roman" w:hAnsi="Times New Roman" w:cs="Times New Roman" w:eastAsia="Times New Roman" w:hint="default"/>
                <w:sz w:val="18"/>
                <w:szCs w:val="18"/>
              </w:rPr>
            </w:pPr>
            <w:r>
              <w:rPr>
                <w:rFonts w:ascii="Times New Roman"/>
                <w:spacing w:val="-6"/>
                <w:w w:val="95"/>
                <w:sz w:val="18"/>
              </w:rPr>
              <w:t>8.13</w:t>
            </w:r>
            <w:r>
              <w:rPr>
                <w:rFonts w:ascii="Times New Roman"/>
                <w:w w:val="95"/>
                <w:sz w:val="18"/>
              </w:rPr>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43"/>
              <w:jc w:val="right"/>
              <w:rPr>
                <w:rFonts w:ascii="Times New Roman" w:hAnsi="Times New Roman" w:cs="Times New Roman" w:eastAsia="Times New Roman" w:hint="default"/>
                <w:sz w:val="18"/>
                <w:szCs w:val="18"/>
              </w:rPr>
            </w:pPr>
            <w:r>
              <w:rPr>
                <w:rFonts w:ascii="Times New Roman"/>
                <w:spacing w:val="-7"/>
                <w:sz w:val="18"/>
              </w:rPr>
              <w:t>52,152,301.34</w:t>
            </w:r>
            <w:r>
              <w:rPr>
                <w:rFonts w:ascii="Times New Roman"/>
                <w:sz w:val="18"/>
              </w:rPr>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43"/>
              <w:jc w:val="right"/>
              <w:rPr>
                <w:rFonts w:ascii="Times New Roman" w:hAnsi="Times New Roman" w:cs="Times New Roman" w:eastAsia="Times New Roman" w:hint="default"/>
                <w:sz w:val="18"/>
                <w:szCs w:val="18"/>
              </w:rPr>
            </w:pPr>
            <w:r>
              <w:rPr>
                <w:rFonts w:ascii="Times New Roman"/>
                <w:spacing w:val="-6"/>
                <w:sz w:val="18"/>
              </w:rPr>
              <w:t>100.00</w:t>
            </w:r>
            <w:r>
              <w:rPr>
                <w:rFonts w:ascii="Times New Roman"/>
                <w:sz w:val="18"/>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51" w:right="0"/>
              <w:jc w:val="center"/>
              <w:rPr>
                <w:rFonts w:ascii="Times New Roman" w:hAnsi="Times New Roman" w:cs="Times New Roman" w:eastAsia="Times New Roman" w:hint="default"/>
                <w:sz w:val="18"/>
                <w:szCs w:val="18"/>
              </w:rPr>
            </w:pPr>
            <w:r>
              <w:rPr>
                <w:rFonts w:ascii="Times New Roman"/>
                <w:spacing w:val="-7"/>
                <w:sz w:val="18"/>
              </w:rPr>
              <w:t>4,530,651.70</w:t>
            </w:r>
            <w:r>
              <w:rPr>
                <w:rFonts w:ascii="Times New Roman"/>
                <w:sz w:val="18"/>
              </w:rPr>
            </w:r>
          </w:p>
        </w:tc>
        <w:tc>
          <w:tcPr>
            <w:tcW w:w="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4"/>
              <w:ind w:right="158"/>
              <w:jc w:val="right"/>
              <w:rPr>
                <w:rFonts w:ascii="Times New Roman" w:hAnsi="Times New Roman" w:cs="Times New Roman" w:eastAsia="Times New Roman" w:hint="default"/>
                <w:sz w:val="18"/>
                <w:szCs w:val="18"/>
              </w:rPr>
            </w:pPr>
            <w:r>
              <w:rPr>
                <w:rFonts w:ascii="Times New Roman"/>
                <w:spacing w:val="-6"/>
                <w:w w:val="95"/>
                <w:sz w:val="18"/>
              </w:rPr>
              <w:t>8.69</w:t>
            </w:r>
            <w:r>
              <w:rPr>
                <w:rFonts w:ascii="Times New Roman"/>
                <w:w w:val="95"/>
                <w:sz w:val="18"/>
              </w:rPr>
            </w:r>
          </w:p>
        </w:tc>
      </w:tr>
      <w:tr>
        <w:trPr>
          <w:trHeight w:val="860" w:hRule="exact"/>
        </w:trPr>
        <w:tc>
          <w:tcPr>
            <w:tcW w:w="2081"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92"/>
              <w:ind w:left="122" w:right="94"/>
              <w:jc w:val="both"/>
              <w:rPr>
                <w:rFonts w:ascii="宋体" w:hAnsi="宋体" w:cs="宋体" w:eastAsia="宋体" w:hint="default"/>
                <w:sz w:val="18"/>
                <w:szCs w:val="18"/>
              </w:rPr>
            </w:pPr>
            <w:r>
              <w:rPr>
                <w:rFonts w:ascii="宋体" w:hAnsi="宋体" w:cs="宋体" w:eastAsia="宋体" w:hint="default"/>
                <w:spacing w:val="5"/>
                <w:sz w:val="18"/>
                <w:szCs w:val="18"/>
              </w:rPr>
              <w:t>单项金额虽不重大但单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项计提坏账准备的应收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账款</w:t>
            </w:r>
          </w:p>
        </w:tc>
        <w:tc>
          <w:tcPr>
            <w:tcW w:w="1110"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nil" w:sz="6" w:space="0" w:color="auto"/>
            </w:tcBorders>
          </w:tcPr>
          <w:p>
            <w:pPr/>
          </w:p>
        </w:tc>
      </w:tr>
      <w:tr>
        <w:trPr>
          <w:trHeight w:val="304" w:hRule="exact"/>
        </w:trPr>
        <w:tc>
          <w:tcPr>
            <w:tcW w:w="2081"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43"/>
              <w:jc w:val="right"/>
              <w:rPr>
                <w:rFonts w:ascii="Times New Roman" w:hAnsi="Times New Roman" w:cs="Times New Roman" w:eastAsia="Times New Roman" w:hint="default"/>
                <w:sz w:val="18"/>
                <w:szCs w:val="18"/>
              </w:rPr>
            </w:pPr>
            <w:r>
              <w:rPr>
                <w:rFonts w:ascii="Times New Roman"/>
                <w:spacing w:val="-7"/>
                <w:sz w:val="18"/>
              </w:rPr>
              <w:t>68,109,224.31</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60"/>
              <w:jc w:val="right"/>
              <w:rPr>
                <w:rFonts w:ascii="Times New Roman" w:hAnsi="Times New Roman" w:cs="Times New Roman" w:eastAsia="Times New Roman" w:hint="default"/>
                <w:sz w:val="18"/>
                <w:szCs w:val="18"/>
              </w:rPr>
            </w:pPr>
            <w:r>
              <w:rPr>
                <w:rFonts w:ascii="Times New Roman"/>
                <w:spacing w:val="-6"/>
                <w:sz w:val="18"/>
              </w:rPr>
              <w:t>100.00</w:t>
            </w:r>
            <w:r>
              <w:rPr>
                <w:rFonts w:ascii="Times New Roman"/>
                <w:sz w:val="18"/>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44"/>
              <w:jc w:val="right"/>
              <w:rPr>
                <w:rFonts w:ascii="Times New Roman" w:hAnsi="Times New Roman" w:cs="Times New Roman" w:eastAsia="Times New Roman" w:hint="default"/>
                <w:sz w:val="18"/>
                <w:szCs w:val="18"/>
              </w:rPr>
            </w:pPr>
            <w:r>
              <w:rPr>
                <w:rFonts w:ascii="Times New Roman"/>
                <w:spacing w:val="-7"/>
                <w:sz w:val="18"/>
              </w:rPr>
              <w:t>5,538,259.71</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54"/>
              <w:jc w:val="right"/>
              <w:rPr>
                <w:rFonts w:ascii="Times New Roman" w:hAnsi="Times New Roman" w:cs="Times New Roman" w:eastAsia="Times New Roman" w:hint="default"/>
                <w:sz w:val="18"/>
                <w:szCs w:val="18"/>
              </w:rPr>
            </w:pPr>
            <w:r>
              <w:rPr>
                <w:rFonts w:ascii="Times New Roman"/>
                <w:spacing w:val="-6"/>
                <w:w w:val="95"/>
                <w:sz w:val="18"/>
              </w:rPr>
              <w:t>8.13</w:t>
            </w:r>
            <w:r>
              <w:rPr>
                <w:rFonts w:ascii="Times New Roman"/>
                <w:w w:val="95"/>
                <w:sz w:val="18"/>
              </w:rPr>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43"/>
              <w:jc w:val="right"/>
              <w:rPr>
                <w:rFonts w:ascii="Times New Roman" w:hAnsi="Times New Roman" w:cs="Times New Roman" w:eastAsia="Times New Roman" w:hint="default"/>
                <w:sz w:val="18"/>
                <w:szCs w:val="18"/>
              </w:rPr>
            </w:pPr>
            <w:r>
              <w:rPr>
                <w:rFonts w:ascii="Times New Roman"/>
                <w:spacing w:val="-7"/>
                <w:sz w:val="18"/>
              </w:rPr>
              <w:t>52,152,301.34</w:t>
            </w:r>
            <w:r>
              <w:rPr>
                <w:rFonts w:ascii="Times New Roman"/>
                <w:sz w:val="18"/>
              </w:rPr>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43"/>
              <w:jc w:val="right"/>
              <w:rPr>
                <w:rFonts w:ascii="Times New Roman" w:hAnsi="Times New Roman" w:cs="Times New Roman" w:eastAsia="Times New Roman" w:hint="default"/>
                <w:sz w:val="18"/>
                <w:szCs w:val="18"/>
              </w:rPr>
            </w:pPr>
            <w:r>
              <w:rPr>
                <w:rFonts w:ascii="Times New Roman"/>
                <w:spacing w:val="-6"/>
                <w:sz w:val="18"/>
              </w:rPr>
              <w:t>100.00</w:t>
            </w:r>
            <w:r>
              <w:rPr>
                <w:rFonts w:ascii="Times New Roman"/>
                <w:sz w:val="18"/>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1" w:right="0"/>
              <w:jc w:val="center"/>
              <w:rPr>
                <w:rFonts w:ascii="Times New Roman" w:hAnsi="Times New Roman" w:cs="Times New Roman" w:eastAsia="Times New Roman" w:hint="default"/>
                <w:sz w:val="18"/>
                <w:szCs w:val="18"/>
              </w:rPr>
            </w:pPr>
            <w:r>
              <w:rPr>
                <w:rFonts w:ascii="Times New Roman"/>
                <w:spacing w:val="-7"/>
                <w:sz w:val="18"/>
              </w:rPr>
              <w:t>4,530,651.70</w:t>
            </w:r>
            <w:r>
              <w:rPr>
                <w:rFonts w:ascii="Times New Roman"/>
                <w:sz w:val="18"/>
              </w:rPr>
            </w:r>
          </w:p>
        </w:tc>
        <w:tc>
          <w:tcPr>
            <w:tcW w:w="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58"/>
              <w:jc w:val="right"/>
              <w:rPr>
                <w:rFonts w:ascii="Times New Roman" w:hAnsi="Times New Roman" w:cs="Times New Roman" w:eastAsia="Times New Roman" w:hint="default"/>
                <w:sz w:val="18"/>
                <w:szCs w:val="18"/>
              </w:rPr>
            </w:pPr>
            <w:r>
              <w:rPr>
                <w:rFonts w:ascii="Times New Roman"/>
                <w:spacing w:val="-6"/>
                <w:w w:val="95"/>
                <w:sz w:val="18"/>
              </w:rPr>
              <w:t>8.69</w:t>
            </w:r>
            <w:r>
              <w:rPr>
                <w:rFonts w:ascii="Times New Roman"/>
                <w:w w:val="95"/>
                <w:sz w:val="18"/>
              </w:rPr>
            </w:r>
          </w:p>
        </w:tc>
      </w:tr>
    </w:tbl>
    <w:p>
      <w:pPr>
        <w:spacing w:line="240" w:lineRule="auto" w:before="1"/>
        <w:rPr>
          <w:rFonts w:ascii="宋体" w:hAnsi="宋体" w:cs="宋体" w:eastAsia="宋体" w:hint="default"/>
          <w:sz w:val="13"/>
          <w:szCs w:val="13"/>
        </w:rPr>
      </w:pPr>
    </w:p>
    <w:p>
      <w:pPr>
        <w:spacing w:line="357" w:lineRule="auto" w:before="35"/>
        <w:ind w:left="304" w:right="250" w:firstLine="420"/>
        <w:jc w:val="left"/>
        <w:rPr>
          <w:rFonts w:ascii="宋体" w:hAnsi="宋体" w:cs="宋体" w:eastAsia="宋体" w:hint="default"/>
          <w:sz w:val="21"/>
          <w:szCs w:val="21"/>
        </w:rPr>
      </w:pPr>
      <w:r>
        <w:rPr>
          <w:rFonts w:ascii="宋体" w:hAnsi="宋体" w:cs="宋体" w:eastAsia="宋体" w:hint="default"/>
          <w:sz w:val="21"/>
          <w:szCs w:val="21"/>
        </w:rPr>
        <w:t>按款项账龄的组合计提坏账准备的应收账款，是指将未单项计提坏账准备的应收账款按账 龄划分为若干组合，根据以前年度与之相同或相类似的、具有类似信用风险特征的应收账款组</w:t>
      </w:r>
    </w:p>
    <w:p>
      <w:pPr>
        <w:spacing w:after="0" w:line="357" w:lineRule="auto"/>
        <w:jc w:val="left"/>
        <w:rPr>
          <w:rFonts w:ascii="宋体" w:hAnsi="宋体" w:cs="宋体" w:eastAsia="宋体" w:hint="default"/>
          <w:sz w:val="21"/>
          <w:szCs w:val="21"/>
        </w:rPr>
        <w:sectPr>
          <w:pgSz w:w="11910" w:h="16840"/>
          <w:pgMar w:header="877" w:footer="982" w:top="1100" w:bottom="1180" w:left="1340" w:right="1380"/>
        </w:sectPr>
      </w:pPr>
    </w:p>
    <w:p>
      <w:pPr>
        <w:spacing w:line="240" w:lineRule="auto" w:before="2"/>
        <w:rPr>
          <w:rFonts w:ascii="宋体" w:hAnsi="宋体" w:cs="宋体" w:eastAsia="宋体" w:hint="default"/>
          <w:sz w:val="19"/>
          <w:szCs w:val="19"/>
        </w:rPr>
      </w:pPr>
    </w:p>
    <w:p>
      <w:pPr>
        <w:spacing w:line="355" w:lineRule="auto" w:before="35"/>
        <w:ind w:left="384" w:right="370" w:firstLine="0"/>
        <w:jc w:val="left"/>
        <w:rPr>
          <w:rFonts w:ascii="宋体" w:hAnsi="宋体" w:cs="宋体" w:eastAsia="宋体" w:hint="default"/>
          <w:sz w:val="21"/>
          <w:szCs w:val="21"/>
        </w:rPr>
      </w:pPr>
      <w:r>
        <w:rPr>
          <w:rFonts w:ascii="宋体" w:hAnsi="宋体" w:cs="宋体" w:eastAsia="宋体" w:hint="default"/>
          <w:sz w:val="21"/>
          <w:szCs w:val="21"/>
        </w:rPr>
        <w:t>合的实际损失率为基础，结合现时情况确定各项组合计提坏账准备的比例，据此计算应计提的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坏账准备。</w:t>
      </w:r>
    </w:p>
    <w:p>
      <w:pPr>
        <w:spacing w:line="240" w:lineRule="auto" w:before="12"/>
        <w:rPr>
          <w:rFonts w:ascii="宋体" w:hAnsi="宋体" w:cs="宋体" w:eastAsia="宋体" w:hint="default"/>
          <w:sz w:val="20"/>
          <w:szCs w:val="20"/>
        </w:rPr>
      </w:pPr>
    </w:p>
    <w:p>
      <w:pPr>
        <w:spacing w:before="0"/>
        <w:ind w:left="803" w:right="37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组合中，按账龄分析法计提坏账准备的应收账款：</w:t>
      </w:r>
    </w:p>
    <w:p>
      <w:pPr>
        <w:spacing w:line="240" w:lineRule="auto" w:before="3"/>
        <w:rPr>
          <w:rFonts w:ascii="宋体" w:hAnsi="宋体" w:cs="宋体" w:eastAsia="宋体" w:hint="default"/>
          <w:sz w:val="19"/>
          <w:szCs w:val="19"/>
        </w:rPr>
      </w:pPr>
    </w:p>
    <w:p>
      <w:pPr>
        <w:spacing w:before="0"/>
        <w:ind w:left="0" w:right="35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254" w:type="dxa"/>
        <w:tblLayout w:type="fixed"/>
        <w:tblCellMar>
          <w:top w:w="0" w:type="dxa"/>
          <w:left w:w="0" w:type="dxa"/>
          <w:bottom w:w="0" w:type="dxa"/>
          <w:right w:w="0" w:type="dxa"/>
        </w:tblCellMar>
        <w:tblLook w:val="01E0"/>
      </w:tblPr>
      <w:tblGrid>
        <w:gridCol w:w="1742"/>
        <w:gridCol w:w="1417"/>
        <w:gridCol w:w="908"/>
        <w:gridCol w:w="1218"/>
        <w:gridCol w:w="1417"/>
        <w:gridCol w:w="966"/>
        <w:gridCol w:w="1217"/>
      </w:tblGrid>
      <w:tr>
        <w:trPr>
          <w:trHeight w:val="392" w:hRule="exact"/>
        </w:trPr>
        <w:tc>
          <w:tcPr>
            <w:tcW w:w="1742"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5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00"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2" w:hRule="exact"/>
        </w:trPr>
        <w:tc>
          <w:tcPr>
            <w:tcW w:w="1742" w:type="dxa"/>
            <w:vMerge/>
            <w:tcBorders>
              <w:left w:val="nil" w:sz="6" w:space="0" w:color="auto"/>
              <w:right w:val="single" w:sz="6" w:space="0" w:color="000000"/>
            </w:tcBorders>
          </w:tcPr>
          <w:p>
            <w:pPr/>
          </w:p>
        </w:tc>
        <w:tc>
          <w:tcPr>
            <w:tcW w:w="23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8"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7" w:type="dxa"/>
            <w:vMerge w:val="restart"/>
            <w:tcBorders>
              <w:top w:val="single" w:sz="6" w:space="0" w:color="000000"/>
              <w:left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92" w:hRule="exact"/>
        </w:trPr>
        <w:tc>
          <w:tcPr>
            <w:tcW w:w="1742" w:type="dxa"/>
            <w:vMerge/>
            <w:tcBorders>
              <w:left w:val="nil" w:sz="6" w:space="0" w:color="auto"/>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30"/>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18" w:type="dxa"/>
            <w:vMerge/>
            <w:tcBorders>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17" w:type="dxa"/>
            <w:vMerge/>
            <w:tcBorders>
              <w:left w:val="single" w:sz="6" w:space="0" w:color="000000"/>
              <w:bottom w:val="single" w:sz="6" w:space="0" w:color="000000"/>
              <w:right w:val="nil" w:sz="6" w:space="0" w:color="auto"/>
            </w:tcBorders>
          </w:tcPr>
          <w:p>
            <w:pPr/>
          </w:p>
        </w:tc>
      </w:tr>
      <w:tr>
        <w:trPr>
          <w:trHeight w:val="392"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50,895,138.84</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74.73</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2,544,756.94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7"/>
              <w:jc w:val="right"/>
              <w:rPr>
                <w:rFonts w:ascii="Times New Roman" w:hAnsi="Times New Roman" w:cs="Times New Roman" w:eastAsia="Times New Roman" w:hint="default"/>
                <w:sz w:val="18"/>
                <w:szCs w:val="18"/>
              </w:rPr>
            </w:pPr>
            <w:r>
              <w:rPr>
                <w:rFonts w:ascii="Times New Roman"/>
                <w:spacing w:val="-1"/>
                <w:sz w:val="18"/>
              </w:rPr>
              <w:t>35,903,384.74</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68.84</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1,795,169.24</w:t>
            </w:r>
          </w:p>
        </w:tc>
      </w:tr>
      <w:tr>
        <w:trPr>
          <w:trHeight w:val="392"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10,267,734.67</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15.08</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1,026,773.47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7"/>
              <w:jc w:val="right"/>
              <w:rPr>
                <w:rFonts w:ascii="Times New Roman" w:hAnsi="Times New Roman" w:cs="Times New Roman" w:eastAsia="Times New Roman" w:hint="default"/>
                <w:sz w:val="18"/>
                <w:szCs w:val="18"/>
              </w:rPr>
            </w:pPr>
            <w:r>
              <w:rPr>
                <w:rFonts w:ascii="Times New Roman"/>
                <w:spacing w:val="-1"/>
                <w:sz w:val="18"/>
              </w:rPr>
              <w:t>8,657,991.60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z w:val="18"/>
              </w:rPr>
              <w:t>16.60</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865,799.16</w:t>
            </w:r>
          </w:p>
        </w:tc>
      </w:tr>
      <w:tr>
        <w:trPr>
          <w:trHeight w:val="392"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5,021,487.00</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z w:val="18"/>
              </w:rPr>
              <w:t>7.37</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1,004,297.40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7"/>
              <w:jc w:val="right"/>
              <w:rPr>
                <w:rFonts w:ascii="Times New Roman" w:hAnsi="Times New Roman" w:cs="Times New Roman" w:eastAsia="Times New Roman" w:hint="default"/>
                <w:sz w:val="18"/>
                <w:szCs w:val="18"/>
              </w:rPr>
            </w:pPr>
            <w:r>
              <w:rPr>
                <w:rFonts w:ascii="Times New Roman"/>
                <w:spacing w:val="-1"/>
                <w:sz w:val="18"/>
              </w:rPr>
              <w:t>6,419,264.00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12.31</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1,283,852.80</w:t>
            </w:r>
          </w:p>
        </w:tc>
      </w:tr>
      <w:tr>
        <w:trPr>
          <w:trHeight w:val="392"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1,924,863.80</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z w:val="18"/>
              </w:rPr>
              <w:t>2.83</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962,431.90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7"/>
              <w:jc w:val="right"/>
              <w:rPr>
                <w:rFonts w:ascii="Times New Roman" w:hAnsi="Times New Roman" w:cs="Times New Roman" w:eastAsia="Times New Roman" w:hint="default"/>
                <w:sz w:val="18"/>
                <w:szCs w:val="18"/>
              </w:rPr>
            </w:pPr>
            <w:r>
              <w:rPr>
                <w:rFonts w:ascii="Times New Roman"/>
                <w:spacing w:val="-1"/>
                <w:sz w:val="18"/>
              </w:rPr>
              <w:t>1,171,661.00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z w:val="18"/>
              </w:rPr>
              <w:t>2.25</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585,830.50</w:t>
            </w:r>
          </w:p>
        </w:tc>
      </w:tr>
      <w:tr>
        <w:trPr>
          <w:trHeight w:val="394"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68,109,224.31</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100.00</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5,538,259.71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7"/>
              <w:jc w:val="right"/>
              <w:rPr>
                <w:rFonts w:ascii="Times New Roman" w:hAnsi="Times New Roman" w:cs="Times New Roman" w:eastAsia="Times New Roman" w:hint="default"/>
                <w:sz w:val="18"/>
                <w:szCs w:val="18"/>
              </w:rPr>
            </w:pPr>
            <w:r>
              <w:rPr>
                <w:rFonts w:ascii="Times New Roman"/>
                <w:spacing w:val="-1"/>
                <w:sz w:val="18"/>
              </w:rPr>
              <w:t>52,152,301.34</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100.00</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4,530,651.70</w:t>
            </w:r>
          </w:p>
        </w:tc>
      </w:tr>
    </w:tbl>
    <w:p>
      <w:pPr>
        <w:spacing w:line="240" w:lineRule="auto" w:before="4"/>
        <w:rPr>
          <w:rFonts w:ascii="宋体" w:hAnsi="宋体" w:cs="宋体" w:eastAsia="宋体" w:hint="default"/>
          <w:sz w:val="22"/>
          <w:szCs w:val="22"/>
        </w:rPr>
      </w:pPr>
    </w:p>
    <w:p>
      <w:pPr>
        <w:spacing w:before="35"/>
        <w:ind w:left="384" w:right="3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）应收账款金额前五名单位情况</w:t>
      </w:r>
    </w:p>
    <w:p>
      <w:pPr>
        <w:spacing w:line="240" w:lineRule="auto" w:before="6"/>
        <w:rPr>
          <w:rFonts w:ascii="宋体" w:hAnsi="宋体" w:cs="宋体" w:eastAsia="宋体" w:hint="default"/>
          <w:sz w:val="15"/>
          <w:szCs w:val="15"/>
        </w:rPr>
      </w:pPr>
    </w:p>
    <w:p>
      <w:pPr>
        <w:spacing w:before="35"/>
        <w:ind w:left="0" w:right="35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84" w:type="dxa"/>
        <w:tblLayout w:type="fixed"/>
        <w:tblCellMar>
          <w:top w:w="0" w:type="dxa"/>
          <w:left w:w="0" w:type="dxa"/>
          <w:bottom w:w="0" w:type="dxa"/>
          <w:right w:w="0" w:type="dxa"/>
        </w:tblCellMar>
        <w:tblLook w:val="01E0"/>
      </w:tblPr>
      <w:tblGrid>
        <w:gridCol w:w="2864"/>
        <w:gridCol w:w="1427"/>
        <w:gridCol w:w="1291"/>
        <w:gridCol w:w="1004"/>
        <w:gridCol w:w="2428"/>
      </w:tblGrid>
      <w:tr>
        <w:trPr>
          <w:trHeight w:val="388"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2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386"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中国农业银行河北省分行</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3,160,200.00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9" w:right="0"/>
              <w:jc w:val="center"/>
              <w:rPr>
                <w:rFonts w:ascii="宋体" w:hAnsi="宋体" w:cs="宋体" w:eastAsia="宋体" w:hint="default"/>
                <w:sz w:val="18"/>
                <w:szCs w:val="18"/>
              </w:rPr>
            </w:pPr>
            <w:r>
              <w:rPr>
                <w:rFonts w:ascii="宋体" w:hAnsi="宋体" w:cs="宋体" w:eastAsia="宋体" w:hint="default"/>
                <w:sz w:val="18"/>
                <w:szCs w:val="18"/>
              </w:rPr>
              <w:t>零至三年</w:t>
            </w:r>
          </w:p>
        </w:tc>
        <w:tc>
          <w:tcPr>
            <w:tcW w:w="2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2"/>
              <w:jc w:val="center"/>
              <w:rPr>
                <w:rFonts w:ascii="Times New Roman" w:hAnsi="Times New Roman" w:cs="Times New Roman" w:eastAsia="Times New Roman" w:hint="default"/>
                <w:sz w:val="18"/>
                <w:szCs w:val="18"/>
              </w:rPr>
            </w:pPr>
            <w:r>
              <w:rPr>
                <w:rFonts w:ascii="Times New Roman"/>
                <w:sz w:val="18"/>
              </w:rPr>
              <w:t>4.64</w:t>
            </w:r>
          </w:p>
        </w:tc>
      </w:tr>
      <w:tr>
        <w:trPr>
          <w:trHeight w:val="388"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广东发展银行总行</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3,054,961.00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9"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2"/>
              <w:jc w:val="center"/>
              <w:rPr>
                <w:rFonts w:ascii="Times New Roman" w:hAnsi="Times New Roman" w:cs="Times New Roman" w:eastAsia="Times New Roman" w:hint="default"/>
                <w:sz w:val="18"/>
                <w:szCs w:val="18"/>
              </w:rPr>
            </w:pPr>
            <w:r>
              <w:rPr>
                <w:rFonts w:ascii="Times New Roman"/>
                <w:sz w:val="18"/>
              </w:rPr>
              <w:t>4.49</w:t>
            </w:r>
          </w:p>
        </w:tc>
      </w:tr>
      <w:tr>
        <w:trPr>
          <w:trHeight w:val="388"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中国银行广东省分行</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2,452,320.00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9"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2"/>
              <w:jc w:val="center"/>
              <w:rPr>
                <w:rFonts w:ascii="Times New Roman" w:hAnsi="Times New Roman" w:cs="Times New Roman" w:eastAsia="Times New Roman" w:hint="default"/>
                <w:sz w:val="18"/>
                <w:szCs w:val="18"/>
              </w:rPr>
            </w:pPr>
            <w:r>
              <w:rPr>
                <w:rFonts w:ascii="Times New Roman"/>
                <w:sz w:val="18"/>
              </w:rPr>
              <w:t>3.60</w:t>
            </w:r>
          </w:p>
        </w:tc>
      </w:tr>
      <w:tr>
        <w:trPr>
          <w:trHeight w:val="388"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中国农业银行广东省分行</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2,390,521.00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9"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2"/>
              <w:jc w:val="center"/>
              <w:rPr>
                <w:rFonts w:ascii="Times New Roman" w:hAnsi="Times New Roman" w:cs="Times New Roman" w:eastAsia="Times New Roman" w:hint="default"/>
                <w:sz w:val="18"/>
                <w:szCs w:val="18"/>
              </w:rPr>
            </w:pPr>
            <w:r>
              <w:rPr>
                <w:rFonts w:ascii="Times New Roman"/>
                <w:sz w:val="18"/>
              </w:rPr>
              <w:t>3.51</w:t>
            </w:r>
          </w:p>
        </w:tc>
      </w:tr>
      <w:tr>
        <w:trPr>
          <w:trHeight w:val="388"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上海浦东发展银行总行</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2,382,500.00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9" w:right="0"/>
              <w:jc w:val="center"/>
              <w:rPr>
                <w:rFonts w:ascii="宋体" w:hAnsi="宋体" w:cs="宋体" w:eastAsia="宋体" w:hint="default"/>
                <w:sz w:val="18"/>
                <w:szCs w:val="18"/>
              </w:rPr>
            </w:pPr>
            <w:r>
              <w:rPr>
                <w:rFonts w:ascii="宋体" w:hAnsi="宋体" w:cs="宋体" w:eastAsia="宋体" w:hint="default"/>
                <w:sz w:val="18"/>
                <w:szCs w:val="18"/>
              </w:rPr>
              <w:t>一至三年</w:t>
            </w:r>
          </w:p>
        </w:tc>
        <w:tc>
          <w:tcPr>
            <w:tcW w:w="2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2"/>
              <w:jc w:val="center"/>
              <w:rPr>
                <w:rFonts w:ascii="Times New Roman" w:hAnsi="Times New Roman" w:cs="Times New Roman" w:eastAsia="Times New Roman" w:hint="default"/>
                <w:sz w:val="18"/>
                <w:szCs w:val="18"/>
              </w:rPr>
            </w:pPr>
            <w:r>
              <w:rPr>
                <w:rFonts w:ascii="Times New Roman"/>
                <w:sz w:val="18"/>
              </w:rPr>
              <w:t>3.50</w:t>
            </w:r>
          </w:p>
        </w:tc>
      </w:tr>
      <w:tr>
        <w:trPr>
          <w:trHeight w:val="388"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Times New Roman" w:hAnsi="Times New Roman" w:cs="Times New Roman" w:eastAsia="Times New Roman" w:hint="default"/>
                <w:sz w:val="18"/>
                <w:szCs w:val="18"/>
              </w:rPr>
            </w:pPr>
            <w:r>
              <w:rPr>
                <w:rFonts w:ascii="Times New Roman"/>
                <w:sz w:val="18"/>
              </w:rPr>
              <w:t>--</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13,440,502.00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18"/>
                <w:szCs w:val="18"/>
              </w:rPr>
            </w:pPr>
            <w:r>
              <w:rPr>
                <w:rFonts w:ascii="Times New Roman"/>
                <w:sz w:val="18"/>
              </w:rPr>
              <w:t>--</w:t>
            </w:r>
          </w:p>
        </w:tc>
        <w:tc>
          <w:tcPr>
            <w:tcW w:w="2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4"/>
              <w:jc w:val="center"/>
              <w:rPr>
                <w:rFonts w:ascii="Times New Roman" w:hAnsi="Times New Roman" w:cs="Times New Roman" w:eastAsia="Times New Roman" w:hint="default"/>
                <w:sz w:val="18"/>
                <w:szCs w:val="18"/>
              </w:rPr>
            </w:pPr>
            <w:r>
              <w:rPr>
                <w:rFonts w:ascii="Times New Roman"/>
                <w:sz w:val="18"/>
              </w:rPr>
              <w:t>19.74</w:t>
            </w:r>
          </w:p>
        </w:tc>
      </w:tr>
    </w:tbl>
    <w:p>
      <w:pPr>
        <w:spacing w:line="240" w:lineRule="auto" w:before="4"/>
        <w:rPr>
          <w:rFonts w:ascii="宋体" w:hAnsi="宋体" w:cs="宋体" w:eastAsia="宋体" w:hint="default"/>
          <w:sz w:val="22"/>
          <w:szCs w:val="22"/>
        </w:rPr>
      </w:pPr>
    </w:p>
    <w:p>
      <w:pPr>
        <w:spacing w:before="35"/>
        <w:ind w:left="384" w:right="3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）本报告期应收账款中无持有公司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w:t>
      </w:r>
    </w:p>
    <w:p>
      <w:pPr>
        <w:spacing w:line="240" w:lineRule="auto" w:before="3"/>
        <w:rPr>
          <w:rFonts w:ascii="宋体" w:hAnsi="宋体" w:cs="宋体" w:eastAsia="宋体" w:hint="default"/>
          <w:sz w:val="18"/>
          <w:szCs w:val="18"/>
        </w:rPr>
      </w:pPr>
    </w:p>
    <w:p>
      <w:pPr>
        <w:spacing w:before="0"/>
        <w:ind w:left="384" w:right="3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384" w:right="3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）其他应收款按种类披露：</w:t>
      </w:r>
    </w:p>
    <w:p>
      <w:pPr>
        <w:spacing w:line="240" w:lineRule="auto" w:before="2"/>
        <w:rPr>
          <w:rFonts w:ascii="宋体" w:hAnsi="宋体" w:cs="宋体" w:eastAsia="宋体" w:hint="default"/>
          <w:sz w:val="18"/>
          <w:szCs w:val="18"/>
        </w:rPr>
      </w:pPr>
    </w:p>
    <w:p>
      <w:pPr>
        <w:spacing w:before="0"/>
        <w:ind w:left="0" w:right="35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166"/>
        <w:gridCol w:w="1162"/>
        <w:gridCol w:w="647"/>
        <w:gridCol w:w="1027"/>
        <w:gridCol w:w="658"/>
        <w:gridCol w:w="1162"/>
        <w:gridCol w:w="642"/>
        <w:gridCol w:w="1027"/>
        <w:gridCol w:w="654"/>
      </w:tblGrid>
      <w:tr>
        <w:trPr>
          <w:trHeight w:val="386" w:hRule="exact"/>
        </w:trPr>
        <w:tc>
          <w:tcPr>
            <w:tcW w:w="216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4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8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88" w:hRule="exact"/>
        </w:trPr>
        <w:tc>
          <w:tcPr>
            <w:tcW w:w="2166" w:type="dxa"/>
            <w:vMerge/>
            <w:tcBorders>
              <w:left w:val="nil" w:sz="6" w:space="0" w:color="auto"/>
              <w:right w:val="single" w:sz="4" w:space="0" w:color="000000"/>
            </w:tcBorders>
          </w:tcPr>
          <w:p>
            <w:pPr/>
          </w:p>
        </w:tc>
        <w:tc>
          <w:tcPr>
            <w:tcW w:w="18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7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3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47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06" w:hRule="exact"/>
        </w:trPr>
        <w:tc>
          <w:tcPr>
            <w:tcW w:w="2166" w:type="dxa"/>
            <w:vMerge/>
            <w:tcBorders>
              <w:left w:val="nil" w:sz="6" w:space="0" w:color="auto"/>
              <w:right w:val="single" w:sz="4" w:space="0" w:color="000000"/>
            </w:tcBorders>
          </w:tcPr>
          <w:p>
            <w:pPr/>
          </w:p>
        </w:tc>
        <w:tc>
          <w:tcPr>
            <w:tcW w:w="11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1"/>
              <w:ind w:left="46" w:right="0"/>
              <w:jc w:val="center"/>
              <w:rPr>
                <w:rFonts w:ascii="宋体" w:hAnsi="宋体" w:cs="宋体" w:eastAsia="宋体" w:hint="default"/>
                <w:sz w:val="18"/>
                <w:szCs w:val="18"/>
              </w:rPr>
            </w:pPr>
            <w:r>
              <w:rPr>
                <w:rFonts w:ascii="宋体" w:hAnsi="宋体" w:cs="宋体" w:eastAsia="宋体" w:hint="default"/>
                <w:spacing w:val="-24"/>
                <w:sz w:val="18"/>
                <w:szCs w:val="18"/>
              </w:rPr>
              <w:t>比例</w:t>
            </w:r>
          </w:p>
        </w:tc>
        <w:tc>
          <w:tcPr>
            <w:tcW w:w="10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1"/>
              <w:ind w:left="32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1"/>
              <w:ind w:left="48" w:right="0"/>
              <w:jc w:val="center"/>
              <w:rPr>
                <w:rFonts w:ascii="宋体" w:hAnsi="宋体" w:cs="宋体" w:eastAsia="宋体" w:hint="default"/>
                <w:sz w:val="18"/>
                <w:szCs w:val="18"/>
              </w:rPr>
            </w:pPr>
            <w:r>
              <w:rPr>
                <w:rFonts w:ascii="宋体" w:hAnsi="宋体" w:cs="宋体" w:eastAsia="宋体" w:hint="default"/>
                <w:spacing w:val="-24"/>
                <w:sz w:val="18"/>
                <w:szCs w:val="18"/>
              </w:rPr>
              <w:t>比例</w:t>
            </w:r>
          </w:p>
        </w:tc>
        <w:tc>
          <w:tcPr>
            <w:tcW w:w="11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1"/>
              <w:ind w:left="183" w:right="0"/>
              <w:jc w:val="left"/>
              <w:rPr>
                <w:rFonts w:ascii="宋体" w:hAnsi="宋体" w:cs="宋体" w:eastAsia="宋体" w:hint="default"/>
                <w:sz w:val="18"/>
                <w:szCs w:val="18"/>
              </w:rPr>
            </w:pPr>
            <w:r>
              <w:rPr>
                <w:rFonts w:ascii="宋体" w:hAnsi="宋体" w:cs="宋体" w:eastAsia="宋体" w:hint="default"/>
                <w:spacing w:val="-24"/>
                <w:sz w:val="18"/>
                <w:szCs w:val="18"/>
              </w:rPr>
              <w:t>比例</w:t>
            </w:r>
          </w:p>
        </w:tc>
        <w:tc>
          <w:tcPr>
            <w:tcW w:w="10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1"/>
              <w:ind w:left="32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54" w:type="dxa"/>
            <w:tcBorders>
              <w:top w:val="single" w:sz="4" w:space="0" w:color="000000"/>
              <w:left w:val="single" w:sz="4" w:space="0" w:color="000000"/>
              <w:bottom w:val="nil" w:sz="6" w:space="0" w:color="auto"/>
              <w:right w:val="nil" w:sz="6" w:space="0" w:color="auto"/>
            </w:tcBorders>
          </w:tcPr>
          <w:p>
            <w:pPr>
              <w:pStyle w:val="TableParagraph"/>
              <w:spacing w:line="240" w:lineRule="auto" w:before="41"/>
              <w:ind w:left="189" w:right="0"/>
              <w:jc w:val="left"/>
              <w:rPr>
                <w:rFonts w:ascii="宋体" w:hAnsi="宋体" w:cs="宋体" w:eastAsia="宋体" w:hint="default"/>
                <w:sz w:val="18"/>
                <w:szCs w:val="18"/>
              </w:rPr>
            </w:pPr>
            <w:r>
              <w:rPr>
                <w:rFonts w:ascii="宋体" w:hAnsi="宋体" w:cs="宋体" w:eastAsia="宋体" w:hint="default"/>
                <w:spacing w:val="-24"/>
                <w:sz w:val="18"/>
                <w:szCs w:val="18"/>
              </w:rPr>
              <w:t>比例</w:t>
            </w:r>
          </w:p>
        </w:tc>
      </w:tr>
      <w:tr>
        <w:trPr>
          <w:trHeight w:val="290" w:hRule="exact"/>
        </w:trPr>
        <w:tc>
          <w:tcPr>
            <w:tcW w:w="2166" w:type="dxa"/>
            <w:vMerge/>
            <w:tcBorders>
              <w:left w:val="nil" w:sz="6" w:space="0" w:color="auto"/>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64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24"/>
                <w:sz w:val="18"/>
              </w:rPr>
              <w:t>(%)</w:t>
            </w:r>
            <w:r>
              <w:rPr>
                <w:rFonts w:ascii="Times New Roman"/>
                <w:sz w:val="18"/>
              </w:rPr>
            </w:r>
          </w:p>
        </w:tc>
        <w:tc>
          <w:tcPr>
            <w:tcW w:w="1027" w:type="dxa"/>
            <w:tcBorders>
              <w:top w:val="nil" w:sz="6" w:space="0" w:color="auto"/>
              <w:left w:val="single" w:sz="4" w:space="0" w:color="000000"/>
              <w:bottom w:val="single" w:sz="4" w:space="0" w:color="000000"/>
              <w:right w:val="single" w:sz="4" w:space="0" w:color="000000"/>
            </w:tcBorders>
          </w:tcPr>
          <w:p>
            <w:pPr/>
          </w:p>
        </w:tc>
        <w:tc>
          <w:tcPr>
            <w:tcW w:w="65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pacing w:val="-24"/>
                <w:sz w:val="18"/>
              </w:rPr>
              <w:t>(%)</w:t>
            </w:r>
            <w:r>
              <w:rPr>
                <w:rFonts w:ascii="Times New Roman"/>
                <w:sz w:val="18"/>
              </w:rPr>
            </w:r>
          </w:p>
        </w:tc>
        <w:tc>
          <w:tcPr>
            <w:tcW w:w="1162" w:type="dxa"/>
            <w:tcBorders>
              <w:top w:val="nil" w:sz="6" w:space="0" w:color="auto"/>
              <w:left w:val="single" w:sz="4" w:space="0" w:color="000000"/>
              <w:bottom w:val="single" w:sz="4" w:space="0" w:color="000000"/>
              <w:right w:val="single" w:sz="4" w:space="0" w:color="000000"/>
            </w:tcBorders>
          </w:tcPr>
          <w:p>
            <w:pPr/>
          </w:p>
        </w:tc>
        <w:tc>
          <w:tcPr>
            <w:tcW w:w="64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pacing w:val="-24"/>
                <w:sz w:val="18"/>
              </w:rPr>
              <w:t>(%)</w:t>
            </w:r>
            <w:r>
              <w:rPr>
                <w:rFonts w:ascii="Times New Roman"/>
                <w:sz w:val="18"/>
              </w:rPr>
            </w:r>
          </w:p>
        </w:tc>
        <w:tc>
          <w:tcPr>
            <w:tcW w:w="1027" w:type="dxa"/>
            <w:tcBorders>
              <w:top w:val="nil" w:sz="6" w:space="0" w:color="auto"/>
              <w:left w:val="single" w:sz="4" w:space="0" w:color="000000"/>
              <w:bottom w:val="single" w:sz="4" w:space="0" w:color="000000"/>
              <w:right w:val="single" w:sz="4" w:space="0" w:color="000000"/>
            </w:tcBorders>
          </w:tcPr>
          <w:p>
            <w:pPr/>
          </w:p>
        </w:tc>
        <w:tc>
          <w:tcPr>
            <w:tcW w:w="654" w:type="dxa"/>
            <w:tcBorders>
              <w:top w:val="nil" w:sz="6" w:space="0" w:color="auto"/>
              <w:left w:val="single" w:sz="4" w:space="0" w:color="000000"/>
              <w:bottom w:val="single" w:sz="4" w:space="0" w:color="000000"/>
              <w:right w:val="nil" w:sz="6" w:space="0" w:color="auto"/>
            </w:tcBorders>
          </w:tcPr>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pacing w:val="-24"/>
                <w:sz w:val="18"/>
              </w:rPr>
              <w:t>(%)</w:t>
            </w:r>
            <w:r>
              <w:rPr>
                <w:rFonts w:ascii="Times New Roman"/>
                <w:sz w:val="18"/>
              </w:rPr>
            </w:r>
          </w:p>
        </w:tc>
      </w:tr>
      <w:tr>
        <w:trPr>
          <w:trHeight w:val="309" w:hRule="exact"/>
        </w:trPr>
        <w:tc>
          <w:tcPr>
            <w:tcW w:w="2166" w:type="dxa"/>
            <w:tcBorders>
              <w:top w:val="single" w:sz="4" w:space="0" w:color="000000"/>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pacing w:val="14"/>
                <w:sz w:val="18"/>
                <w:szCs w:val="18"/>
              </w:rPr>
              <w:t>单项金额重大并单项计</w:t>
            </w:r>
            <w:r>
              <w:rPr>
                <w:rFonts w:ascii="宋体" w:hAnsi="宋体" w:cs="宋体" w:eastAsia="宋体" w:hint="default"/>
                <w:sz w:val="18"/>
                <w:szCs w:val="18"/>
              </w:rPr>
            </w:r>
          </w:p>
        </w:tc>
        <w:tc>
          <w:tcPr>
            <w:tcW w:w="1162" w:type="dxa"/>
            <w:vMerge w:val="restart"/>
            <w:tcBorders>
              <w:top w:val="single" w:sz="4" w:space="0" w:color="000000"/>
              <w:left w:val="single" w:sz="4" w:space="0" w:color="000000"/>
              <w:right w:val="single" w:sz="4" w:space="0" w:color="000000"/>
            </w:tcBorders>
          </w:tcPr>
          <w:p>
            <w:pPr/>
          </w:p>
        </w:tc>
        <w:tc>
          <w:tcPr>
            <w:tcW w:w="647" w:type="dxa"/>
            <w:vMerge w:val="restart"/>
            <w:tcBorders>
              <w:top w:val="single" w:sz="4" w:space="0" w:color="000000"/>
              <w:left w:val="single" w:sz="4" w:space="0" w:color="000000"/>
              <w:right w:val="single" w:sz="4" w:space="0" w:color="000000"/>
            </w:tcBorders>
          </w:tcPr>
          <w:p>
            <w:pPr/>
          </w:p>
        </w:tc>
        <w:tc>
          <w:tcPr>
            <w:tcW w:w="1027"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c>
          <w:tcPr>
            <w:tcW w:w="1162" w:type="dxa"/>
            <w:vMerge w:val="restart"/>
            <w:tcBorders>
              <w:top w:val="single" w:sz="4" w:space="0" w:color="000000"/>
              <w:left w:val="single" w:sz="4" w:space="0" w:color="000000"/>
              <w:right w:val="single" w:sz="4" w:space="0" w:color="000000"/>
            </w:tcBorders>
          </w:tcPr>
          <w:p>
            <w:pPr/>
          </w:p>
        </w:tc>
        <w:tc>
          <w:tcPr>
            <w:tcW w:w="642" w:type="dxa"/>
            <w:vMerge w:val="restart"/>
            <w:tcBorders>
              <w:top w:val="single" w:sz="4" w:space="0" w:color="000000"/>
              <w:left w:val="single" w:sz="4" w:space="0" w:color="000000"/>
              <w:right w:val="single" w:sz="4" w:space="0" w:color="000000"/>
            </w:tcBorders>
          </w:tcPr>
          <w:p>
            <w:pPr/>
          </w:p>
        </w:tc>
        <w:tc>
          <w:tcPr>
            <w:tcW w:w="1027" w:type="dxa"/>
            <w:vMerge w:val="restart"/>
            <w:tcBorders>
              <w:top w:val="single" w:sz="4" w:space="0" w:color="000000"/>
              <w:left w:val="single" w:sz="4" w:space="0" w:color="000000"/>
              <w:right w:val="single" w:sz="4" w:space="0" w:color="000000"/>
            </w:tcBorders>
          </w:tcPr>
          <w:p>
            <w:pPr/>
          </w:p>
        </w:tc>
        <w:tc>
          <w:tcPr>
            <w:tcW w:w="654" w:type="dxa"/>
            <w:vMerge w:val="restart"/>
            <w:tcBorders>
              <w:top w:val="single" w:sz="4" w:space="0" w:color="000000"/>
              <w:left w:val="single" w:sz="4" w:space="0" w:color="000000"/>
              <w:right w:val="nil" w:sz="6" w:space="0" w:color="auto"/>
            </w:tcBorders>
          </w:tcPr>
          <w:p>
            <w:pPr/>
          </w:p>
        </w:tc>
      </w:tr>
      <w:tr>
        <w:trPr>
          <w:trHeight w:val="233" w:hRule="exact"/>
        </w:trPr>
        <w:tc>
          <w:tcPr>
            <w:tcW w:w="2166"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提坏账准备的其他应收</w:t>
            </w:r>
            <w:r>
              <w:rPr>
                <w:rFonts w:ascii="宋体" w:hAnsi="宋体" w:cs="宋体" w:eastAsia="宋体" w:hint="default"/>
                <w:sz w:val="18"/>
                <w:szCs w:val="18"/>
              </w:rPr>
            </w:r>
          </w:p>
        </w:tc>
        <w:tc>
          <w:tcPr>
            <w:tcW w:w="1162" w:type="dxa"/>
            <w:vMerge/>
            <w:tcBorders>
              <w:left w:val="single" w:sz="4" w:space="0" w:color="000000"/>
              <w:right w:val="single" w:sz="4" w:space="0" w:color="000000"/>
            </w:tcBorders>
          </w:tcPr>
          <w:p>
            <w:pPr/>
          </w:p>
        </w:tc>
        <w:tc>
          <w:tcPr>
            <w:tcW w:w="647" w:type="dxa"/>
            <w:vMerge/>
            <w:tcBorders>
              <w:left w:val="single" w:sz="4" w:space="0" w:color="000000"/>
              <w:right w:val="single" w:sz="4" w:space="0" w:color="000000"/>
            </w:tcBorders>
          </w:tcPr>
          <w:p>
            <w:pPr/>
          </w:p>
        </w:tc>
        <w:tc>
          <w:tcPr>
            <w:tcW w:w="1027"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642" w:type="dxa"/>
            <w:vMerge/>
            <w:tcBorders>
              <w:left w:val="single" w:sz="4" w:space="0" w:color="000000"/>
              <w:right w:val="single" w:sz="4" w:space="0" w:color="000000"/>
            </w:tcBorders>
          </w:tcPr>
          <w:p>
            <w:pPr/>
          </w:p>
        </w:tc>
        <w:tc>
          <w:tcPr>
            <w:tcW w:w="1027" w:type="dxa"/>
            <w:vMerge/>
            <w:tcBorders>
              <w:left w:val="single" w:sz="4" w:space="0" w:color="000000"/>
              <w:right w:val="single" w:sz="4" w:space="0" w:color="000000"/>
            </w:tcBorders>
          </w:tcPr>
          <w:p>
            <w:pPr/>
          </w:p>
        </w:tc>
        <w:tc>
          <w:tcPr>
            <w:tcW w:w="654" w:type="dxa"/>
            <w:vMerge/>
            <w:tcBorders>
              <w:left w:val="single" w:sz="4" w:space="0" w:color="000000"/>
              <w:right w:val="nil" w:sz="6" w:space="0" w:color="auto"/>
            </w:tcBorders>
          </w:tcPr>
          <w:p>
            <w:pPr/>
          </w:p>
        </w:tc>
      </w:tr>
      <w:tr>
        <w:trPr>
          <w:trHeight w:val="312" w:hRule="exact"/>
        </w:trPr>
        <w:tc>
          <w:tcPr>
            <w:tcW w:w="2166" w:type="dxa"/>
            <w:tcBorders>
              <w:top w:val="nil" w:sz="6" w:space="0" w:color="auto"/>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162" w:type="dxa"/>
            <w:vMerge/>
            <w:tcBorders>
              <w:left w:val="single" w:sz="4" w:space="0" w:color="000000"/>
              <w:bottom w:val="single" w:sz="4" w:space="0" w:color="000000"/>
              <w:right w:val="single" w:sz="4" w:space="0" w:color="000000"/>
            </w:tcBorders>
          </w:tcPr>
          <w:p>
            <w:pPr/>
          </w:p>
        </w:tc>
        <w:tc>
          <w:tcPr>
            <w:tcW w:w="647" w:type="dxa"/>
            <w:vMerge/>
            <w:tcBorders>
              <w:left w:val="single" w:sz="4" w:space="0" w:color="000000"/>
              <w:bottom w:val="single" w:sz="4" w:space="0" w:color="000000"/>
              <w:right w:val="single" w:sz="4" w:space="0" w:color="000000"/>
            </w:tcBorders>
          </w:tcPr>
          <w:p>
            <w:pPr/>
          </w:p>
        </w:tc>
        <w:tc>
          <w:tcPr>
            <w:tcW w:w="1027"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642" w:type="dxa"/>
            <w:vMerge/>
            <w:tcBorders>
              <w:left w:val="single" w:sz="4" w:space="0" w:color="000000"/>
              <w:bottom w:val="single" w:sz="4" w:space="0" w:color="000000"/>
              <w:right w:val="single" w:sz="4" w:space="0" w:color="000000"/>
            </w:tcBorders>
          </w:tcPr>
          <w:p>
            <w:pPr/>
          </w:p>
        </w:tc>
        <w:tc>
          <w:tcPr>
            <w:tcW w:w="1027"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nil" w:sz="6" w:space="0" w:color="auto"/>
            </w:tcBorders>
          </w:tcPr>
          <w:p>
            <w:pPr/>
          </w:p>
        </w:tc>
      </w:tr>
    </w:tbl>
    <w:p>
      <w:pPr>
        <w:spacing w:after="0"/>
        <w:sectPr>
          <w:pgSz w:w="11910" w:h="16840"/>
          <w:pgMar w:header="877" w:footer="982" w:top="1100" w:bottom="1180" w:left="1260" w:right="1260"/>
        </w:sectPr>
      </w:pPr>
    </w:p>
    <w:p>
      <w:pPr>
        <w:spacing w:line="240" w:lineRule="auto" w:before="6"/>
        <w:rPr>
          <w:rFonts w:ascii="宋体" w:hAnsi="宋体" w:cs="宋体" w:eastAsia="宋体" w:hint="default"/>
          <w:sz w:val="24"/>
          <w:szCs w:val="24"/>
        </w:rPr>
      </w:pPr>
    </w:p>
    <w:p>
      <w:pPr>
        <w:spacing w:line="20" w:lineRule="exact"/>
        <w:ind w:left="123" w:right="0" w:firstLine="0"/>
        <w:rPr>
          <w:rFonts w:ascii="宋体" w:hAnsi="宋体" w:cs="宋体" w:eastAsia="宋体" w:hint="default"/>
          <w:sz w:val="2"/>
          <w:szCs w:val="2"/>
        </w:rPr>
      </w:pPr>
      <w:r>
        <w:rPr>
          <w:rFonts w:ascii="宋体" w:hAnsi="宋体" w:cs="宋体" w:eastAsia="宋体" w:hint="default"/>
          <w:sz w:val="2"/>
          <w:szCs w:val="2"/>
        </w:rPr>
        <w:pict>
          <v:group style="width:456.6pt;height:.5pt;mso-position-horizontal-relative:char;mso-position-vertical-relative:line" coordorigin="0,0" coordsize="9132,10">
            <v:group style="position:absolute;left:5;top:5;width:9123;height:2" coordorigin="5,5" coordsize="9123,2">
              <v:shape style="position:absolute;left:5;top:5;width:9123;height:2" coordorigin="5,5" coordsize="9123,0" path="m5,5l9127,5e" filled="false" stroked="true" strokeweight=".48004pt" strokecolor="#000000">
                <v:path arrowok="t"/>
              </v:shape>
            </v:group>
          </v:group>
        </w:pict>
      </w:r>
      <w:r>
        <w:rPr>
          <w:rFonts w:ascii="宋体" w:hAnsi="宋体" w:cs="宋体" w:eastAsia="宋体" w:hint="default"/>
          <w:sz w:val="2"/>
          <w:szCs w:val="2"/>
        </w:rPr>
      </w:r>
    </w:p>
    <w:p>
      <w:pPr>
        <w:spacing w:before="31"/>
        <w:ind w:left="236" w:right="370" w:firstLine="0"/>
        <w:jc w:val="left"/>
        <w:rPr>
          <w:rFonts w:ascii="宋体" w:hAnsi="宋体" w:cs="宋体" w:eastAsia="宋体" w:hint="default"/>
          <w:sz w:val="18"/>
          <w:szCs w:val="18"/>
        </w:rPr>
      </w:pPr>
      <w:r>
        <w:rPr>
          <w:rFonts w:ascii="宋体" w:hAnsi="宋体" w:cs="宋体" w:eastAsia="宋体" w:hint="default"/>
          <w:spacing w:val="-8"/>
          <w:sz w:val="18"/>
          <w:szCs w:val="18"/>
        </w:rPr>
        <w:t>按组合计提坏账准备的其他应收款</w:t>
      </w:r>
    </w:p>
    <w:p>
      <w:pPr>
        <w:spacing w:line="240" w:lineRule="auto" w:before="9"/>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166"/>
        <w:gridCol w:w="1162"/>
        <w:gridCol w:w="647"/>
        <w:gridCol w:w="1027"/>
        <w:gridCol w:w="658"/>
        <w:gridCol w:w="1162"/>
        <w:gridCol w:w="642"/>
        <w:gridCol w:w="1027"/>
        <w:gridCol w:w="654"/>
      </w:tblGrid>
      <w:tr>
        <w:trPr>
          <w:trHeight w:val="568"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按款项账龄的组合</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4,604,425.16</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7"/>
              <w:ind w:right="101"/>
              <w:jc w:val="right"/>
              <w:rPr>
                <w:rFonts w:ascii="Times New Roman" w:hAnsi="Times New Roman" w:cs="Times New Roman" w:eastAsia="Times New Roman" w:hint="default"/>
                <w:sz w:val="18"/>
                <w:szCs w:val="18"/>
              </w:rPr>
            </w:pPr>
            <w:r>
              <w:rPr>
                <w:rFonts w:ascii="Times New Roman"/>
                <w:sz w:val="18"/>
              </w:rPr>
              <w:t>100.0</w:t>
            </w:r>
          </w:p>
          <w:p>
            <w:pPr>
              <w:pStyle w:val="TableParagraph"/>
              <w:spacing w:line="207" w:lineRule="exact"/>
              <w:ind w:right="102"/>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534,563.61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11.61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5,124,820.80</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7"/>
              <w:ind w:right="99"/>
              <w:jc w:val="right"/>
              <w:rPr>
                <w:rFonts w:ascii="Times New Roman" w:hAnsi="Times New Roman" w:cs="Times New Roman" w:eastAsia="Times New Roman" w:hint="default"/>
                <w:sz w:val="18"/>
                <w:szCs w:val="18"/>
              </w:rPr>
            </w:pPr>
            <w:r>
              <w:rPr>
                <w:rFonts w:ascii="Times New Roman"/>
                <w:sz w:val="18"/>
              </w:rPr>
              <w:t>100.0</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524,610.52</w:t>
            </w:r>
          </w:p>
        </w:tc>
        <w:tc>
          <w:tcPr>
            <w:tcW w:w="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10.24</w:t>
            </w:r>
          </w:p>
        </w:tc>
      </w:tr>
      <w:tr>
        <w:trPr>
          <w:trHeight w:val="568"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4,604,425.16</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534,563.61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11.61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5,124,820.80</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524,610.52</w:t>
            </w:r>
          </w:p>
        </w:tc>
        <w:tc>
          <w:tcPr>
            <w:tcW w:w="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10.24</w:t>
            </w:r>
          </w:p>
        </w:tc>
      </w:tr>
      <w:tr>
        <w:trPr>
          <w:trHeight w:val="357" w:hRule="exact"/>
        </w:trPr>
        <w:tc>
          <w:tcPr>
            <w:tcW w:w="2166" w:type="dxa"/>
            <w:tcBorders>
              <w:top w:val="single" w:sz="4" w:space="0" w:color="000000"/>
              <w:left w:val="nil" w:sz="6" w:space="0" w:color="auto"/>
              <w:bottom w:val="nil" w:sz="6" w:space="0" w:color="auto"/>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pacing w:val="14"/>
                <w:sz w:val="18"/>
                <w:szCs w:val="18"/>
              </w:rPr>
              <w:t>单项金额虽不重大但单</w:t>
            </w:r>
            <w:r>
              <w:rPr>
                <w:rFonts w:ascii="宋体" w:hAnsi="宋体" w:cs="宋体" w:eastAsia="宋体" w:hint="default"/>
                <w:sz w:val="18"/>
                <w:szCs w:val="18"/>
              </w:rPr>
            </w:r>
          </w:p>
        </w:tc>
        <w:tc>
          <w:tcPr>
            <w:tcW w:w="1162" w:type="dxa"/>
            <w:tcBorders>
              <w:top w:val="single" w:sz="4" w:space="0" w:color="000000"/>
              <w:left w:val="single" w:sz="4" w:space="0" w:color="000000"/>
              <w:bottom w:val="nil" w:sz="6" w:space="0" w:color="auto"/>
              <w:right w:val="single" w:sz="4" w:space="0" w:color="000000"/>
            </w:tcBorders>
          </w:tcPr>
          <w:p>
            <w:pPr/>
          </w:p>
        </w:tc>
        <w:tc>
          <w:tcPr>
            <w:tcW w:w="647" w:type="dxa"/>
            <w:tcBorders>
              <w:top w:val="single" w:sz="4" w:space="0" w:color="000000"/>
              <w:left w:val="single" w:sz="4" w:space="0" w:color="000000"/>
              <w:bottom w:val="nil" w:sz="6" w:space="0" w:color="auto"/>
              <w:right w:val="single" w:sz="4" w:space="0" w:color="000000"/>
            </w:tcBorders>
          </w:tcPr>
          <w:p>
            <w:pPr/>
          </w:p>
        </w:tc>
        <w:tc>
          <w:tcPr>
            <w:tcW w:w="1027" w:type="dxa"/>
            <w:tcBorders>
              <w:top w:val="single" w:sz="4" w:space="0" w:color="000000"/>
              <w:left w:val="single" w:sz="4" w:space="0" w:color="000000"/>
              <w:bottom w:val="nil" w:sz="6" w:space="0" w:color="auto"/>
              <w:right w:val="single" w:sz="4" w:space="0" w:color="000000"/>
            </w:tcBorders>
          </w:tcPr>
          <w:p>
            <w:pPr/>
          </w:p>
        </w:tc>
        <w:tc>
          <w:tcPr>
            <w:tcW w:w="658" w:type="dxa"/>
            <w:tcBorders>
              <w:top w:val="single" w:sz="4" w:space="0" w:color="000000"/>
              <w:left w:val="single" w:sz="4" w:space="0" w:color="000000"/>
              <w:bottom w:val="nil" w:sz="6" w:space="0" w:color="auto"/>
              <w:right w:val="single" w:sz="4" w:space="0" w:color="000000"/>
            </w:tcBorders>
          </w:tcPr>
          <w:p>
            <w:pPr/>
          </w:p>
        </w:tc>
        <w:tc>
          <w:tcPr>
            <w:tcW w:w="1162" w:type="dxa"/>
            <w:tcBorders>
              <w:top w:val="single" w:sz="4" w:space="0" w:color="000000"/>
              <w:left w:val="single" w:sz="4" w:space="0" w:color="000000"/>
              <w:bottom w:val="nil" w:sz="6" w:space="0" w:color="auto"/>
              <w:right w:val="single" w:sz="4" w:space="0" w:color="000000"/>
            </w:tcBorders>
          </w:tcPr>
          <w:p>
            <w:pPr/>
          </w:p>
        </w:tc>
        <w:tc>
          <w:tcPr>
            <w:tcW w:w="642" w:type="dxa"/>
            <w:tcBorders>
              <w:top w:val="single" w:sz="4" w:space="0" w:color="000000"/>
              <w:left w:val="single" w:sz="4" w:space="0" w:color="000000"/>
              <w:bottom w:val="nil" w:sz="6" w:space="0" w:color="auto"/>
              <w:right w:val="single" w:sz="4" w:space="0" w:color="000000"/>
            </w:tcBorders>
          </w:tcPr>
          <w:p>
            <w:pPr/>
          </w:p>
        </w:tc>
        <w:tc>
          <w:tcPr>
            <w:tcW w:w="1027" w:type="dxa"/>
            <w:tcBorders>
              <w:top w:val="single" w:sz="4" w:space="0" w:color="000000"/>
              <w:left w:val="single" w:sz="4" w:space="0" w:color="000000"/>
              <w:bottom w:val="nil" w:sz="6" w:space="0" w:color="auto"/>
              <w:right w:val="single" w:sz="4" w:space="0" w:color="000000"/>
            </w:tcBorders>
          </w:tcPr>
          <w:p>
            <w:pPr/>
          </w:p>
        </w:tc>
        <w:tc>
          <w:tcPr>
            <w:tcW w:w="654" w:type="dxa"/>
            <w:tcBorders>
              <w:top w:val="single" w:sz="4" w:space="0" w:color="000000"/>
              <w:left w:val="single" w:sz="4" w:space="0" w:color="000000"/>
              <w:bottom w:val="nil" w:sz="6" w:space="0" w:color="auto"/>
              <w:right w:val="nil" w:sz="6" w:space="0" w:color="auto"/>
            </w:tcBorders>
          </w:tcPr>
          <w:p>
            <w:pPr/>
          </w:p>
        </w:tc>
      </w:tr>
      <w:tr>
        <w:trPr>
          <w:trHeight w:val="222" w:hRule="exact"/>
        </w:trPr>
        <w:tc>
          <w:tcPr>
            <w:tcW w:w="2166" w:type="dxa"/>
            <w:tcBorders>
              <w:top w:val="nil" w:sz="6" w:space="0" w:color="auto"/>
              <w:left w:val="nil" w:sz="6" w:space="0" w:color="auto"/>
              <w:bottom w:val="nil" w:sz="6" w:space="0" w:color="auto"/>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项计提坏账准备的其他</w:t>
            </w:r>
            <w:r>
              <w:rPr>
                <w:rFonts w:ascii="宋体" w:hAnsi="宋体" w:cs="宋体" w:eastAsia="宋体" w:hint="default"/>
                <w:sz w:val="18"/>
                <w:szCs w:val="18"/>
              </w:rPr>
            </w:r>
          </w:p>
        </w:tc>
        <w:tc>
          <w:tcPr>
            <w:tcW w:w="1162" w:type="dxa"/>
            <w:tcBorders>
              <w:top w:val="nil" w:sz="6" w:space="0" w:color="auto"/>
              <w:left w:val="single" w:sz="4" w:space="0" w:color="000000"/>
              <w:bottom w:val="nil" w:sz="6" w:space="0" w:color="auto"/>
              <w:right w:val="single" w:sz="4" w:space="0" w:color="000000"/>
            </w:tcBorders>
          </w:tcPr>
          <w:p>
            <w:pPr/>
          </w:p>
        </w:tc>
        <w:tc>
          <w:tcPr>
            <w:tcW w:w="647" w:type="dxa"/>
            <w:tcBorders>
              <w:top w:val="nil" w:sz="6" w:space="0" w:color="auto"/>
              <w:left w:val="single" w:sz="4" w:space="0" w:color="000000"/>
              <w:bottom w:val="nil" w:sz="6" w:space="0" w:color="auto"/>
              <w:right w:val="single" w:sz="4" w:space="0" w:color="000000"/>
            </w:tcBorders>
          </w:tcPr>
          <w:p>
            <w:pPr/>
          </w:p>
        </w:tc>
        <w:tc>
          <w:tcPr>
            <w:tcW w:w="1027"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642" w:type="dxa"/>
            <w:tcBorders>
              <w:top w:val="nil" w:sz="6" w:space="0" w:color="auto"/>
              <w:left w:val="single" w:sz="4" w:space="0" w:color="000000"/>
              <w:bottom w:val="nil" w:sz="6" w:space="0" w:color="auto"/>
              <w:right w:val="single" w:sz="4" w:space="0" w:color="000000"/>
            </w:tcBorders>
          </w:tcPr>
          <w:p>
            <w:pPr/>
          </w:p>
        </w:tc>
        <w:tc>
          <w:tcPr>
            <w:tcW w:w="1027" w:type="dxa"/>
            <w:tcBorders>
              <w:top w:val="nil" w:sz="6" w:space="0" w:color="auto"/>
              <w:left w:val="single" w:sz="4" w:space="0" w:color="000000"/>
              <w:bottom w:val="nil" w:sz="6" w:space="0" w:color="auto"/>
              <w:right w:val="single" w:sz="4" w:space="0" w:color="000000"/>
            </w:tcBorders>
          </w:tcPr>
          <w:p>
            <w:pPr/>
          </w:p>
        </w:tc>
        <w:tc>
          <w:tcPr>
            <w:tcW w:w="654" w:type="dxa"/>
            <w:tcBorders>
              <w:top w:val="nil" w:sz="6" w:space="0" w:color="auto"/>
              <w:left w:val="single" w:sz="4" w:space="0" w:color="000000"/>
              <w:bottom w:val="nil" w:sz="6" w:space="0" w:color="auto"/>
              <w:right w:val="nil" w:sz="6" w:space="0" w:color="auto"/>
            </w:tcBorders>
          </w:tcPr>
          <w:p>
            <w:pPr/>
          </w:p>
        </w:tc>
      </w:tr>
      <w:tr>
        <w:trPr>
          <w:trHeight w:val="281" w:hRule="exact"/>
        </w:trPr>
        <w:tc>
          <w:tcPr>
            <w:tcW w:w="2166" w:type="dxa"/>
            <w:tcBorders>
              <w:top w:val="nil" w:sz="6" w:space="0" w:color="auto"/>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应收款</w:t>
            </w:r>
          </w:p>
        </w:tc>
        <w:tc>
          <w:tcPr>
            <w:tcW w:w="1162" w:type="dxa"/>
            <w:tcBorders>
              <w:top w:val="nil" w:sz="6" w:space="0" w:color="auto"/>
              <w:left w:val="single" w:sz="4" w:space="0" w:color="000000"/>
              <w:bottom w:val="single" w:sz="4" w:space="0" w:color="000000"/>
              <w:right w:val="single" w:sz="4" w:space="0" w:color="000000"/>
            </w:tcBorders>
          </w:tcPr>
          <w:p>
            <w:pPr>
              <w:pStyle w:val="TableParagraph"/>
              <w:spacing w:line="199" w:lineRule="exact"/>
              <w:ind w:right="37"/>
              <w:jc w:val="right"/>
              <w:rPr>
                <w:rFonts w:ascii="Times New Roman" w:hAnsi="Times New Roman" w:cs="Times New Roman" w:eastAsia="Times New Roman" w:hint="default"/>
                <w:sz w:val="18"/>
                <w:szCs w:val="18"/>
              </w:rPr>
            </w:pPr>
            <w:r>
              <w:rPr>
                <w:rFonts w:ascii="Times New Roman"/>
                <w:sz w:val="18"/>
              </w:rPr>
              <w:t>-</w:t>
            </w:r>
          </w:p>
        </w:tc>
        <w:tc>
          <w:tcPr>
            <w:tcW w:w="647" w:type="dxa"/>
            <w:tcBorders>
              <w:top w:val="nil" w:sz="6" w:space="0" w:color="auto"/>
              <w:left w:val="single" w:sz="4" w:space="0" w:color="000000"/>
              <w:bottom w:val="single" w:sz="4" w:space="0" w:color="000000"/>
              <w:right w:val="single" w:sz="4" w:space="0" w:color="000000"/>
            </w:tcBorders>
          </w:tcPr>
          <w:p>
            <w:pPr>
              <w:pStyle w:val="TableParagraph"/>
              <w:spacing w:line="199" w:lineRule="exact"/>
              <w:ind w:right="38"/>
              <w:jc w:val="right"/>
              <w:rPr>
                <w:rFonts w:ascii="Times New Roman" w:hAnsi="Times New Roman" w:cs="Times New Roman" w:eastAsia="Times New Roman" w:hint="default"/>
                <w:sz w:val="18"/>
                <w:szCs w:val="18"/>
              </w:rPr>
            </w:pPr>
            <w:r>
              <w:rPr>
                <w:rFonts w:ascii="Times New Roman"/>
                <w:sz w:val="18"/>
              </w:rPr>
              <w:t>-</w:t>
            </w:r>
          </w:p>
        </w:tc>
        <w:tc>
          <w:tcPr>
            <w:tcW w:w="1027" w:type="dxa"/>
            <w:tcBorders>
              <w:top w:val="nil" w:sz="6" w:space="0" w:color="auto"/>
              <w:left w:val="single" w:sz="4" w:space="0" w:color="000000"/>
              <w:bottom w:val="single" w:sz="4" w:space="0" w:color="000000"/>
              <w:right w:val="single" w:sz="4" w:space="0" w:color="000000"/>
            </w:tcBorders>
          </w:tcPr>
          <w:p>
            <w:pPr>
              <w:pStyle w:val="TableParagraph"/>
              <w:spacing w:line="199" w:lineRule="exact"/>
              <w:ind w:right="38"/>
              <w:jc w:val="right"/>
              <w:rPr>
                <w:rFonts w:ascii="Times New Roman" w:hAnsi="Times New Roman" w:cs="Times New Roman" w:eastAsia="Times New Roman" w:hint="default"/>
                <w:sz w:val="18"/>
                <w:szCs w:val="18"/>
              </w:rPr>
            </w:pPr>
            <w:r>
              <w:rPr>
                <w:rFonts w:ascii="Times New Roman"/>
                <w:sz w:val="18"/>
              </w:rPr>
              <w:t>-</w:t>
            </w:r>
          </w:p>
        </w:tc>
        <w:tc>
          <w:tcPr>
            <w:tcW w:w="658" w:type="dxa"/>
            <w:tcBorders>
              <w:top w:val="nil" w:sz="6" w:space="0" w:color="auto"/>
              <w:left w:val="single" w:sz="4" w:space="0" w:color="000000"/>
              <w:bottom w:val="single" w:sz="4" w:space="0" w:color="000000"/>
              <w:right w:val="single" w:sz="4" w:space="0" w:color="000000"/>
            </w:tcBorders>
          </w:tcPr>
          <w:p>
            <w:pPr>
              <w:pStyle w:val="TableParagraph"/>
              <w:spacing w:line="199" w:lineRule="exact"/>
              <w:ind w:right="37"/>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nil" w:sz="6" w:space="0" w:color="auto"/>
              <w:left w:val="single" w:sz="4" w:space="0" w:color="000000"/>
              <w:bottom w:val="single" w:sz="4" w:space="0" w:color="000000"/>
              <w:right w:val="single" w:sz="4" w:space="0" w:color="000000"/>
            </w:tcBorders>
          </w:tcPr>
          <w:p>
            <w:pPr>
              <w:pStyle w:val="TableParagraph"/>
              <w:spacing w:line="199" w:lineRule="exact"/>
              <w:ind w:right="37"/>
              <w:jc w:val="right"/>
              <w:rPr>
                <w:rFonts w:ascii="Times New Roman" w:hAnsi="Times New Roman" w:cs="Times New Roman" w:eastAsia="Times New Roman" w:hint="default"/>
                <w:sz w:val="18"/>
                <w:szCs w:val="18"/>
              </w:rPr>
            </w:pPr>
            <w:r>
              <w:rPr>
                <w:rFonts w:ascii="Times New Roman"/>
                <w:sz w:val="18"/>
              </w:rPr>
              <w:t>-</w:t>
            </w:r>
          </w:p>
        </w:tc>
        <w:tc>
          <w:tcPr>
            <w:tcW w:w="642" w:type="dxa"/>
            <w:tcBorders>
              <w:top w:val="nil" w:sz="6" w:space="0" w:color="auto"/>
              <w:left w:val="single" w:sz="4" w:space="0" w:color="000000"/>
              <w:bottom w:val="single" w:sz="4" w:space="0" w:color="000000"/>
              <w:right w:val="single" w:sz="4" w:space="0" w:color="000000"/>
            </w:tcBorders>
          </w:tcPr>
          <w:p>
            <w:pPr>
              <w:pStyle w:val="TableParagraph"/>
              <w:spacing w:line="199" w:lineRule="exact"/>
              <w:ind w:right="38"/>
              <w:jc w:val="right"/>
              <w:rPr>
                <w:rFonts w:ascii="Times New Roman" w:hAnsi="Times New Roman" w:cs="Times New Roman" w:eastAsia="Times New Roman" w:hint="default"/>
                <w:sz w:val="18"/>
                <w:szCs w:val="18"/>
              </w:rPr>
            </w:pPr>
            <w:r>
              <w:rPr>
                <w:rFonts w:ascii="Times New Roman"/>
                <w:sz w:val="18"/>
              </w:rPr>
              <w:t>-</w:t>
            </w:r>
          </w:p>
        </w:tc>
        <w:tc>
          <w:tcPr>
            <w:tcW w:w="1027" w:type="dxa"/>
            <w:tcBorders>
              <w:top w:val="nil" w:sz="6" w:space="0" w:color="auto"/>
              <w:left w:val="single" w:sz="4" w:space="0" w:color="000000"/>
              <w:bottom w:val="single" w:sz="4" w:space="0" w:color="000000"/>
              <w:right w:val="single" w:sz="4" w:space="0" w:color="000000"/>
            </w:tcBorders>
          </w:tcPr>
          <w:p>
            <w:pPr>
              <w:pStyle w:val="TableParagraph"/>
              <w:spacing w:line="199" w:lineRule="exact"/>
              <w:ind w:right="38"/>
              <w:jc w:val="right"/>
              <w:rPr>
                <w:rFonts w:ascii="Times New Roman" w:hAnsi="Times New Roman" w:cs="Times New Roman" w:eastAsia="Times New Roman" w:hint="default"/>
                <w:sz w:val="18"/>
                <w:szCs w:val="18"/>
              </w:rPr>
            </w:pPr>
            <w:r>
              <w:rPr>
                <w:rFonts w:ascii="Times New Roman"/>
                <w:sz w:val="18"/>
              </w:rPr>
              <w:t>-</w:t>
            </w:r>
          </w:p>
        </w:tc>
        <w:tc>
          <w:tcPr>
            <w:tcW w:w="654" w:type="dxa"/>
            <w:tcBorders>
              <w:top w:val="nil" w:sz="6" w:space="0" w:color="auto"/>
              <w:left w:val="single" w:sz="4" w:space="0" w:color="000000"/>
              <w:bottom w:val="single" w:sz="4" w:space="0" w:color="000000"/>
              <w:right w:val="nil" w:sz="6" w:space="0" w:color="auto"/>
            </w:tcBorders>
          </w:tcPr>
          <w:p>
            <w:pPr>
              <w:pStyle w:val="TableParagraph"/>
              <w:spacing w:line="199" w:lineRule="exact"/>
              <w:ind w:right="42"/>
              <w:jc w:val="right"/>
              <w:rPr>
                <w:rFonts w:ascii="Times New Roman" w:hAnsi="Times New Roman" w:cs="Times New Roman" w:eastAsia="Times New Roman" w:hint="default"/>
                <w:sz w:val="18"/>
                <w:szCs w:val="18"/>
              </w:rPr>
            </w:pPr>
            <w:r>
              <w:rPr>
                <w:rFonts w:ascii="Times New Roman"/>
                <w:sz w:val="18"/>
              </w:rPr>
              <w:t>-</w:t>
            </w:r>
          </w:p>
        </w:tc>
      </w:tr>
      <w:tr>
        <w:trPr>
          <w:trHeight w:val="569"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4,604,425.16</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534,563.61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11.61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5,124,820.80</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524,610.52</w:t>
            </w:r>
          </w:p>
        </w:tc>
        <w:tc>
          <w:tcPr>
            <w:tcW w:w="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10.24</w:t>
            </w:r>
          </w:p>
        </w:tc>
      </w:tr>
    </w:tbl>
    <w:p>
      <w:pPr>
        <w:spacing w:line="240" w:lineRule="auto" w:before="1"/>
        <w:rPr>
          <w:rFonts w:ascii="宋体" w:hAnsi="宋体" w:cs="宋体" w:eastAsia="宋体" w:hint="default"/>
          <w:sz w:val="13"/>
          <w:szCs w:val="13"/>
        </w:rPr>
      </w:pPr>
    </w:p>
    <w:p>
      <w:pPr>
        <w:spacing w:line="357" w:lineRule="auto" w:before="35"/>
        <w:ind w:left="384" w:right="378" w:firstLine="420"/>
        <w:jc w:val="both"/>
        <w:rPr>
          <w:rFonts w:ascii="宋体" w:hAnsi="宋体" w:cs="宋体" w:eastAsia="宋体" w:hint="default"/>
          <w:sz w:val="21"/>
          <w:szCs w:val="21"/>
        </w:rPr>
      </w:pPr>
      <w:r>
        <w:rPr>
          <w:rFonts w:ascii="宋体" w:hAnsi="宋体" w:cs="宋体" w:eastAsia="宋体" w:hint="default"/>
          <w:sz w:val="21"/>
          <w:szCs w:val="21"/>
        </w:rPr>
        <w:t>按款项账龄的组合计提坏账准备的其他应收款，是指将未单项计提坏账准备的其他应收款 按账龄划分为若干组合，根据以前年度与之相同或相类似的、具有类似信用风险特征的其他应</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收款组合的实际损失率为基础，结合现时情况确定各项组合计提坏账准备的比例，据此计算应</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计提的坏账准备。</w:t>
      </w:r>
    </w:p>
    <w:p>
      <w:pPr>
        <w:spacing w:before="151"/>
        <w:ind w:left="803" w:right="37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组合中，按账龄分析法计提坏账准备的其他应收款：</w:t>
      </w:r>
    </w:p>
    <w:p>
      <w:pPr>
        <w:spacing w:line="240" w:lineRule="auto" w:before="3"/>
        <w:rPr>
          <w:rFonts w:ascii="宋体" w:hAnsi="宋体" w:cs="宋体" w:eastAsia="宋体" w:hint="default"/>
          <w:sz w:val="19"/>
          <w:szCs w:val="19"/>
        </w:rPr>
      </w:pPr>
    </w:p>
    <w:p>
      <w:pPr>
        <w:spacing w:before="0"/>
        <w:ind w:left="0" w:right="35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254" w:type="dxa"/>
        <w:tblLayout w:type="fixed"/>
        <w:tblCellMar>
          <w:top w:w="0" w:type="dxa"/>
          <w:left w:w="0" w:type="dxa"/>
          <w:bottom w:w="0" w:type="dxa"/>
          <w:right w:w="0" w:type="dxa"/>
        </w:tblCellMar>
        <w:tblLook w:val="01E0"/>
      </w:tblPr>
      <w:tblGrid>
        <w:gridCol w:w="1742"/>
        <w:gridCol w:w="1417"/>
        <w:gridCol w:w="908"/>
        <w:gridCol w:w="1218"/>
        <w:gridCol w:w="1417"/>
        <w:gridCol w:w="966"/>
        <w:gridCol w:w="1217"/>
      </w:tblGrid>
      <w:tr>
        <w:trPr>
          <w:trHeight w:val="392" w:hRule="exact"/>
        </w:trPr>
        <w:tc>
          <w:tcPr>
            <w:tcW w:w="1742"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5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00"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2" w:hRule="exact"/>
        </w:trPr>
        <w:tc>
          <w:tcPr>
            <w:tcW w:w="1742" w:type="dxa"/>
            <w:vMerge/>
            <w:tcBorders>
              <w:left w:val="nil" w:sz="6" w:space="0" w:color="auto"/>
              <w:right w:val="single" w:sz="6" w:space="0" w:color="000000"/>
            </w:tcBorders>
          </w:tcPr>
          <w:p>
            <w:pPr/>
          </w:p>
        </w:tc>
        <w:tc>
          <w:tcPr>
            <w:tcW w:w="23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8"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7" w:type="dxa"/>
            <w:vMerge w:val="restart"/>
            <w:tcBorders>
              <w:top w:val="single" w:sz="6" w:space="0" w:color="000000"/>
              <w:left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92" w:hRule="exact"/>
        </w:trPr>
        <w:tc>
          <w:tcPr>
            <w:tcW w:w="1742" w:type="dxa"/>
            <w:vMerge/>
            <w:tcBorders>
              <w:left w:val="nil" w:sz="6" w:space="0" w:color="auto"/>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30"/>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18" w:type="dxa"/>
            <w:vMerge/>
            <w:tcBorders>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17" w:type="dxa"/>
            <w:vMerge/>
            <w:tcBorders>
              <w:left w:val="single" w:sz="6" w:space="0" w:color="000000"/>
              <w:bottom w:val="single" w:sz="6" w:space="0" w:color="000000"/>
              <w:right w:val="nil" w:sz="6" w:space="0" w:color="auto"/>
            </w:tcBorders>
          </w:tcPr>
          <w:p>
            <w:pPr/>
          </w:p>
        </w:tc>
      </w:tr>
      <w:tr>
        <w:trPr>
          <w:trHeight w:val="392"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3,254,177.40</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z w:val="18"/>
              </w:rPr>
              <w:t>70.68</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162,708.87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4,232,078.94</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z w:val="18"/>
              </w:rPr>
              <w:t>82.58</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pacing w:val="-1"/>
                <w:sz w:val="18"/>
              </w:rPr>
              <w:t>211,603.95</w:t>
            </w:r>
          </w:p>
        </w:tc>
      </w:tr>
      <w:tr>
        <w:trPr>
          <w:trHeight w:val="392"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657,515.90</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14.28</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65,751.59</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7"/>
              <w:jc w:val="right"/>
              <w:rPr>
                <w:rFonts w:ascii="Times New Roman" w:hAnsi="Times New Roman" w:cs="Times New Roman" w:eastAsia="Times New Roman" w:hint="default"/>
                <w:sz w:val="18"/>
                <w:szCs w:val="18"/>
              </w:rPr>
            </w:pPr>
            <w:r>
              <w:rPr>
                <w:rFonts w:ascii="Times New Roman"/>
                <w:sz w:val="18"/>
              </w:rPr>
              <w:t>154,458.03</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3.01</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z w:val="18"/>
              </w:rPr>
              <w:t>15,445.80</w:t>
            </w:r>
          </w:p>
        </w:tc>
      </w:tr>
      <w:tr>
        <w:trPr>
          <w:trHeight w:val="392"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134,209.27</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2.91</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26,841.85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7"/>
              <w:jc w:val="right"/>
              <w:rPr>
                <w:rFonts w:ascii="Times New Roman" w:hAnsi="Times New Roman" w:cs="Times New Roman" w:eastAsia="Times New Roman" w:hint="default"/>
                <w:sz w:val="18"/>
                <w:szCs w:val="18"/>
              </w:rPr>
            </w:pPr>
            <w:r>
              <w:rPr>
                <w:rFonts w:ascii="Times New Roman"/>
                <w:sz w:val="18"/>
              </w:rPr>
              <w:t>238,603.83</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4.66</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z w:val="18"/>
              </w:rPr>
              <w:t>47,720.77</w:t>
            </w:r>
          </w:p>
        </w:tc>
      </w:tr>
      <w:tr>
        <w:trPr>
          <w:trHeight w:val="392"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558,522.59</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12.13</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279,261.30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7"/>
              <w:jc w:val="right"/>
              <w:rPr>
                <w:rFonts w:ascii="Times New Roman" w:hAnsi="Times New Roman" w:cs="Times New Roman" w:eastAsia="Times New Roman" w:hint="default"/>
                <w:sz w:val="18"/>
                <w:szCs w:val="18"/>
              </w:rPr>
            </w:pPr>
            <w:r>
              <w:rPr>
                <w:rFonts w:ascii="Times New Roman"/>
                <w:sz w:val="18"/>
              </w:rPr>
              <w:t>499,680.00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z w:val="18"/>
              </w:rPr>
              <w:t>9.75</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z w:val="18"/>
              </w:rPr>
              <w:t>249,840.00</w:t>
            </w:r>
          </w:p>
        </w:tc>
      </w:tr>
      <w:tr>
        <w:trPr>
          <w:trHeight w:val="394"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4,604,425.16</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z w:val="18"/>
              </w:rPr>
              <w:t>100.00</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534,563.61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5,124,820.80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z w:val="18"/>
              </w:rPr>
              <w:t>100.00</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z w:val="18"/>
              </w:rPr>
              <w:t>524,610.52</w:t>
            </w:r>
          </w:p>
        </w:tc>
      </w:tr>
    </w:tbl>
    <w:p>
      <w:pPr>
        <w:spacing w:line="240" w:lineRule="auto" w:before="4"/>
        <w:rPr>
          <w:rFonts w:ascii="宋体" w:hAnsi="宋体" w:cs="宋体" w:eastAsia="宋体" w:hint="default"/>
          <w:sz w:val="22"/>
          <w:szCs w:val="22"/>
        </w:rPr>
      </w:pPr>
    </w:p>
    <w:p>
      <w:pPr>
        <w:spacing w:before="35"/>
        <w:ind w:left="384" w:right="3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）金额较大的其他应收款的性质或内容：</w:t>
      </w:r>
    </w:p>
    <w:p>
      <w:pPr>
        <w:spacing w:line="240" w:lineRule="auto" w:before="3"/>
        <w:rPr>
          <w:rFonts w:ascii="宋体" w:hAnsi="宋体" w:cs="宋体" w:eastAsia="宋体" w:hint="default"/>
          <w:sz w:val="18"/>
          <w:szCs w:val="18"/>
        </w:rPr>
      </w:pPr>
    </w:p>
    <w:p>
      <w:pPr>
        <w:spacing w:before="0"/>
        <w:ind w:left="804" w:right="37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年其他应收款期末余额主要为各类押金和备用金。</w:t>
      </w:r>
    </w:p>
    <w:p>
      <w:pPr>
        <w:spacing w:line="240" w:lineRule="auto" w:before="2"/>
        <w:rPr>
          <w:rFonts w:ascii="宋体" w:hAnsi="宋体" w:cs="宋体" w:eastAsia="宋体" w:hint="default"/>
          <w:sz w:val="18"/>
          <w:szCs w:val="18"/>
        </w:rPr>
      </w:pPr>
    </w:p>
    <w:p>
      <w:pPr>
        <w:spacing w:before="0"/>
        <w:ind w:left="384" w:right="3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）其他应收款金额前五名单位情况</w:t>
      </w:r>
    </w:p>
    <w:p>
      <w:pPr>
        <w:spacing w:line="240" w:lineRule="auto" w:before="5"/>
        <w:rPr>
          <w:rFonts w:ascii="宋体" w:hAnsi="宋体" w:cs="宋体" w:eastAsia="宋体" w:hint="default"/>
          <w:sz w:val="15"/>
          <w:szCs w:val="15"/>
        </w:rPr>
      </w:pPr>
    </w:p>
    <w:p>
      <w:pPr>
        <w:spacing w:before="35"/>
        <w:ind w:left="0" w:right="35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84" w:type="dxa"/>
        <w:tblLayout w:type="fixed"/>
        <w:tblCellMar>
          <w:top w:w="0" w:type="dxa"/>
          <w:left w:w="0" w:type="dxa"/>
          <w:bottom w:w="0" w:type="dxa"/>
          <w:right w:w="0" w:type="dxa"/>
        </w:tblCellMar>
        <w:tblLook w:val="01E0"/>
      </w:tblPr>
      <w:tblGrid>
        <w:gridCol w:w="3434"/>
        <w:gridCol w:w="1260"/>
        <w:gridCol w:w="1440"/>
        <w:gridCol w:w="1081"/>
        <w:gridCol w:w="1633"/>
      </w:tblGrid>
      <w:tr>
        <w:trPr>
          <w:trHeight w:val="796"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415" w:right="203" w:hanging="210"/>
              <w:jc w:val="left"/>
              <w:rPr>
                <w:rFonts w:ascii="宋体" w:hAnsi="宋体" w:cs="宋体" w:eastAsia="宋体" w:hint="default"/>
                <w:sz w:val="21"/>
                <w:szCs w:val="21"/>
              </w:rPr>
            </w:pPr>
            <w:r>
              <w:rPr>
                <w:rFonts w:ascii="宋体" w:hAnsi="宋体" w:cs="宋体" w:eastAsia="宋体" w:hint="default"/>
                <w:sz w:val="21"/>
                <w:szCs w:val="21"/>
              </w:rPr>
              <w:t>与本公司 关系</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0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年限</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12"/>
              <w:ind w:left="129" w:right="132" w:firstLine="51"/>
              <w:jc w:val="left"/>
              <w:rPr>
                <w:rFonts w:ascii="Times New Roman" w:hAnsi="Times New Roman" w:cs="Times New Roman" w:eastAsia="Times New Roman" w:hint="default"/>
                <w:sz w:val="21"/>
                <w:szCs w:val="21"/>
              </w:rPr>
            </w:pPr>
            <w:r>
              <w:rPr>
                <w:rFonts w:ascii="宋体" w:hAnsi="宋体" w:cs="宋体" w:eastAsia="宋体" w:hint="default"/>
                <w:sz w:val="21"/>
                <w:szCs w:val="21"/>
              </w:rPr>
              <w:t>占其他应收款 总额的比例</w:t>
            </w:r>
            <w:r>
              <w:rPr>
                <w:rFonts w:ascii="Times New Roman" w:hAnsi="Times New Roman" w:cs="Times New Roman" w:eastAsia="Times New Roman" w:hint="default"/>
                <w:sz w:val="21"/>
                <w:szCs w:val="21"/>
              </w:rPr>
              <w:t>(%)</w:t>
            </w:r>
          </w:p>
        </w:tc>
      </w:tr>
      <w:tr>
        <w:trPr>
          <w:trHeight w:val="38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冯苏军</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租赁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5" w:right="0"/>
              <w:jc w:val="left"/>
              <w:rPr>
                <w:rFonts w:ascii="Times New Roman" w:hAnsi="Times New Roman" w:cs="Times New Roman" w:eastAsia="Times New Roman" w:hint="default"/>
                <w:sz w:val="18"/>
                <w:szCs w:val="18"/>
              </w:rPr>
            </w:pPr>
            <w:r>
              <w:rPr>
                <w:rFonts w:ascii="Times New Roman"/>
                <w:sz w:val="18"/>
              </w:rPr>
              <w:t>300,000.00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6.52</w:t>
            </w:r>
          </w:p>
        </w:tc>
      </w:tr>
      <w:tr>
        <w:trPr>
          <w:trHeight w:val="386"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深圳科技工业园有限公司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租赁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5" w:right="0"/>
              <w:jc w:val="left"/>
              <w:rPr>
                <w:rFonts w:ascii="Times New Roman" w:hAnsi="Times New Roman" w:cs="Times New Roman" w:eastAsia="Times New Roman" w:hint="default"/>
                <w:sz w:val="18"/>
                <w:szCs w:val="18"/>
              </w:rPr>
            </w:pPr>
            <w:r>
              <w:rPr>
                <w:rFonts w:ascii="Times New Roman"/>
                <w:sz w:val="18"/>
              </w:rPr>
              <w:t>231,922.00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一至二年</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5.04</w:t>
            </w:r>
          </w:p>
        </w:tc>
      </w:tr>
      <w:tr>
        <w:trPr>
          <w:trHeight w:val="38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昆仑银行股份有限公司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5" w:right="0"/>
              <w:jc w:val="left"/>
              <w:rPr>
                <w:rFonts w:ascii="Times New Roman" w:hAnsi="Times New Roman" w:cs="Times New Roman" w:eastAsia="Times New Roman" w:hint="default"/>
                <w:sz w:val="18"/>
                <w:szCs w:val="18"/>
              </w:rPr>
            </w:pPr>
            <w:r>
              <w:rPr>
                <w:rFonts w:ascii="Times New Roman"/>
                <w:sz w:val="18"/>
              </w:rPr>
              <w:t>200,000.00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4.34</w:t>
            </w:r>
          </w:p>
        </w:tc>
      </w:tr>
      <w:tr>
        <w:trPr>
          <w:trHeight w:val="38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北京豪威大厦有限公司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租赁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5" w:right="0"/>
              <w:jc w:val="left"/>
              <w:rPr>
                <w:rFonts w:ascii="Times New Roman" w:hAnsi="Times New Roman" w:cs="Times New Roman" w:eastAsia="Times New Roman" w:hint="default"/>
                <w:sz w:val="18"/>
                <w:szCs w:val="18"/>
              </w:rPr>
            </w:pPr>
            <w:r>
              <w:rPr>
                <w:rFonts w:ascii="Times New Roman"/>
                <w:sz w:val="18"/>
              </w:rPr>
              <w:t>228,580.76</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一至五年</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4.96</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1260" w:right="1260"/>
        </w:sectPr>
      </w:pPr>
    </w:p>
    <w:p>
      <w:pPr>
        <w:spacing w:line="240" w:lineRule="auto" w:before="6"/>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3434"/>
        <w:gridCol w:w="1260"/>
        <w:gridCol w:w="1440"/>
        <w:gridCol w:w="1081"/>
        <w:gridCol w:w="1633"/>
      </w:tblGrid>
      <w:tr>
        <w:trPr>
          <w:trHeight w:val="79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415" w:right="203" w:hanging="210"/>
              <w:jc w:val="left"/>
              <w:rPr>
                <w:rFonts w:ascii="宋体" w:hAnsi="宋体" w:cs="宋体" w:eastAsia="宋体" w:hint="default"/>
                <w:sz w:val="21"/>
                <w:szCs w:val="21"/>
              </w:rPr>
            </w:pPr>
            <w:r>
              <w:rPr>
                <w:rFonts w:ascii="宋体" w:hAnsi="宋体" w:cs="宋体" w:eastAsia="宋体" w:hint="default"/>
                <w:sz w:val="21"/>
                <w:szCs w:val="21"/>
              </w:rPr>
              <w:t>与本公司 关系</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年限</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12"/>
              <w:ind w:left="129" w:right="132" w:firstLine="51"/>
              <w:jc w:val="left"/>
              <w:rPr>
                <w:rFonts w:ascii="Times New Roman" w:hAnsi="Times New Roman" w:cs="Times New Roman" w:eastAsia="Times New Roman" w:hint="default"/>
                <w:sz w:val="21"/>
                <w:szCs w:val="21"/>
              </w:rPr>
            </w:pPr>
            <w:r>
              <w:rPr>
                <w:rFonts w:ascii="宋体" w:hAnsi="宋体" w:cs="宋体" w:eastAsia="宋体" w:hint="default"/>
                <w:sz w:val="21"/>
                <w:szCs w:val="21"/>
              </w:rPr>
              <w:t>占其他应收款 总额的比例</w:t>
            </w:r>
            <w:r>
              <w:rPr>
                <w:rFonts w:ascii="Times New Roman" w:hAnsi="Times New Roman" w:cs="Times New Roman" w:eastAsia="Times New Roman" w:hint="default"/>
                <w:sz w:val="21"/>
                <w:szCs w:val="21"/>
              </w:rPr>
              <w:t>(%)</w:t>
            </w:r>
          </w:p>
        </w:tc>
      </w:tr>
      <w:tr>
        <w:trPr>
          <w:trHeight w:val="38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廖珮怡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租赁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153,092.00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零至四年</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3.32</w:t>
            </w:r>
          </w:p>
        </w:tc>
      </w:tr>
      <w:tr>
        <w:trPr>
          <w:trHeight w:val="38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1,113,594.76</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4"/>
              <w:jc w:val="center"/>
              <w:rPr>
                <w:rFonts w:ascii="Times New Roman" w:hAnsi="Times New Roman" w:cs="Times New Roman" w:eastAsia="Times New Roman" w:hint="default"/>
                <w:sz w:val="18"/>
                <w:szCs w:val="18"/>
              </w:rPr>
            </w:pPr>
            <w:r>
              <w:rPr>
                <w:rFonts w:ascii="Times New Roman"/>
                <w:sz w:val="18"/>
              </w:rPr>
              <w:t>24.18</w:t>
            </w:r>
          </w:p>
        </w:tc>
      </w:tr>
    </w:tbl>
    <w:p>
      <w:pPr>
        <w:spacing w:line="240" w:lineRule="auto" w:before="5"/>
        <w:rPr>
          <w:rFonts w:ascii="宋体" w:hAnsi="宋体" w:cs="宋体" w:eastAsia="宋体" w:hint="default"/>
          <w:sz w:val="22"/>
          <w:szCs w:val="22"/>
        </w:rPr>
      </w:pPr>
    </w:p>
    <w:p>
      <w:pPr>
        <w:spacing w:before="35"/>
        <w:ind w:left="304" w:right="25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）本报告期其他应收款中无持有公司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w:t>
      </w:r>
    </w:p>
    <w:p>
      <w:pPr>
        <w:spacing w:line="240" w:lineRule="auto" w:before="2"/>
        <w:rPr>
          <w:rFonts w:ascii="宋体" w:hAnsi="宋体" w:cs="宋体" w:eastAsia="宋体" w:hint="default"/>
          <w:sz w:val="18"/>
          <w:szCs w:val="18"/>
        </w:rPr>
      </w:pPr>
    </w:p>
    <w:p>
      <w:pPr>
        <w:spacing w:before="0"/>
        <w:ind w:left="304" w:right="2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304" w:right="25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）预付款项按账龄列示：</w:t>
      </w:r>
    </w:p>
    <w:p>
      <w:pPr>
        <w:spacing w:line="240" w:lineRule="auto" w:before="2"/>
        <w:rPr>
          <w:rFonts w:ascii="宋体" w:hAnsi="宋体" w:cs="宋体" w:eastAsia="宋体" w:hint="default"/>
          <w:sz w:val="18"/>
          <w:szCs w:val="18"/>
        </w:rPr>
      </w:pPr>
    </w:p>
    <w:p>
      <w:pPr>
        <w:spacing w:before="0"/>
        <w:ind w:left="0" w:right="23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284" w:type="dxa"/>
        <w:tblLayout w:type="fixed"/>
        <w:tblCellMar>
          <w:top w:w="0" w:type="dxa"/>
          <w:left w:w="0" w:type="dxa"/>
          <w:bottom w:w="0" w:type="dxa"/>
          <w:right w:w="0" w:type="dxa"/>
        </w:tblCellMar>
        <w:tblLook w:val="01E0"/>
      </w:tblPr>
      <w:tblGrid>
        <w:gridCol w:w="1684"/>
        <w:gridCol w:w="1766"/>
        <w:gridCol w:w="1768"/>
        <w:gridCol w:w="1766"/>
        <w:gridCol w:w="1768"/>
      </w:tblGrid>
      <w:tr>
        <w:trPr>
          <w:trHeight w:val="388" w:hRule="exact"/>
        </w:trPr>
        <w:tc>
          <w:tcPr>
            <w:tcW w:w="1684"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5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3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88" w:hRule="exact"/>
        </w:trPr>
        <w:tc>
          <w:tcPr>
            <w:tcW w:w="1684" w:type="dxa"/>
            <w:vMerge/>
            <w:tcBorders>
              <w:left w:val="nil" w:sz="6" w:space="0" w:color="auto"/>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86"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9"/>
              <w:jc w:val="right"/>
              <w:rPr>
                <w:rFonts w:ascii="Times New Roman" w:hAnsi="Times New Roman" w:cs="Times New Roman" w:eastAsia="Times New Roman" w:hint="default"/>
                <w:sz w:val="18"/>
                <w:szCs w:val="18"/>
              </w:rPr>
            </w:pPr>
            <w:r>
              <w:rPr>
                <w:rFonts w:ascii="Times New Roman"/>
                <w:spacing w:val="-1"/>
                <w:sz w:val="18"/>
              </w:rPr>
              <w:t>4,732,474.00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0"/>
              <w:jc w:val="right"/>
              <w:rPr>
                <w:rFonts w:ascii="Times New Roman" w:hAnsi="Times New Roman" w:cs="Times New Roman" w:eastAsia="Times New Roman" w:hint="default"/>
                <w:sz w:val="18"/>
                <w:szCs w:val="18"/>
              </w:rPr>
            </w:pPr>
            <w:r>
              <w:rPr>
                <w:rFonts w:ascii="Times New Roman"/>
                <w:sz w:val="18"/>
              </w:rPr>
              <w:t>98.29</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z w:val="18"/>
              </w:rPr>
              <w:t>605,900.00</w:t>
            </w:r>
          </w:p>
        </w:tc>
        <w:tc>
          <w:tcPr>
            <w:tcW w:w="17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5"/>
              <w:jc w:val="right"/>
              <w:rPr>
                <w:rFonts w:ascii="Times New Roman" w:hAnsi="Times New Roman" w:cs="Times New Roman" w:eastAsia="Times New Roman" w:hint="default"/>
                <w:sz w:val="18"/>
                <w:szCs w:val="18"/>
              </w:rPr>
            </w:pPr>
            <w:r>
              <w:rPr>
                <w:rFonts w:ascii="Times New Roman"/>
                <w:sz w:val="18"/>
              </w:rPr>
              <w:t>95.57</w:t>
            </w:r>
          </w:p>
        </w:tc>
      </w:tr>
      <w:tr>
        <w:trPr>
          <w:trHeight w:val="388"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9"/>
              <w:jc w:val="right"/>
              <w:rPr>
                <w:rFonts w:ascii="Times New Roman" w:hAnsi="Times New Roman" w:cs="Times New Roman" w:eastAsia="Times New Roman" w:hint="default"/>
                <w:sz w:val="18"/>
                <w:szCs w:val="18"/>
              </w:rPr>
            </w:pPr>
            <w:r>
              <w:rPr>
                <w:rFonts w:ascii="Times New Roman"/>
                <w:sz w:val="18"/>
              </w:rPr>
              <w:t>82,500.00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0"/>
              <w:jc w:val="right"/>
              <w:rPr>
                <w:rFonts w:ascii="Times New Roman" w:hAnsi="Times New Roman" w:cs="Times New Roman" w:eastAsia="Times New Roman" w:hint="default"/>
                <w:sz w:val="18"/>
                <w:szCs w:val="18"/>
              </w:rPr>
            </w:pPr>
            <w:r>
              <w:rPr>
                <w:rFonts w:ascii="Times New Roman"/>
                <w:sz w:val="18"/>
              </w:rPr>
              <w:t>1.71</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9"/>
              <w:jc w:val="right"/>
              <w:rPr>
                <w:rFonts w:ascii="Times New Roman" w:hAnsi="Times New Roman" w:cs="Times New Roman" w:eastAsia="Times New Roman" w:hint="default"/>
                <w:sz w:val="18"/>
                <w:szCs w:val="18"/>
              </w:rPr>
            </w:pPr>
            <w:r>
              <w:rPr>
                <w:rFonts w:ascii="Times New Roman"/>
                <w:sz w:val="18"/>
              </w:rPr>
              <w:t>--</w:t>
            </w:r>
          </w:p>
        </w:tc>
        <w:tc>
          <w:tcPr>
            <w:tcW w:w="17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9"/>
              <w:jc w:val="right"/>
              <w:rPr>
                <w:rFonts w:ascii="Times New Roman" w:hAnsi="Times New Roman" w:cs="Times New Roman" w:eastAsia="Times New Roman" w:hint="default"/>
                <w:sz w:val="18"/>
                <w:szCs w:val="18"/>
              </w:rPr>
            </w:pPr>
            <w:r>
              <w:rPr>
                <w:rFonts w:ascii="Times New Roman"/>
                <w:sz w:val="18"/>
              </w:rPr>
              <w:t>--</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9"/>
              <w:jc w:val="right"/>
              <w:rPr>
                <w:rFonts w:ascii="Times New Roman" w:hAnsi="Times New Roman" w:cs="Times New Roman" w:eastAsia="Times New Roman" w:hint="default"/>
                <w:sz w:val="18"/>
                <w:szCs w:val="18"/>
              </w:rPr>
            </w:pPr>
            <w:r>
              <w:rPr>
                <w:rFonts w:ascii="Times New Roman"/>
                <w:sz w:val="18"/>
              </w:rPr>
              <w:t>--</w:t>
            </w:r>
          </w:p>
        </w:tc>
        <w:tc>
          <w:tcPr>
            <w:tcW w:w="17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9"/>
              <w:jc w:val="right"/>
              <w:rPr>
                <w:rFonts w:ascii="Times New Roman" w:hAnsi="Times New Roman" w:cs="Times New Roman" w:eastAsia="Times New Roman" w:hint="default"/>
                <w:sz w:val="18"/>
                <w:szCs w:val="18"/>
              </w:rPr>
            </w:pPr>
            <w:r>
              <w:rPr>
                <w:rFonts w:ascii="Times New Roman"/>
                <w:sz w:val="18"/>
              </w:rPr>
              <w:t>--</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z w:val="18"/>
              </w:rPr>
              <w:t>28,100.00</w:t>
            </w:r>
          </w:p>
        </w:tc>
        <w:tc>
          <w:tcPr>
            <w:tcW w:w="17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5"/>
              <w:jc w:val="right"/>
              <w:rPr>
                <w:rFonts w:ascii="Times New Roman" w:hAnsi="Times New Roman" w:cs="Times New Roman" w:eastAsia="Times New Roman" w:hint="default"/>
                <w:sz w:val="18"/>
                <w:szCs w:val="18"/>
              </w:rPr>
            </w:pPr>
            <w:r>
              <w:rPr>
                <w:rFonts w:ascii="Times New Roman"/>
                <w:sz w:val="18"/>
              </w:rPr>
              <w:t>4.43</w:t>
            </w:r>
          </w:p>
        </w:tc>
      </w:tr>
      <w:tr>
        <w:trPr>
          <w:trHeight w:val="388"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pacing w:val="-1"/>
                <w:sz w:val="18"/>
              </w:rPr>
              <w:t>4,814,974.00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50"/>
              <w:jc w:val="right"/>
              <w:rPr>
                <w:rFonts w:ascii="Times New Roman" w:hAnsi="Times New Roman" w:cs="Times New Roman" w:eastAsia="Times New Roman" w:hint="default"/>
                <w:sz w:val="18"/>
                <w:szCs w:val="18"/>
              </w:rPr>
            </w:pPr>
            <w:r>
              <w:rPr>
                <w:rFonts w:ascii="Times New Roman"/>
                <w:sz w:val="18"/>
              </w:rPr>
              <w:t>100.00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z w:val="18"/>
              </w:rPr>
              <w:t>634,000.00</w:t>
            </w:r>
          </w:p>
        </w:tc>
        <w:tc>
          <w:tcPr>
            <w:tcW w:w="17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5"/>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4"/>
        <w:rPr>
          <w:rFonts w:ascii="宋体" w:hAnsi="宋体" w:cs="宋体" w:eastAsia="宋体" w:hint="default"/>
          <w:sz w:val="22"/>
          <w:szCs w:val="22"/>
        </w:rPr>
      </w:pPr>
    </w:p>
    <w:p>
      <w:pPr>
        <w:spacing w:before="35"/>
        <w:ind w:left="304" w:right="25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）预付款项金额前五名单位情况</w:t>
      </w:r>
    </w:p>
    <w:p>
      <w:pPr>
        <w:spacing w:line="240" w:lineRule="auto" w:before="6"/>
        <w:rPr>
          <w:rFonts w:ascii="宋体" w:hAnsi="宋体" w:cs="宋体" w:eastAsia="宋体" w:hint="default"/>
          <w:sz w:val="15"/>
          <w:szCs w:val="15"/>
        </w:rPr>
      </w:pPr>
    </w:p>
    <w:p>
      <w:pPr>
        <w:spacing w:before="35"/>
        <w:ind w:left="0" w:right="23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284" w:type="dxa"/>
        <w:tblLayout w:type="fixed"/>
        <w:tblCellMar>
          <w:top w:w="0" w:type="dxa"/>
          <w:left w:w="0" w:type="dxa"/>
          <w:bottom w:w="0" w:type="dxa"/>
          <w:right w:w="0" w:type="dxa"/>
        </w:tblCellMar>
        <w:tblLook w:val="01E0"/>
      </w:tblPr>
      <w:tblGrid>
        <w:gridCol w:w="3074"/>
        <w:gridCol w:w="1440"/>
        <w:gridCol w:w="1284"/>
        <w:gridCol w:w="1308"/>
        <w:gridCol w:w="1678"/>
      </w:tblGrid>
      <w:tr>
        <w:trPr>
          <w:trHeight w:val="388"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88"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苏州市杰恩特自动化设备有限公司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3,887,132.00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预付货款</w:t>
            </w:r>
          </w:p>
        </w:tc>
      </w:tr>
      <w:tr>
        <w:trPr>
          <w:trHeight w:val="386"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上海金脑信息科技有限公司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195,750.00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预付货款</w:t>
            </w:r>
          </w:p>
        </w:tc>
      </w:tr>
      <w:tr>
        <w:trPr>
          <w:trHeight w:val="388"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深圳市怡美工业设计有限公司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服务供应商</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182,270.00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预付设计款</w:t>
            </w:r>
          </w:p>
        </w:tc>
      </w:tr>
      <w:tr>
        <w:trPr>
          <w:trHeight w:val="388"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深圳市源德盛科技有限公司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164,990.00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预付货款</w:t>
            </w:r>
          </w:p>
        </w:tc>
      </w:tr>
      <w:tr>
        <w:trPr>
          <w:trHeight w:val="388"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北京燕德宝汽车销售有限公司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汽车销售商</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100,000.00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预付订金</w:t>
            </w:r>
          </w:p>
        </w:tc>
      </w:tr>
      <w:tr>
        <w:trPr>
          <w:trHeight w:val="388"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4,530,142.00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2"/>
              <w:jc w:val="center"/>
              <w:rPr>
                <w:rFonts w:ascii="Times New Roman" w:hAnsi="Times New Roman" w:cs="Times New Roman" w:eastAsia="Times New Roman" w:hint="default"/>
                <w:sz w:val="18"/>
                <w:szCs w:val="18"/>
              </w:rPr>
            </w:pPr>
            <w:r>
              <w:rPr>
                <w:rFonts w:ascii="Times New Roman"/>
                <w:sz w:val="18"/>
              </w:rPr>
              <w:t>--</w:t>
            </w:r>
          </w:p>
        </w:tc>
      </w:tr>
    </w:tbl>
    <w:p>
      <w:pPr>
        <w:spacing w:before="86"/>
        <w:ind w:left="724" w:right="250" w:firstLine="0"/>
        <w:jc w:val="left"/>
        <w:rPr>
          <w:rFonts w:ascii="宋体" w:hAnsi="宋体" w:cs="宋体" w:eastAsia="宋体" w:hint="default"/>
          <w:sz w:val="21"/>
          <w:szCs w:val="21"/>
        </w:rPr>
      </w:pPr>
      <w:r>
        <w:rPr>
          <w:rFonts w:ascii="宋体" w:hAnsi="宋体" w:cs="宋体" w:eastAsia="宋体" w:hint="default"/>
          <w:sz w:val="21"/>
          <w:szCs w:val="21"/>
        </w:rPr>
        <w:t>预付款项主要为预付货款、设计服务费和购置车辆的订金等款项。</w:t>
      </w:r>
    </w:p>
    <w:p>
      <w:pPr>
        <w:spacing w:line="240" w:lineRule="auto" w:before="6"/>
        <w:rPr>
          <w:rFonts w:ascii="宋体" w:hAnsi="宋体" w:cs="宋体" w:eastAsia="宋体" w:hint="default"/>
          <w:sz w:val="19"/>
          <w:szCs w:val="19"/>
        </w:rPr>
      </w:pPr>
    </w:p>
    <w:p>
      <w:pPr>
        <w:spacing w:before="0"/>
        <w:ind w:left="303" w:right="25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）本报告期预付款项中无持有公司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以上表决权股份的股东单位欠款。</w:t>
      </w:r>
    </w:p>
    <w:p>
      <w:pPr>
        <w:spacing w:line="240" w:lineRule="auto" w:before="2"/>
        <w:rPr>
          <w:rFonts w:ascii="宋体" w:hAnsi="宋体" w:cs="宋体" w:eastAsia="宋体" w:hint="default"/>
          <w:sz w:val="18"/>
          <w:szCs w:val="18"/>
        </w:rPr>
      </w:pPr>
    </w:p>
    <w:p>
      <w:pPr>
        <w:spacing w:before="0"/>
        <w:ind w:left="304" w:right="2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304" w:right="25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）存货分类</w:t>
      </w:r>
    </w:p>
    <w:p>
      <w:pPr>
        <w:spacing w:line="240" w:lineRule="auto" w:before="1"/>
        <w:rPr>
          <w:rFonts w:ascii="宋体" w:hAnsi="宋体" w:cs="宋体" w:eastAsia="宋体" w:hint="default"/>
          <w:sz w:val="18"/>
          <w:szCs w:val="18"/>
        </w:rPr>
      </w:pPr>
    </w:p>
    <w:p>
      <w:pPr>
        <w:spacing w:before="0"/>
        <w:ind w:left="0" w:right="23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p>
      <w:pPr>
        <w:spacing w:line="402" w:lineRule="exact"/>
        <w:ind w:left="27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33.8pt;height:20.1pt;mso-position-horizontal-relative:char;mso-position-vertical-relative:line" coordorigin="0,0" coordsize="8676,402">
            <v:group style="position:absolute;left:5;top:5;width:8667;height:2" coordorigin="5,5" coordsize="8667,2">
              <v:shape style="position:absolute;left:5;top:5;width:8667;height:2" coordorigin="5,5" coordsize="8667,0" path="m5,5l8671,5e" filled="false" stroked="true" strokeweight=".47998pt" strokecolor="#000000">
                <v:path arrowok="t"/>
              </v:shape>
            </v:group>
            <v:group style="position:absolute;left:5;top:392;width:1884;height:2" coordorigin="5,392" coordsize="1884,2">
              <v:shape style="position:absolute;left:5;top:392;width:1884;height:2" coordorigin="5,392" coordsize="1884,0" path="m5,392l1889,392e" filled="false" stroked="true" strokeweight=".47998pt" strokecolor="#000000">
                <v:path arrowok="t"/>
              </v:shape>
            </v:group>
            <v:group style="position:absolute;left:1894;top:10;width:2;height:388" coordorigin="1894,10" coordsize="2,388">
              <v:shape style="position:absolute;left:1894;top:10;width:2;height:388" coordorigin="1894,10" coordsize="0,388" path="m1894,10l1894,397e" filled="false" stroked="true" strokeweight=".48001pt" strokecolor="#000000">
                <v:path arrowok="t"/>
              </v:shape>
            </v:group>
            <v:group style="position:absolute;left:1898;top:392;width:3383;height:2" coordorigin="1898,392" coordsize="3383,2">
              <v:shape style="position:absolute;left:1898;top:392;width:3383;height:2" coordorigin="1898,392" coordsize="3383,0" path="m1898,392l5281,392e" filled="false" stroked="true" strokeweight=".47998pt" strokecolor="#000000">
                <v:path arrowok="t"/>
              </v:shape>
            </v:group>
            <v:group style="position:absolute;left:5286;top:10;width:2;height:388" coordorigin="5286,10" coordsize="2,388">
              <v:shape style="position:absolute;left:5286;top:10;width:2;height:388" coordorigin="5286,10" coordsize="0,388" path="m5286,10l5286,397e" filled="false" stroked="true" strokeweight=".48001pt" strokecolor="#000000">
                <v:path arrowok="t"/>
              </v:shape>
            </v:group>
            <v:group style="position:absolute;left:5291;top:392;width:3381;height:2" coordorigin="5291,392" coordsize="3381,2">
              <v:shape style="position:absolute;left:5291;top:392;width:3381;height:2" coordorigin="5291,392" coordsize="3381,0" path="m5291,392l8671,392e" filled="false" stroked="true" strokeweight=".47998pt" strokecolor="#000000">
                <v:path arrowok="t"/>
              </v:shape>
              <v:shape style="position:absolute;left:1894;top:5;width:3393;height:388" type="#_x0000_t202" filled="false" stroked="false">
                <v:textbox inset="0,0,0,0">
                  <w:txbxContent>
                    <w:p>
                      <w:pPr>
                        <w:spacing w:before="46"/>
                        <w:ind w:left="0" w:right="1" w:firstLine="0"/>
                        <w:jc w:val="center"/>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766;top:10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712;top:107;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期初数</w:t>
                      </w:r>
                    </w:p>
                  </w:txbxContent>
                </v:textbox>
                <w10:wrap type="none"/>
              </v:shape>
            </v:group>
          </v:group>
        </w:pict>
      </w:r>
      <w:r>
        <w:rPr>
          <w:rFonts w:ascii="宋体" w:hAnsi="宋体" w:cs="宋体" w:eastAsia="宋体" w:hint="default"/>
          <w:position w:val="-7"/>
          <w:sz w:val="20"/>
          <w:szCs w:val="20"/>
        </w:rPr>
      </w:r>
    </w:p>
    <w:p>
      <w:pPr>
        <w:spacing w:after="0" w:line="402" w:lineRule="exact"/>
        <w:rPr>
          <w:rFonts w:ascii="宋体" w:hAnsi="宋体" w:cs="宋体" w:eastAsia="宋体" w:hint="default"/>
          <w:sz w:val="20"/>
          <w:szCs w:val="20"/>
        </w:rPr>
        <w:sectPr>
          <w:pgSz w:w="11910" w:h="16840"/>
          <w:pgMar w:header="877" w:footer="982" w:top="1100" w:bottom="1180" w:left="1340" w:right="1380"/>
        </w:sectPr>
      </w:pPr>
    </w:p>
    <w:p>
      <w:pPr>
        <w:spacing w:line="240" w:lineRule="auto" w:before="6"/>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1910"/>
        <w:gridCol w:w="1130"/>
        <w:gridCol w:w="1130"/>
        <w:gridCol w:w="1132"/>
        <w:gridCol w:w="1130"/>
        <w:gridCol w:w="1129"/>
        <w:gridCol w:w="1133"/>
      </w:tblGrid>
      <w:tr>
        <w:trPr>
          <w:trHeight w:val="388" w:hRule="exact"/>
        </w:trPr>
        <w:tc>
          <w:tcPr>
            <w:tcW w:w="1910" w:type="dxa"/>
            <w:tcBorders>
              <w:top w:val="single" w:sz="4" w:space="0" w:color="000000"/>
              <w:left w:val="nil" w:sz="6" w:space="0" w:color="auto"/>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388"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4,406,444.93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9" w:right="0"/>
              <w:jc w:val="left"/>
              <w:rPr>
                <w:rFonts w:ascii="Times New Roman" w:hAnsi="Times New Roman" w:cs="Times New Roman" w:eastAsia="Times New Roman" w:hint="default"/>
                <w:sz w:val="18"/>
                <w:szCs w:val="18"/>
              </w:rPr>
            </w:pPr>
            <w:r>
              <w:rPr>
                <w:rFonts w:ascii="Times New Roman"/>
                <w:sz w:val="18"/>
              </w:rPr>
              <w:t>4,406,444.93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1,247,558.79</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119" w:right="0"/>
              <w:jc w:val="center"/>
              <w:rPr>
                <w:rFonts w:ascii="Times New Roman" w:hAnsi="Times New Roman" w:cs="Times New Roman" w:eastAsia="Times New Roman" w:hint="default"/>
                <w:sz w:val="18"/>
                <w:szCs w:val="18"/>
              </w:rPr>
            </w:pPr>
            <w:r>
              <w:rPr>
                <w:rFonts w:ascii="Times New Roman"/>
                <w:sz w:val="18"/>
              </w:rPr>
              <w:t>1,247,558.79</w:t>
            </w:r>
          </w:p>
        </w:tc>
      </w:tr>
      <w:tr>
        <w:trPr>
          <w:trHeight w:val="388"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4,406,444.93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9" w:right="0"/>
              <w:jc w:val="left"/>
              <w:rPr>
                <w:rFonts w:ascii="Times New Roman" w:hAnsi="Times New Roman" w:cs="Times New Roman" w:eastAsia="Times New Roman" w:hint="default"/>
                <w:sz w:val="18"/>
                <w:szCs w:val="18"/>
              </w:rPr>
            </w:pPr>
            <w:r>
              <w:rPr>
                <w:rFonts w:ascii="Times New Roman"/>
                <w:sz w:val="18"/>
              </w:rPr>
              <w:t>4,406,444.93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1,247,558.79</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119" w:right="0"/>
              <w:jc w:val="center"/>
              <w:rPr>
                <w:rFonts w:ascii="Times New Roman" w:hAnsi="Times New Roman" w:cs="Times New Roman" w:eastAsia="Times New Roman" w:hint="default"/>
                <w:sz w:val="18"/>
                <w:szCs w:val="18"/>
              </w:rPr>
            </w:pPr>
            <w:r>
              <w:rPr>
                <w:rFonts w:ascii="Times New Roman"/>
                <w:sz w:val="18"/>
              </w:rPr>
              <w:t>1,247,558.79</w:t>
            </w:r>
          </w:p>
        </w:tc>
      </w:tr>
    </w:tbl>
    <w:p>
      <w:pPr>
        <w:spacing w:line="240" w:lineRule="auto" w:before="4"/>
        <w:rPr>
          <w:rFonts w:ascii="宋体" w:hAnsi="宋体" w:cs="宋体" w:eastAsia="宋体" w:hint="default"/>
          <w:sz w:val="22"/>
          <w:szCs w:val="22"/>
        </w:rPr>
      </w:pPr>
    </w:p>
    <w:p>
      <w:pPr>
        <w:spacing w:before="35"/>
        <w:ind w:left="164" w:right="1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）存货跌价准备</w:t>
      </w:r>
    </w:p>
    <w:p>
      <w:pPr>
        <w:spacing w:line="240" w:lineRule="auto" w:before="6"/>
        <w:rPr>
          <w:rFonts w:ascii="宋体" w:hAnsi="宋体" w:cs="宋体" w:eastAsia="宋体" w:hint="default"/>
          <w:sz w:val="15"/>
          <w:szCs w:val="15"/>
        </w:rPr>
      </w:pPr>
    </w:p>
    <w:p>
      <w:pPr>
        <w:spacing w:before="35"/>
        <w:ind w:left="0" w:right="11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1274"/>
        <w:gridCol w:w="1260"/>
        <w:gridCol w:w="1440"/>
        <w:gridCol w:w="1260"/>
        <w:gridCol w:w="1080"/>
        <w:gridCol w:w="2340"/>
      </w:tblGrid>
      <w:tr>
        <w:trPr>
          <w:trHeight w:val="426" w:hRule="exact"/>
        </w:trPr>
        <w:tc>
          <w:tcPr>
            <w:tcW w:w="1274"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4"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4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340" w:type="dxa"/>
            <w:vMerge w:val="restart"/>
            <w:tcBorders>
              <w:top w:val="single" w:sz="4" w:space="0" w:color="000000"/>
              <w:left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26" w:hRule="exact"/>
        </w:trPr>
        <w:tc>
          <w:tcPr>
            <w:tcW w:w="1274" w:type="dxa"/>
            <w:vMerge/>
            <w:tcBorders>
              <w:left w:val="nil" w:sz="6" w:space="0" w:color="auto"/>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15"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25"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2340" w:type="dxa"/>
            <w:vMerge/>
            <w:tcBorders>
              <w:left w:val="single" w:sz="4" w:space="0" w:color="000000"/>
              <w:bottom w:val="single" w:sz="4" w:space="0" w:color="000000"/>
              <w:right w:val="nil" w:sz="6" w:space="0" w:color="auto"/>
            </w:tcBorders>
          </w:tcPr>
          <w:p>
            <w:pPr/>
          </w:p>
        </w:tc>
      </w:tr>
      <w:tr>
        <w:trPr>
          <w:trHeight w:val="426"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w w:val="95"/>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w w:val="9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w w:val="95"/>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w w:val="95"/>
                <w:sz w:val="21"/>
              </w:rPr>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w w:val="95"/>
                <w:sz w:val="21"/>
              </w:rPr>
            </w:r>
          </w:p>
        </w:tc>
      </w:tr>
      <w:tr>
        <w:trPr>
          <w:trHeight w:val="427"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tabs>
                <w:tab w:pos="542"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w w:val="95"/>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w w:val="9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w w:val="95"/>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w w:val="95"/>
                <w:sz w:val="21"/>
              </w:rPr>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w w:val="95"/>
                <w:sz w:val="21"/>
              </w:rPr>
            </w:r>
          </w:p>
        </w:tc>
      </w:tr>
    </w:tbl>
    <w:p>
      <w:pPr>
        <w:spacing w:line="240" w:lineRule="auto" w:before="4"/>
        <w:rPr>
          <w:rFonts w:ascii="宋体" w:hAnsi="宋体" w:cs="宋体" w:eastAsia="宋体" w:hint="default"/>
          <w:sz w:val="22"/>
          <w:szCs w:val="22"/>
        </w:rPr>
      </w:pPr>
    </w:p>
    <w:p>
      <w:pPr>
        <w:spacing w:before="35"/>
        <w:ind w:left="164" w:right="1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）存货期末余额中借款费用资本化金额：无。</w:t>
      </w:r>
    </w:p>
    <w:p>
      <w:pPr>
        <w:spacing w:line="240" w:lineRule="auto" w:before="3"/>
        <w:rPr>
          <w:rFonts w:ascii="宋体" w:hAnsi="宋体" w:cs="宋体" w:eastAsia="宋体" w:hint="default"/>
          <w:sz w:val="18"/>
          <w:szCs w:val="18"/>
        </w:rPr>
      </w:pPr>
    </w:p>
    <w:p>
      <w:pPr>
        <w:spacing w:before="0"/>
        <w:ind w:left="164" w:right="1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5"/>
        <w:rPr>
          <w:rFonts w:ascii="宋体" w:hAnsi="宋体" w:cs="宋体" w:eastAsia="宋体" w:hint="default"/>
          <w:b/>
          <w:bCs/>
          <w:sz w:val="15"/>
          <w:szCs w:val="15"/>
        </w:rPr>
      </w:pPr>
    </w:p>
    <w:p>
      <w:pPr>
        <w:tabs>
          <w:tab w:pos="1154" w:val="left" w:leader="none"/>
        </w:tabs>
        <w:spacing w:before="35"/>
        <w:ind w:left="0" w:right="117"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9"/>
        <w:rPr>
          <w:rFonts w:ascii="宋体" w:hAnsi="宋体" w:cs="宋体" w:eastAsia="宋体"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2534"/>
        <w:gridCol w:w="2700"/>
        <w:gridCol w:w="3420"/>
      </w:tblGrid>
      <w:tr>
        <w:trPr>
          <w:trHeight w:val="38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right="89"/>
              <w:jc w:val="center"/>
              <w:rPr>
                <w:rFonts w:ascii="宋体" w:hAnsi="宋体" w:cs="宋体" w:eastAsia="宋体" w:hint="default"/>
                <w:sz w:val="18"/>
                <w:szCs w:val="18"/>
              </w:rPr>
            </w:pPr>
            <w:r>
              <w:rPr>
                <w:rFonts w:ascii="宋体" w:hAnsi="宋体" w:cs="宋体" w:eastAsia="宋体" w:hint="default"/>
                <w:sz w:val="18"/>
                <w:szCs w:val="18"/>
              </w:rPr>
              <w:t>项目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8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1,230,059.78</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z w:val="18"/>
              </w:rPr>
              <w:t>289,731.28</w:t>
            </w:r>
          </w:p>
        </w:tc>
      </w:tr>
      <w:tr>
        <w:trPr>
          <w:trHeight w:val="38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1,230,059.78</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z w:val="18"/>
              </w:rPr>
              <w:t>289,731.28</w:t>
            </w:r>
          </w:p>
        </w:tc>
      </w:tr>
    </w:tbl>
    <w:p>
      <w:pPr>
        <w:spacing w:line="240" w:lineRule="auto" w:before="1"/>
        <w:rPr>
          <w:rFonts w:ascii="宋体" w:hAnsi="宋体" w:cs="宋体" w:eastAsia="宋体" w:hint="default"/>
          <w:sz w:val="13"/>
          <w:szCs w:val="13"/>
        </w:rPr>
      </w:pPr>
    </w:p>
    <w:p>
      <w:pPr>
        <w:spacing w:before="35"/>
        <w:ind w:left="584" w:right="131" w:firstLine="0"/>
        <w:jc w:val="left"/>
        <w:rPr>
          <w:rFonts w:ascii="宋体" w:hAnsi="宋体" w:cs="宋体" w:eastAsia="宋体" w:hint="default"/>
          <w:sz w:val="21"/>
          <w:szCs w:val="21"/>
        </w:rPr>
      </w:pPr>
      <w:r>
        <w:rPr>
          <w:rFonts w:ascii="宋体" w:hAnsi="宋体" w:cs="宋体" w:eastAsia="宋体" w:hint="default"/>
          <w:sz w:val="21"/>
          <w:szCs w:val="21"/>
        </w:rPr>
        <w:t>待摊费用主要为预付的房租及代理服务费。</w:t>
      </w:r>
    </w:p>
    <w:p>
      <w:pPr>
        <w:spacing w:line="240" w:lineRule="auto" w:before="5"/>
        <w:rPr>
          <w:rFonts w:ascii="宋体" w:hAnsi="宋体" w:cs="宋体" w:eastAsia="宋体" w:hint="default"/>
          <w:sz w:val="19"/>
          <w:szCs w:val="19"/>
        </w:rPr>
      </w:pPr>
    </w:p>
    <w:p>
      <w:pPr>
        <w:spacing w:line="436" w:lineRule="auto" w:before="0"/>
        <w:ind w:left="164" w:right="6220"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、投资性房地产</w:t>
      </w:r>
      <w:r>
        <w:rPr>
          <w:rFonts w:ascii="宋体" w:hAnsi="宋体" w:cs="宋体" w:eastAsia="宋体" w:hint="default"/>
          <w:b/>
          <w:bCs/>
          <w:spacing w:val="1"/>
          <w:w w:val="99"/>
          <w:sz w:val="21"/>
          <w:szCs w:val="21"/>
        </w:rPr>
        <w:t> </w:t>
      </w:r>
      <w:r>
        <w:rPr>
          <w:rFonts w:ascii="宋体" w:hAnsi="宋体" w:cs="宋体" w:eastAsia="宋体" w:hint="default"/>
          <w:sz w:val="21"/>
          <w:szCs w:val="21"/>
        </w:rPr>
        <w:t>按成本计量的投资性房地产</w:t>
      </w:r>
    </w:p>
    <w:p>
      <w:pPr>
        <w:spacing w:before="80"/>
        <w:ind w:left="0" w:right="22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3068"/>
        <w:gridCol w:w="1396"/>
        <w:gridCol w:w="1398"/>
        <w:gridCol w:w="1398"/>
        <w:gridCol w:w="1396"/>
      </w:tblGrid>
      <w:tr>
        <w:trPr>
          <w:trHeight w:val="388" w:hRule="exact"/>
        </w:trPr>
        <w:tc>
          <w:tcPr>
            <w:tcW w:w="3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4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88" w:hRule="exact"/>
        </w:trPr>
        <w:tc>
          <w:tcPr>
            <w:tcW w:w="3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48,700,488.23</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Times New Roman" w:hAnsi="Times New Roman" w:cs="Times New Roman" w:eastAsia="Times New Roman" w:hint="default"/>
                <w:sz w:val="18"/>
                <w:szCs w:val="18"/>
              </w:rPr>
            </w:pPr>
            <w:r>
              <w:rPr>
                <w:rFonts w:ascii="Times New Roman"/>
                <w:spacing w:val="-1"/>
                <w:sz w:val="18"/>
              </w:rPr>
              <w:t>48,700,488.23</w:t>
            </w:r>
          </w:p>
        </w:tc>
      </w:tr>
      <w:tr>
        <w:trPr>
          <w:trHeight w:val="388" w:hRule="exact"/>
        </w:trPr>
        <w:tc>
          <w:tcPr>
            <w:tcW w:w="3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房屋、建筑物</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48,700,488.23</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Times New Roman" w:hAnsi="Times New Roman" w:cs="Times New Roman" w:eastAsia="Times New Roman" w:hint="default"/>
                <w:sz w:val="18"/>
                <w:szCs w:val="18"/>
              </w:rPr>
            </w:pPr>
            <w:r>
              <w:rPr>
                <w:rFonts w:ascii="Times New Roman"/>
                <w:spacing w:val="-1"/>
                <w:sz w:val="18"/>
              </w:rPr>
              <w:t>48,700,488.23</w:t>
            </w:r>
          </w:p>
        </w:tc>
      </w:tr>
      <w:tr>
        <w:trPr>
          <w:trHeight w:val="388" w:hRule="exact"/>
        </w:trPr>
        <w:tc>
          <w:tcPr>
            <w:tcW w:w="3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土地使用权</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7"/>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3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二、累计折旧和累计摊销合计</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2,363,860.64</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1,157,844.48</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Times New Roman" w:hAnsi="Times New Roman" w:cs="Times New Roman" w:eastAsia="Times New Roman" w:hint="default"/>
                <w:sz w:val="18"/>
                <w:szCs w:val="18"/>
              </w:rPr>
            </w:pPr>
            <w:r>
              <w:rPr>
                <w:rFonts w:ascii="Times New Roman"/>
                <w:spacing w:val="-1"/>
                <w:sz w:val="18"/>
              </w:rPr>
              <w:t>3,521,705.12</w:t>
            </w:r>
          </w:p>
        </w:tc>
      </w:tr>
      <w:tr>
        <w:trPr>
          <w:trHeight w:val="386" w:hRule="exact"/>
        </w:trPr>
        <w:tc>
          <w:tcPr>
            <w:tcW w:w="3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房屋、建筑物</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2,363,860.64</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1,157,844.48</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Times New Roman" w:hAnsi="Times New Roman" w:cs="Times New Roman" w:eastAsia="Times New Roman" w:hint="default"/>
                <w:sz w:val="18"/>
                <w:szCs w:val="18"/>
              </w:rPr>
            </w:pPr>
            <w:r>
              <w:rPr>
                <w:rFonts w:ascii="Times New Roman"/>
                <w:spacing w:val="-1"/>
                <w:sz w:val="18"/>
              </w:rPr>
              <w:t>3,521,705.12</w:t>
            </w:r>
          </w:p>
        </w:tc>
      </w:tr>
      <w:tr>
        <w:trPr>
          <w:trHeight w:val="388" w:hRule="exact"/>
        </w:trPr>
        <w:tc>
          <w:tcPr>
            <w:tcW w:w="3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土地使用权</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7"/>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3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三、投资性房地产账面净值合计</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46,336,627.59</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Times New Roman" w:hAnsi="Times New Roman" w:cs="Times New Roman" w:eastAsia="Times New Roman" w:hint="default"/>
                <w:sz w:val="18"/>
                <w:szCs w:val="18"/>
              </w:rPr>
            </w:pPr>
            <w:r>
              <w:rPr>
                <w:rFonts w:ascii="Times New Roman"/>
                <w:spacing w:val="-1"/>
                <w:sz w:val="18"/>
              </w:rPr>
              <w:t>45,178,783.11</w:t>
            </w:r>
          </w:p>
        </w:tc>
      </w:tr>
      <w:tr>
        <w:trPr>
          <w:trHeight w:val="388" w:hRule="exact"/>
        </w:trPr>
        <w:tc>
          <w:tcPr>
            <w:tcW w:w="3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房屋、建筑物</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46,336,627.59</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Times New Roman" w:hAnsi="Times New Roman" w:cs="Times New Roman" w:eastAsia="Times New Roman" w:hint="default"/>
                <w:sz w:val="18"/>
                <w:szCs w:val="18"/>
              </w:rPr>
            </w:pPr>
            <w:r>
              <w:rPr>
                <w:rFonts w:ascii="Times New Roman"/>
                <w:spacing w:val="-1"/>
                <w:sz w:val="18"/>
              </w:rPr>
              <w:t>45,178,783.11</w:t>
            </w:r>
          </w:p>
        </w:tc>
      </w:tr>
      <w:tr>
        <w:trPr>
          <w:trHeight w:val="388" w:hRule="exact"/>
        </w:trPr>
        <w:tc>
          <w:tcPr>
            <w:tcW w:w="3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土地使用权</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7"/>
              <w:jc w:val="right"/>
              <w:rPr>
                <w:rFonts w:ascii="Times New Roman" w:hAnsi="Times New Roman" w:cs="Times New Roman" w:eastAsia="Times New Roman" w:hint="default"/>
                <w:sz w:val="18"/>
                <w:szCs w:val="18"/>
              </w:rPr>
            </w:pPr>
            <w:r>
              <w:rPr>
                <w:rFonts w:ascii="Times New Roman"/>
                <w:sz w:val="18"/>
              </w:rPr>
              <w:t>--</w:t>
            </w:r>
          </w:p>
        </w:tc>
      </w:tr>
      <w:tr>
        <w:trPr>
          <w:trHeight w:val="622" w:hRule="exact"/>
        </w:trPr>
        <w:tc>
          <w:tcPr>
            <w:tcW w:w="306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6"/>
              <w:ind w:left="122" w:right="101"/>
              <w:jc w:val="left"/>
              <w:rPr>
                <w:rFonts w:ascii="宋体" w:hAnsi="宋体" w:cs="宋体" w:eastAsia="宋体" w:hint="default"/>
                <w:sz w:val="18"/>
                <w:szCs w:val="18"/>
              </w:rPr>
            </w:pPr>
            <w:r>
              <w:rPr>
                <w:rFonts w:ascii="宋体" w:hAnsi="宋体" w:cs="宋体" w:eastAsia="宋体" w:hint="default"/>
                <w:spacing w:val="-3"/>
                <w:sz w:val="18"/>
                <w:szCs w:val="18"/>
              </w:rPr>
              <w:t>四、投资性房地产减值准备累计金额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合计</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7"/>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1480" w:right="1500"/>
        </w:sectPr>
      </w:pPr>
    </w:p>
    <w:p>
      <w:pPr>
        <w:spacing w:line="240" w:lineRule="auto" w:before="6"/>
        <w:rPr>
          <w:rFonts w:ascii="宋体" w:hAnsi="宋体" w:cs="宋体" w:eastAsia="宋体" w:hint="default"/>
          <w:sz w:val="24"/>
          <w:szCs w:val="24"/>
        </w:rPr>
      </w:pPr>
    </w:p>
    <w:tbl>
      <w:tblPr>
        <w:tblW w:w="0" w:type="auto"/>
        <w:jc w:val="left"/>
        <w:tblInd w:w="144" w:type="dxa"/>
        <w:tblLayout w:type="fixed"/>
        <w:tblCellMar>
          <w:top w:w="0" w:type="dxa"/>
          <w:left w:w="0" w:type="dxa"/>
          <w:bottom w:w="0" w:type="dxa"/>
          <w:right w:w="0" w:type="dxa"/>
        </w:tblCellMar>
        <w:tblLook w:val="01E0"/>
      </w:tblPr>
      <w:tblGrid>
        <w:gridCol w:w="3068"/>
        <w:gridCol w:w="1396"/>
        <w:gridCol w:w="1398"/>
        <w:gridCol w:w="1398"/>
        <w:gridCol w:w="1396"/>
      </w:tblGrid>
      <w:tr>
        <w:trPr>
          <w:trHeight w:val="388" w:hRule="exact"/>
        </w:trPr>
        <w:tc>
          <w:tcPr>
            <w:tcW w:w="3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房屋、建筑物</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7"/>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3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土地使用权</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7"/>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3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五、投资性房地产账面价值合计</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46,336,627.59</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Times New Roman" w:hAnsi="Times New Roman" w:cs="Times New Roman" w:eastAsia="Times New Roman" w:hint="default"/>
                <w:sz w:val="18"/>
                <w:szCs w:val="18"/>
              </w:rPr>
            </w:pPr>
            <w:r>
              <w:rPr>
                <w:rFonts w:ascii="Times New Roman"/>
                <w:spacing w:val="-1"/>
                <w:sz w:val="18"/>
              </w:rPr>
              <w:t>45,178,783.11</w:t>
            </w:r>
          </w:p>
        </w:tc>
      </w:tr>
      <w:tr>
        <w:trPr>
          <w:trHeight w:val="386" w:hRule="exact"/>
        </w:trPr>
        <w:tc>
          <w:tcPr>
            <w:tcW w:w="3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房屋、建筑物</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46,336,627.59</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Times New Roman" w:hAnsi="Times New Roman" w:cs="Times New Roman" w:eastAsia="Times New Roman" w:hint="default"/>
                <w:sz w:val="18"/>
                <w:szCs w:val="18"/>
              </w:rPr>
            </w:pPr>
            <w:r>
              <w:rPr>
                <w:rFonts w:ascii="Times New Roman"/>
                <w:spacing w:val="-1"/>
                <w:sz w:val="18"/>
              </w:rPr>
              <w:t>45,178,783.11</w:t>
            </w:r>
          </w:p>
        </w:tc>
      </w:tr>
      <w:tr>
        <w:trPr>
          <w:trHeight w:val="389" w:hRule="exact"/>
        </w:trPr>
        <w:tc>
          <w:tcPr>
            <w:tcW w:w="3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土地使用权</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7"/>
              <w:jc w:val="right"/>
              <w:rPr>
                <w:rFonts w:ascii="Times New Roman" w:hAnsi="Times New Roman" w:cs="Times New Roman" w:eastAsia="Times New Roman" w:hint="default"/>
                <w:sz w:val="18"/>
                <w:szCs w:val="18"/>
              </w:rPr>
            </w:pPr>
            <w:r>
              <w:rPr>
                <w:rFonts w:ascii="Times New Roman"/>
                <w:sz w:val="18"/>
              </w:rPr>
              <w:t>--</w:t>
            </w:r>
          </w:p>
        </w:tc>
      </w:tr>
    </w:tbl>
    <w:p>
      <w:pPr>
        <w:spacing w:before="86"/>
        <w:ind w:left="584" w:right="131" w:firstLine="0"/>
        <w:jc w:val="left"/>
        <w:rPr>
          <w:rFonts w:ascii="宋体" w:hAnsi="宋体" w:cs="宋体" w:eastAsia="宋体" w:hint="default"/>
          <w:sz w:val="21"/>
          <w:szCs w:val="21"/>
        </w:rPr>
      </w:pPr>
      <w:r>
        <w:rPr>
          <w:rFonts w:ascii="宋体" w:hAnsi="宋体" w:cs="宋体" w:eastAsia="宋体" w:hint="default"/>
          <w:sz w:val="21"/>
          <w:szCs w:val="21"/>
        </w:rPr>
        <w:t>本期折旧和摊销额为</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1,157,844.48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p>
    <w:p>
      <w:pPr>
        <w:spacing w:line="240" w:lineRule="auto" w:before="2"/>
        <w:rPr>
          <w:rFonts w:ascii="宋体" w:hAnsi="宋体" w:cs="宋体" w:eastAsia="宋体" w:hint="default"/>
          <w:sz w:val="18"/>
          <w:szCs w:val="18"/>
        </w:rPr>
      </w:pPr>
    </w:p>
    <w:p>
      <w:pPr>
        <w:spacing w:before="0"/>
        <w:ind w:left="163" w:right="1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164" w:right="1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）固定资产情况</w:t>
      </w:r>
    </w:p>
    <w:p>
      <w:pPr>
        <w:spacing w:line="240" w:lineRule="auto" w:before="5"/>
        <w:rPr>
          <w:rFonts w:ascii="宋体" w:hAnsi="宋体" w:cs="宋体" w:eastAsia="宋体" w:hint="default"/>
          <w:sz w:val="15"/>
          <w:szCs w:val="15"/>
        </w:rPr>
      </w:pPr>
    </w:p>
    <w:p>
      <w:pPr>
        <w:spacing w:before="35"/>
        <w:ind w:left="0" w:right="22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2476"/>
        <w:gridCol w:w="1489"/>
        <w:gridCol w:w="988"/>
        <w:gridCol w:w="1214"/>
        <w:gridCol w:w="1170"/>
        <w:gridCol w:w="1346"/>
      </w:tblGrid>
      <w:tr>
        <w:trPr>
          <w:trHeight w:val="388"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6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39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88"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6,601,833.14</w:t>
            </w:r>
          </w:p>
        </w:tc>
        <w:tc>
          <w:tcPr>
            <w:tcW w:w="2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21" w:right="0"/>
              <w:jc w:val="left"/>
              <w:rPr>
                <w:rFonts w:ascii="Times New Roman" w:hAnsi="Times New Roman" w:cs="Times New Roman" w:eastAsia="Times New Roman" w:hint="default"/>
                <w:sz w:val="18"/>
                <w:szCs w:val="18"/>
              </w:rPr>
            </w:pPr>
            <w:r>
              <w:rPr>
                <w:rFonts w:ascii="Times New Roman"/>
                <w:sz w:val="18"/>
              </w:rPr>
              <w:t>2,636,665.21</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19,755.13</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9,218,743.22</w:t>
            </w:r>
          </w:p>
        </w:tc>
      </w:tr>
      <w:tr>
        <w:trPr>
          <w:trHeight w:val="388"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其中：机器设备</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321,965.80</w:t>
            </w:r>
          </w:p>
        </w:tc>
        <w:tc>
          <w:tcPr>
            <w:tcW w:w="2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21" w:right="0"/>
              <w:jc w:val="left"/>
              <w:rPr>
                <w:rFonts w:ascii="Times New Roman" w:hAnsi="Times New Roman" w:cs="Times New Roman" w:eastAsia="Times New Roman" w:hint="default"/>
                <w:sz w:val="18"/>
                <w:szCs w:val="18"/>
              </w:rPr>
            </w:pPr>
            <w:r>
              <w:rPr>
                <w:rFonts w:ascii="Times New Roman"/>
                <w:sz w:val="18"/>
              </w:rPr>
              <w:t>1,882,099.68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2,204,065.48</w:t>
            </w:r>
          </w:p>
        </w:tc>
      </w:tr>
      <w:tr>
        <w:trPr>
          <w:trHeight w:val="386"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8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3,199,783.00</w:t>
            </w:r>
          </w:p>
        </w:tc>
        <w:tc>
          <w:tcPr>
            <w:tcW w:w="2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3,199,783.00</w:t>
            </w:r>
          </w:p>
        </w:tc>
      </w:tr>
      <w:tr>
        <w:trPr>
          <w:trHeight w:val="388"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8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2,457,651.33</w:t>
            </w:r>
          </w:p>
        </w:tc>
        <w:tc>
          <w:tcPr>
            <w:tcW w:w="2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55" w:right="0"/>
              <w:jc w:val="left"/>
              <w:rPr>
                <w:rFonts w:ascii="Times New Roman" w:hAnsi="Times New Roman" w:cs="Times New Roman" w:eastAsia="Times New Roman" w:hint="default"/>
                <w:sz w:val="18"/>
                <w:szCs w:val="18"/>
              </w:rPr>
            </w:pPr>
            <w:r>
              <w:rPr>
                <w:rFonts w:ascii="Times New Roman"/>
                <w:sz w:val="18"/>
              </w:rPr>
              <w:t>732,688.09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19,755.13</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3,170,584.29</w:t>
            </w:r>
          </w:p>
        </w:tc>
      </w:tr>
      <w:tr>
        <w:trPr>
          <w:trHeight w:val="388"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622,433.01</w:t>
            </w:r>
          </w:p>
        </w:tc>
        <w:tc>
          <w:tcPr>
            <w:tcW w:w="2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45" w:right="0"/>
              <w:jc w:val="left"/>
              <w:rPr>
                <w:rFonts w:ascii="Times New Roman" w:hAnsi="Times New Roman" w:cs="Times New Roman" w:eastAsia="Times New Roman" w:hint="default"/>
                <w:sz w:val="18"/>
                <w:szCs w:val="18"/>
              </w:rPr>
            </w:pPr>
            <w:r>
              <w:rPr>
                <w:rFonts w:ascii="Times New Roman"/>
                <w:sz w:val="18"/>
              </w:rPr>
              <w:t>21,877.44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z w:val="18"/>
              </w:rPr>
              <w:t>644,310.45</w:t>
            </w:r>
          </w:p>
        </w:tc>
      </w:tr>
      <w:tr>
        <w:trPr>
          <w:trHeight w:val="388" w:hRule="exact"/>
        </w:trPr>
        <w:tc>
          <w:tcPr>
            <w:tcW w:w="2476" w:type="dxa"/>
            <w:tcBorders>
              <w:top w:val="single" w:sz="4" w:space="0" w:color="000000"/>
              <w:left w:val="nil" w:sz="6" w:space="0" w:color="auto"/>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3"/>
              <w:jc w:val="right"/>
              <w:rPr>
                <w:rFonts w:ascii="宋体" w:hAnsi="宋体" w:cs="宋体" w:eastAsia="宋体" w:hint="default"/>
                <w:sz w:val="18"/>
                <w:szCs w:val="18"/>
              </w:rPr>
            </w:pPr>
            <w:r>
              <w:rPr>
                <w:rFonts w:ascii="宋体" w:hAnsi="宋体" w:cs="宋体" w:eastAsia="宋体" w:hint="default"/>
                <w:sz w:val="18"/>
                <w:szCs w:val="18"/>
              </w:rPr>
              <w:t>本期新增</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4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170"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2,740,222.29</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Times New Roman" w:hAnsi="Times New Roman" w:cs="Times New Roman" w:eastAsia="Times New Roman" w:hint="default"/>
                <w:sz w:val="18"/>
                <w:szCs w:val="18"/>
              </w:rPr>
            </w:pPr>
            <w:r>
              <w:rPr>
                <w:rFonts w:ascii="Times New Roman"/>
                <w:sz w:val="18"/>
              </w:rPr>
              <w:t>--</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4"/>
              <w:jc w:val="right"/>
              <w:rPr>
                <w:rFonts w:ascii="Times New Roman" w:hAnsi="Times New Roman" w:cs="Times New Roman" w:eastAsia="Times New Roman" w:hint="default"/>
                <w:sz w:val="18"/>
                <w:szCs w:val="18"/>
              </w:rPr>
            </w:pPr>
            <w:r>
              <w:rPr>
                <w:rFonts w:ascii="Times New Roman"/>
                <w:spacing w:val="-1"/>
                <w:sz w:val="18"/>
              </w:rPr>
              <w:t>1,323,936.45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12,836.31</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4,051,322.43</w:t>
            </w:r>
          </w:p>
        </w:tc>
      </w:tr>
      <w:tr>
        <w:trPr>
          <w:trHeight w:val="388"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其中：机器设备</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221,445.15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z w:val="18"/>
              </w:rPr>
              <w:t>221,445.15</w:t>
            </w:r>
          </w:p>
        </w:tc>
      </w:tr>
      <w:tr>
        <w:trPr>
          <w:trHeight w:val="388"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8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1,462,116.52</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470,430.60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12,836.31</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1,932,547.12</w:t>
            </w:r>
          </w:p>
        </w:tc>
      </w:tr>
      <w:tr>
        <w:trPr>
          <w:trHeight w:val="386"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8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966,550.62</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521,938.14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1,475,652.45</w:t>
            </w:r>
          </w:p>
        </w:tc>
      </w:tr>
      <w:tr>
        <w:trPr>
          <w:trHeight w:val="388"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311,555.15</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110,122.56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z w:val="18"/>
              </w:rPr>
              <w:t>421,677.71</w:t>
            </w:r>
          </w:p>
        </w:tc>
      </w:tr>
      <w:tr>
        <w:trPr>
          <w:trHeight w:val="388"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3,861,610.85</w:t>
            </w:r>
          </w:p>
        </w:tc>
        <w:tc>
          <w:tcPr>
            <w:tcW w:w="2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5,167,420.79</w:t>
            </w:r>
          </w:p>
        </w:tc>
      </w:tr>
      <w:tr>
        <w:trPr>
          <w:trHeight w:val="388"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其中：机器设备</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321,965.80</w:t>
            </w:r>
          </w:p>
        </w:tc>
        <w:tc>
          <w:tcPr>
            <w:tcW w:w="2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1,982,620.33</w:t>
            </w:r>
          </w:p>
        </w:tc>
      </w:tr>
      <w:tr>
        <w:trPr>
          <w:trHeight w:val="388"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8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1,737,666.48</w:t>
            </w:r>
          </w:p>
        </w:tc>
        <w:tc>
          <w:tcPr>
            <w:tcW w:w="2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1,267,235.88</w:t>
            </w:r>
          </w:p>
        </w:tc>
      </w:tr>
      <w:tr>
        <w:trPr>
          <w:trHeight w:val="388"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8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1,491,100.71</w:t>
            </w:r>
          </w:p>
        </w:tc>
        <w:tc>
          <w:tcPr>
            <w:tcW w:w="2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1,694,931.84</w:t>
            </w:r>
          </w:p>
        </w:tc>
      </w:tr>
      <w:tr>
        <w:trPr>
          <w:trHeight w:val="388"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310,877.86</w:t>
            </w:r>
          </w:p>
        </w:tc>
        <w:tc>
          <w:tcPr>
            <w:tcW w:w="2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222,632.74</w:t>
            </w:r>
          </w:p>
        </w:tc>
      </w:tr>
      <w:tr>
        <w:trPr>
          <w:trHeight w:val="388"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2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z w:val="18"/>
              </w:rPr>
              <w:t>--</w:t>
            </w:r>
          </w:p>
        </w:tc>
      </w:tr>
      <w:tr>
        <w:trPr>
          <w:trHeight w:val="386"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其中：机器设备</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2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8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2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8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2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2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3,861,610.85</w:t>
            </w:r>
          </w:p>
        </w:tc>
        <w:tc>
          <w:tcPr>
            <w:tcW w:w="2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5,167,420.79</w:t>
            </w:r>
          </w:p>
        </w:tc>
      </w:tr>
      <w:tr>
        <w:trPr>
          <w:trHeight w:val="388"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其中：机器设备</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321,965.80</w:t>
            </w:r>
          </w:p>
        </w:tc>
        <w:tc>
          <w:tcPr>
            <w:tcW w:w="2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1,982,620.33</w:t>
            </w:r>
          </w:p>
        </w:tc>
      </w:tr>
      <w:tr>
        <w:trPr>
          <w:trHeight w:val="388"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8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1,737,666.48</w:t>
            </w:r>
          </w:p>
        </w:tc>
        <w:tc>
          <w:tcPr>
            <w:tcW w:w="2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1,267,235.88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1480" w:right="1500"/>
        </w:sectPr>
      </w:pPr>
    </w:p>
    <w:p>
      <w:pPr>
        <w:spacing w:line="240" w:lineRule="auto" w:before="6"/>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2476"/>
        <w:gridCol w:w="1489"/>
        <w:gridCol w:w="2202"/>
        <w:gridCol w:w="1170"/>
        <w:gridCol w:w="1346"/>
      </w:tblGrid>
      <w:tr>
        <w:trPr>
          <w:trHeight w:val="388"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6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39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88"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8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1,491,100.71</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1,694,931.84</w:t>
            </w:r>
          </w:p>
        </w:tc>
      </w:tr>
      <w:tr>
        <w:trPr>
          <w:trHeight w:val="388"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310,877.86</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222,632.74</w:t>
            </w:r>
          </w:p>
        </w:tc>
      </w:tr>
    </w:tbl>
    <w:p>
      <w:pPr>
        <w:spacing w:line="436" w:lineRule="auto" w:before="86"/>
        <w:ind w:left="583" w:right="131" w:firstLine="0"/>
        <w:jc w:val="left"/>
        <w:rPr>
          <w:rFonts w:ascii="宋体" w:hAnsi="宋体" w:cs="宋体" w:eastAsia="宋体" w:hint="default"/>
          <w:sz w:val="21"/>
          <w:szCs w:val="21"/>
        </w:rPr>
      </w:pPr>
      <w:r>
        <w:rPr>
          <w:rFonts w:ascii="宋体" w:hAnsi="宋体" w:cs="宋体" w:eastAsia="宋体" w:hint="default"/>
          <w:sz w:val="21"/>
          <w:szCs w:val="21"/>
        </w:rPr>
        <w:t>本期折旧额</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_1,323,936.45</w:t>
      </w:r>
      <w:r>
        <w:rPr>
          <w:rFonts w:ascii="Times New Roman" w:hAnsi="Times New Roman" w:cs="Times New Roman" w:eastAsia="Times New Roman" w:hint="default"/>
          <w:spacing w:val="-2"/>
          <w:sz w:val="21"/>
          <w:szCs w:val="21"/>
          <w:u w:val="single" w:color="000000"/>
        </w:rPr>
        <w:t> </w:t>
      </w:r>
      <w:r>
        <w:rPr>
          <w:rFonts w:ascii="Times New Roman" w:hAnsi="Times New Roman" w:cs="Times New Roman" w:eastAsia="Times New Roman" w:hint="default"/>
          <w:spacing w:val="-2"/>
          <w:sz w:val="21"/>
          <w:szCs w:val="21"/>
        </w:rPr>
      </w:r>
      <w:r>
        <w:rPr>
          <w:rFonts w:ascii="宋体" w:hAnsi="宋体" w:cs="宋体" w:eastAsia="宋体" w:hint="default"/>
          <w:sz w:val="21"/>
          <w:szCs w:val="21"/>
        </w:rPr>
        <w:t>元。 公司期末无暂时闲置、融资租赁租入、经营租赁租出、期末持有待售、未办妥产权证书的</w:t>
      </w:r>
    </w:p>
    <w:p>
      <w:pPr>
        <w:spacing w:line="237" w:lineRule="exact" w:before="0"/>
        <w:ind w:left="163" w:right="131" w:firstLine="0"/>
        <w:jc w:val="left"/>
        <w:rPr>
          <w:rFonts w:ascii="宋体" w:hAnsi="宋体" w:cs="宋体" w:eastAsia="宋体" w:hint="default"/>
          <w:sz w:val="21"/>
          <w:szCs w:val="21"/>
        </w:rPr>
      </w:pPr>
      <w:r>
        <w:rPr>
          <w:rFonts w:ascii="宋体" w:hAnsi="宋体" w:cs="宋体" w:eastAsia="宋体" w:hint="default"/>
          <w:sz w:val="21"/>
          <w:szCs w:val="21"/>
        </w:rPr>
        <w:t>固定资产。</w:t>
      </w:r>
    </w:p>
    <w:p>
      <w:pPr>
        <w:spacing w:line="240" w:lineRule="auto" w:before="5"/>
        <w:rPr>
          <w:rFonts w:ascii="宋体" w:hAnsi="宋体" w:cs="宋体" w:eastAsia="宋体" w:hint="default"/>
          <w:sz w:val="19"/>
          <w:szCs w:val="19"/>
        </w:rPr>
      </w:pPr>
    </w:p>
    <w:p>
      <w:pPr>
        <w:spacing w:line="436" w:lineRule="auto" w:before="0"/>
        <w:ind w:left="163" w:right="748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、无形资产</w:t>
      </w:r>
      <w:r>
        <w:rPr>
          <w:rFonts w:ascii="宋体" w:hAnsi="宋体" w:cs="宋体" w:eastAsia="宋体" w:hint="default"/>
          <w:b/>
          <w:bCs/>
          <w:spacing w:val="1"/>
          <w:w w:val="99"/>
          <w:sz w:val="21"/>
          <w:szCs w:val="21"/>
        </w:rPr>
        <w:t> </w:t>
      </w:r>
      <w:r>
        <w:rPr>
          <w:rFonts w:ascii="宋体" w:hAnsi="宋体" w:cs="宋体" w:eastAsia="宋体" w:hint="default"/>
          <w:sz w:val="21"/>
          <w:szCs w:val="21"/>
        </w:rPr>
        <w:t>无形资产情况</w:t>
      </w:r>
    </w:p>
    <w:p>
      <w:pPr>
        <w:spacing w:before="80"/>
        <w:ind w:left="0" w:right="11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2716"/>
        <w:gridCol w:w="1439"/>
        <w:gridCol w:w="1621"/>
        <w:gridCol w:w="1388"/>
        <w:gridCol w:w="1490"/>
      </w:tblGrid>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4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4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47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16"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62,600.00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587,366.91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z w:val="18"/>
              </w:rPr>
              <w:t>649,966.91</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16" w:right="0"/>
              <w:jc w:val="left"/>
              <w:rPr>
                <w:rFonts w:ascii="宋体" w:hAnsi="宋体" w:cs="宋体" w:eastAsia="宋体" w:hint="default"/>
                <w:sz w:val="18"/>
                <w:szCs w:val="18"/>
              </w:rPr>
            </w:pPr>
            <w:r>
              <w:rPr>
                <w:rFonts w:ascii="宋体" w:hAnsi="宋体" w:cs="宋体" w:eastAsia="宋体" w:hint="default"/>
                <w:sz w:val="18"/>
                <w:szCs w:val="18"/>
              </w:rPr>
              <w:t>金蝶财务软件</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26,300.00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z w:val="18"/>
              </w:rPr>
              <w:t>26,300.00</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16"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33,400.00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z w:val="18"/>
              </w:rPr>
              <w:t>33,400.00</w:t>
            </w:r>
          </w:p>
        </w:tc>
      </w:tr>
      <w:tr>
        <w:trPr>
          <w:trHeight w:val="386"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16" w:right="0"/>
              <w:jc w:val="left"/>
              <w:rPr>
                <w:rFonts w:ascii="宋体" w:hAnsi="宋体" w:cs="宋体" w:eastAsia="宋体" w:hint="default"/>
                <w:sz w:val="18"/>
                <w:szCs w:val="18"/>
              </w:rPr>
            </w:pPr>
            <w:r>
              <w:rPr>
                <w:rFonts w:ascii="宋体" w:hAnsi="宋体" w:cs="宋体" w:eastAsia="宋体" w:hint="default"/>
                <w:sz w:val="18"/>
                <w:szCs w:val="18"/>
              </w:rPr>
              <w:t>自主软件产品</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370,264.33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Times New Roman" w:hAnsi="Times New Roman" w:cs="Times New Roman" w:eastAsia="Times New Roman" w:hint="default"/>
                <w:sz w:val="18"/>
                <w:szCs w:val="18"/>
              </w:rPr>
            </w:pPr>
            <w:r>
              <w:rPr>
                <w:rFonts w:ascii="Times New Roman"/>
                <w:sz w:val="18"/>
              </w:rPr>
              <w:t>370,264.33</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16" w:right="0"/>
              <w:jc w:val="left"/>
              <w:rPr>
                <w:rFonts w:ascii="宋体" w:hAnsi="宋体" w:cs="宋体" w:eastAsia="宋体" w:hint="default"/>
                <w:sz w:val="18"/>
                <w:szCs w:val="18"/>
              </w:rPr>
            </w:pPr>
            <w:r>
              <w:rPr>
                <w:rFonts w:ascii="宋体" w:hAnsi="宋体" w:cs="宋体" w:eastAsia="宋体" w:hint="default"/>
                <w:sz w:val="18"/>
                <w:szCs w:val="18"/>
              </w:rPr>
              <w:t>银行票据防伪方法</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214,102.58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Times New Roman" w:hAnsi="Times New Roman" w:cs="Times New Roman" w:eastAsia="Times New Roman" w:hint="default"/>
                <w:sz w:val="18"/>
                <w:szCs w:val="18"/>
              </w:rPr>
            </w:pPr>
            <w:r>
              <w:rPr>
                <w:rFonts w:ascii="Times New Roman"/>
                <w:sz w:val="18"/>
              </w:rPr>
              <w:t>214,102.58</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16" w:right="0"/>
              <w:jc w:val="left"/>
              <w:rPr>
                <w:rFonts w:ascii="宋体" w:hAnsi="宋体" w:cs="宋体" w:eastAsia="宋体" w:hint="default"/>
                <w:sz w:val="18"/>
                <w:szCs w:val="18"/>
              </w:rPr>
            </w:pPr>
            <w:r>
              <w:rPr>
                <w:rFonts w:ascii="宋体" w:hAnsi="宋体" w:cs="宋体" w:eastAsia="宋体" w:hint="default"/>
                <w:sz w:val="18"/>
                <w:szCs w:val="18"/>
              </w:rPr>
              <w:t>商标及其他</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2,900.00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3,000.00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Times New Roman" w:hAnsi="Times New Roman" w:cs="Times New Roman" w:eastAsia="Times New Roman" w:hint="default"/>
                <w:sz w:val="18"/>
                <w:szCs w:val="18"/>
              </w:rPr>
            </w:pPr>
            <w:r>
              <w:rPr>
                <w:rFonts w:ascii="Times New Roman"/>
                <w:sz w:val="18"/>
              </w:rPr>
              <w:t>5,900.00</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16"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27,716.75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100,491.69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z w:val="18"/>
              </w:rPr>
              <w:t>128,208.44</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16" w:right="0"/>
              <w:jc w:val="left"/>
              <w:rPr>
                <w:rFonts w:ascii="宋体" w:hAnsi="宋体" w:cs="宋体" w:eastAsia="宋体" w:hint="default"/>
                <w:sz w:val="18"/>
                <w:szCs w:val="18"/>
              </w:rPr>
            </w:pPr>
            <w:r>
              <w:rPr>
                <w:rFonts w:ascii="宋体" w:hAnsi="宋体" w:cs="宋体" w:eastAsia="宋体" w:hint="default"/>
                <w:sz w:val="18"/>
                <w:szCs w:val="18"/>
              </w:rPr>
              <w:t>金蝶财务软件</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15,844.88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5,259.96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Times New Roman" w:hAnsi="Times New Roman" w:cs="Times New Roman" w:eastAsia="Times New Roman" w:hint="default"/>
                <w:sz w:val="18"/>
                <w:szCs w:val="18"/>
              </w:rPr>
            </w:pPr>
            <w:r>
              <w:rPr>
                <w:rFonts w:ascii="Times New Roman"/>
                <w:sz w:val="18"/>
              </w:rPr>
              <w:t>21,104.84</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16"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11,756.90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2,747.07</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Times New Roman" w:hAnsi="Times New Roman" w:cs="Times New Roman" w:eastAsia="Times New Roman" w:hint="default"/>
                <w:sz w:val="18"/>
                <w:szCs w:val="18"/>
              </w:rPr>
            </w:pPr>
            <w:r>
              <w:rPr>
                <w:rFonts w:ascii="Times New Roman"/>
                <w:sz w:val="18"/>
              </w:rPr>
              <w:t>14,503.97</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自主软件产品</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74,052.84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74,052.84</w:t>
            </w:r>
          </w:p>
        </w:tc>
      </w:tr>
      <w:tr>
        <w:trPr>
          <w:trHeight w:val="386"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银行票据防伪方法</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17,841.90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17,841.90</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商标及其他</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2"/>
                <w:sz w:val="18"/>
              </w:rPr>
              <w:t>114.97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589.92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z w:val="18"/>
              </w:rPr>
              <w:t>704.89</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34,883.25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z w:val="18"/>
              </w:rPr>
              <w:t>521,758.47</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金蝶财务软件</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10,455.12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z w:val="18"/>
              </w:rPr>
              <w:t>5,195.16</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21,643.10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z w:val="18"/>
              </w:rPr>
              <w:t>18,896.03</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自主软件产品</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296,211.49</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银行票据防伪方法</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z w:val="18"/>
              </w:rPr>
              <w:t>196,260.68</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商标及其他</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2,785.03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w w:val="95"/>
                <w:sz w:val="18"/>
              </w:rPr>
              <w:t>5,195.11</w:t>
            </w:r>
          </w:p>
        </w:tc>
      </w:tr>
      <w:tr>
        <w:trPr>
          <w:trHeight w:val="510"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w:t>
            </w:r>
          </w:p>
        </w:tc>
      </w:tr>
      <w:tr>
        <w:trPr>
          <w:trHeight w:val="386"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金蝶财务软件</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自主软件产品</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银行票据防伪方法</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1480" w:right="150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2716"/>
        <w:gridCol w:w="1439"/>
        <w:gridCol w:w="1621"/>
        <w:gridCol w:w="1388"/>
        <w:gridCol w:w="1490"/>
      </w:tblGrid>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4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4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47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商标及其他</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五、无形资产账面价值合计</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34,883.25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z w:val="18"/>
              </w:rPr>
              <w:t>521,758.47</w:t>
            </w:r>
          </w:p>
        </w:tc>
      </w:tr>
      <w:tr>
        <w:trPr>
          <w:trHeight w:val="386"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金蝶财务软件</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10,455.12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z w:val="18"/>
              </w:rPr>
              <w:t>5,195.16</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21,643.10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z w:val="18"/>
              </w:rPr>
              <w:t>18,896.03</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自主软件产品</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296,211.49</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银行票据防伪方法</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z w:val="18"/>
              </w:rPr>
              <w:t>196,260.68</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商标及其他</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2,785.03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w w:val="95"/>
                <w:sz w:val="18"/>
              </w:rPr>
              <w:t>5,195.11</w:t>
            </w:r>
          </w:p>
        </w:tc>
      </w:tr>
    </w:tbl>
    <w:p>
      <w:pPr>
        <w:spacing w:before="86"/>
        <w:ind w:left="564" w:right="273" w:firstLine="0"/>
        <w:jc w:val="left"/>
        <w:rPr>
          <w:rFonts w:ascii="宋体" w:hAnsi="宋体" w:cs="宋体" w:eastAsia="宋体" w:hint="default"/>
          <w:sz w:val="21"/>
          <w:szCs w:val="21"/>
        </w:rPr>
      </w:pPr>
      <w:r>
        <w:rPr>
          <w:rFonts w:ascii="宋体" w:hAnsi="宋体" w:cs="宋体" w:eastAsia="宋体" w:hint="default"/>
          <w:sz w:val="21"/>
          <w:szCs w:val="21"/>
        </w:rPr>
        <w:t>本期摊销额</w:t>
      </w:r>
      <w:r>
        <w:rPr>
          <w:rFonts w:ascii="Times New Roman" w:hAnsi="Times New Roman" w:cs="Times New Roman" w:eastAsia="Times New Roman" w:hint="default"/>
          <w:sz w:val="21"/>
          <w:szCs w:val="21"/>
        </w:rPr>
        <w:t>_</w:t>
      </w:r>
      <w:r>
        <w:rPr>
          <w:rFonts w:ascii="Times New Roman" w:hAnsi="Times New Roman" w:cs="Times New Roman" w:eastAsia="Times New Roman" w:hint="default"/>
          <w:sz w:val="21"/>
          <w:szCs w:val="21"/>
          <w:u w:val="single" w:color="000000"/>
        </w:rPr>
        <w:t>100,491.69</w:t>
      </w:r>
      <w:r>
        <w:rPr>
          <w:rFonts w:ascii="Times New Roman" w:hAnsi="Times New Roman" w:cs="Times New Roman" w:eastAsia="Times New Roman" w:hint="default"/>
          <w:spacing w:val="45"/>
          <w:sz w:val="21"/>
          <w:szCs w:val="21"/>
          <w:u w:val="single" w:color="000000"/>
        </w:rPr>
        <w:t> </w:t>
      </w:r>
      <w:r>
        <w:rPr>
          <w:rFonts w:ascii="Times New Roman" w:hAnsi="Times New Roman" w:cs="Times New Roman" w:eastAsia="Times New Roman" w:hint="default"/>
          <w:spacing w:val="45"/>
          <w:sz w:val="21"/>
          <w:szCs w:val="21"/>
        </w:rPr>
      </w:r>
      <w:r>
        <w:rPr>
          <w:rFonts w:ascii="宋体" w:hAnsi="宋体" w:cs="宋体" w:eastAsia="宋体" w:hint="default"/>
          <w:sz w:val="21"/>
          <w:szCs w:val="21"/>
        </w:rPr>
        <w:t>元。</w:t>
      </w:r>
    </w:p>
    <w:p>
      <w:pPr>
        <w:spacing w:line="240" w:lineRule="auto" w:before="3"/>
        <w:rPr>
          <w:rFonts w:ascii="宋体" w:hAnsi="宋体" w:cs="宋体" w:eastAsia="宋体" w:hint="default"/>
          <w:sz w:val="18"/>
          <w:szCs w:val="18"/>
        </w:rPr>
      </w:pPr>
    </w:p>
    <w:p>
      <w:pPr>
        <w:spacing w:before="0"/>
        <w:ind w:left="144"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、开发支出</w:t>
      </w:r>
      <w:r>
        <w:rPr>
          <w:rFonts w:ascii="宋体" w:hAnsi="宋体" w:cs="宋体" w:eastAsia="宋体" w:hint="default"/>
          <w:sz w:val="21"/>
          <w:szCs w:val="21"/>
        </w:rPr>
      </w:r>
    </w:p>
    <w:p>
      <w:pPr>
        <w:spacing w:line="240" w:lineRule="auto" w:before="5"/>
        <w:rPr>
          <w:rFonts w:ascii="宋体" w:hAnsi="宋体" w:cs="宋体" w:eastAsia="宋体" w:hint="default"/>
          <w:b/>
          <w:bCs/>
          <w:sz w:val="15"/>
          <w:szCs w:val="15"/>
        </w:rPr>
      </w:pPr>
    </w:p>
    <w:p>
      <w:pPr>
        <w:spacing w:before="35"/>
        <w:ind w:left="0" w:right="14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24" w:type="dxa"/>
        <w:tblLayout w:type="fixed"/>
        <w:tblCellMar>
          <w:top w:w="0" w:type="dxa"/>
          <w:left w:w="0" w:type="dxa"/>
          <w:bottom w:w="0" w:type="dxa"/>
          <w:right w:w="0" w:type="dxa"/>
        </w:tblCellMar>
        <w:tblLook w:val="01E0"/>
      </w:tblPr>
      <w:tblGrid>
        <w:gridCol w:w="1452"/>
        <w:gridCol w:w="1162"/>
        <w:gridCol w:w="1324"/>
        <w:gridCol w:w="1602"/>
        <w:gridCol w:w="1604"/>
        <w:gridCol w:w="1502"/>
      </w:tblGrid>
      <w:tr>
        <w:trPr>
          <w:trHeight w:val="388" w:hRule="exact"/>
        </w:trPr>
        <w:tc>
          <w:tcPr>
            <w:tcW w:w="1452"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2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2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15"/>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02" w:type="dxa"/>
            <w:vMerge w:val="restart"/>
            <w:tcBorders>
              <w:top w:val="single" w:sz="4" w:space="0" w:color="000000"/>
              <w:left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7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88" w:hRule="exact"/>
        </w:trPr>
        <w:tc>
          <w:tcPr>
            <w:tcW w:w="1452" w:type="dxa"/>
            <w:vMerge/>
            <w:tcBorders>
              <w:left w:val="nil" w:sz="6" w:space="0" w:color="auto"/>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1324" w:type="dxa"/>
            <w:vMerge/>
            <w:tcBorders>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96"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02" w:type="dxa"/>
            <w:vMerge/>
            <w:tcBorders>
              <w:left w:val="single" w:sz="4" w:space="0" w:color="000000"/>
              <w:bottom w:val="single" w:sz="4" w:space="0" w:color="000000"/>
              <w:right w:val="nil" w:sz="6" w:space="0" w:color="auto"/>
            </w:tcBorders>
          </w:tcPr>
          <w:p>
            <w:pPr/>
          </w:p>
        </w:tc>
      </w:tr>
      <w:tr>
        <w:trPr>
          <w:trHeight w:val="388"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全国影像</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511,307.20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1,346,126.57</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pacing w:val="-1"/>
                <w:sz w:val="18"/>
              </w:rPr>
              <w:t>1,857,433.77</w:t>
            </w:r>
          </w:p>
        </w:tc>
      </w:tr>
      <w:tr>
        <w:trPr>
          <w:trHeight w:val="388"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同城影像</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527,924.57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441,148.30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z w:val="18"/>
              </w:rPr>
              <w:t>969,072.87</w:t>
            </w:r>
          </w:p>
        </w:tc>
      </w:tr>
      <w:tr>
        <w:trPr>
          <w:trHeight w:val="386"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银企对账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419,195.70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2,568,147.22</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pacing w:val="-1"/>
                <w:sz w:val="18"/>
              </w:rPr>
              <w:t>2,987,342.92</w:t>
            </w:r>
          </w:p>
        </w:tc>
      </w:tr>
      <w:tr>
        <w:trPr>
          <w:trHeight w:val="388"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远程授权</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372,890.73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1,047,715.29</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370,264.33</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pacing w:val="-1"/>
                <w:sz w:val="18"/>
              </w:rPr>
              <w:t>1,050,341.69</w:t>
            </w:r>
          </w:p>
        </w:tc>
      </w:tr>
      <w:tr>
        <w:trPr>
          <w:trHeight w:val="388"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印控机</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203,875.27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2,043,915.20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pacing w:val="-1"/>
                <w:sz w:val="18"/>
              </w:rPr>
              <w:t>2,247,790.47</w:t>
            </w:r>
          </w:p>
        </w:tc>
      </w:tr>
      <w:tr>
        <w:trPr>
          <w:trHeight w:val="388"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回单打印机</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26,137.94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1,748,652.44</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pacing w:val="-1"/>
                <w:sz w:val="18"/>
              </w:rPr>
              <w:t>1,774,790.38</w:t>
            </w:r>
          </w:p>
        </w:tc>
      </w:tr>
      <w:tr>
        <w:trPr>
          <w:trHeight w:val="388"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影像平台和内容</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452,176.39</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z w:val="18"/>
              </w:rPr>
              <w:t>452,176.39</w:t>
            </w:r>
          </w:p>
        </w:tc>
      </w:tr>
      <w:tr>
        <w:trPr>
          <w:trHeight w:val="388"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整票验印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1,127,695.35</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pacing w:val="-1"/>
                <w:sz w:val="18"/>
              </w:rPr>
              <w:t>1,127,695.35</w:t>
            </w:r>
          </w:p>
        </w:tc>
      </w:tr>
      <w:tr>
        <w:trPr>
          <w:trHeight w:val="388"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印鉴卡管理柜</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325,436.49</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z w:val="18"/>
              </w:rPr>
              <w:t>325,436.49</w:t>
            </w:r>
          </w:p>
        </w:tc>
      </w:tr>
      <w:tr>
        <w:trPr>
          <w:trHeight w:val="388"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2,061,331.41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11,101,013.25</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370,264.33</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pacing w:val="-1"/>
                <w:sz w:val="18"/>
              </w:rPr>
              <w:t>12,792,080.33</w:t>
            </w:r>
          </w:p>
        </w:tc>
      </w:tr>
    </w:tbl>
    <w:p>
      <w:pPr>
        <w:spacing w:line="240" w:lineRule="auto" w:before="1"/>
        <w:rPr>
          <w:rFonts w:ascii="宋体" w:hAnsi="宋体" w:cs="宋体" w:eastAsia="宋体" w:hint="default"/>
          <w:sz w:val="13"/>
          <w:szCs w:val="13"/>
        </w:rPr>
      </w:pPr>
    </w:p>
    <w:p>
      <w:pPr>
        <w:spacing w:line="436" w:lineRule="auto" w:before="35"/>
        <w:ind w:left="564" w:right="130" w:firstLine="0"/>
        <w:jc w:val="left"/>
        <w:rPr>
          <w:rFonts w:ascii="宋体" w:hAnsi="宋体" w:cs="宋体" w:eastAsia="宋体" w:hint="default"/>
          <w:sz w:val="21"/>
          <w:szCs w:val="21"/>
        </w:rPr>
      </w:pPr>
      <w:r>
        <w:rPr>
          <w:rFonts w:ascii="宋体" w:hAnsi="宋体" w:cs="宋体" w:eastAsia="宋体" w:hint="default"/>
          <w:sz w:val="21"/>
          <w:szCs w:val="21"/>
        </w:rPr>
        <w:t>本期开发支出占本期研究开发项目支出总额的比例</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_49.10%</w:t>
      </w:r>
      <w:r>
        <w:rPr>
          <w:rFonts w:ascii="Times New Roman" w:hAnsi="Times New Roman" w:cs="Times New Roman" w:eastAsia="Times New Roman" w:hint="default"/>
          <w:sz w:val="21"/>
          <w:szCs w:val="21"/>
        </w:rPr>
        <w:t>_</w:t>
      </w:r>
      <w:r>
        <w:rPr>
          <w:rFonts w:ascii="宋体" w:hAnsi="宋体" w:cs="宋体" w:eastAsia="宋体" w:hint="default"/>
          <w:sz w:val="21"/>
          <w:szCs w:val="21"/>
        </w:rPr>
        <w:t>。 通过公司内部研发形成的无形资产占无形资产期末账面价值的比例</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_56.77%</w:t>
      </w:r>
      <w:r>
        <w:rPr>
          <w:rFonts w:ascii="Times New Roman" w:hAnsi="Times New Roman" w:cs="Times New Roman" w:eastAsia="Times New Roman" w:hint="default"/>
          <w:sz w:val="21"/>
          <w:szCs w:val="21"/>
        </w:rPr>
        <w:t>_</w:t>
      </w:r>
      <w:r>
        <w:rPr>
          <w:rFonts w:ascii="宋体" w:hAnsi="宋体" w:cs="宋体" w:eastAsia="宋体" w:hint="default"/>
          <w:sz w:val="21"/>
          <w:szCs w:val="21"/>
        </w:rPr>
        <w:t>。 开发项目支出是本公司研发部门发生的符合资本化条件的研发支出，其中：全国影像、同</w:t>
      </w:r>
    </w:p>
    <w:p>
      <w:pPr>
        <w:spacing w:line="236" w:lineRule="exact" w:before="0"/>
        <w:ind w:left="144" w:right="0" w:firstLine="0"/>
        <w:jc w:val="left"/>
        <w:rPr>
          <w:rFonts w:ascii="宋体" w:hAnsi="宋体" w:cs="宋体" w:eastAsia="宋体" w:hint="default"/>
          <w:sz w:val="21"/>
          <w:szCs w:val="21"/>
        </w:rPr>
      </w:pPr>
      <w:r>
        <w:rPr>
          <w:rFonts w:ascii="宋体" w:hAnsi="宋体" w:cs="宋体" w:eastAsia="宋体" w:hint="default"/>
          <w:sz w:val="21"/>
          <w:szCs w:val="21"/>
        </w:rPr>
        <w:t>城影像、银企对账三项研发项目，分别为商业银行全国票据影像交换业务处理系统升级改造项</w:t>
      </w:r>
    </w:p>
    <w:p>
      <w:pPr>
        <w:spacing w:line="336" w:lineRule="auto" w:before="134"/>
        <w:ind w:left="144" w:right="124" w:firstLine="0"/>
        <w:jc w:val="left"/>
        <w:rPr>
          <w:rFonts w:ascii="宋体" w:hAnsi="宋体" w:cs="宋体" w:eastAsia="宋体" w:hint="default"/>
          <w:sz w:val="21"/>
          <w:szCs w:val="21"/>
        </w:rPr>
      </w:pPr>
      <w:r>
        <w:rPr>
          <w:rFonts w:ascii="宋体" w:hAnsi="宋体" w:cs="宋体" w:eastAsia="宋体" w:hint="default"/>
          <w:sz w:val="21"/>
          <w:szCs w:val="21"/>
        </w:rPr>
        <w:t>目、商业银行同城票据影像交换业务处理系统、银企对账管理系统，是本公司</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募集资金投 资项目。</w:t>
      </w:r>
    </w:p>
    <w:p>
      <w:pPr>
        <w:spacing w:line="357" w:lineRule="auto" w:before="169"/>
        <w:ind w:left="144" w:right="138" w:firstLine="420"/>
        <w:jc w:val="both"/>
        <w:rPr>
          <w:rFonts w:ascii="宋体" w:hAnsi="宋体" w:cs="宋体" w:eastAsia="宋体" w:hint="default"/>
          <w:sz w:val="21"/>
          <w:szCs w:val="21"/>
        </w:rPr>
      </w:pPr>
      <w:r>
        <w:rPr>
          <w:rFonts w:ascii="宋体" w:hAnsi="宋体" w:cs="宋体" w:eastAsia="宋体" w:hint="default"/>
          <w:sz w:val="21"/>
          <w:szCs w:val="21"/>
        </w:rPr>
        <w:t>本公司对符合会计准则的研发项目资本化的条件，在《研发项目立项申请书》获得批准， 且承担项目开发的具体开发部门（人员）落实到位后，将开发部门（人员）所发生的开发支出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予以资本化。</w:t>
      </w:r>
    </w:p>
    <w:p>
      <w:pPr>
        <w:spacing w:after="0" w:line="357" w:lineRule="auto"/>
        <w:jc w:val="both"/>
        <w:rPr>
          <w:rFonts w:ascii="宋体" w:hAnsi="宋体" w:cs="宋体" w:eastAsia="宋体" w:hint="default"/>
          <w:sz w:val="21"/>
          <w:szCs w:val="21"/>
        </w:rPr>
        <w:sectPr>
          <w:pgSz w:w="11910" w:h="16840"/>
          <w:pgMar w:header="877" w:footer="982" w:top="1100" w:bottom="1180" w:left="1500" w:right="1500"/>
        </w:sectPr>
      </w:pPr>
    </w:p>
    <w:p>
      <w:pPr>
        <w:spacing w:line="240" w:lineRule="auto" w:before="2"/>
        <w:rPr>
          <w:rFonts w:ascii="宋体" w:hAnsi="宋体" w:cs="宋体" w:eastAsia="宋体" w:hint="default"/>
          <w:sz w:val="19"/>
          <w:szCs w:val="19"/>
        </w:rPr>
      </w:pPr>
    </w:p>
    <w:p>
      <w:pPr>
        <w:spacing w:before="35"/>
        <w:ind w:left="164" w:right="1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5"/>
        <w:rPr>
          <w:rFonts w:ascii="宋体" w:hAnsi="宋体" w:cs="宋体" w:eastAsia="宋体" w:hint="default"/>
          <w:b/>
          <w:bCs/>
          <w:sz w:val="15"/>
          <w:szCs w:val="15"/>
        </w:rPr>
      </w:pPr>
    </w:p>
    <w:p>
      <w:pPr>
        <w:spacing w:before="35"/>
        <w:ind w:left="0" w:right="11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1619"/>
        <w:gridCol w:w="1132"/>
        <w:gridCol w:w="1132"/>
        <w:gridCol w:w="1134"/>
        <w:gridCol w:w="1133"/>
        <w:gridCol w:w="958"/>
        <w:gridCol w:w="1586"/>
      </w:tblGrid>
      <w:tr>
        <w:trPr>
          <w:trHeight w:val="388" w:hRule="exact"/>
        </w:trPr>
        <w:tc>
          <w:tcPr>
            <w:tcW w:w="1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9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10"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11"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11"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04"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388" w:hRule="exact"/>
        </w:trPr>
        <w:tc>
          <w:tcPr>
            <w:tcW w:w="1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北京办事处装修</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4,083.19</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4"/>
              <w:jc w:val="right"/>
              <w:rPr>
                <w:rFonts w:ascii="Times New Roman" w:hAnsi="Times New Roman" w:cs="Times New Roman" w:eastAsia="Times New Roman" w:hint="default"/>
                <w:sz w:val="18"/>
                <w:szCs w:val="18"/>
              </w:rPr>
            </w:pPr>
            <w:r>
              <w:rPr>
                <w:rFonts w:ascii="Times New Roman"/>
                <w:sz w:val="18"/>
              </w:rPr>
              <w:t>3,500.04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583.15</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3"/>
              <w:jc w:val="center"/>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1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办公室装修</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44,848.80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4"/>
              <w:jc w:val="right"/>
              <w:rPr>
                <w:rFonts w:ascii="Times New Roman" w:hAnsi="Times New Roman" w:cs="Times New Roman" w:eastAsia="Times New Roman" w:hint="default"/>
                <w:sz w:val="18"/>
                <w:szCs w:val="18"/>
              </w:rPr>
            </w:pPr>
            <w:r>
              <w:rPr>
                <w:rFonts w:ascii="Times New Roman"/>
                <w:sz w:val="18"/>
              </w:rPr>
              <w:t>22,424.40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22,424.40</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3"/>
              <w:jc w:val="center"/>
              <w:rPr>
                <w:rFonts w:ascii="Times New Roman" w:hAnsi="Times New Roman" w:cs="Times New Roman" w:eastAsia="Times New Roman" w:hint="default"/>
                <w:sz w:val="18"/>
                <w:szCs w:val="18"/>
              </w:rPr>
            </w:pPr>
            <w:r>
              <w:rPr>
                <w:rFonts w:ascii="Times New Roman"/>
                <w:sz w:val="18"/>
              </w:rPr>
              <w:t>--</w:t>
            </w:r>
          </w:p>
        </w:tc>
      </w:tr>
      <w:tr>
        <w:trPr>
          <w:trHeight w:val="620" w:hRule="exact"/>
        </w:trPr>
        <w:tc>
          <w:tcPr>
            <w:tcW w:w="1619"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64"/>
              <w:ind w:left="44"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办公室装修</w:t>
            </w:r>
            <w:r>
              <w:rPr>
                <w:rFonts w:ascii="Times New Roman" w:hAnsi="Times New Roman" w:cs="Times New Roman" w:eastAsia="Times New Roman" w:hint="default"/>
                <w:sz w:val="18"/>
                <w:szCs w:val="18"/>
              </w:rPr>
              <w:t>(</w:t>
            </w:r>
            <w:r>
              <w:rPr>
                <w:rFonts w:ascii="宋体" w:hAnsi="宋体" w:cs="宋体" w:eastAsia="宋体" w:hint="default"/>
                <w:sz w:val="18"/>
                <w:szCs w:val="18"/>
              </w:rPr>
              <w:t>金融基 地</w:t>
            </w:r>
            <w:r>
              <w:rPr>
                <w:rFonts w:ascii="Times New Roman" w:hAnsi="Times New Roman" w:cs="Times New Roman" w:eastAsia="Times New Roman" w:hint="default"/>
                <w:sz w:val="18"/>
                <w:szCs w:val="18"/>
              </w:rPr>
              <w:t>)</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513,952.50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152,200.00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136,331.96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529,820.54</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r>
      <w:tr>
        <w:trPr>
          <w:trHeight w:val="622" w:hRule="exact"/>
        </w:trPr>
        <w:tc>
          <w:tcPr>
            <w:tcW w:w="1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127"/>
              <w:jc w:val="left"/>
              <w:rPr>
                <w:rFonts w:ascii="宋体" w:hAnsi="宋体" w:cs="宋体" w:eastAsia="宋体" w:hint="default"/>
                <w:sz w:val="18"/>
                <w:szCs w:val="18"/>
              </w:rPr>
            </w:pPr>
            <w:r>
              <w:rPr>
                <w:rFonts w:ascii="宋体" w:hAnsi="宋体" w:cs="宋体" w:eastAsia="宋体" w:hint="default"/>
                <w:sz w:val="18"/>
                <w:szCs w:val="18"/>
              </w:rPr>
              <w:t>高新技术产品责任 险</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263,541.67</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200,000.04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263,541.67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199,999.96</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2"/>
              <w:jc w:val="center"/>
              <w:rPr>
                <w:rFonts w:ascii="宋体" w:hAnsi="宋体" w:cs="宋体" w:eastAsia="宋体" w:hint="default"/>
                <w:sz w:val="18"/>
                <w:szCs w:val="18"/>
              </w:rPr>
            </w:pPr>
            <w:r>
              <w:rPr>
                <w:rFonts w:ascii="宋体" w:hAnsi="宋体" w:cs="宋体" w:eastAsia="宋体" w:hint="default"/>
                <w:sz w:val="18"/>
                <w:szCs w:val="18"/>
              </w:rPr>
              <w:t>合同重签</w:t>
            </w:r>
          </w:p>
        </w:tc>
      </w:tr>
      <w:tr>
        <w:trPr>
          <w:trHeight w:val="388" w:hRule="exact"/>
        </w:trPr>
        <w:tc>
          <w:tcPr>
            <w:tcW w:w="1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826,426.16</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552,200.00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4"/>
              <w:jc w:val="right"/>
              <w:rPr>
                <w:rFonts w:ascii="Times New Roman" w:hAnsi="Times New Roman" w:cs="Times New Roman" w:eastAsia="Times New Roman" w:hint="default"/>
                <w:sz w:val="18"/>
                <w:szCs w:val="18"/>
              </w:rPr>
            </w:pPr>
            <w:r>
              <w:rPr>
                <w:rFonts w:ascii="Times New Roman"/>
                <w:sz w:val="18"/>
              </w:rPr>
              <w:t>362,256.44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263,541.67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752,828.05</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3"/>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3"/>
          <w:szCs w:val="13"/>
        </w:rPr>
      </w:pPr>
    </w:p>
    <w:p>
      <w:pPr>
        <w:spacing w:before="35"/>
        <w:ind w:left="584" w:right="1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、办公室装修</w:t>
      </w:r>
      <w:r>
        <w:rPr>
          <w:rFonts w:ascii="Times New Roman" w:hAnsi="Times New Roman" w:cs="Times New Roman" w:eastAsia="Times New Roman" w:hint="default"/>
          <w:sz w:val="21"/>
          <w:szCs w:val="21"/>
        </w:rPr>
        <w:t>(</w:t>
      </w:r>
      <w:r>
        <w:rPr>
          <w:rFonts w:ascii="宋体" w:hAnsi="宋体" w:cs="宋体" w:eastAsia="宋体" w:hint="default"/>
          <w:sz w:val="21"/>
          <w:szCs w:val="21"/>
        </w:rPr>
        <w:t>金融基地</w:t>
      </w:r>
      <w:r>
        <w:rPr>
          <w:rFonts w:ascii="Times New Roman" w:hAnsi="Times New Roman" w:cs="Times New Roman" w:eastAsia="Times New Roman" w:hint="default"/>
          <w:sz w:val="21"/>
          <w:szCs w:val="21"/>
        </w:rPr>
        <w:t>)</w:t>
      </w:r>
      <w:r>
        <w:rPr>
          <w:rFonts w:ascii="宋体" w:hAnsi="宋体" w:cs="宋体" w:eastAsia="宋体" w:hint="default"/>
          <w:sz w:val="21"/>
          <w:szCs w:val="21"/>
        </w:rPr>
        <w:t>是装修新租赁的位于金融服务技术创新基地办公用房。</w:t>
      </w:r>
    </w:p>
    <w:p>
      <w:pPr>
        <w:spacing w:line="240" w:lineRule="auto" w:before="2"/>
        <w:rPr>
          <w:rFonts w:ascii="宋体" w:hAnsi="宋体" w:cs="宋体" w:eastAsia="宋体" w:hint="default"/>
          <w:sz w:val="18"/>
          <w:szCs w:val="18"/>
        </w:rPr>
      </w:pPr>
    </w:p>
    <w:p>
      <w:pPr>
        <w:spacing w:line="343" w:lineRule="auto" w:before="0"/>
        <w:ind w:left="163" w:right="139" w:firstLine="420"/>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月，本公司向中国人民财产保险股份有限公司深圳分公司购买高新技术产品 责任险，期限为自</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日。后于</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月，本公司与中国 </w:t>
      </w:r>
      <w:r>
        <w:rPr>
          <w:rFonts w:ascii="宋体" w:hAnsi="宋体" w:cs="宋体" w:eastAsia="宋体" w:hint="default"/>
          <w:spacing w:val="5"/>
          <w:sz w:val="21"/>
          <w:szCs w:val="21"/>
        </w:rPr>
        <w:t>人民财产保险股份有限公司深圳分公司重新修订高新技术产品责任险保险单，期限变更为自</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日，保险费变更为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p>
      <w:pPr>
        <w:spacing w:line="436" w:lineRule="auto" w:before="137"/>
        <w:ind w:left="163" w:right="349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、递延所得税资产</w:t>
      </w:r>
      <w:r>
        <w:rPr>
          <w:rFonts w:ascii="宋体" w:hAnsi="宋体" w:cs="宋体" w:eastAsia="宋体" w:hint="default"/>
          <w:b/>
          <w:bCs/>
          <w:spacing w:val="1"/>
          <w:w w:val="99"/>
          <w:sz w:val="21"/>
          <w:szCs w:val="21"/>
        </w:rPr>
        <w:t> </w:t>
      </w:r>
      <w:r>
        <w:rPr>
          <w:rFonts w:ascii="宋体" w:hAnsi="宋体" w:cs="宋体" w:eastAsia="宋体" w:hint="default"/>
          <w:sz w:val="21"/>
          <w:szCs w:val="21"/>
        </w:rPr>
        <w:t>递延所得税资产和递延所得税负债不以抵销后的净额列示</w:t>
      </w:r>
    </w:p>
    <w:p>
      <w:pPr>
        <w:spacing w:before="81"/>
        <w:ind w:left="583" w:right="1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）已确认的递延所得税资产和递延所得税负债</w:t>
      </w:r>
    </w:p>
    <w:p>
      <w:pPr>
        <w:spacing w:line="240" w:lineRule="auto" w:before="1"/>
        <w:rPr>
          <w:rFonts w:ascii="宋体" w:hAnsi="宋体" w:cs="宋体" w:eastAsia="宋体" w:hint="default"/>
          <w:sz w:val="18"/>
          <w:szCs w:val="18"/>
        </w:rPr>
      </w:pPr>
    </w:p>
    <w:p>
      <w:pPr>
        <w:spacing w:before="0"/>
        <w:ind w:left="0" w:right="11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3434"/>
        <w:gridCol w:w="2590"/>
        <w:gridCol w:w="2630"/>
      </w:tblGrid>
      <w:tr>
        <w:trPr>
          <w:trHeight w:val="38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9"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8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2590" w:type="dxa"/>
            <w:tcBorders>
              <w:top w:val="single" w:sz="4" w:space="0" w:color="000000"/>
              <w:left w:val="single" w:sz="4" w:space="0" w:color="000000"/>
              <w:bottom w:val="single" w:sz="4" w:space="0" w:color="000000"/>
              <w:right w:val="single" w:sz="4" w:space="0" w:color="000000"/>
            </w:tcBorders>
          </w:tcPr>
          <w:p>
            <w:pPr/>
          </w:p>
        </w:tc>
        <w:tc>
          <w:tcPr>
            <w:tcW w:w="2630"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911,071.12</w:t>
            </w:r>
          </w:p>
        </w:tc>
        <w:tc>
          <w:tcPr>
            <w:tcW w:w="2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z w:val="18"/>
              </w:rPr>
              <w:t>505,567.75</w:t>
            </w:r>
          </w:p>
        </w:tc>
      </w:tr>
      <w:tr>
        <w:trPr>
          <w:trHeight w:val="38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87,748.97</w:t>
            </w:r>
          </w:p>
        </w:tc>
        <w:tc>
          <w:tcPr>
            <w:tcW w:w="2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998,820.09</w:t>
            </w:r>
          </w:p>
        </w:tc>
        <w:tc>
          <w:tcPr>
            <w:tcW w:w="2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z w:val="18"/>
              </w:rPr>
              <w:t>505,567.75</w:t>
            </w:r>
          </w:p>
        </w:tc>
      </w:tr>
    </w:tbl>
    <w:p>
      <w:pPr>
        <w:spacing w:line="240" w:lineRule="auto" w:before="4"/>
        <w:rPr>
          <w:rFonts w:ascii="宋体" w:hAnsi="宋体" w:cs="宋体" w:eastAsia="宋体" w:hint="default"/>
          <w:sz w:val="22"/>
          <w:szCs w:val="22"/>
        </w:rPr>
      </w:pPr>
    </w:p>
    <w:p>
      <w:pPr>
        <w:spacing w:before="35"/>
        <w:ind w:left="584" w:right="1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）应纳税差异和可抵扣差异项目明细</w:t>
      </w:r>
    </w:p>
    <w:p>
      <w:pPr>
        <w:spacing w:line="240" w:lineRule="auto" w:before="6"/>
        <w:rPr>
          <w:rFonts w:ascii="宋体" w:hAnsi="宋体" w:cs="宋体" w:eastAsia="宋体" w:hint="default"/>
          <w:sz w:val="15"/>
          <w:szCs w:val="15"/>
        </w:rPr>
      </w:pPr>
    </w:p>
    <w:p>
      <w:pPr>
        <w:spacing w:before="35"/>
        <w:ind w:left="0" w:right="22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4354"/>
        <w:gridCol w:w="4339"/>
      </w:tblGrid>
      <w:tr>
        <w:trPr>
          <w:trHeight w:val="388" w:hRule="exact"/>
        </w:trPr>
        <w:tc>
          <w:tcPr>
            <w:tcW w:w="4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86" w:hRule="exact"/>
        </w:trPr>
        <w:tc>
          <w:tcPr>
            <w:tcW w:w="4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应收账款计提</w:t>
            </w:r>
          </w:p>
        </w:tc>
        <w:tc>
          <w:tcPr>
            <w:tcW w:w="4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5,538,259.71</w:t>
            </w:r>
          </w:p>
        </w:tc>
      </w:tr>
      <w:tr>
        <w:trPr>
          <w:trHeight w:val="388" w:hRule="exact"/>
        </w:trPr>
        <w:tc>
          <w:tcPr>
            <w:tcW w:w="4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其他应收款计提</w:t>
            </w:r>
          </w:p>
        </w:tc>
        <w:tc>
          <w:tcPr>
            <w:tcW w:w="4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z w:val="18"/>
              </w:rPr>
              <w:t>534,563.61</w:t>
            </w:r>
          </w:p>
        </w:tc>
      </w:tr>
      <w:tr>
        <w:trPr>
          <w:trHeight w:val="388" w:hRule="exact"/>
        </w:trPr>
        <w:tc>
          <w:tcPr>
            <w:tcW w:w="4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4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z w:val="18"/>
              </w:rPr>
              <w:t>350,995.87</w:t>
            </w:r>
          </w:p>
        </w:tc>
      </w:tr>
      <w:tr>
        <w:trPr>
          <w:trHeight w:val="388" w:hRule="exact"/>
        </w:trPr>
        <w:tc>
          <w:tcPr>
            <w:tcW w:w="4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28"/>
              <w:jc w:val="right"/>
              <w:rPr>
                <w:rFonts w:ascii="Times New Roman" w:hAnsi="Times New Roman" w:cs="Times New Roman" w:eastAsia="Times New Roman" w:hint="default"/>
                <w:sz w:val="18"/>
                <w:szCs w:val="18"/>
              </w:rPr>
            </w:pPr>
            <w:r>
              <w:rPr>
                <w:rFonts w:ascii="Times New Roman"/>
                <w:spacing w:val="-1"/>
                <w:sz w:val="18"/>
              </w:rPr>
              <w:t>6,423,819.19</w:t>
            </w:r>
          </w:p>
        </w:tc>
      </w:tr>
    </w:tbl>
    <w:p>
      <w:pPr>
        <w:spacing w:line="240" w:lineRule="auto" w:before="1"/>
        <w:rPr>
          <w:rFonts w:ascii="宋体" w:hAnsi="宋体" w:cs="宋体" w:eastAsia="宋体" w:hint="default"/>
          <w:sz w:val="13"/>
          <w:szCs w:val="13"/>
        </w:rPr>
      </w:pPr>
    </w:p>
    <w:p>
      <w:pPr>
        <w:spacing w:before="35"/>
        <w:ind w:left="584" w:right="131" w:firstLine="0"/>
        <w:jc w:val="left"/>
        <w:rPr>
          <w:rFonts w:ascii="宋体" w:hAnsi="宋体" w:cs="宋体" w:eastAsia="宋体" w:hint="default"/>
          <w:sz w:val="21"/>
          <w:szCs w:val="21"/>
        </w:rPr>
      </w:pPr>
      <w:r>
        <w:rPr>
          <w:rFonts w:ascii="宋体" w:hAnsi="宋体" w:cs="宋体" w:eastAsia="宋体" w:hint="default"/>
          <w:sz w:val="21"/>
          <w:szCs w:val="21"/>
        </w:rPr>
        <w:t>递延所得税资产和递延所得税负债的说明：</w:t>
      </w:r>
    </w:p>
    <w:p>
      <w:pPr>
        <w:spacing w:after="0"/>
        <w:jc w:val="left"/>
        <w:rPr>
          <w:rFonts w:ascii="宋体" w:hAnsi="宋体" w:cs="宋体" w:eastAsia="宋体" w:hint="default"/>
          <w:sz w:val="21"/>
          <w:szCs w:val="21"/>
        </w:rPr>
        <w:sectPr>
          <w:footerReference w:type="default" r:id="rId32"/>
          <w:pgSz w:w="11910" w:h="16840"/>
          <w:pgMar w:footer="982" w:header="877" w:top="1100" w:bottom="1180" w:left="1480" w:right="1500"/>
        </w:sectPr>
      </w:pPr>
    </w:p>
    <w:p>
      <w:pPr>
        <w:spacing w:line="240" w:lineRule="auto" w:before="2"/>
        <w:rPr>
          <w:rFonts w:ascii="宋体" w:hAnsi="宋体" w:cs="宋体" w:eastAsia="宋体" w:hint="default"/>
          <w:sz w:val="19"/>
          <w:szCs w:val="19"/>
        </w:rPr>
      </w:pPr>
    </w:p>
    <w:p>
      <w:pPr>
        <w:spacing w:line="357" w:lineRule="auto" w:before="35"/>
        <w:ind w:left="244" w:right="218" w:firstLine="420"/>
        <w:jc w:val="both"/>
        <w:rPr>
          <w:rFonts w:ascii="宋体" w:hAnsi="宋体" w:cs="宋体" w:eastAsia="宋体" w:hint="default"/>
          <w:sz w:val="21"/>
          <w:szCs w:val="21"/>
        </w:rPr>
      </w:pPr>
      <w:r>
        <w:rPr>
          <w:rFonts w:ascii="宋体" w:hAnsi="宋体" w:cs="宋体" w:eastAsia="宋体" w:hint="default"/>
          <w:sz w:val="21"/>
          <w:szCs w:val="21"/>
        </w:rPr>
        <w:t>本公司的递延所得税资产是由资产减值准备和可抵扣亏损引起可抵扣暂时性差异形成的， 资产减值准备引起可抵扣暂时性差异形成的为应收帐款、其他应收款计提的坏账准备形成的所</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得税资产；可抵扣亏损引起可抵扣暂时性差异形成的为根据税法规定可用以后年度税前利润弥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补的亏损产生的所得税资产。</w:t>
      </w:r>
    </w:p>
    <w:p>
      <w:pPr>
        <w:spacing w:before="151"/>
        <w:ind w:left="243" w:right="2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、资产减值准备明细</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8"/>
        <w:rPr>
          <w:rFonts w:ascii="宋体" w:hAnsi="宋体" w:cs="宋体" w:eastAsia="宋体" w:hint="default"/>
          <w:b/>
          <w:bCs/>
          <w:sz w:val="23"/>
          <w:szCs w:val="23"/>
        </w:rPr>
      </w:pPr>
    </w:p>
    <w:p>
      <w:pPr>
        <w:spacing w:before="0"/>
        <w:ind w:left="0" w:right="19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224" w:type="dxa"/>
        <w:tblLayout w:type="fixed"/>
        <w:tblCellMar>
          <w:top w:w="0" w:type="dxa"/>
          <w:left w:w="0" w:type="dxa"/>
          <w:bottom w:w="0" w:type="dxa"/>
          <w:right w:w="0" w:type="dxa"/>
        </w:tblCellMar>
        <w:tblLook w:val="01E0"/>
      </w:tblPr>
      <w:tblGrid>
        <w:gridCol w:w="2174"/>
        <w:gridCol w:w="1319"/>
        <w:gridCol w:w="1319"/>
        <w:gridCol w:w="1202"/>
        <w:gridCol w:w="1204"/>
        <w:gridCol w:w="1394"/>
      </w:tblGrid>
      <w:tr>
        <w:trPr>
          <w:trHeight w:val="388" w:hRule="exact"/>
        </w:trPr>
        <w:tc>
          <w:tcPr>
            <w:tcW w:w="2174"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1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1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4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94" w:type="dxa"/>
            <w:vMerge w:val="restart"/>
            <w:tcBorders>
              <w:top w:val="single" w:sz="4" w:space="0" w:color="000000"/>
              <w:left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88" w:hRule="exact"/>
        </w:trPr>
        <w:tc>
          <w:tcPr>
            <w:tcW w:w="2174" w:type="dxa"/>
            <w:vMerge/>
            <w:tcBorders>
              <w:left w:val="nil" w:sz="6" w:space="0" w:color="auto"/>
              <w:bottom w:val="single" w:sz="4" w:space="0" w:color="000000"/>
              <w:right w:val="single" w:sz="4" w:space="0" w:color="000000"/>
            </w:tcBorders>
          </w:tcPr>
          <w:p>
            <w:pPr/>
          </w:p>
        </w:tc>
        <w:tc>
          <w:tcPr>
            <w:tcW w:w="1319" w:type="dxa"/>
            <w:vMerge/>
            <w:tcBorders>
              <w:left w:val="single" w:sz="4" w:space="0" w:color="000000"/>
              <w:bottom w:val="single" w:sz="4" w:space="0" w:color="000000"/>
              <w:right w:val="single" w:sz="4" w:space="0" w:color="000000"/>
            </w:tcBorders>
          </w:tcPr>
          <w:p>
            <w:pPr/>
          </w:p>
        </w:tc>
        <w:tc>
          <w:tcPr>
            <w:tcW w:w="1319" w:type="dxa"/>
            <w:vMerge/>
            <w:tcBorders>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394" w:type="dxa"/>
            <w:vMerge/>
            <w:tcBorders>
              <w:left w:val="single" w:sz="4" w:space="0" w:color="000000"/>
              <w:bottom w:val="single" w:sz="4" w:space="0" w:color="000000"/>
              <w:right w:val="nil" w:sz="6" w:space="0" w:color="auto"/>
            </w:tcBorders>
          </w:tcPr>
          <w:p>
            <w:pPr/>
          </w:p>
        </w:tc>
      </w:tr>
      <w:tr>
        <w:trPr>
          <w:trHeight w:val="38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5,055,262.22</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1,017,561.10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6,072,823.32</w:t>
            </w:r>
          </w:p>
        </w:tc>
      </w:tr>
      <w:tr>
        <w:trPr>
          <w:trHeight w:val="38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5,055,262.22</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1,017,561.10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3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6,072,823.32</w:t>
            </w:r>
          </w:p>
        </w:tc>
      </w:tr>
    </w:tbl>
    <w:p>
      <w:pPr>
        <w:spacing w:line="240" w:lineRule="auto" w:before="4"/>
        <w:rPr>
          <w:rFonts w:ascii="宋体" w:hAnsi="宋体" w:cs="宋体" w:eastAsia="宋体" w:hint="default"/>
          <w:sz w:val="22"/>
          <w:szCs w:val="22"/>
        </w:rPr>
      </w:pPr>
    </w:p>
    <w:p>
      <w:pPr>
        <w:spacing w:before="35"/>
        <w:ind w:left="244" w:right="2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243" w:right="2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）应付账款账龄分析：</w:t>
      </w:r>
    </w:p>
    <w:p>
      <w:pPr>
        <w:spacing w:line="240" w:lineRule="auto" w:before="5"/>
        <w:rPr>
          <w:rFonts w:ascii="宋体" w:hAnsi="宋体" w:cs="宋体" w:eastAsia="宋体" w:hint="default"/>
          <w:sz w:val="15"/>
          <w:szCs w:val="15"/>
        </w:rPr>
      </w:pPr>
    </w:p>
    <w:p>
      <w:pPr>
        <w:spacing w:before="35"/>
        <w:ind w:left="0" w:right="19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879"/>
        <w:gridCol w:w="2984"/>
        <w:gridCol w:w="2986"/>
      </w:tblGrid>
      <w:tr>
        <w:trPr>
          <w:trHeight w:val="388" w:hRule="exact"/>
        </w:trPr>
        <w:tc>
          <w:tcPr>
            <w:tcW w:w="2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88" w:hRule="exact"/>
        </w:trPr>
        <w:tc>
          <w:tcPr>
            <w:tcW w:w="2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7,472,026.05</w:t>
            </w:r>
          </w:p>
        </w:tc>
        <w:tc>
          <w:tcPr>
            <w:tcW w:w="2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Times New Roman" w:hAnsi="Times New Roman" w:cs="Times New Roman" w:eastAsia="Times New Roman" w:hint="default"/>
                <w:sz w:val="18"/>
                <w:szCs w:val="18"/>
              </w:rPr>
            </w:pPr>
            <w:r>
              <w:rPr>
                <w:rFonts w:ascii="Times New Roman"/>
                <w:spacing w:val="-1"/>
                <w:sz w:val="18"/>
              </w:rPr>
              <w:t>5,721,491.58</w:t>
            </w:r>
          </w:p>
        </w:tc>
      </w:tr>
      <w:tr>
        <w:trPr>
          <w:trHeight w:val="388" w:hRule="exact"/>
        </w:trPr>
        <w:tc>
          <w:tcPr>
            <w:tcW w:w="2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1,512.96</w:t>
            </w:r>
          </w:p>
        </w:tc>
        <w:tc>
          <w:tcPr>
            <w:tcW w:w="2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Times New Roman" w:hAnsi="Times New Roman" w:cs="Times New Roman" w:eastAsia="Times New Roman" w:hint="default"/>
                <w:sz w:val="18"/>
                <w:szCs w:val="18"/>
              </w:rPr>
            </w:pPr>
            <w:r>
              <w:rPr>
                <w:rFonts w:ascii="Times New Roman"/>
                <w:sz w:val="18"/>
              </w:rPr>
              <w:t>173,750.00</w:t>
            </w:r>
          </w:p>
        </w:tc>
      </w:tr>
      <w:tr>
        <w:trPr>
          <w:trHeight w:val="388" w:hRule="exact"/>
        </w:trPr>
        <w:tc>
          <w:tcPr>
            <w:tcW w:w="2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160,000.00</w:t>
            </w:r>
          </w:p>
        </w:tc>
        <w:tc>
          <w:tcPr>
            <w:tcW w:w="2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2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7,633,539.01</w:t>
            </w:r>
          </w:p>
        </w:tc>
        <w:tc>
          <w:tcPr>
            <w:tcW w:w="2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Times New Roman" w:hAnsi="Times New Roman" w:cs="Times New Roman" w:eastAsia="Times New Roman" w:hint="default"/>
                <w:sz w:val="18"/>
                <w:szCs w:val="18"/>
              </w:rPr>
            </w:pPr>
            <w:r>
              <w:rPr>
                <w:rFonts w:ascii="Times New Roman"/>
                <w:spacing w:val="-1"/>
                <w:sz w:val="18"/>
              </w:rPr>
              <w:t>5,895,241.58</w:t>
            </w:r>
          </w:p>
        </w:tc>
      </w:tr>
    </w:tbl>
    <w:p>
      <w:pPr>
        <w:spacing w:before="86"/>
        <w:ind w:left="244" w:right="2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）本报告期应付账款中无应付持有公司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w:t>
      </w:r>
    </w:p>
    <w:p>
      <w:pPr>
        <w:spacing w:line="240" w:lineRule="auto" w:before="2"/>
        <w:rPr>
          <w:rFonts w:ascii="宋体" w:hAnsi="宋体" w:cs="宋体" w:eastAsia="宋体" w:hint="default"/>
          <w:sz w:val="18"/>
          <w:szCs w:val="18"/>
        </w:rPr>
      </w:pPr>
    </w:p>
    <w:p>
      <w:pPr>
        <w:spacing w:before="0"/>
        <w:ind w:left="244" w:right="2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）账龄超过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年的大额应付账款情况的说明：</w:t>
      </w:r>
    </w:p>
    <w:p>
      <w:pPr>
        <w:spacing w:line="240" w:lineRule="auto" w:before="3"/>
        <w:rPr>
          <w:rFonts w:ascii="宋体" w:hAnsi="宋体" w:cs="宋体" w:eastAsia="宋体" w:hint="default"/>
          <w:sz w:val="18"/>
          <w:szCs w:val="18"/>
        </w:rPr>
      </w:pPr>
    </w:p>
    <w:p>
      <w:pPr>
        <w:spacing w:before="0"/>
        <w:ind w:left="0" w:right="219" w:firstLine="0"/>
        <w:jc w:val="righ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年度采购大型金融服务设备，根据双方采购合同，于设备安装调试完成并签署</w:t>
      </w:r>
    </w:p>
    <w:p>
      <w:pPr>
        <w:spacing w:before="117"/>
        <w:ind w:left="244" w:right="210" w:firstLine="0"/>
        <w:jc w:val="left"/>
        <w:rPr>
          <w:rFonts w:ascii="宋体" w:hAnsi="宋体" w:cs="宋体" w:eastAsia="宋体" w:hint="default"/>
          <w:sz w:val="21"/>
          <w:szCs w:val="21"/>
        </w:rPr>
      </w:pPr>
      <w:r>
        <w:rPr>
          <w:rFonts w:ascii="宋体" w:hAnsi="宋体" w:cs="宋体" w:eastAsia="宋体" w:hint="default"/>
          <w:sz w:val="21"/>
          <w:szCs w:val="21"/>
        </w:rPr>
        <w:t>验收报告</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年期满后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日内，支付合同尾款</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160,000.00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spacing w:line="240" w:lineRule="auto" w:before="3"/>
        <w:rPr>
          <w:rFonts w:ascii="宋体" w:hAnsi="宋体" w:cs="宋体" w:eastAsia="宋体" w:hint="default"/>
          <w:sz w:val="18"/>
          <w:szCs w:val="18"/>
        </w:rPr>
      </w:pPr>
    </w:p>
    <w:p>
      <w:pPr>
        <w:spacing w:before="0"/>
        <w:ind w:left="244" w:right="2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244" w:right="2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）预收款项账龄分析：</w:t>
      </w:r>
    </w:p>
    <w:p>
      <w:pPr>
        <w:spacing w:line="240" w:lineRule="auto" w:before="1"/>
        <w:rPr>
          <w:rFonts w:ascii="宋体" w:hAnsi="宋体" w:cs="宋体" w:eastAsia="宋体" w:hint="default"/>
          <w:sz w:val="18"/>
          <w:szCs w:val="18"/>
        </w:rPr>
      </w:pPr>
    </w:p>
    <w:p>
      <w:pPr>
        <w:spacing w:before="0"/>
        <w:ind w:left="0" w:right="19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905"/>
        <w:gridCol w:w="2980"/>
        <w:gridCol w:w="2964"/>
      </w:tblGrid>
      <w:tr>
        <w:trPr>
          <w:trHeight w:val="388"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88"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sz w:val="18"/>
              </w:rPr>
              <w:t>--</w:t>
            </w:r>
          </w:p>
        </w:tc>
        <w:tc>
          <w:tcPr>
            <w:tcW w:w="2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z w:val="18"/>
              </w:rPr>
              <w:t>257,953.00</w:t>
            </w:r>
          </w:p>
        </w:tc>
      </w:tr>
      <w:tr>
        <w:trPr>
          <w:trHeight w:val="388"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255,453.00</w:t>
            </w:r>
          </w:p>
        </w:tc>
        <w:tc>
          <w:tcPr>
            <w:tcW w:w="2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255,453.00</w:t>
            </w:r>
          </w:p>
        </w:tc>
        <w:tc>
          <w:tcPr>
            <w:tcW w:w="2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Times New Roman" w:hAnsi="Times New Roman" w:cs="Times New Roman" w:eastAsia="Times New Roman" w:hint="default"/>
                <w:sz w:val="18"/>
                <w:szCs w:val="18"/>
              </w:rPr>
            </w:pPr>
            <w:r>
              <w:rPr>
                <w:rFonts w:ascii="Times New Roman"/>
                <w:sz w:val="18"/>
              </w:rPr>
              <w:t>257,953.00</w:t>
            </w:r>
          </w:p>
        </w:tc>
      </w:tr>
    </w:tbl>
    <w:p>
      <w:pPr>
        <w:spacing w:before="86"/>
        <w:ind w:left="244" w:right="2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）本报告期预收款项中无预收持有公司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w:t>
      </w:r>
    </w:p>
    <w:p>
      <w:pPr>
        <w:spacing w:after="0"/>
        <w:jc w:val="left"/>
        <w:rPr>
          <w:rFonts w:ascii="宋体" w:hAnsi="宋体" w:cs="宋体" w:eastAsia="宋体" w:hint="default"/>
          <w:sz w:val="21"/>
          <w:szCs w:val="21"/>
        </w:rPr>
        <w:sectPr>
          <w:footerReference w:type="default" r:id="rId33"/>
          <w:pgSz w:w="11910" w:h="16840"/>
          <w:pgMar w:footer="982" w:header="877" w:top="1100" w:bottom="1180" w:left="1400" w:right="1420"/>
          <w:pgNumType w:start="101"/>
        </w:sectPr>
      </w:pPr>
    </w:p>
    <w:p>
      <w:pPr>
        <w:spacing w:line="240" w:lineRule="auto" w:before="2"/>
        <w:rPr>
          <w:rFonts w:ascii="宋体" w:hAnsi="宋体" w:cs="宋体" w:eastAsia="宋体" w:hint="default"/>
          <w:sz w:val="19"/>
          <w:szCs w:val="19"/>
        </w:rPr>
      </w:pPr>
    </w:p>
    <w:p>
      <w:pPr>
        <w:spacing w:line="336" w:lineRule="auto" w:before="35"/>
        <w:ind w:left="243"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）账龄超过</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年的大额预收款项情况的说明：本公司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年度预收的款项尚未办理结算手 续。</w:t>
      </w:r>
    </w:p>
    <w:p>
      <w:pPr>
        <w:spacing w:before="170"/>
        <w:ind w:left="243" w:right="2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1"/>
        <w:rPr>
          <w:rFonts w:ascii="宋体" w:hAnsi="宋体" w:cs="宋体" w:eastAsia="宋体" w:hint="default"/>
          <w:b/>
          <w:bCs/>
          <w:sz w:val="18"/>
          <w:szCs w:val="18"/>
        </w:rPr>
      </w:pPr>
    </w:p>
    <w:p>
      <w:pPr>
        <w:spacing w:before="0"/>
        <w:ind w:left="0" w:right="30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224" w:type="dxa"/>
        <w:tblLayout w:type="fixed"/>
        <w:tblCellMar>
          <w:top w:w="0" w:type="dxa"/>
          <w:left w:w="0" w:type="dxa"/>
          <w:bottom w:w="0" w:type="dxa"/>
          <w:right w:w="0" w:type="dxa"/>
        </w:tblCellMar>
        <w:tblLook w:val="01E0"/>
      </w:tblPr>
      <w:tblGrid>
        <w:gridCol w:w="3012"/>
        <w:gridCol w:w="1410"/>
        <w:gridCol w:w="1411"/>
        <w:gridCol w:w="1410"/>
        <w:gridCol w:w="1412"/>
      </w:tblGrid>
      <w:tr>
        <w:trPr>
          <w:trHeight w:val="388"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2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4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3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43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88"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30,041,599.74</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30,041,599.74</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1,619,558.30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1,619,558.30</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2,884,936.90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2,884,936.90</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581,883.56</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581,883.56</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z w:val="18"/>
              </w:rPr>
              <w:t>--</w:t>
            </w:r>
          </w:p>
        </w:tc>
      </w:tr>
      <w:tr>
        <w:trPr>
          <w:trHeight w:val="386"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385,100.00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385,100.00</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六、工会经费和职工教育经费</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15,120.35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157,710.19</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170,747.00</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z w:val="18"/>
              </w:rPr>
              <w:t>2,083.54</w:t>
            </w:r>
          </w:p>
        </w:tc>
      </w:tr>
      <w:tr>
        <w:trPr>
          <w:trHeight w:val="388"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15,120.35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35,670,788.69</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35,683,825.50</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z w:val="18"/>
              </w:rPr>
              <w:t>2,083.54</w:t>
            </w:r>
          </w:p>
        </w:tc>
      </w:tr>
    </w:tbl>
    <w:p>
      <w:pPr>
        <w:spacing w:line="338" w:lineRule="auto" w:before="86"/>
        <w:ind w:left="243" w:right="212" w:firstLine="420"/>
        <w:jc w:val="left"/>
        <w:rPr>
          <w:rFonts w:ascii="宋体" w:hAnsi="宋体" w:cs="宋体" w:eastAsia="宋体" w:hint="default"/>
          <w:sz w:val="21"/>
          <w:szCs w:val="21"/>
        </w:rPr>
      </w:pPr>
      <w:r>
        <w:rPr>
          <w:rFonts w:ascii="宋体" w:hAnsi="宋体" w:cs="宋体" w:eastAsia="宋体" w:hint="default"/>
          <w:sz w:val="21"/>
          <w:szCs w:val="21"/>
        </w:rPr>
        <w:t>工会经费和职工教育经费金额</w:t>
      </w:r>
      <w:r>
        <w:rPr>
          <w:rFonts w:ascii="宋体" w:hAnsi="宋体" w:cs="宋体" w:eastAsia="宋体" w:hint="default"/>
          <w:spacing w:val="-53"/>
          <w:sz w:val="21"/>
          <w:szCs w:val="21"/>
        </w:rPr>
        <w:t> </w:t>
      </w:r>
      <w:r>
        <w:rPr>
          <w:rFonts w:ascii="Times New Roman" w:hAnsi="Times New Roman" w:cs="Times New Roman" w:eastAsia="Times New Roman" w:hint="default"/>
          <w:spacing w:val="-53"/>
          <w:sz w:val="21"/>
          <w:szCs w:val="21"/>
        </w:rPr>
      </w:r>
      <w:r>
        <w:rPr>
          <w:rFonts w:ascii="Times New Roman" w:hAnsi="Times New Roman" w:cs="Times New Roman" w:eastAsia="Times New Roman" w:hint="default"/>
          <w:sz w:val="21"/>
          <w:szCs w:val="21"/>
          <w:u w:val="single" w:color="000000"/>
        </w:rPr>
        <w:t>170,747.00 </w:t>
      </w:r>
      <w:r>
        <w:rPr>
          <w:rFonts w:ascii="Times New Roman" w:hAnsi="Times New Roman" w:cs="Times New Roman" w:eastAsia="Times New Roman" w:hint="default"/>
          <w:sz w:val="21"/>
          <w:szCs w:val="21"/>
        </w:rPr>
      </w:r>
      <w:r>
        <w:rPr>
          <w:rFonts w:ascii="宋体" w:hAnsi="宋体" w:cs="宋体" w:eastAsia="宋体" w:hint="default"/>
          <w:sz w:val="21"/>
          <w:szCs w:val="21"/>
        </w:rPr>
        <w:t>元，非货币性福利金额</w:t>
      </w:r>
      <w:r>
        <w:rPr>
          <w:rFonts w:ascii="宋体" w:hAnsi="宋体" w:cs="宋体" w:eastAsia="宋体" w:hint="default"/>
          <w:spacing w:val="-53"/>
          <w:sz w:val="21"/>
          <w:szCs w:val="21"/>
        </w:rPr>
        <w:t> </w:t>
      </w:r>
      <w:r>
        <w:rPr>
          <w:rFonts w:ascii="Times New Roman" w:hAnsi="Times New Roman" w:cs="Times New Roman" w:eastAsia="Times New Roman" w:hint="default"/>
          <w:spacing w:val="-53"/>
          <w:sz w:val="21"/>
          <w:szCs w:val="21"/>
        </w:rPr>
      </w:r>
      <w:r>
        <w:rPr>
          <w:rFonts w:ascii="Times New Roman" w:hAnsi="Times New Roman" w:cs="Times New Roman" w:eastAsia="Times New Roman" w:hint="default"/>
          <w:sz w:val="21"/>
          <w:szCs w:val="21"/>
          <w:u w:val="single" w:color="000000"/>
        </w:rPr>
        <w:t>0 </w:t>
      </w:r>
      <w:r>
        <w:rPr>
          <w:rFonts w:ascii="Times New Roman" w:hAnsi="Times New Roman" w:cs="Times New Roman" w:eastAsia="Times New Roman" w:hint="default"/>
          <w:sz w:val="21"/>
          <w:szCs w:val="21"/>
        </w:rPr>
      </w:r>
      <w:r>
        <w:rPr>
          <w:rFonts w:ascii="宋体" w:hAnsi="宋体" w:cs="宋体" w:eastAsia="宋体" w:hint="default"/>
          <w:sz w:val="21"/>
          <w:szCs w:val="21"/>
        </w:rPr>
        <w:t>元，因解除劳动关系给 予补偿</w:t>
      </w:r>
      <w:r>
        <w:rPr>
          <w:rFonts w:ascii="Times New Roman" w:hAnsi="Times New Roman" w:cs="Times New Roman" w:eastAsia="Times New Roman" w:hint="default"/>
          <w:sz w:val="21"/>
          <w:szCs w:val="21"/>
        </w:rPr>
        <w:t>_</w:t>
      </w:r>
      <w:r>
        <w:rPr>
          <w:rFonts w:ascii="Times New Roman" w:hAnsi="Times New Roman" w:cs="Times New Roman" w:eastAsia="Times New Roman" w:hint="default"/>
          <w:sz w:val="21"/>
          <w:szCs w:val="21"/>
          <w:u w:val="single" w:color="000000"/>
        </w:rPr>
        <w:t>0</w:t>
      </w:r>
      <w:r>
        <w:rPr>
          <w:rFonts w:ascii="Times New Roman" w:hAnsi="Times New Roman" w:cs="Times New Roman" w:eastAsia="Times New Roman" w:hint="default"/>
          <w:spacing w:val="48"/>
          <w:sz w:val="21"/>
          <w:szCs w:val="21"/>
          <w:u w:val="single" w:color="000000"/>
        </w:rPr>
        <w:t> </w:t>
      </w:r>
      <w:r>
        <w:rPr>
          <w:rFonts w:ascii="Times New Roman" w:hAnsi="Times New Roman" w:cs="Times New Roman" w:eastAsia="Times New Roman" w:hint="default"/>
          <w:spacing w:val="48"/>
          <w:sz w:val="21"/>
          <w:szCs w:val="21"/>
        </w:rPr>
      </w:r>
      <w:r>
        <w:rPr>
          <w:rFonts w:ascii="宋体" w:hAnsi="宋体" w:cs="宋体" w:eastAsia="宋体" w:hint="default"/>
          <w:sz w:val="21"/>
          <w:szCs w:val="21"/>
        </w:rPr>
        <w:t>元。</w:t>
      </w:r>
    </w:p>
    <w:p>
      <w:pPr>
        <w:spacing w:before="142"/>
        <w:ind w:left="664" w:right="210" w:firstLine="0"/>
        <w:jc w:val="left"/>
        <w:rPr>
          <w:rFonts w:ascii="宋体" w:hAnsi="宋体" w:cs="宋体" w:eastAsia="宋体" w:hint="default"/>
          <w:sz w:val="21"/>
          <w:szCs w:val="21"/>
        </w:rPr>
      </w:pPr>
      <w:r>
        <w:rPr>
          <w:rFonts w:ascii="宋体" w:hAnsi="宋体" w:cs="宋体" w:eastAsia="宋体" w:hint="default"/>
          <w:sz w:val="21"/>
          <w:szCs w:val="21"/>
        </w:rPr>
        <w:t>应付职工薪酬是当月计提当月发放。</w:t>
      </w:r>
    </w:p>
    <w:p>
      <w:pPr>
        <w:spacing w:line="240" w:lineRule="auto" w:before="6"/>
        <w:rPr>
          <w:rFonts w:ascii="宋体" w:hAnsi="宋体" w:cs="宋体" w:eastAsia="宋体" w:hint="default"/>
          <w:sz w:val="19"/>
          <w:szCs w:val="19"/>
        </w:rPr>
      </w:pPr>
    </w:p>
    <w:p>
      <w:pPr>
        <w:spacing w:before="0"/>
        <w:ind w:left="244" w:right="2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1"/>
        <w:rPr>
          <w:rFonts w:ascii="宋体" w:hAnsi="宋体" w:cs="宋体" w:eastAsia="宋体" w:hint="default"/>
          <w:b/>
          <w:bCs/>
          <w:sz w:val="18"/>
          <w:szCs w:val="18"/>
        </w:rPr>
      </w:pPr>
    </w:p>
    <w:p>
      <w:pPr>
        <w:spacing w:before="0"/>
        <w:ind w:left="0" w:right="30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93" w:type="dxa"/>
        <w:tblLayout w:type="fixed"/>
        <w:tblCellMar>
          <w:top w:w="0" w:type="dxa"/>
          <w:left w:w="0" w:type="dxa"/>
          <w:bottom w:w="0" w:type="dxa"/>
          <w:right w:w="0" w:type="dxa"/>
        </w:tblCellMar>
        <w:tblLook w:val="01E0"/>
      </w:tblPr>
      <w:tblGrid>
        <w:gridCol w:w="2908"/>
        <w:gridCol w:w="2893"/>
        <w:gridCol w:w="2894"/>
      </w:tblGrid>
      <w:tr>
        <w:trPr>
          <w:trHeight w:val="388" w:hRule="exact"/>
        </w:trPr>
        <w:tc>
          <w:tcPr>
            <w:tcW w:w="2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88" w:hRule="exact"/>
        </w:trPr>
        <w:tc>
          <w:tcPr>
            <w:tcW w:w="2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2,847,108.39</w:t>
            </w:r>
          </w:p>
        </w:tc>
        <w:tc>
          <w:tcPr>
            <w:tcW w:w="2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9"/>
              <w:jc w:val="right"/>
              <w:rPr>
                <w:rFonts w:ascii="Times New Roman" w:hAnsi="Times New Roman" w:cs="Times New Roman" w:eastAsia="Times New Roman" w:hint="default"/>
                <w:sz w:val="18"/>
                <w:szCs w:val="18"/>
              </w:rPr>
            </w:pPr>
            <w:r>
              <w:rPr>
                <w:rFonts w:ascii="Times New Roman"/>
                <w:spacing w:val="-1"/>
                <w:sz w:val="18"/>
              </w:rPr>
              <w:t>2,856,772.10</w:t>
            </w:r>
          </w:p>
        </w:tc>
      </w:tr>
      <w:tr>
        <w:trPr>
          <w:trHeight w:val="388" w:hRule="exact"/>
        </w:trPr>
        <w:tc>
          <w:tcPr>
            <w:tcW w:w="2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170,901.86</w:t>
            </w:r>
          </w:p>
        </w:tc>
        <w:tc>
          <w:tcPr>
            <w:tcW w:w="2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9"/>
              <w:jc w:val="right"/>
              <w:rPr>
                <w:rFonts w:ascii="Times New Roman" w:hAnsi="Times New Roman" w:cs="Times New Roman" w:eastAsia="Times New Roman" w:hint="default"/>
                <w:sz w:val="18"/>
                <w:szCs w:val="18"/>
              </w:rPr>
            </w:pPr>
            <w:r>
              <w:rPr>
                <w:rFonts w:ascii="Times New Roman"/>
                <w:sz w:val="18"/>
              </w:rPr>
              <w:t>182,736.51</w:t>
            </w:r>
          </w:p>
        </w:tc>
      </w:tr>
      <w:tr>
        <w:trPr>
          <w:trHeight w:val="388" w:hRule="exact"/>
        </w:trPr>
        <w:tc>
          <w:tcPr>
            <w:tcW w:w="2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2,209,549.83</w:t>
            </w:r>
          </w:p>
        </w:tc>
        <w:tc>
          <w:tcPr>
            <w:tcW w:w="2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9"/>
              <w:jc w:val="right"/>
              <w:rPr>
                <w:rFonts w:ascii="Times New Roman" w:hAnsi="Times New Roman" w:cs="Times New Roman" w:eastAsia="Times New Roman" w:hint="default"/>
                <w:sz w:val="18"/>
                <w:szCs w:val="18"/>
              </w:rPr>
            </w:pPr>
            <w:r>
              <w:rPr>
                <w:rFonts w:ascii="Times New Roman"/>
                <w:sz w:val="18"/>
              </w:rPr>
              <w:t>-189,349.87</w:t>
            </w:r>
          </w:p>
        </w:tc>
      </w:tr>
      <w:tr>
        <w:trPr>
          <w:trHeight w:val="386" w:hRule="exact"/>
        </w:trPr>
        <w:tc>
          <w:tcPr>
            <w:tcW w:w="2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669,708.21</w:t>
            </w:r>
          </w:p>
        </w:tc>
        <w:tc>
          <w:tcPr>
            <w:tcW w:w="2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9"/>
              <w:jc w:val="right"/>
              <w:rPr>
                <w:rFonts w:ascii="Times New Roman" w:hAnsi="Times New Roman" w:cs="Times New Roman" w:eastAsia="Times New Roman" w:hint="default"/>
                <w:sz w:val="18"/>
                <w:szCs w:val="18"/>
              </w:rPr>
            </w:pPr>
            <w:r>
              <w:rPr>
                <w:rFonts w:ascii="Times New Roman"/>
                <w:sz w:val="18"/>
              </w:rPr>
              <w:t>75,010.78</w:t>
            </w:r>
          </w:p>
        </w:tc>
      </w:tr>
      <w:tr>
        <w:trPr>
          <w:trHeight w:val="388" w:hRule="exact"/>
        </w:trPr>
        <w:tc>
          <w:tcPr>
            <w:tcW w:w="2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254,323.37</w:t>
            </w:r>
          </w:p>
        </w:tc>
        <w:tc>
          <w:tcPr>
            <w:tcW w:w="2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9"/>
              <w:jc w:val="right"/>
              <w:rPr>
                <w:rFonts w:ascii="Times New Roman" w:hAnsi="Times New Roman" w:cs="Times New Roman" w:eastAsia="Times New Roman" w:hint="default"/>
                <w:sz w:val="18"/>
                <w:szCs w:val="18"/>
              </w:rPr>
            </w:pPr>
            <w:r>
              <w:rPr>
                <w:rFonts w:ascii="Times New Roman"/>
                <w:sz w:val="18"/>
              </w:rPr>
              <w:t>373,246.19</w:t>
            </w:r>
          </w:p>
        </w:tc>
      </w:tr>
      <w:tr>
        <w:trPr>
          <w:trHeight w:val="388" w:hRule="exact"/>
        </w:trPr>
        <w:tc>
          <w:tcPr>
            <w:tcW w:w="2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181,659.59</w:t>
            </w:r>
          </w:p>
        </w:tc>
        <w:tc>
          <w:tcPr>
            <w:tcW w:w="2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9"/>
              <w:jc w:val="right"/>
              <w:rPr>
                <w:rFonts w:ascii="Times New Roman" w:hAnsi="Times New Roman" w:cs="Times New Roman" w:eastAsia="Times New Roman" w:hint="default"/>
                <w:sz w:val="18"/>
                <w:szCs w:val="18"/>
              </w:rPr>
            </w:pPr>
            <w:r>
              <w:rPr>
                <w:rFonts w:ascii="Times New Roman"/>
                <w:sz w:val="18"/>
              </w:rPr>
              <w:t>159,962.66</w:t>
            </w:r>
          </w:p>
        </w:tc>
      </w:tr>
      <w:tr>
        <w:trPr>
          <w:trHeight w:val="388" w:hRule="exact"/>
        </w:trPr>
        <w:tc>
          <w:tcPr>
            <w:tcW w:w="2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3,530.28</w:t>
            </w:r>
          </w:p>
        </w:tc>
        <w:tc>
          <w:tcPr>
            <w:tcW w:w="2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9"/>
              <w:jc w:val="right"/>
              <w:rPr>
                <w:rFonts w:ascii="Times New Roman" w:hAnsi="Times New Roman" w:cs="Times New Roman" w:eastAsia="Times New Roman" w:hint="default"/>
                <w:sz w:val="18"/>
                <w:szCs w:val="18"/>
              </w:rPr>
            </w:pPr>
            <w:r>
              <w:rPr>
                <w:rFonts w:ascii="Times New Roman"/>
                <w:sz w:val="18"/>
              </w:rPr>
              <w:t>4,826.39</w:t>
            </w:r>
          </w:p>
        </w:tc>
      </w:tr>
      <w:tr>
        <w:trPr>
          <w:trHeight w:val="388" w:hRule="exact"/>
        </w:trPr>
        <w:tc>
          <w:tcPr>
            <w:tcW w:w="2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6,336,781.53</w:t>
            </w:r>
          </w:p>
        </w:tc>
        <w:tc>
          <w:tcPr>
            <w:tcW w:w="2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pacing w:val="-1"/>
                <w:sz w:val="18"/>
              </w:rPr>
              <w:t>3,463,204.76</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35"/>
        <w:ind w:left="244" w:right="2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243" w:right="2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）其他应付款账龄分析：</w:t>
      </w:r>
    </w:p>
    <w:p>
      <w:pPr>
        <w:spacing w:line="240" w:lineRule="auto" w:before="6"/>
        <w:rPr>
          <w:rFonts w:ascii="宋体" w:hAnsi="宋体" w:cs="宋体" w:eastAsia="宋体" w:hint="default"/>
          <w:sz w:val="15"/>
          <w:szCs w:val="15"/>
        </w:rPr>
      </w:pPr>
    </w:p>
    <w:p>
      <w:pPr>
        <w:spacing w:before="35"/>
        <w:ind w:left="0" w:right="30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p>
      <w:pPr>
        <w:spacing w:line="402" w:lineRule="exact"/>
        <w:ind w:left="11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42.95pt;height:20.1pt;mso-position-horizontal-relative:char;mso-position-vertical-relative:line" coordorigin="0,0" coordsize="8859,402">
            <v:group style="position:absolute;left:19;top:5;width:8828;height:2" coordorigin="19,5" coordsize="8828,2">
              <v:shape style="position:absolute;left:19;top:5;width:8828;height:2" coordorigin="19,5" coordsize="8828,0" path="m19,5l8846,5e" filled="false" stroked="true" strokeweight=".48001pt" strokecolor="#000000">
                <v:path arrowok="t"/>
              </v:shape>
            </v:group>
            <v:group style="position:absolute;left:5;top:392;width:2883;height:2" coordorigin="5,392" coordsize="2883,2">
              <v:shape style="position:absolute;left:5;top:392;width:2883;height:2" coordorigin="5,392" coordsize="2883,0" path="m5,392l2887,392e" filled="false" stroked="true" strokeweight=".47998pt" strokecolor="#000000">
                <v:path arrowok="t"/>
              </v:shape>
            </v:group>
            <v:group style="position:absolute;left:2892;top:10;width:2;height:388" coordorigin="2892,10" coordsize="2,388">
              <v:shape style="position:absolute;left:2892;top:10;width:2;height:388" coordorigin="2892,10" coordsize="0,388" path="m2892,10l2892,397e" filled="false" stroked="true" strokeweight=".48001pt" strokecolor="#000000">
                <v:path arrowok="t"/>
              </v:shape>
            </v:group>
            <v:group style="position:absolute;left:2897;top:392;width:2982;height:2" coordorigin="2897,392" coordsize="2982,2">
              <v:shape style="position:absolute;left:2897;top:392;width:2982;height:2" coordorigin="2897,392" coordsize="2982,0" path="m2897,392l5879,392e" filled="false" stroked="true" strokeweight=".47998pt" strokecolor="#000000">
                <v:path arrowok="t"/>
              </v:shape>
            </v:group>
            <v:group style="position:absolute;left:5884;top:10;width:2;height:388" coordorigin="5884,10" coordsize="2,388">
              <v:shape style="position:absolute;left:5884;top:10;width:2;height:388" coordorigin="5884,10" coordsize="0,388" path="m5884,10l5884,397e" filled="false" stroked="true" strokeweight=".48001pt" strokecolor="#000000">
                <v:path arrowok="t"/>
              </v:shape>
            </v:group>
            <v:group style="position:absolute;left:5888;top:392;width:2966;height:2" coordorigin="5888,392" coordsize="2966,2">
              <v:shape style="position:absolute;left:5888;top:392;width:2966;height:2" coordorigin="5888,392" coordsize="2966,0" path="m5888,392l8854,392e" filled="false" stroked="true" strokeweight=".47998pt" strokecolor="#000000">
                <v:path arrowok="t"/>
              </v:shape>
              <v:shape style="position:absolute;left:2892;top:5;width:2992;height:388" type="#_x0000_t202" filled="false" stroked="false">
                <v:textbox inset="0,0,0,0">
                  <w:txbxContent>
                    <w:p>
                      <w:pPr>
                        <w:spacing w:before="46"/>
                        <w:ind w:left="0" w:right="1" w:firstLine="0"/>
                        <w:jc w:val="center"/>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1276;top:10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账龄</w:t>
                      </w:r>
                    </w:p>
                  </w:txbxContent>
                </v:textbox>
                <w10:wrap type="none"/>
              </v:shape>
              <v:shape style="position:absolute;left:7098;top:107;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期初数</w:t>
                      </w:r>
                    </w:p>
                  </w:txbxContent>
                </v:textbox>
                <w10:wrap type="none"/>
              </v:shape>
            </v:group>
          </v:group>
        </w:pict>
      </w:r>
      <w:r>
        <w:rPr>
          <w:rFonts w:ascii="宋体" w:hAnsi="宋体" w:cs="宋体" w:eastAsia="宋体" w:hint="default"/>
          <w:position w:val="-7"/>
          <w:sz w:val="20"/>
          <w:szCs w:val="20"/>
        </w:rPr>
      </w:r>
    </w:p>
    <w:p>
      <w:pPr>
        <w:spacing w:after="0" w:line="402" w:lineRule="exact"/>
        <w:rPr>
          <w:rFonts w:ascii="宋体" w:hAnsi="宋体" w:cs="宋体" w:eastAsia="宋体" w:hint="default"/>
          <w:sz w:val="20"/>
          <w:szCs w:val="20"/>
        </w:rPr>
        <w:sectPr>
          <w:pgSz w:w="11910" w:h="16840"/>
          <w:pgMar w:header="877" w:footer="982" w:top="1100" w:bottom="1180" w:left="1400" w:right="1420"/>
        </w:sectPr>
      </w:pPr>
    </w:p>
    <w:p>
      <w:pPr>
        <w:spacing w:line="240" w:lineRule="auto" w:before="6"/>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2887"/>
        <w:gridCol w:w="2992"/>
        <w:gridCol w:w="2970"/>
      </w:tblGrid>
      <w:tr>
        <w:trPr>
          <w:trHeight w:val="388" w:hRule="exact"/>
        </w:trPr>
        <w:tc>
          <w:tcPr>
            <w:tcW w:w="28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45,414.16</w:t>
            </w:r>
          </w:p>
        </w:tc>
        <w:tc>
          <w:tcPr>
            <w:tcW w:w="2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174,577.70</w:t>
            </w:r>
          </w:p>
        </w:tc>
      </w:tr>
      <w:tr>
        <w:trPr>
          <w:trHeight w:val="388" w:hRule="exact"/>
        </w:trPr>
        <w:tc>
          <w:tcPr>
            <w:tcW w:w="28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2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28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2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z w:val="18"/>
              </w:rPr>
              <w:t>338,199.50</w:t>
            </w:r>
          </w:p>
        </w:tc>
      </w:tr>
      <w:tr>
        <w:trPr>
          <w:trHeight w:val="386" w:hRule="exact"/>
        </w:trPr>
        <w:tc>
          <w:tcPr>
            <w:tcW w:w="28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340,721.50</w:t>
            </w:r>
          </w:p>
        </w:tc>
        <w:tc>
          <w:tcPr>
            <w:tcW w:w="2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z w:val="18"/>
              </w:rPr>
              <w:t>31,500.00</w:t>
            </w:r>
          </w:p>
        </w:tc>
      </w:tr>
      <w:tr>
        <w:trPr>
          <w:trHeight w:val="389" w:hRule="exact"/>
        </w:trPr>
        <w:tc>
          <w:tcPr>
            <w:tcW w:w="28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386,135.66</w:t>
            </w:r>
          </w:p>
        </w:tc>
        <w:tc>
          <w:tcPr>
            <w:tcW w:w="2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z w:val="18"/>
              </w:rPr>
              <w:t>544,277.20</w:t>
            </w:r>
          </w:p>
        </w:tc>
      </w:tr>
    </w:tbl>
    <w:p>
      <w:pPr>
        <w:spacing w:line="240" w:lineRule="auto" w:before="4"/>
        <w:rPr>
          <w:rFonts w:ascii="宋体" w:hAnsi="宋体" w:cs="宋体" w:eastAsia="宋体" w:hint="default"/>
          <w:sz w:val="22"/>
          <w:szCs w:val="22"/>
        </w:rPr>
      </w:pPr>
    </w:p>
    <w:p>
      <w:pPr>
        <w:spacing w:before="35"/>
        <w:ind w:left="244" w:right="3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）本报告期其他应付款中无应付持有公司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w:t>
      </w:r>
    </w:p>
    <w:p>
      <w:pPr>
        <w:spacing w:line="240" w:lineRule="auto" w:before="2"/>
        <w:rPr>
          <w:rFonts w:ascii="宋体" w:hAnsi="宋体" w:cs="宋体" w:eastAsia="宋体" w:hint="default"/>
          <w:sz w:val="18"/>
          <w:szCs w:val="18"/>
        </w:rPr>
      </w:pPr>
    </w:p>
    <w:p>
      <w:pPr>
        <w:spacing w:before="0"/>
        <w:ind w:left="244" w:right="3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）账龄超过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年的大额其他应付款情况的说明</w:t>
      </w:r>
    </w:p>
    <w:p>
      <w:pPr>
        <w:spacing w:line="240" w:lineRule="auto" w:before="3"/>
        <w:rPr>
          <w:rFonts w:ascii="宋体" w:hAnsi="宋体" w:cs="宋体" w:eastAsia="宋体" w:hint="default"/>
          <w:sz w:val="18"/>
          <w:szCs w:val="18"/>
        </w:rPr>
      </w:pPr>
    </w:p>
    <w:p>
      <w:pPr>
        <w:spacing w:before="0"/>
        <w:ind w:left="664" w:right="370"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年其他应付款期末余额主要包括的是各项押金、预提性质的款项。</w:t>
      </w:r>
    </w:p>
    <w:p>
      <w:pPr>
        <w:spacing w:line="240" w:lineRule="auto" w:before="2"/>
        <w:rPr>
          <w:rFonts w:ascii="宋体" w:hAnsi="宋体" w:cs="宋体" w:eastAsia="宋体" w:hint="default"/>
          <w:sz w:val="18"/>
          <w:szCs w:val="18"/>
        </w:rPr>
      </w:pPr>
    </w:p>
    <w:p>
      <w:pPr>
        <w:spacing w:before="0"/>
        <w:ind w:left="244" w:right="3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）对于金额较大的其他应付款，应说明内容</w:t>
      </w:r>
    </w:p>
    <w:p>
      <w:pPr>
        <w:spacing w:line="240" w:lineRule="auto" w:before="3"/>
        <w:rPr>
          <w:rFonts w:ascii="宋体" w:hAnsi="宋体" w:cs="宋体" w:eastAsia="宋体" w:hint="default"/>
          <w:sz w:val="18"/>
          <w:szCs w:val="18"/>
        </w:rPr>
      </w:pPr>
    </w:p>
    <w:p>
      <w:pPr>
        <w:spacing w:before="0"/>
        <w:ind w:left="664" w:right="370"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年其他应付款期末余额包括应付金运大厦房屋租赁押金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327,294.00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spacing w:line="240" w:lineRule="auto" w:before="2"/>
        <w:rPr>
          <w:rFonts w:ascii="宋体" w:hAnsi="宋体" w:cs="宋体" w:eastAsia="宋体" w:hint="default"/>
          <w:sz w:val="18"/>
          <w:szCs w:val="18"/>
        </w:rPr>
      </w:pPr>
    </w:p>
    <w:p>
      <w:pPr>
        <w:spacing w:before="0"/>
        <w:ind w:left="244" w:right="3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1"/>
        <w:rPr>
          <w:rFonts w:ascii="宋体" w:hAnsi="宋体" w:cs="宋体" w:eastAsia="宋体" w:hint="default"/>
          <w:b/>
          <w:bCs/>
          <w:sz w:val="18"/>
          <w:szCs w:val="18"/>
        </w:rPr>
      </w:pPr>
    </w:p>
    <w:p>
      <w:pPr>
        <w:spacing w:before="0"/>
        <w:ind w:left="0" w:right="49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1174"/>
        <w:gridCol w:w="1439"/>
        <w:gridCol w:w="1402"/>
        <w:gridCol w:w="708"/>
        <w:gridCol w:w="1440"/>
        <w:gridCol w:w="708"/>
        <w:gridCol w:w="743"/>
        <w:gridCol w:w="1529"/>
      </w:tblGrid>
      <w:tr>
        <w:trPr>
          <w:trHeight w:val="427" w:hRule="exact"/>
        </w:trPr>
        <w:tc>
          <w:tcPr>
            <w:tcW w:w="1174" w:type="dxa"/>
            <w:vMerge w:val="restart"/>
            <w:tcBorders>
              <w:top w:val="single" w:sz="4" w:space="0" w:color="000000"/>
              <w:left w:val="nil" w:sz="6" w:space="0" w:color="auto"/>
              <w:right w:val="single" w:sz="4" w:space="0" w:color="000000"/>
            </w:tcBorders>
          </w:tcPr>
          <w:p>
            <w:pPr/>
          </w:p>
        </w:tc>
        <w:tc>
          <w:tcPr>
            <w:tcW w:w="143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9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0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386"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p>
        </w:tc>
        <w:tc>
          <w:tcPr>
            <w:tcW w:w="1529" w:type="dxa"/>
            <w:vMerge w:val="restart"/>
            <w:tcBorders>
              <w:top w:val="single" w:sz="4" w:space="0" w:color="000000"/>
              <w:left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4"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26" w:hRule="exact"/>
        </w:trPr>
        <w:tc>
          <w:tcPr>
            <w:tcW w:w="1174" w:type="dxa"/>
            <w:vMerge/>
            <w:tcBorders>
              <w:left w:val="nil" w:sz="6" w:space="0" w:color="auto"/>
              <w:bottom w:val="single" w:sz="4" w:space="0" w:color="000000"/>
              <w:right w:val="single" w:sz="4" w:space="0" w:color="000000"/>
            </w:tcBorders>
          </w:tcPr>
          <w:p>
            <w:pPr/>
          </w:p>
        </w:tc>
        <w:tc>
          <w:tcPr>
            <w:tcW w:w="1439" w:type="dxa"/>
            <w:vMerge/>
            <w:tcBorders>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76"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37"/>
              <w:jc w:val="right"/>
              <w:rPr>
                <w:rFonts w:ascii="宋体" w:hAnsi="宋体" w:cs="宋体" w:eastAsia="宋体" w:hint="default"/>
                <w:sz w:val="21"/>
                <w:szCs w:val="21"/>
              </w:rPr>
            </w:pPr>
            <w:r>
              <w:rPr>
                <w:rFonts w:ascii="宋体" w:hAnsi="宋体" w:cs="宋体" w:eastAsia="宋体" w:hint="default"/>
                <w:sz w:val="21"/>
                <w:szCs w:val="21"/>
              </w:rPr>
              <w:t>送股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89"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37"/>
              <w:jc w:val="right"/>
              <w:rPr>
                <w:rFonts w:ascii="宋体" w:hAnsi="宋体" w:cs="宋体" w:eastAsia="宋体" w:hint="default"/>
                <w:sz w:val="21"/>
                <w:szCs w:val="21"/>
              </w:rPr>
            </w:pPr>
            <w:r>
              <w:rPr>
                <w:rFonts w:ascii="宋体" w:hAnsi="宋体" w:cs="宋体" w:eastAsia="宋体" w:hint="default"/>
                <w:sz w:val="21"/>
                <w:szCs w:val="21"/>
              </w:rPr>
              <w:t>其他</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55"/>
              <w:jc w:val="right"/>
              <w:rPr>
                <w:rFonts w:ascii="宋体" w:hAnsi="宋体" w:cs="宋体" w:eastAsia="宋体" w:hint="default"/>
                <w:sz w:val="21"/>
                <w:szCs w:val="21"/>
              </w:rPr>
            </w:pPr>
            <w:r>
              <w:rPr>
                <w:rFonts w:ascii="宋体" w:hAnsi="宋体" w:cs="宋体" w:eastAsia="宋体" w:hint="default"/>
                <w:sz w:val="21"/>
                <w:szCs w:val="21"/>
              </w:rPr>
              <w:t>小计</w:t>
            </w:r>
          </w:p>
        </w:tc>
        <w:tc>
          <w:tcPr>
            <w:tcW w:w="1529" w:type="dxa"/>
            <w:vMerge/>
            <w:tcBorders>
              <w:left w:val="single" w:sz="4" w:space="0" w:color="000000"/>
              <w:bottom w:val="single" w:sz="4" w:space="0" w:color="000000"/>
              <w:right w:val="nil" w:sz="6" w:space="0" w:color="auto"/>
            </w:tcBorders>
          </w:tcPr>
          <w:p>
            <w:pPr/>
          </w:p>
        </w:tc>
      </w:tr>
      <w:tr>
        <w:trPr>
          <w:trHeight w:val="427" w:hRule="exact"/>
        </w:trPr>
        <w:tc>
          <w:tcPr>
            <w:tcW w:w="1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18" w:right="0"/>
              <w:jc w:val="left"/>
              <w:rPr>
                <w:rFonts w:ascii="Times New Roman" w:hAnsi="Times New Roman" w:cs="Times New Roman" w:eastAsia="Times New Roman" w:hint="default"/>
                <w:sz w:val="21"/>
                <w:szCs w:val="21"/>
              </w:rPr>
            </w:pPr>
            <w:r>
              <w:rPr>
                <w:rFonts w:ascii="Times New Roman"/>
                <w:sz w:val="21"/>
              </w:rPr>
              <w:t>60,000,000.00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21"/>
                <w:szCs w:val="21"/>
              </w:rPr>
            </w:pPr>
            <w:r>
              <w:rPr>
                <w:rFonts w:ascii="Times New Roman"/>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21"/>
                <w:szCs w:val="21"/>
              </w:rPr>
            </w:pPr>
            <w:r>
              <w:rPr>
                <w:rFonts w:ascii="Times New Roman"/>
                <w:sz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18" w:right="0"/>
              <w:jc w:val="left"/>
              <w:rPr>
                <w:rFonts w:ascii="Times New Roman" w:hAnsi="Times New Roman" w:cs="Times New Roman" w:eastAsia="Times New Roman" w:hint="default"/>
                <w:sz w:val="21"/>
                <w:szCs w:val="21"/>
              </w:rPr>
            </w:pPr>
            <w:r>
              <w:rPr>
                <w:rFonts w:ascii="Times New Roman"/>
                <w:sz w:val="21"/>
              </w:rPr>
              <w:t>60,000,000.00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21"/>
                <w:szCs w:val="21"/>
              </w:rPr>
            </w:pPr>
            <w:r>
              <w:rPr>
                <w:rFonts w:ascii="Times New Roman"/>
                <w:sz w:val="21"/>
              </w:rPr>
              <w:t>--</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03" w:right="0"/>
              <w:jc w:val="left"/>
              <w:rPr>
                <w:rFonts w:ascii="Times New Roman" w:hAnsi="Times New Roman" w:cs="Times New Roman" w:eastAsia="Times New Roman" w:hint="default"/>
                <w:sz w:val="21"/>
                <w:szCs w:val="21"/>
              </w:rPr>
            </w:pPr>
            <w:r>
              <w:rPr>
                <w:rFonts w:ascii="Times New Roman"/>
                <w:sz w:val="21"/>
              </w:rPr>
              <w:t>120,000,000.00</w:t>
            </w:r>
          </w:p>
        </w:tc>
      </w:tr>
    </w:tbl>
    <w:p>
      <w:pPr>
        <w:spacing w:line="240" w:lineRule="auto" w:before="4"/>
        <w:rPr>
          <w:rFonts w:ascii="宋体" w:hAnsi="宋体" w:cs="宋体" w:eastAsia="宋体" w:hint="default"/>
          <w:sz w:val="22"/>
          <w:szCs w:val="22"/>
        </w:rPr>
      </w:pPr>
    </w:p>
    <w:p>
      <w:pPr>
        <w:spacing w:before="35"/>
        <w:ind w:left="0" w:right="521" w:firstLine="0"/>
        <w:jc w:val="right"/>
        <w:rPr>
          <w:rFonts w:ascii="宋体" w:hAnsi="宋体" w:cs="宋体" w:eastAsia="宋体" w:hint="default"/>
          <w:sz w:val="21"/>
          <w:szCs w:val="21"/>
        </w:rPr>
      </w:pPr>
      <w:r>
        <w:rPr>
          <w:rFonts w:ascii="宋体" w:hAnsi="宋体" w:cs="宋体" w:eastAsia="宋体" w:hint="default"/>
          <w:sz w:val="21"/>
          <w:szCs w:val="21"/>
        </w:rPr>
        <w:t>本公司于</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 </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pacing w:val="-4"/>
          <w:sz w:val="21"/>
          <w:szCs w:val="21"/>
        </w:rPr>
        <w:t>11 </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日召开的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年度股东大会审议通过了</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年度利润分配方</w:t>
      </w:r>
    </w:p>
    <w:p>
      <w:pPr>
        <w:spacing w:before="117"/>
        <w:ind w:left="244" w:right="370" w:firstLine="0"/>
        <w:jc w:val="left"/>
        <w:rPr>
          <w:rFonts w:ascii="宋体" w:hAnsi="宋体" w:cs="宋体" w:eastAsia="宋体" w:hint="default"/>
          <w:sz w:val="21"/>
          <w:szCs w:val="21"/>
        </w:rPr>
      </w:pPr>
      <w:r>
        <w:rPr>
          <w:rFonts w:ascii="宋体" w:hAnsi="宋体" w:cs="宋体" w:eastAsia="宋体" w:hint="default"/>
          <w:sz w:val="21"/>
          <w:szCs w:val="21"/>
        </w:rPr>
        <w:t>案，其中以资本公积向全体股东每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股转增</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股，股本总额由</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6,000 </w:t>
      </w:r>
      <w:r>
        <w:rPr>
          <w:rFonts w:ascii="宋体" w:hAnsi="宋体" w:cs="宋体" w:eastAsia="宋体" w:hint="default"/>
          <w:sz w:val="21"/>
          <w:szCs w:val="21"/>
        </w:rPr>
        <w:t>万元变为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12,000 </w:t>
      </w:r>
      <w:r>
        <w:rPr>
          <w:rFonts w:ascii="宋体" w:hAnsi="宋体" w:cs="宋体" w:eastAsia="宋体" w:hint="default"/>
          <w:sz w:val="21"/>
          <w:szCs w:val="21"/>
        </w:rPr>
        <w:t>万元，</w:t>
      </w:r>
    </w:p>
    <w:p>
      <w:pPr>
        <w:spacing w:line="336" w:lineRule="auto" w:before="118"/>
        <w:ind w:left="244" w:right="517" w:hanging="1"/>
        <w:jc w:val="left"/>
        <w:rPr>
          <w:rFonts w:ascii="宋体" w:hAnsi="宋体" w:cs="宋体" w:eastAsia="宋体" w:hint="default"/>
          <w:sz w:val="21"/>
          <w:szCs w:val="21"/>
        </w:rPr>
      </w:pPr>
      <w:r>
        <w:rPr>
          <w:rFonts w:ascii="宋体" w:hAnsi="宋体" w:cs="宋体" w:eastAsia="宋体" w:hint="default"/>
          <w:sz w:val="21"/>
          <w:szCs w:val="21"/>
        </w:rPr>
        <w:t>并于</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日经深圳市鹏城会计师事务有限公司出具了深鹏所验字</w:t>
      </w:r>
      <w:r>
        <w:rPr>
          <w:rFonts w:ascii="Times New Roman" w:hAnsi="Times New Roman" w:cs="Times New Roman" w:eastAsia="Times New Roman" w:hint="default"/>
          <w:sz w:val="21"/>
          <w:szCs w:val="21"/>
        </w:rPr>
        <w:t>[2011]0213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号《验 </w:t>
      </w:r>
      <w:r>
        <w:rPr>
          <w:rFonts w:ascii="宋体" w:hAnsi="宋体" w:cs="宋体" w:eastAsia="宋体" w:hint="default"/>
          <w:spacing w:val="-21"/>
          <w:sz w:val="21"/>
          <w:szCs w:val="21"/>
        </w:rPr>
        <w:t>资报告》。</w:t>
      </w:r>
    </w:p>
    <w:p>
      <w:pPr>
        <w:spacing w:before="170"/>
        <w:ind w:left="244" w:right="3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1"/>
        <w:rPr>
          <w:rFonts w:ascii="宋体" w:hAnsi="宋体" w:cs="宋体" w:eastAsia="宋体" w:hint="default"/>
          <w:b/>
          <w:bCs/>
          <w:sz w:val="18"/>
          <w:szCs w:val="18"/>
        </w:rPr>
      </w:pPr>
    </w:p>
    <w:p>
      <w:pPr>
        <w:spacing w:before="0"/>
        <w:ind w:left="0" w:right="60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94" w:type="dxa"/>
        <w:tblLayout w:type="fixed"/>
        <w:tblCellMar>
          <w:top w:w="0" w:type="dxa"/>
          <w:left w:w="0" w:type="dxa"/>
          <w:bottom w:w="0" w:type="dxa"/>
          <w:right w:w="0" w:type="dxa"/>
        </w:tblCellMar>
        <w:tblLook w:val="01E0"/>
      </w:tblPr>
      <w:tblGrid>
        <w:gridCol w:w="2262"/>
        <w:gridCol w:w="1634"/>
        <w:gridCol w:w="1404"/>
        <w:gridCol w:w="1546"/>
        <w:gridCol w:w="1847"/>
      </w:tblGrid>
      <w:tr>
        <w:trPr>
          <w:trHeight w:val="388" w:hRule="exact"/>
        </w:trPr>
        <w:tc>
          <w:tcPr>
            <w:tcW w:w="2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3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0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64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88" w:hRule="exact"/>
        </w:trPr>
        <w:tc>
          <w:tcPr>
            <w:tcW w:w="2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373,975,300.21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pacing w:val="-1"/>
                <w:sz w:val="18"/>
              </w:rPr>
              <w:t>60,000,000.00</w:t>
            </w:r>
          </w:p>
        </w:tc>
        <w:tc>
          <w:tcPr>
            <w:tcW w:w="18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687" w:right="0"/>
              <w:jc w:val="left"/>
              <w:rPr>
                <w:rFonts w:ascii="Times New Roman" w:hAnsi="Times New Roman" w:cs="Times New Roman" w:eastAsia="Times New Roman" w:hint="default"/>
                <w:sz w:val="18"/>
                <w:szCs w:val="18"/>
              </w:rPr>
            </w:pPr>
            <w:r>
              <w:rPr>
                <w:rFonts w:ascii="Times New Roman"/>
                <w:sz w:val="18"/>
              </w:rPr>
              <w:t>313,975,300.21</w:t>
            </w:r>
          </w:p>
        </w:tc>
      </w:tr>
      <w:tr>
        <w:trPr>
          <w:trHeight w:val="388" w:hRule="exact"/>
        </w:trPr>
        <w:tc>
          <w:tcPr>
            <w:tcW w:w="2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373,975,300.21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pacing w:val="-1"/>
                <w:sz w:val="18"/>
              </w:rPr>
              <w:t>60,000,000.00</w:t>
            </w:r>
          </w:p>
        </w:tc>
        <w:tc>
          <w:tcPr>
            <w:tcW w:w="18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687" w:right="0"/>
              <w:jc w:val="left"/>
              <w:rPr>
                <w:rFonts w:ascii="Times New Roman" w:hAnsi="Times New Roman" w:cs="Times New Roman" w:eastAsia="Times New Roman" w:hint="default"/>
                <w:sz w:val="18"/>
                <w:szCs w:val="18"/>
              </w:rPr>
            </w:pPr>
            <w:r>
              <w:rPr>
                <w:rFonts w:ascii="Times New Roman"/>
                <w:sz w:val="18"/>
              </w:rPr>
              <w:t>313,975,300.21</w:t>
            </w:r>
          </w:p>
        </w:tc>
      </w:tr>
    </w:tbl>
    <w:p>
      <w:pPr>
        <w:spacing w:before="86"/>
        <w:ind w:left="664" w:right="370" w:firstLine="0"/>
        <w:jc w:val="left"/>
        <w:rPr>
          <w:rFonts w:ascii="宋体" w:hAnsi="宋体" w:cs="宋体" w:eastAsia="宋体" w:hint="default"/>
          <w:sz w:val="21"/>
          <w:szCs w:val="21"/>
        </w:rPr>
      </w:pPr>
      <w:r>
        <w:rPr>
          <w:rFonts w:ascii="宋体" w:hAnsi="宋体" w:cs="宋体" w:eastAsia="宋体" w:hint="default"/>
          <w:sz w:val="21"/>
          <w:szCs w:val="21"/>
        </w:rPr>
        <w:t>资本溢价（股本溢价）是本期减少情况同附注五、</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情况说明。</w:t>
      </w:r>
    </w:p>
    <w:p>
      <w:pPr>
        <w:spacing w:line="240" w:lineRule="auto" w:before="2"/>
        <w:rPr>
          <w:rFonts w:ascii="宋体" w:hAnsi="宋体" w:cs="宋体" w:eastAsia="宋体" w:hint="default"/>
          <w:sz w:val="18"/>
          <w:szCs w:val="18"/>
        </w:rPr>
      </w:pPr>
    </w:p>
    <w:p>
      <w:pPr>
        <w:spacing w:before="0"/>
        <w:ind w:left="243" w:right="3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0" w:right="60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94" w:type="dxa"/>
        <w:tblLayout w:type="fixed"/>
        <w:tblCellMar>
          <w:top w:w="0" w:type="dxa"/>
          <w:left w:w="0" w:type="dxa"/>
          <w:bottom w:w="0" w:type="dxa"/>
          <w:right w:w="0" w:type="dxa"/>
        </w:tblCellMar>
        <w:tblLook w:val="01E0"/>
      </w:tblPr>
      <w:tblGrid>
        <w:gridCol w:w="1750"/>
        <w:gridCol w:w="1735"/>
        <w:gridCol w:w="1735"/>
        <w:gridCol w:w="1736"/>
        <w:gridCol w:w="1736"/>
      </w:tblGrid>
      <w:tr>
        <w:trPr>
          <w:trHeight w:val="388" w:hRule="exact"/>
        </w:trPr>
        <w:tc>
          <w:tcPr>
            <w:tcW w:w="17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88" w:hRule="exact"/>
        </w:trPr>
        <w:tc>
          <w:tcPr>
            <w:tcW w:w="17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64" w:right="0"/>
              <w:jc w:val="left"/>
              <w:rPr>
                <w:rFonts w:ascii="Times New Roman" w:hAnsi="Times New Roman" w:cs="Times New Roman" w:eastAsia="Times New Roman" w:hint="default"/>
                <w:sz w:val="18"/>
                <w:szCs w:val="18"/>
              </w:rPr>
            </w:pPr>
            <w:r>
              <w:rPr>
                <w:rFonts w:ascii="Times New Roman"/>
                <w:sz w:val="18"/>
              </w:rPr>
              <w:t>10,843,670.67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756" w:right="0"/>
              <w:jc w:val="left"/>
              <w:rPr>
                <w:rFonts w:ascii="Times New Roman" w:hAnsi="Times New Roman" w:cs="Times New Roman" w:eastAsia="Times New Roman" w:hint="default"/>
                <w:sz w:val="18"/>
                <w:szCs w:val="18"/>
              </w:rPr>
            </w:pPr>
            <w:r>
              <w:rPr>
                <w:rFonts w:ascii="Times New Roman"/>
                <w:sz w:val="18"/>
              </w:rPr>
              <w:t>2,135,391.17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666" w:right="0"/>
              <w:jc w:val="left"/>
              <w:rPr>
                <w:rFonts w:ascii="Times New Roman" w:hAnsi="Times New Roman" w:cs="Times New Roman" w:eastAsia="Times New Roman" w:hint="default"/>
                <w:sz w:val="18"/>
                <w:szCs w:val="18"/>
              </w:rPr>
            </w:pPr>
            <w:r>
              <w:rPr>
                <w:rFonts w:ascii="Times New Roman"/>
                <w:sz w:val="18"/>
              </w:rPr>
              <w:t>12,979,061.84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1400" w:right="1120"/>
        </w:sectPr>
      </w:pPr>
    </w:p>
    <w:p>
      <w:pPr>
        <w:spacing w:line="240" w:lineRule="auto" w:before="6"/>
        <w:rPr>
          <w:rFonts w:ascii="宋体" w:hAnsi="宋体" w:cs="宋体" w:eastAsia="宋体" w:hint="default"/>
          <w:sz w:val="24"/>
          <w:szCs w:val="24"/>
        </w:rPr>
      </w:pPr>
    </w:p>
    <w:p>
      <w:pPr>
        <w:spacing w:line="402" w:lineRule="exact"/>
        <w:ind w:left="11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35.15pt;height:20.1pt;mso-position-horizontal-relative:char;mso-position-vertical-relative:line" coordorigin="0,0" coordsize="8703,402">
            <v:group style="position:absolute;left:19;top:5;width:8672;height:2" coordorigin="19,5" coordsize="8672,2">
              <v:shape style="position:absolute;left:19;top:5;width:8672;height:2" coordorigin="19,5" coordsize="8672,0" path="m19,5l8690,5e" filled="false" stroked="true" strokeweight=".48004pt" strokecolor="#000000">
                <v:path arrowok="t"/>
              </v:shape>
            </v:group>
            <v:group style="position:absolute;left:5;top:392;width:1745;height:2" coordorigin="5,392" coordsize="1745,2">
              <v:shape style="position:absolute;left:5;top:392;width:1745;height:2" coordorigin="5,392" coordsize="1745,0" path="m5,392l1750,392e" filled="false" stroked="true" strokeweight=".47998pt" strokecolor="#000000">
                <v:path arrowok="t"/>
              </v:shape>
            </v:group>
            <v:group style="position:absolute;left:1754;top:10;width:2;height:388" coordorigin="1754,10" coordsize="2,388">
              <v:shape style="position:absolute;left:1754;top:10;width:2;height:388" coordorigin="1754,10" coordsize="0,388" path="m1754,10l1754,397e" filled="false" stroked="true" strokeweight=".48pt" strokecolor="#000000">
                <v:path arrowok="t"/>
              </v:shape>
            </v:group>
            <v:group style="position:absolute;left:1759;top:392;width:1726;height:2" coordorigin="1759,392" coordsize="1726,2">
              <v:shape style="position:absolute;left:1759;top:392;width:1726;height:2" coordorigin="1759,392" coordsize="1726,0" path="m1759,392l3485,392e" filled="false" stroked="true" strokeweight=".47998pt" strokecolor="#000000">
                <v:path arrowok="t"/>
              </v:shape>
            </v:group>
            <v:group style="position:absolute;left:3490;top:10;width:2;height:388" coordorigin="3490,10" coordsize="2,388">
              <v:shape style="position:absolute;left:3490;top:10;width:2;height:388" coordorigin="3490,10" coordsize="0,388" path="m3490,10l3490,397e" filled="false" stroked="true" strokeweight=".48pt" strokecolor="#000000">
                <v:path arrowok="t"/>
              </v:shape>
            </v:group>
            <v:group style="position:absolute;left:3494;top:392;width:1726;height:2" coordorigin="3494,392" coordsize="1726,2">
              <v:shape style="position:absolute;left:3494;top:392;width:1726;height:2" coordorigin="3494,392" coordsize="1726,0" path="m3494,392l5220,392e" filled="false" stroked="true" strokeweight=".47998pt" strokecolor="#000000">
                <v:path arrowok="t"/>
              </v:shape>
            </v:group>
            <v:group style="position:absolute;left:5225;top:10;width:2;height:388" coordorigin="5225,10" coordsize="2,388">
              <v:shape style="position:absolute;left:5225;top:10;width:2;height:388" coordorigin="5225,10" coordsize="0,388" path="m5225,10l5225,397e" filled="false" stroked="true" strokeweight=".47998pt" strokecolor="#000000">
                <v:path arrowok="t"/>
              </v:shape>
            </v:group>
            <v:group style="position:absolute;left:5230;top:392;width:1727;height:2" coordorigin="5230,392" coordsize="1727,2">
              <v:shape style="position:absolute;left:5230;top:392;width:1727;height:2" coordorigin="5230,392" coordsize="1727,0" path="m5230,392l6956,392e" filled="false" stroked="true" strokeweight=".47998pt" strokecolor="#000000">
                <v:path arrowok="t"/>
              </v:shape>
            </v:group>
            <v:group style="position:absolute;left:6961;top:10;width:2;height:388" coordorigin="6961,10" coordsize="2,388">
              <v:shape style="position:absolute;left:6961;top:10;width:2;height:388" coordorigin="6961,10" coordsize="0,388" path="m6961,10l6961,397e" filled="false" stroked="true" strokeweight=".47998pt" strokecolor="#000000">
                <v:path arrowok="t"/>
              </v:shape>
            </v:group>
            <v:group style="position:absolute;left:6966;top:392;width:1732;height:2" coordorigin="6966,392" coordsize="1732,2">
              <v:shape style="position:absolute;left:6966;top:392;width:1732;height:2" coordorigin="6966,392" coordsize="1732,0" path="m6966,392l8698,392e" filled="false" stroked="true" strokeweight=".47998pt" strokecolor="#000000">
                <v:path arrowok="t"/>
              </v:shape>
              <v:shape style="position:absolute;left:1754;top:5;width:1736;height:388" type="#_x0000_t202" filled="false" stroked="false">
                <v:textbox inset="0,0,0,0">
                  <w:txbxContent>
                    <w:p>
                      <w:pPr>
                        <w:spacing w:before="98"/>
                        <w:ind w:left="669" w:right="0" w:firstLine="0"/>
                        <w:jc w:val="left"/>
                        <w:rPr>
                          <w:rFonts w:ascii="Times New Roman" w:hAnsi="Times New Roman" w:cs="Times New Roman" w:eastAsia="Times New Roman" w:hint="default"/>
                          <w:sz w:val="18"/>
                          <w:szCs w:val="18"/>
                        </w:rPr>
                      </w:pPr>
                      <w:r>
                        <w:rPr>
                          <w:rFonts w:ascii="Times New Roman"/>
                          <w:sz w:val="18"/>
                        </w:rPr>
                        <w:t>10,843,670.67</w:t>
                      </w:r>
                    </w:p>
                  </w:txbxContent>
                </v:textbox>
                <w10:wrap type="none"/>
              </v:shape>
              <v:shape style="position:absolute;left:3490;top:5;width:1736;height:388" type="#_x0000_t202" filled="false" stroked="false">
                <v:textbox inset="0,0,0,0">
                  <w:txbxContent>
                    <w:p>
                      <w:pPr>
                        <w:spacing w:before="85"/>
                        <w:ind w:left="760" w:right="0" w:firstLine="0"/>
                        <w:jc w:val="left"/>
                        <w:rPr>
                          <w:rFonts w:ascii="Times New Roman" w:hAnsi="Times New Roman" w:cs="Times New Roman" w:eastAsia="Times New Roman" w:hint="default"/>
                          <w:sz w:val="18"/>
                          <w:szCs w:val="18"/>
                        </w:rPr>
                      </w:pPr>
                      <w:r>
                        <w:rPr>
                          <w:rFonts w:ascii="Times New Roman"/>
                          <w:sz w:val="18"/>
                        </w:rPr>
                        <w:t>2,135,391.17</w:t>
                      </w:r>
                    </w:p>
                  </w:txbxContent>
                </v:textbox>
                <w10:wrap type="none"/>
              </v:shape>
              <v:shape style="position:absolute;left:6811;top:126;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49;top:10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7632;top:113;width:103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12,979,061.84</w:t>
                      </w:r>
                    </w:p>
                  </w:txbxContent>
                </v:textbox>
                <w10:wrap type="none"/>
              </v:shape>
            </v:group>
          </v:group>
        </w:pict>
      </w:r>
      <w:r>
        <w:rPr>
          <w:rFonts w:ascii="宋体" w:hAnsi="宋体" w:cs="宋体" w:eastAsia="宋体" w:hint="default"/>
          <w:position w:val="-7"/>
          <w:sz w:val="20"/>
          <w:szCs w:val="20"/>
        </w:rPr>
      </w:r>
    </w:p>
    <w:p>
      <w:pPr>
        <w:spacing w:line="240" w:lineRule="auto" w:before="12"/>
        <w:rPr>
          <w:rFonts w:ascii="宋体" w:hAnsi="宋体" w:cs="宋体" w:eastAsia="宋体" w:hint="default"/>
          <w:sz w:val="21"/>
          <w:szCs w:val="21"/>
        </w:rPr>
      </w:pPr>
    </w:p>
    <w:p>
      <w:pPr>
        <w:spacing w:before="35"/>
        <w:ind w:left="16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6"/>
        <w:rPr>
          <w:rFonts w:ascii="宋体" w:hAnsi="宋体" w:cs="宋体" w:eastAsia="宋体" w:hint="default"/>
          <w:b/>
          <w:bCs/>
          <w:sz w:val="15"/>
          <w:szCs w:val="15"/>
        </w:rPr>
      </w:pPr>
    </w:p>
    <w:p>
      <w:pPr>
        <w:spacing w:before="35"/>
        <w:ind w:left="0" w:right="24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4843"/>
        <w:gridCol w:w="1614"/>
        <w:gridCol w:w="2238"/>
      </w:tblGrid>
      <w:tr>
        <w:trPr>
          <w:trHeight w:val="392" w:hRule="exact"/>
        </w:trPr>
        <w:tc>
          <w:tcPr>
            <w:tcW w:w="4843"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4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3"/>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8"/>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392" w:hRule="exact"/>
        </w:trPr>
        <w:tc>
          <w:tcPr>
            <w:tcW w:w="4843"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43"/>
              <w:ind w:left="45" w:right="0"/>
              <w:jc w:val="left"/>
              <w:rPr>
                <w:rFonts w:ascii="宋体" w:hAnsi="宋体" w:cs="宋体" w:eastAsia="宋体" w:hint="default"/>
                <w:sz w:val="18"/>
                <w:szCs w:val="18"/>
              </w:rPr>
            </w:pPr>
            <w:r>
              <w:rPr>
                <w:rFonts w:ascii="宋体" w:hAnsi="宋体" w:cs="宋体" w:eastAsia="宋体" w:hint="default"/>
                <w:sz w:val="18"/>
                <w:szCs w:val="18"/>
              </w:rPr>
              <w:t>调整前 上年末未分配利润</w:t>
            </w:r>
          </w:p>
        </w:tc>
        <w:tc>
          <w:tcPr>
            <w:tcW w:w="16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86,031,644.70</w:t>
            </w:r>
          </w:p>
        </w:tc>
        <w:tc>
          <w:tcPr>
            <w:tcW w:w="2238" w:type="dxa"/>
            <w:tcBorders>
              <w:top w:val="single" w:sz="6" w:space="0" w:color="000000"/>
              <w:left w:val="single" w:sz="6" w:space="0" w:color="000000"/>
              <w:bottom w:val="single" w:sz="6" w:space="0" w:color="000000"/>
              <w:right w:val="nil" w:sz="6" w:space="0" w:color="auto"/>
            </w:tcBorders>
          </w:tcPr>
          <w:p>
            <w:pPr/>
          </w:p>
        </w:tc>
      </w:tr>
      <w:tr>
        <w:trPr>
          <w:trHeight w:val="392" w:hRule="exact"/>
        </w:trPr>
        <w:tc>
          <w:tcPr>
            <w:tcW w:w="4843"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43"/>
              <w:ind w:left="45" w:right="0"/>
              <w:jc w:val="left"/>
              <w:rPr>
                <w:rFonts w:ascii="宋体" w:hAnsi="宋体" w:cs="宋体" w:eastAsia="宋体" w:hint="default"/>
                <w:sz w:val="18"/>
                <w:szCs w:val="18"/>
              </w:rPr>
            </w:pPr>
            <w:r>
              <w:rPr>
                <w:rFonts w:ascii="宋体" w:hAnsi="宋体" w:cs="宋体" w:eastAsia="宋体" w:hint="default"/>
                <w:sz w:val="18"/>
                <w:szCs w:val="18"/>
              </w:rPr>
              <w:t>调整 年初未分配利润合计数（调增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z w:val="18"/>
              </w:rPr>
              <w:t>--</w:t>
            </w:r>
          </w:p>
        </w:tc>
        <w:tc>
          <w:tcPr>
            <w:tcW w:w="2238" w:type="dxa"/>
            <w:tcBorders>
              <w:top w:val="single" w:sz="6" w:space="0" w:color="000000"/>
              <w:left w:val="single" w:sz="6" w:space="0" w:color="000000"/>
              <w:bottom w:val="single" w:sz="6" w:space="0" w:color="000000"/>
              <w:right w:val="nil" w:sz="6" w:space="0" w:color="auto"/>
            </w:tcBorders>
          </w:tcPr>
          <w:p>
            <w:pPr/>
          </w:p>
        </w:tc>
      </w:tr>
      <w:tr>
        <w:trPr>
          <w:trHeight w:val="392" w:hRule="exact"/>
        </w:trPr>
        <w:tc>
          <w:tcPr>
            <w:tcW w:w="4843"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43"/>
              <w:ind w:left="45" w:right="0"/>
              <w:jc w:val="left"/>
              <w:rPr>
                <w:rFonts w:ascii="宋体" w:hAnsi="宋体" w:cs="宋体" w:eastAsia="宋体" w:hint="default"/>
                <w:sz w:val="18"/>
                <w:szCs w:val="18"/>
              </w:rPr>
            </w:pPr>
            <w:r>
              <w:rPr>
                <w:rFonts w:ascii="宋体" w:hAnsi="宋体" w:cs="宋体" w:eastAsia="宋体" w:hint="default"/>
                <w:sz w:val="18"/>
                <w:szCs w:val="18"/>
              </w:rPr>
              <w:t>调整后 年初未分配利润</w:t>
            </w:r>
          </w:p>
        </w:tc>
        <w:tc>
          <w:tcPr>
            <w:tcW w:w="16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86,031,644.70</w:t>
            </w:r>
          </w:p>
        </w:tc>
        <w:tc>
          <w:tcPr>
            <w:tcW w:w="2238" w:type="dxa"/>
            <w:tcBorders>
              <w:top w:val="single" w:sz="6" w:space="0" w:color="000000"/>
              <w:left w:val="single" w:sz="6" w:space="0" w:color="000000"/>
              <w:bottom w:val="single" w:sz="6" w:space="0" w:color="000000"/>
              <w:right w:val="nil" w:sz="6" w:space="0" w:color="auto"/>
            </w:tcBorders>
          </w:tcPr>
          <w:p>
            <w:pPr/>
          </w:p>
        </w:tc>
      </w:tr>
      <w:tr>
        <w:trPr>
          <w:trHeight w:val="392" w:hRule="exact"/>
        </w:trPr>
        <w:tc>
          <w:tcPr>
            <w:tcW w:w="4843"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43"/>
              <w:ind w:left="45"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16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20,830,897.90</w:t>
            </w:r>
          </w:p>
        </w:tc>
        <w:tc>
          <w:tcPr>
            <w:tcW w:w="2238" w:type="dxa"/>
            <w:tcBorders>
              <w:top w:val="single" w:sz="6" w:space="0" w:color="000000"/>
              <w:left w:val="single" w:sz="6" w:space="0" w:color="000000"/>
              <w:bottom w:val="single" w:sz="6" w:space="0" w:color="000000"/>
              <w:right w:val="nil" w:sz="6" w:space="0" w:color="auto"/>
            </w:tcBorders>
          </w:tcPr>
          <w:p>
            <w:pPr/>
          </w:p>
        </w:tc>
      </w:tr>
      <w:tr>
        <w:trPr>
          <w:trHeight w:val="392" w:hRule="exact"/>
        </w:trPr>
        <w:tc>
          <w:tcPr>
            <w:tcW w:w="4843"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43"/>
              <w:ind w:left="45"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16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2,135,391.17</w:t>
            </w:r>
          </w:p>
        </w:tc>
        <w:tc>
          <w:tcPr>
            <w:tcW w:w="22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7"/>
              <w:jc w:val="center"/>
              <w:rPr>
                <w:rFonts w:ascii="Times New Roman" w:hAnsi="Times New Roman" w:cs="Times New Roman" w:eastAsia="Times New Roman" w:hint="default"/>
                <w:sz w:val="18"/>
                <w:szCs w:val="18"/>
              </w:rPr>
            </w:pPr>
            <w:r>
              <w:rPr>
                <w:rFonts w:ascii="Times New Roman"/>
                <w:sz w:val="18"/>
              </w:rPr>
              <w:t>10%</w:t>
            </w:r>
          </w:p>
        </w:tc>
      </w:tr>
      <w:tr>
        <w:trPr>
          <w:trHeight w:val="392" w:hRule="exact"/>
        </w:trPr>
        <w:tc>
          <w:tcPr>
            <w:tcW w:w="4843"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43"/>
              <w:ind w:left="405"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16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z w:val="18"/>
              </w:rPr>
              <w:t>--</w:t>
            </w:r>
          </w:p>
        </w:tc>
        <w:tc>
          <w:tcPr>
            <w:tcW w:w="22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8"/>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4843"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43"/>
              <w:ind w:left="405"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16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8"/>
              <w:ind w:right="22"/>
              <w:jc w:val="right"/>
              <w:rPr>
                <w:rFonts w:ascii="Times New Roman" w:hAnsi="Times New Roman" w:cs="Times New Roman" w:eastAsia="Times New Roman" w:hint="default"/>
                <w:sz w:val="18"/>
                <w:szCs w:val="18"/>
              </w:rPr>
            </w:pPr>
            <w:r>
              <w:rPr>
                <w:rFonts w:ascii="Times New Roman"/>
                <w:sz w:val="18"/>
              </w:rPr>
              <w:t>--</w:t>
            </w:r>
          </w:p>
        </w:tc>
        <w:tc>
          <w:tcPr>
            <w:tcW w:w="22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8"/>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4843"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43"/>
              <w:ind w:left="405"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16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36,000,000.00</w:t>
            </w:r>
          </w:p>
        </w:tc>
        <w:tc>
          <w:tcPr>
            <w:tcW w:w="22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8"/>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4843"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43"/>
              <w:ind w:left="405"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16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z w:val="18"/>
              </w:rPr>
              <w:t>--</w:t>
            </w:r>
          </w:p>
        </w:tc>
        <w:tc>
          <w:tcPr>
            <w:tcW w:w="22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8"/>
              <w:jc w:val="center"/>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4843"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43"/>
              <w:ind w:left="45"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16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68,727,151.43</w:t>
            </w:r>
          </w:p>
        </w:tc>
        <w:tc>
          <w:tcPr>
            <w:tcW w:w="22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8"/>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35"/>
        <w:ind w:left="16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16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w:t>
      </w:r>
    </w:p>
    <w:p>
      <w:pPr>
        <w:spacing w:line="240" w:lineRule="auto" w:before="5"/>
        <w:rPr>
          <w:rFonts w:ascii="宋体" w:hAnsi="宋体" w:cs="宋体" w:eastAsia="宋体" w:hint="default"/>
          <w:sz w:val="15"/>
          <w:szCs w:val="15"/>
        </w:rPr>
      </w:pPr>
    </w:p>
    <w:p>
      <w:pPr>
        <w:spacing w:before="35"/>
        <w:ind w:left="0" w:right="24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3684"/>
        <w:gridCol w:w="2448"/>
        <w:gridCol w:w="2448"/>
      </w:tblGrid>
      <w:tr>
        <w:trPr>
          <w:trHeight w:val="388" w:hRule="exact"/>
        </w:trPr>
        <w:tc>
          <w:tcPr>
            <w:tcW w:w="3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6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76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8" w:hRule="exact"/>
        </w:trPr>
        <w:tc>
          <w:tcPr>
            <w:tcW w:w="3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94,463,450.73</w:t>
            </w:r>
          </w:p>
        </w:tc>
        <w:tc>
          <w:tcPr>
            <w:tcW w:w="24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90,244,022.54</w:t>
            </w:r>
          </w:p>
        </w:tc>
      </w:tr>
      <w:tr>
        <w:trPr>
          <w:trHeight w:val="388" w:hRule="exact"/>
        </w:trPr>
        <w:tc>
          <w:tcPr>
            <w:tcW w:w="3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1,931,034.60</w:t>
            </w:r>
          </w:p>
        </w:tc>
        <w:tc>
          <w:tcPr>
            <w:tcW w:w="24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1,898,305.20</w:t>
            </w:r>
          </w:p>
        </w:tc>
      </w:tr>
      <w:tr>
        <w:trPr>
          <w:trHeight w:val="388" w:hRule="exact"/>
        </w:trPr>
        <w:tc>
          <w:tcPr>
            <w:tcW w:w="3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right="1289"/>
              <w:jc w:val="right"/>
              <w:rPr>
                <w:rFonts w:ascii="宋体" w:hAnsi="宋体" w:cs="宋体" w:eastAsia="宋体" w:hint="default"/>
                <w:sz w:val="18"/>
                <w:szCs w:val="18"/>
              </w:rPr>
            </w:pPr>
            <w:r>
              <w:rPr>
                <w:rFonts w:ascii="宋体" w:hAnsi="宋体" w:cs="宋体" w:eastAsia="宋体" w:hint="default"/>
                <w:sz w:val="18"/>
                <w:szCs w:val="18"/>
              </w:rPr>
              <w:t>营业收入合计</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96,394,485.33</w:t>
            </w:r>
          </w:p>
        </w:tc>
        <w:tc>
          <w:tcPr>
            <w:tcW w:w="24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92,142,327.74</w:t>
            </w:r>
          </w:p>
        </w:tc>
      </w:tr>
      <w:tr>
        <w:trPr>
          <w:trHeight w:val="388" w:hRule="exact"/>
        </w:trPr>
        <w:tc>
          <w:tcPr>
            <w:tcW w:w="3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41,836,653.04</w:t>
            </w:r>
          </w:p>
        </w:tc>
        <w:tc>
          <w:tcPr>
            <w:tcW w:w="24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31,473,431.85</w:t>
            </w:r>
          </w:p>
        </w:tc>
      </w:tr>
      <w:tr>
        <w:trPr>
          <w:trHeight w:val="388" w:hRule="exact"/>
        </w:trPr>
        <w:tc>
          <w:tcPr>
            <w:tcW w:w="3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其他业务支出</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1,157,844.48</w:t>
            </w:r>
          </w:p>
        </w:tc>
        <w:tc>
          <w:tcPr>
            <w:tcW w:w="24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1,146,476.16</w:t>
            </w:r>
          </w:p>
        </w:tc>
      </w:tr>
      <w:tr>
        <w:trPr>
          <w:trHeight w:val="388" w:hRule="exact"/>
        </w:trPr>
        <w:tc>
          <w:tcPr>
            <w:tcW w:w="3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right="1289"/>
              <w:jc w:val="right"/>
              <w:rPr>
                <w:rFonts w:ascii="宋体" w:hAnsi="宋体" w:cs="宋体" w:eastAsia="宋体" w:hint="default"/>
                <w:sz w:val="18"/>
                <w:szCs w:val="18"/>
              </w:rPr>
            </w:pPr>
            <w:r>
              <w:rPr>
                <w:rFonts w:ascii="宋体" w:hAnsi="宋体" w:cs="宋体" w:eastAsia="宋体" w:hint="default"/>
                <w:sz w:val="18"/>
                <w:szCs w:val="18"/>
              </w:rPr>
              <w:t>营业成本合计</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42,994,497.52</w:t>
            </w:r>
          </w:p>
        </w:tc>
        <w:tc>
          <w:tcPr>
            <w:tcW w:w="24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32,619,908.01</w:t>
            </w:r>
          </w:p>
        </w:tc>
      </w:tr>
    </w:tbl>
    <w:p>
      <w:pPr>
        <w:spacing w:line="240" w:lineRule="auto" w:before="4"/>
        <w:rPr>
          <w:rFonts w:ascii="宋体" w:hAnsi="宋体" w:cs="宋体" w:eastAsia="宋体" w:hint="default"/>
          <w:sz w:val="22"/>
          <w:szCs w:val="22"/>
        </w:rPr>
      </w:pPr>
    </w:p>
    <w:p>
      <w:pPr>
        <w:spacing w:before="35"/>
        <w:ind w:left="16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）主营业务（分行业）</w:t>
      </w:r>
    </w:p>
    <w:p>
      <w:pPr>
        <w:spacing w:line="240" w:lineRule="auto" w:before="5"/>
        <w:rPr>
          <w:rFonts w:ascii="宋体" w:hAnsi="宋体" w:cs="宋体" w:eastAsia="宋体" w:hint="default"/>
          <w:sz w:val="15"/>
          <w:szCs w:val="15"/>
        </w:rPr>
      </w:pPr>
    </w:p>
    <w:p>
      <w:pPr>
        <w:spacing w:before="35"/>
        <w:ind w:left="0" w:right="24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2350"/>
        <w:gridCol w:w="1560"/>
        <w:gridCol w:w="1564"/>
        <w:gridCol w:w="1560"/>
        <w:gridCol w:w="1560"/>
      </w:tblGrid>
      <w:tr>
        <w:trPr>
          <w:trHeight w:val="408" w:hRule="exact"/>
        </w:trPr>
        <w:tc>
          <w:tcPr>
            <w:tcW w:w="2350"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2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2350" w:type="dxa"/>
            <w:vMerge/>
            <w:tcBorders>
              <w:left w:val="nil" w:sz="6" w:space="0" w:color="auto"/>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415"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7" w:hRule="exact"/>
        </w:trPr>
        <w:tc>
          <w:tcPr>
            <w:tcW w:w="23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金融服务业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98" w:right="0"/>
              <w:jc w:val="left"/>
              <w:rPr>
                <w:rFonts w:ascii="Times New Roman" w:hAnsi="Times New Roman" w:cs="Times New Roman" w:eastAsia="Times New Roman" w:hint="default"/>
                <w:sz w:val="18"/>
                <w:szCs w:val="18"/>
              </w:rPr>
            </w:pPr>
            <w:r>
              <w:rPr>
                <w:rFonts w:ascii="Times New Roman"/>
                <w:sz w:val="18"/>
              </w:rPr>
              <w:t>94,463,450.73</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401" w:right="0"/>
              <w:jc w:val="left"/>
              <w:rPr>
                <w:rFonts w:ascii="Times New Roman" w:hAnsi="Times New Roman" w:cs="Times New Roman" w:eastAsia="Times New Roman" w:hint="default"/>
                <w:sz w:val="18"/>
                <w:szCs w:val="18"/>
              </w:rPr>
            </w:pPr>
            <w:r>
              <w:rPr>
                <w:rFonts w:ascii="Times New Roman"/>
                <w:sz w:val="18"/>
              </w:rPr>
              <w:t>41,836,653.04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98" w:right="0"/>
              <w:jc w:val="left"/>
              <w:rPr>
                <w:rFonts w:ascii="Times New Roman" w:hAnsi="Times New Roman" w:cs="Times New Roman" w:eastAsia="Times New Roman" w:hint="default"/>
                <w:sz w:val="18"/>
                <w:szCs w:val="18"/>
              </w:rPr>
            </w:pPr>
            <w:r>
              <w:rPr>
                <w:rFonts w:ascii="Times New Roman"/>
                <w:sz w:val="18"/>
              </w:rPr>
              <w:t>90,244,022.54</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left="398" w:right="0"/>
              <w:jc w:val="left"/>
              <w:rPr>
                <w:rFonts w:ascii="Times New Roman" w:hAnsi="Times New Roman" w:cs="Times New Roman" w:eastAsia="Times New Roman" w:hint="default"/>
                <w:sz w:val="18"/>
                <w:szCs w:val="18"/>
              </w:rPr>
            </w:pPr>
            <w:r>
              <w:rPr>
                <w:rFonts w:ascii="Times New Roman"/>
                <w:sz w:val="18"/>
              </w:rPr>
              <w:t>31,473,431.85</w:t>
            </w:r>
          </w:p>
        </w:tc>
      </w:tr>
      <w:tr>
        <w:trPr>
          <w:trHeight w:val="407" w:hRule="exact"/>
        </w:trPr>
        <w:tc>
          <w:tcPr>
            <w:tcW w:w="23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98" w:right="0"/>
              <w:jc w:val="left"/>
              <w:rPr>
                <w:rFonts w:ascii="Times New Roman" w:hAnsi="Times New Roman" w:cs="Times New Roman" w:eastAsia="Times New Roman" w:hint="default"/>
                <w:sz w:val="18"/>
                <w:szCs w:val="18"/>
              </w:rPr>
            </w:pPr>
            <w:r>
              <w:rPr>
                <w:rFonts w:ascii="Times New Roman"/>
                <w:sz w:val="18"/>
              </w:rPr>
              <w:t>94,463,450.73</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401" w:right="0"/>
              <w:jc w:val="left"/>
              <w:rPr>
                <w:rFonts w:ascii="Times New Roman" w:hAnsi="Times New Roman" w:cs="Times New Roman" w:eastAsia="Times New Roman" w:hint="default"/>
                <w:sz w:val="18"/>
                <w:szCs w:val="18"/>
              </w:rPr>
            </w:pPr>
            <w:r>
              <w:rPr>
                <w:rFonts w:ascii="Times New Roman"/>
                <w:sz w:val="18"/>
              </w:rPr>
              <w:t>41,836,653.04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98" w:right="0"/>
              <w:jc w:val="left"/>
              <w:rPr>
                <w:rFonts w:ascii="Times New Roman" w:hAnsi="Times New Roman" w:cs="Times New Roman" w:eastAsia="Times New Roman" w:hint="default"/>
                <w:sz w:val="18"/>
                <w:szCs w:val="18"/>
              </w:rPr>
            </w:pPr>
            <w:r>
              <w:rPr>
                <w:rFonts w:ascii="Times New Roman"/>
                <w:sz w:val="18"/>
              </w:rPr>
              <w:t>90,244,022.54</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left="398" w:right="0"/>
              <w:jc w:val="left"/>
              <w:rPr>
                <w:rFonts w:ascii="Times New Roman" w:hAnsi="Times New Roman" w:cs="Times New Roman" w:eastAsia="Times New Roman" w:hint="default"/>
                <w:sz w:val="18"/>
                <w:szCs w:val="18"/>
              </w:rPr>
            </w:pPr>
            <w:r>
              <w:rPr>
                <w:rFonts w:ascii="Times New Roman"/>
                <w:sz w:val="18"/>
              </w:rPr>
              <w:t>31,473,431.85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1480" w:right="1480"/>
        </w:sectPr>
      </w:pPr>
    </w:p>
    <w:p>
      <w:pPr>
        <w:spacing w:line="240" w:lineRule="auto" w:before="2"/>
        <w:rPr>
          <w:rFonts w:ascii="宋体" w:hAnsi="宋体" w:cs="宋体" w:eastAsia="宋体" w:hint="default"/>
          <w:sz w:val="19"/>
          <w:szCs w:val="19"/>
        </w:rPr>
      </w:pPr>
    </w:p>
    <w:p>
      <w:pPr>
        <w:spacing w:before="35"/>
        <w:ind w:left="164" w:right="1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）主营业务（分产品）</w:t>
      </w:r>
    </w:p>
    <w:p>
      <w:pPr>
        <w:spacing w:line="240" w:lineRule="auto" w:before="5"/>
        <w:rPr>
          <w:rFonts w:ascii="宋体" w:hAnsi="宋体" w:cs="宋体" w:eastAsia="宋体" w:hint="default"/>
          <w:sz w:val="15"/>
          <w:szCs w:val="15"/>
        </w:rPr>
      </w:pPr>
    </w:p>
    <w:p>
      <w:pPr>
        <w:spacing w:before="35"/>
        <w:ind w:left="0" w:right="22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2300"/>
        <w:gridCol w:w="1691"/>
        <w:gridCol w:w="1560"/>
        <w:gridCol w:w="1560"/>
        <w:gridCol w:w="1554"/>
      </w:tblGrid>
      <w:tr>
        <w:trPr>
          <w:trHeight w:val="388" w:hRule="exact"/>
        </w:trPr>
        <w:tc>
          <w:tcPr>
            <w:tcW w:w="2300"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2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1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6"/>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8" w:hRule="exact"/>
        </w:trPr>
        <w:tc>
          <w:tcPr>
            <w:tcW w:w="2300" w:type="dxa"/>
            <w:vMerge/>
            <w:tcBorders>
              <w:left w:val="nil" w:sz="6" w:space="0" w:color="auto"/>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8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1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1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410"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88" w:hRule="exact"/>
        </w:trPr>
        <w:tc>
          <w:tcPr>
            <w:tcW w:w="2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软件产品及开发</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4"/>
              <w:jc w:val="right"/>
              <w:rPr>
                <w:rFonts w:ascii="Times New Roman" w:hAnsi="Times New Roman" w:cs="Times New Roman" w:eastAsia="Times New Roman" w:hint="default"/>
                <w:sz w:val="18"/>
                <w:szCs w:val="18"/>
              </w:rPr>
            </w:pPr>
            <w:r>
              <w:rPr>
                <w:rFonts w:ascii="Times New Roman"/>
                <w:spacing w:val="-1"/>
                <w:sz w:val="18"/>
              </w:rPr>
              <w:t>81,731,401.71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5"/>
              <w:jc w:val="right"/>
              <w:rPr>
                <w:rFonts w:ascii="Times New Roman" w:hAnsi="Times New Roman" w:cs="Times New Roman" w:eastAsia="Times New Roman" w:hint="default"/>
                <w:sz w:val="18"/>
                <w:szCs w:val="18"/>
              </w:rPr>
            </w:pPr>
            <w:r>
              <w:rPr>
                <w:rFonts w:ascii="Times New Roman"/>
                <w:spacing w:val="-1"/>
                <w:sz w:val="18"/>
              </w:rPr>
              <w:t>33,854,127.08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5"/>
              <w:jc w:val="right"/>
              <w:rPr>
                <w:rFonts w:ascii="Times New Roman" w:hAnsi="Times New Roman" w:cs="Times New Roman" w:eastAsia="Times New Roman" w:hint="default"/>
                <w:sz w:val="18"/>
                <w:szCs w:val="18"/>
              </w:rPr>
            </w:pPr>
            <w:r>
              <w:rPr>
                <w:rFonts w:ascii="Times New Roman"/>
                <w:spacing w:val="-1"/>
                <w:sz w:val="18"/>
              </w:rPr>
              <w:t>68,075,672.99</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391" w:right="0"/>
              <w:jc w:val="left"/>
              <w:rPr>
                <w:rFonts w:ascii="Times New Roman" w:hAnsi="Times New Roman" w:cs="Times New Roman" w:eastAsia="Times New Roman" w:hint="default"/>
                <w:sz w:val="18"/>
                <w:szCs w:val="18"/>
              </w:rPr>
            </w:pPr>
            <w:r>
              <w:rPr>
                <w:rFonts w:ascii="Times New Roman"/>
                <w:sz w:val="18"/>
              </w:rPr>
              <w:t>15,602,065.91</w:t>
            </w:r>
          </w:p>
        </w:tc>
      </w:tr>
      <w:tr>
        <w:trPr>
          <w:trHeight w:val="388" w:hRule="exact"/>
        </w:trPr>
        <w:tc>
          <w:tcPr>
            <w:tcW w:w="2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4"/>
              <w:jc w:val="right"/>
              <w:rPr>
                <w:rFonts w:ascii="Times New Roman" w:hAnsi="Times New Roman" w:cs="Times New Roman" w:eastAsia="Times New Roman" w:hint="default"/>
                <w:sz w:val="18"/>
                <w:szCs w:val="18"/>
              </w:rPr>
            </w:pPr>
            <w:r>
              <w:rPr>
                <w:rFonts w:ascii="Times New Roman"/>
                <w:spacing w:val="-1"/>
                <w:sz w:val="18"/>
              </w:rPr>
              <w:t>5,102,662.44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5"/>
              <w:jc w:val="right"/>
              <w:rPr>
                <w:rFonts w:ascii="Times New Roman" w:hAnsi="Times New Roman" w:cs="Times New Roman" w:eastAsia="Times New Roman" w:hint="default"/>
                <w:sz w:val="18"/>
                <w:szCs w:val="18"/>
              </w:rPr>
            </w:pPr>
            <w:r>
              <w:rPr>
                <w:rFonts w:ascii="Times New Roman"/>
                <w:spacing w:val="-1"/>
                <w:sz w:val="18"/>
              </w:rPr>
              <w:t>4,060,449.52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5"/>
              <w:jc w:val="right"/>
              <w:rPr>
                <w:rFonts w:ascii="Times New Roman" w:hAnsi="Times New Roman" w:cs="Times New Roman" w:eastAsia="Times New Roman" w:hint="default"/>
                <w:sz w:val="18"/>
                <w:szCs w:val="18"/>
              </w:rPr>
            </w:pPr>
            <w:r>
              <w:rPr>
                <w:rFonts w:ascii="Times New Roman"/>
                <w:spacing w:val="-1"/>
                <w:sz w:val="18"/>
              </w:rPr>
              <w:t>14,122,444.43</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391" w:right="0"/>
              <w:jc w:val="left"/>
              <w:rPr>
                <w:rFonts w:ascii="Times New Roman" w:hAnsi="Times New Roman" w:cs="Times New Roman" w:eastAsia="Times New Roman" w:hint="default"/>
                <w:sz w:val="18"/>
                <w:szCs w:val="18"/>
              </w:rPr>
            </w:pPr>
            <w:r>
              <w:rPr>
                <w:rFonts w:ascii="Times New Roman"/>
                <w:sz w:val="18"/>
              </w:rPr>
              <w:t>12,245,074.03</w:t>
            </w:r>
          </w:p>
        </w:tc>
      </w:tr>
      <w:tr>
        <w:trPr>
          <w:trHeight w:val="388" w:hRule="exact"/>
        </w:trPr>
        <w:tc>
          <w:tcPr>
            <w:tcW w:w="2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服务类</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4"/>
              <w:jc w:val="right"/>
              <w:rPr>
                <w:rFonts w:ascii="Times New Roman" w:hAnsi="Times New Roman" w:cs="Times New Roman" w:eastAsia="Times New Roman" w:hint="default"/>
                <w:sz w:val="18"/>
                <w:szCs w:val="18"/>
              </w:rPr>
            </w:pPr>
            <w:r>
              <w:rPr>
                <w:rFonts w:ascii="Times New Roman"/>
                <w:spacing w:val="-1"/>
                <w:sz w:val="18"/>
              </w:rPr>
              <w:t>7,629,386.58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5"/>
              <w:jc w:val="right"/>
              <w:rPr>
                <w:rFonts w:ascii="Times New Roman" w:hAnsi="Times New Roman" w:cs="Times New Roman" w:eastAsia="Times New Roman" w:hint="default"/>
                <w:sz w:val="18"/>
                <w:szCs w:val="18"/>
              </w:rPr>
            </w:pPr>
            <w:r>
              <w:rPr>
                <w:rFonts w:ascii="Times New Roman"/>
                <w:spacing w:val="-1"/>
                <w:sz w:val="18"/>
              </w:rPr>
              <w:t>3,922,076.44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5"/>
              <w:jc w:val="right"/>
              <w:rPr>
                <w:rFonts w:ascii="Times New Roman" w:hAnsi="Times New Roman" w:cs="Times New Roman" w:eastAsia="Times New Roman" w:hint="default"/>
                <w:sz w:val="18"/>
                <w:szCs w:val="18"/>
              </w:rPr>
            </w:pPr>
            <w:r>
              <w:rPr>
                <w:rFonts w:ascii="Times New Roman"/>
                <w:spacing w:val="-1"/>
                <w:sz w:val="18"/>
              </w:rPr>
              <w:t>8,045,905.12</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481" w:right="0"/>
              <w:jc w:val="left"/>
              <w:rPr>
                <w:rFonts w:ascii="Times New Roman" w:hAnsi="Times New Roman" w:cs="Times New Roman" w:eastAsia="Times New Roman" w:hint="default"/>
                <w:sz w:val="18"/>
                <w:szCs w:val="18"/>
              </w:rPr>
            </w:pPr>
            <w:r>
              <w:rPr>
                <w:rFonts w:ascii="Times New Roman"/>
                <w:sz w:val="18"/>
              </w:rPr>
              <w:t>3,626,291.91</w:t>
            </w:r>
          </w:p>
        </w:tc>
      </w:tr>
      <w:tr>
        <w:trPr>
          <w:trHeight w:val="388" w:hRule="exact"/>
        </w:trPr>
        <w:tc>
          <w:tcPr>
            <w:tcW w:w="2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4"/>
              <w:jc w:val="right"/>
              <w:rPr>
                <w:rFonts w:ascii="Times New Roman" w:hAnsi="Times New Roman" w:cs="Times New Roman" w:eastAsia="Times New Roman" w:hint="default"/>
                <w:sz w:val="18"/>
                <w:szCs w:val="18"/>
              </w:rPr>
            </w:pPr>
            <w:r>
              <w:rPr>
                <w:rFonts w:ascii="Times New Roman"/>
                <w:spacing w:val="-1"/>
                <w:sz w:val="18"/>
              </w:rPr>
              <w:t>94,463,450.73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5"/>
              <w:jc w:val="right"/>
              <w:rPr>
                <w:rFonts w:ascii="Times New Roman" w:hAnsi="Times New Roman" w:cs="Times New Roman" w:eastAsia="Times New Roman" w:hint="default"/>
                <w:sz w:val="18"/>
                <w:szCs w:val="18"/>
              </w:rPr>
            </w:pPr>
            <w:r>
              <w:rPr>
                <w:rFonts w:ascii="Times New Roman"/>
                <w:spacing w:val="-1"/>
                <w:sz w:val="18"/>
              </w:rPr>
              <w:t>41,836,653.04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5"/>
              <w:jc w:val="right"/>
              <w:rPr>
                <w:rFonts w:ascii="Times New Roman" w:hAnsi="Times New Roman" w:cs="Times New Roman" w:eastAsia="Times New Roman" w:hint="default"/>
                <w:sz w:val="18"/>
                <w:szCs w:val="18"/>
              </w:rPr>
            </w:pPr>
            <w:r>
              <w:rPr>
                <w:rFonts w:ascii="Times New Roman"/>
                <w:spacing w:val="-1"/>
                <w:sz w:val="18"/>
              </w:rPr>
              <w:t>90,244,022.54</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391" w:right="0"/>
              <w:jc w:val="left"/>
              <w:rPr>
                <w:rFonts w:ascii="Times New Roman" w:hAnsi="Times New Roman" w:cs="Times New Roman" w:eastAsia="Times New Roman" w:hint="default"/>
                <w:sz w:val="18"/>
                <w:szCs w:val="18"/>
              </w:rPr>
            </w:pPr>
            <w:r>
              <w:rPr>
                <w:rFonts w:ascii="Times New Roman"/>
                <w:sz w:val="18"/>
              </w:rPr>
              <w:t>31,473,431.85</w:t>
            </w:r>
          </w:p>
        </w:tc>
      </w:tr>
    </w:tbl>
    <w:p>
      <w:pPr>
        <w:spacing w:line="240" w:lineRule="auto" w:before="4"/>
        <w:rPr>
          <w:rFonts w:ascii="宋体" w:hAnsi="宋体" w:cs="宋体" w:eastAsia="宋体" w:hint="default"/>
          <w:sz w:val="22"/>
          <w:szCs w:val="22"/>
        </w:rPr>
      </w:pPr>
    </w:p>
    <w:p>
      <w:pPr>
        <w:spacing w:before="35"/>
        <w:ind w:left="164" w:right="1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）公司前五名客户的营业收入情况</w:t>
      </w:r>
    </w:p>
    <w:p>
      <w:pPr>
        <w:spacing w:line="240" w:lineRule="auto" w:before="6"/>
        <w:rPr>
          <w:rFonts w:ascii="宋体" w:hAnsi="宋体" w:cs="宋体" w:eastAsia="宋体" w:hint="default"/>
          <w:sz w:val="15"/>
          <w:szCs w:val="15"/>
        </w:rPr>
      </w:pPr>
    </w:p>
    <w:p>
      <w:pPr>
        <w:spacing w:before="35"/>
        <w:ind w:left="0" w:right="11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2927"/>
        <w:gridCol w:w="2668"/>
        <w:gridCol w:w="3060"/>
      </w:tblGrid>
      <w:tr>
        <w:trPr>
          <w:trHeight w:val="386"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4"/>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38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中国银行总行</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8,228,367.49</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4"/>
              <w:jc w:val="center"/>
              <w:rPr>
                <w:rFonts w:ascii="Times New Roman" w:hAnsi="Times New Roman" w:cs="Times New Roman" w:eastAsia="Times New Roman" w:hint="default"/>
                <w:sz w:val="18"/>
                <w:szCs w:val="18"/>
              </w:rPr>
            </w:pPr>
            <w:r>
              <w:rPr>
                <w:rFonts w:ascii="Times New Roman"/>
                <w:sz w:val="18"/>
              </w:rPr>
              <w:t>8.71</w:t>
            </w:r>
          </w:p>
        </w:tc>
      </w:tr>
      <w:tr>
        <w:trPr>
          <w:trHeight w:val="38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中国农业银行广东省分行</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4,971,298.09</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4"/>
              <w:jc w:val="center"/>
              <w:rPr>
                <w:rFonts w:ascii="Times New Roman" w:hAnsi="Times New Roman" w:cs="Times New Roman" w:eastAsia="Times New Roman" w:hint="default"/>
                <w:sz w:val="18"/>
                <w:szCs w:val="18"/>
              </w:rPr>
            </w:pPr>
            <w:r>
              <w:rPr>
                <w:rFonts w:ascii="Times New Roman"/>
                <w:sz w:val="18"/>
              </w:rPr>
              <w:t>5.26</w:t>
            </w:r>
          </w:p>
        </w:tc>
      </w:tr>
      <w:tr>
        <w:trPr>
          <w:trHeight w:val="38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广东发展银行总行</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3,792,000.00</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4"/>
              <w:jc w:val="center"/>
              <w:rPr>
                <w:rFonts w:ascii="Times New Roman" w:hAnsi="Times New Roman" w:cs="Times New Roman" w:eastAsia="Times New Roman" w:hint="default"/>
                <w:sz w:val="18"/>
                <w:szCs w:val="18"/>
              </w:rPr>
            </w:pPr>
            <w:r>
              <w:rPr>
                <w:rFonts w:ascii="Times New Roman"/>
                <w:sz w:val="18"/>
              </w:rPr>
              <w:t>4.01</w:t>
            </w:r>
          </w:p>
        </w:tc>
      </w:tr>
      <w:tr>
        <w:trPr>
          <w:trHeight w:val="38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中国农业银行内蒙古分行</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3,370,769.25</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4"/>
              <w:jc w:val="center"/>
              <w:rPr>
                <w:rFonts w:ascii="Times New Roman" w:hAnsi="Times New Roman" w:cs="Times New Roman" w:eastAsia="Times New Roman" w:hint="default"/>
                <w:sz w:val="18"/>
                <w:szCs w:val="18"/>
              </w:rPr>
            </w:pPr>
            <w:r>
              <w:rPr>
                <w:rFonts w:ascii="Times New Roman"/>
                <w:sz w:val="18"/>
              </w:rPr>
              <w:t>3.57</w:t>
            </w:r>
          </w:p>
        </w:tc>
      </w:tr>
      <w:tr>
        <w:trPr>
          <w:trHeight w:val="38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贵州省农村信用社</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3,235,555.56</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4"/>
              <w:jc w:val="center"/>
              <w:rPr>
                <w:rFonts w:ascii="Times New Roman" w:hAnsi="Times New Roman" w:cs="Times New Roman" w:eastAsia="Times New Roman" w:hint="default"/>
                <w:sz w:val="18"/>
                <w:szCs w:val="18"/>
              </w:rPr>
            </w:pPr>
            <w:r>
              <w:rPr>
                <w:rFonts w:ascii="Times New Roman"/>
                <w:sz w:val="18"/>
              </w:rPr>
              <w:t>3.43</w:t>
            </w:r>
          </w:p>
        </w:tc>
      </w:tr>
      <w:tr>
        <w:trPr>
          <w:trHeight w:val="38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23,597,990.39</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3"/>
              <w:jc w:val="center"/>
              <w:rPr>
                <w:rFonts w:ascii="Times New Roman" w:hAnsi="Times New Roman" w:cs="Times New Roman" w:eastAsia="Times New Roman" w:hint="default"/>
                <w:sz w:val="18"/>
                <w:szCs w:val="18"/>
              </w:rPr>
            </w:pPr>
            <w:r>
              <w:rPr>
                <w:rFonts w:ascii="Times New Roman"/>
                <w:sz w:val="18"/>
              </w:rPr>
              <w:t>24.98</w:t>
            </w:r>
          </w:p>
        </w:tc>
      </w:tr>
    </w:tbl>
    <w:p>
      <w:pPr>
        <w:spacing w:line="240" w:lineRule="auto" w:before="2"/>
        <w:rPr>
          <w:rFonts w:ascii="宋体" w:hAnsi="宋体" w:cs="宋体" w:eastAsia="宋体" w:hint="default"/>
          <w:sz w:val="25"/>
          <w:szCs w:val="25"/>
        </w:rPr>
      </w:pPr>
    </w:p>
    <w:p>
      <w:pPr>
        <w:spacing w:before="35"/>
        <w:ind w:left="164" w:right="1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6"/>
        <w:rPr>
          <w:rFonts w:ascii="宋体" w:hAnsi="宋体" w:cs="宋体" w:eastAsia="宋体" w:hint="default"/>
          <w:b/>
          <w:bCs/>
          <w:sz w:val="15"/>
          <w:szCs w:val="15"/>
        </w:rPr>
      </w:pPr>
    </w:p>
    <w:p>
      <w:pPr>
        <w:spacing w:before="35"/>
        <w:ind w:left="0" w:right="22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2148"/>
        <w:gridCol w:w="1721"/>
        <w:gridCol w:w="1721"/>
        <w:gridCol w:w="3004"/>
      </w:tblGrid>
      <w:tr>
        <w:trPr>
          <w:trHeight w:val="388"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0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0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3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4"/>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388"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7"/>
              <w:jc w:val="right"/>
              <w:rPr>
                <w:rFonts w:ascii="Times New Roman" w:hAnsi="Times New Roman" w:cs="Times New Roman" w:eastAsia="Times New Roman" w:hint="default"/>
                <w:sz w:val="18"/>
                <w:szCs w:val="18"/>
              </w:rPr>
            </w:pPr>
            <w:r>
              <w:rPr>
                <w:rFonts w:ascii="Times New Roman"/>
                <w:sz w:val="18"/>
              </w:rPr>
              <w:t>478,021.09</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7"/>
              <w:jc w:val="right"/>
              <w:rPr>
                <w:rFonts w:ascii="Times New Roman" w:hAnsi="Times New Roman" w:cs="Times New Roman" w:eastAsia="Times New Roman" w:hint="default"/>
                <w:sz w:val="18"/>
                <w:szCs w:val="18"/>
              </w:rPr>
            </w:pPr>
            <w:r>
              <w:rPr>
                <w:rFonts w:ascii="Times New Roman"/>
                <w:sz w:val="18"/>
              </w:rPr>
              <w:t>634,949.31</w:t>
            </w:r>
          </w:p>
        </w:tc>
        <w:tc>
          <w:tcPr>
            <w:tcW w:w="3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4"/>
              <w:jc w:val="center"/>
              <w:rPr>
                <w:rFonts w:ascii="宋体" w:hAnsi="宋体" w:cs="宋体" w:eastAsia="宋体" w:hint="default"/>
                <w:sz w:val="18"/>
                <w:szCs w:val="18"/>
              </w:rPr>
            </w:pPr>
            <w:r>
              <w:rPr>
                <w:rFonts w:ascii="宋体" w:hAnsi="宋体" w:cs="宋体" w:eastAsia="宋体" w:hint="default"/>
                <w:sz w:val="18"/>
                <w:szCs w:val="18"/>
              </w:rPr>
              <w:t>软件开发及服务类收入</w:t>
            </w:r>
          </w:p>
        </w:tc>
      </w:tr>
      <w:tr>
        <w:trPr>
          <w:trHeight w:val="386"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7"/>
              <w:jc w:val="right"/>
              <w:rPr>
                <w:rFonts w:ascii="Times New Roman" w:hAnsi="Times New Roman" w:cs="Times New Roman" w:eastAsia="Times New Roman" w:hint="default"/>
                <w:sz w:val="18"/>
                <w:szCs w:val="18"/>
              </w:rPr>
            </w:pPr>
            <w:r>
              <w:rPr>
                <w:rFonts w:ascii="Times New Roman"/>
                <w:sz w:val="18"/>
              </w:rPr>
              <w:t>556,013.41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7"/>
              <w:jc w:val="right"/>
              <w:rPr>
                <w:rFonts w:ascii="Times New Roman" w:hAnsi="Times New Roman" w:cs="Times New Roman" w:eastAsia="Times New Roman" w:hint="default"/>
                <w:sz w:val="18"/>
                <w:szCs w:val="18"/>
              </w:rPr>
            </w:pPr>
            <w:r>
              <w:rPr>
                <w:rFonts w:ascii="Times New Roman"/>
                <w:sz w:val="18"/>
              </w:rPr>
              <w:t>424,020.18</w:t>
            </w:r>
          </w:p>
        </w:tc>
        <w:tc>
          <w:tcPr>
            <w:tcW w:w="3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4"/>
              <w:jc w:val="center"/>
              <w:rPr>
                <w:rFonts w:ascii="宋体" w:hAnsi="宋体" w:cs="宋体" w:eastAsia="宋体" w:hint="default"/>
                <w:sz w:val="18"/>
                <w:szCs w:val="18"/>
              </w:rPr>
            </w:pPr>
            <w:r>
              <w:rPr>
                <w:rFonts w:ascii="宋体" w:hAnsi="宋体" w:cs="宋体" w:eastAsia="宋体" w:hint="default"/>
                <w:sz w:val="18"/>
                <w:szCs w:val="18"/>
              </w:rPr>
              <w:t>增值税和营业税应纳税额</w:t>
            </w:r>
          </w:p>
        </w:tc>
      </w:tr>
      <w:tr>
        <w:trPr>
          <w:trHeight w:val="388"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7"/>
              <w:jc w:val="right"/>
              <w:rPr>
                <w:rFonts w:ascii="Times New Roman" w:hAnsi="Times New Roman" w:cs="Times New Roman" w:eastAsia="Times New Roman" w:hint="default"/>
                <w:sz w:val="18"/>
                <w:szCs w:val="18"/>
              </w:rPr>
            </w:pPr>
            <w:r>
              <w:rPr>
                <w:rFonts w:ascii="Times New Roman"/>
                <w:sz w:val="18"/>
              </w:rPr>
              <w:t>397,152.46</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7"/>
              <w:jc w:val="right"/>
              <w:rPr>
                <w:rFonts w:ascii="Times New Roman" w:hAnsi="Times New Roman" w:cs="Times New Roman" w:eastAsia="Times New Roman" w:hint="default"/>
                <w:sz w:val="18"/>
                <w:szCs w:val="18"/>
              </w:rPr>
            </w:pPr>
            <w:r>
              <w:rPr>
                <w:rFonts w:ascii="Times New Roman"/>
                <w:sz w:val="18"/>
              </w:rPr>
              <w:t>307,712.89</w:t>
            </w:r>
          </w:p>
        </w:tc>
        <w:tc>
          <w:tcPr>
            <w:tcW w:w="3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4"/>
              <w:jc w:val="center"/>
              <w:rPr>
                <w:rFonts w:ascii="宋体" w:hAnsi="宋体" w:cs="宋体" w:eastAsia="宋体" w:hint="default"/>
                <w:sz w:val="18"/>
                <w:szCs w:val="18"/>
              </w:rPr>
            </w:pPr>
            <w:r>
              <w:rPr>
                <w:rFonts w:ascii="宋体" w:hAnsi="宋体" w:cs="宋体" w:eastAsia="宋体" w:hint="default"/>
                <w:sz w:val="18"/>
                <w:szCs w:val="18"/>
              </w:rPr>
              <w:t>增值税和营业税应纳税额</w:t>
            </w:r>
          </w:p>
        </w:tc>
      </w:tr>
      <w:tr>
        <w:trPr>
          <w:trHeight w:val="388"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7"/>
              <w:jc w:val="right"/>
              <w:rPr>
                <w:rFonts w:ascii="Times New Roman" w:hAnsi="Times New Roman" w:cs="Times New Roman" w:eastAsia="Times New Roman" w:hint="default"/>
                <w:sz w:val="18"/>
                <w:szCs w:val="18"/>
              </w:rPr>
            </w:pPr>
            <w:r>
              <w:rPr>
                <w:rFonts w:ascii="Times New Roman"/>
                <w:sz w:val="18"/>
              </w:rPr>
              <w:t>11,225.61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7"/>
              <w:jc w:val="right"/>
              <w:rPr>
                <w:rFonts w:ascii="Times New Roman" w:hAnsi="Times New Roman" w:cs="Times New Roman" w:eastAsia="Times New Roman" w:hint="default"/>
                <w:sz w:val="18"/>
                <w:szCs w:val="18"/>
              </w:rPr>
            </w:pPr>
            <w:r>
              <w:rPr>
                <w:rFonts w:ascii="Times New Roman"/>
                <w:sz w:val="18"/>
              </w:rPr>
              <w:t>11,026.87</w:t>
            </w:r>
          </w:p>
        </w:tc>
        <w:tc>
          <w:tcPr>
            <w:tcW w:w="3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4"/>
              <w:jc w:val="center"/>
              <w:rPr>
                <w:rFonts w:ascii="宋体" w:hAnsi="宋体" w:cs="宋体" w:eastAsia="宋体" w:hint="default"/>
                <w:sz w:val="18"/>
                <w:szCs w:val="18"/>
              </w:rPr>
            </w:pPr>
            <w:r>
              <w:rPr>
                <w:rFonts w:ascii="宋体" w:hAnsi="宋体" w:cs="宋体" w:eastAsia="宋体" w:hint="default"/>
                <w:sz w:val="18"/>
                <w:szCs w:val="18"/>
              </w:rPr>
              <w:t>营业收入</w:t>
            </w:r>
          </w:p>
        </w:tc>
      </w:tr>
      <w:tr>
        <w:trPr>
          <w:trHeight w:val="388"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7"/>
              <w:jc w:val="right"/>
              <w:rPr>
                <w:rFonts w:ascii="Times New Roman" w:hAnsi="Times New Roman" w:cs="Times New Roman" w:eastAsia="Times New Roman" w:hint="default"/>
                <w:sz w:val="18"/>
                <w:szCs w:val="18"/>
              </w:rPr>
            </w:pPr>
            <w:r>
              <w:rPr>
                <w:rFonts w:ascii="Times New Roman"/>
                <w:spacing w:val="-1"/>
                <w:sz w:val="18"/>
              </w:rPr>
              <w:t>1,442,412.57</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7"/>
              <w:jc w:val="right"/>
              <w:rPr>
                <w:rFonts w:ascii="Times New Roman" w:hAnsi="Times New Roman" w:cs="Times New Roman" w:eastAsia="Times New Roman" w:hint="default"/>
                <w:sz w:val="18"/>
                <w:szCs w:val="18"/>
              </w:rPr>
            </w:pPr>
            <w:r>
              <w:rPr>
                <w:rFonts w:ascii="Times New Roman"/>
                <w:spacing w:val="-1"/>
                <w:sz w:val="18"/>
              </w:rPr>
              <w:t>1,377,709.25</w:t>
            </w:r>
          </w:p>
        </w:tc>
        <w:tc>
          <w:tcPr>
            <w:tcW w:w="3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4"/>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22"/>
          <w:szCs w:val="22"/>
        </w:rPr>
      </w:pPr>
    </w:p>
    <w:p>
      <w:pPr>
        <w:spacing w:before="35"/>
        <w:ind w:left="164" w:right="1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5"/>
        <w:rPr>
          <w:rFonts w:ascii="宋体" w:hAnsi="宋体" w:cs="宋体" w:eastAsia="宋体" w:hint="default"/>
          <w:b/>
          <w:bCs/>
          <w:sz w:val="15"/>
          <w:szCs w:val="15"/>
        </w:rPr>
      </w:pPr>
    </w:p>
    <w:p>
      <w:pPr>
        <w:spacing w:before="35"/>
        <w:ind w:left="0" w:right="11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2534"/>
        <w:gridCol w:w="2700"/>
        <w:gridCol w:w="3420"/>
      </w:tblGrid>
      <w:tr>
        <w:trPr>
          <w:trHeight w:val="38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9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销售费用合计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pacing w:val="-1"/>
                <w:sz w:val="18"/>
              </w:rPr>
              <w:t>21,680,265.51</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pacing w:val="-1"/>
                <w:sz w:val="18"/>
              </w:rPr>
              <w:t>12,721,557.86</w:t>
            </w:r>
          </w:p>
        </w:tc>
      </w:tr>
      <w:tr>
        <w:trPr>
          <w:trHeight w:val="38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其中：市场开拓费</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9"/>
              <w:jc w:val="right"/>
              <w:rPr>
                <w:rFonts w:ascii="Times New Roman" w:hAnsi="Times New Roman" w:cs="Times New Roman" w:eastAsia="Times New Roman" w:hint="default"/>
                <w:sz w:val="18"/>
                <w:szCs w:val="18"/>
              </w:rPr>
            </w:pPr>
            <w:r>
              <w:rPr>
                <w:rFonts w:ascii="Times New Roman"/>
                <w:spacing w:val="-1"/>
                <w:sz w:val="18"/>
              </w:rPr>
              <w:t>8,968,271.69</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pacing w:val="-1"/>
                <w:sz w:val="18"/>
              </w:rPr>
              <w:t>4,021,052.12</w:t>
            </w:r>
          </w:p>
        </w:tc>
      </w:tr>
      <w:tr>
        <w:trPr>
          <w:trHeight w:val="38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5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pacing w:val="-1"/>
                <w:sz w:val="18"/>
              </w:rPr>
              <w:t>3,465,626.58</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pacing w:val="-1"/>
                <w:sz w:val="18"/>
              </w:rPr>
              <w:t>3,041,699.91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1480" w:right="1500"/>
        </w:sectPr>
      </w:pPr>
    </w:p>
    <w:p>
      <w:pPr>
        <w:spacing w:line="240" w:lineRule="auto" w:before="6"/>
        <w:rPr>
          <w:rFonts w:ascii="宋体" w:hAnsi="宋体" w:cs="宋体" w:eastAsia="宋体" w:hint="default"/>
          <w:sz w:val="24"/>
          <w:szCs w:val="24"/>
        </w:rPr>
      </w:pPr>
    </w:p>
    <w:tbl>
      <w:tblPr>
        <w:tblW w:w="0" w:type="auto"/>
        <w:jc w:val="left"/>
        <w:tblInd w:w="224" w:type="dxa"/>
        <w:tblLayout w:type="fixed"/>
        <w:tblCellMar>
          <w:top w:w="0" w:type="dxa"/>
          <w:left w:w="0" w:type="dxa"/>
          <w:bottom w:w="0" w:type="dxa"/>
          <w:right w:w="0" w:type="dxa"/>
        </w:tblCellMar>
        <w:tblLook w:val="01E0"/>
      </w:tblPr>
      <w:tblGrid>
        <w:gridCol w:w="2534"/>
        <w:gridCol w:w="2700"/>
        <w:gridCol w:w="3420"/>
      </w:tblGrid>
      <w:tr>
        <w:trPr>
          <w:trHeight w:val="38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5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pacing w:val="-1"/>
                <w:sz w:val="18"/>
              </w:rPr>
              <w:t>5,580,388.10</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pacing w:val="-1"/>
                <w:sz w:val="18"/>
              </w:rPr>
              <w:t>3,169,406.33</w:t>
            </w:r>
          </w:p>
        </w:tc>
      </w:tr>
      <w:tr>
        <w:trPr>
          <w:trHeight w:val="38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5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z w:val="18"/>
              </w:rPr>
              <w:t>888,984.46</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z w:val="18"/>
              </w:rPr>
              <w:t>746,127.60</w:t>
            </w:r>
          </w:p>
        </w:tc>
      </w:tr>
      <w:tr>
        <w:trPr>
          <w:trHeight w:val="38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5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z w:val="18"/>
              </w:rPr>
              <w:t>167,790.05</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z w:val="18"/>
              </w:rPr>
              <w:t>138,676.60</w:t>
            </w:r>
          </w:p>
        </w:tc>
      </w:tr>
    </w:tbl>
    <w:p>
      <w:pPr>
        <w:spacing w:line="240" w:lineRule="auto" w:before="4"/>
        <w:rPr>
          <w:rFonts w:ascii="宋体" w:hAnsi="宋体" w:cs="宋体" w:eastAsia="宋体" w:hint="default"/>
          <w:sz w:val="22"/>
          <w:szCs w:val="22"/>
        </w:rPr>
      </w:pPr>
    </w:p>
    <w:p>
      <w:pPr>
        <w:spacing w:before="35"/>
        <w:ind w:left="24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6"/>
        <w:rPr>
          <w:rFonts w:ascii="宋体" w:hAnsi="宋体" w:cs="宋体" w:eastAsia="宋体" w:hint="default"/>
          <w:b/>
          <w:bCs/>
          <w:sz w:val="15"/>
          <w:szCs w:val="15"/>
        </w:rPr>
      </w:pPr>
    </w:p>
    <w:p>
      <w:pPr>
        <w:spacing w:before="35"/>
        <w:ind w:left="0" w:right="21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224" w:type="dxa"/>
        <w:tblLayout w:type="fixed"/>
        <w:tblCellMar>
          <w:top w:w="0" w:type="dxa"/>
          <w:left w:w="0" w:type="dxa"/>
          <w:bottom w:w="0" w:type="dxa"/>
          <w:right w:w="0" w:type="dxa"/>
        </w:tblCellMar>
        <w:tblLook w:val="01E0"/>
      </w:tblPr>
      <w:tblGrid>
        <w:gridCol w:w="2534"/>
        <w:gridCol w:w="2700"/>
        <w:gridCol w:w="3420"/>
      </w:tblGrid>
      <w:tr>
        <w:trPr>
          <w:trHeight w:val="386"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9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管理费用合计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9"/>
              <w:jc w:val="right"/>
              <w:rPr>
                <w:rFonts w:ascii="Times New Roman" w:hAnsi="Times New Roman" w:cs="Times New Roman" w:eastAsia="Times New Roman" w:hint="default"/>
                <w:sz w:val="18"/>
                <w:szCs w:val="18"/>
              </w:rPr>
            </w:pPr>
            <w:r>
              <w:rPr>
                <w:rFonts w:ascii="Times New Roman"/>
                <w:spacing w:val="-1"/>
                <w:sz w:val="18"/>
              </w:rPr>
              <w:t>21,642,753.51</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49"/>
              <w:jc w:val="right"/>
              <w:rPr>
                <w:rFonts w:ascii="Times New Roman" w:hAnsi="Times New Roman" w:cs="Times New Roman" w:eastAsia="Times New Roman" w:hint="default"/>
                <w:sz w:val="18"/>
                <w:szCs w:val="18"/>
              </w:rPr>
            </w:pPr>
            <w:r>
              <w:rPr>
                <w:rFonts w:ascii="Times New Roman"/>
                <w:spacing w:val="-1"/>
                <w:sz w:val="18"/>
              </w:rPr>
              <w:t>18,454,038.35</w:t>
            </w:r>
          </w:p>
        </w:tc>
      </w:tr>
      <w:tr>
        <w:trPr>
          <w:trHeight w:val="38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其中：租赁管理费</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9"/>
              <w:jc w:val="right"/>
              <w:rPr>
                <w:rFonts w:ascii="Times New Roman" w:hAnsi="Times New Roman" w:cs="Times New Roman" w:eastAsia="Times New Roman" w:hint="default"/>
                <w:sz w:val="18"/>
                <w:szCs w:val="18"/>
              </w:rPr>
            </w:pPr>
            <w:r>
              <w:rPr>
                <w:rFonts w:ascii="Times New Roman"/>
                <w:spacing w:val="-1"/>
                <w:sz w:val="18"/>
              </w:rPr>
              <w:t>4,552,381.87</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pacing w:val="-1"/>
                <w:sz w:val="18"/>
              </w:rPr>
              <w:t>3,837,443.80</w:t>
            </w:r>
          </w:p>
        </w:tc>
      </w:tr>
      <w:tr>
        <w:trPr>
          <w:trHeight w:val="38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9"/>
              <w:jc w:val="right"/>
              <w:rPr>
                <w:rFonts w:ascii="Times New Roman" w:hAnsi="Times New Roman" w:cs="Times New Roman" w:eastAsia="Times New Roman" w:hint="default"/>
                <w:sz w:val="18"/>
                <w:szCs w:val="18"/>
              </w:rPr>
            </w:pPr>
            <w:r>
              <w:rPr>
                <w:rFonts w:ascii="Times New Roman"/>
                <w:spacing w:val="-1"/>
                <w:sz w:val="18"/>
              </w:rPr>
              <w:t>3,069,404.65</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pacing w:val="-1"/>
                <w:sz w:val="18"/>
              </w:rPr>
              <w:t>1,568,984.87</w:t>
            </w:r>
          </w:p>
        </w:tc>
      </w:tr>
      <w:tr>
        <w:trPr>
          <w:trHeight w:val="38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9"/>
              <w:jc w:val="right"/>
              <w:rPr>
                <w:rFonts w:ascii="Times New Roman" w:hAnsi="Times New Roman" w:cs="Times New Roman" w:eastAsia="Times New Roman" w:hint="default"/>
                <w:sz w:val="18"/>
                <w:szCs w:val="18"/>
              </w:rPr>
            </w:pPr>
            <w:r>
              <w:rPr>
                <w:rFonts w:ascii="Times New Roman"/>
                <w:spacing w:val="-1"/>
                <w:sz w:val="18"/>
              </w:rPr>
              <w:t>4,019,744.09</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pacing w:val="-1"/>
                <w:sz w:val="18"/>
              </w:rPr>
              <w:t>2,241,012.01</w:t>
            </w:r>
          </w:p>
        </w:tc>
      </w:tr>
      <w:tr>
        <w:trPr>
          <w:trHeight w:val="38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社会保险</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9"/>
              <w:jc w:val="right"/>
              <w:rPr>
                <w:rFonts w:ascii="Times New Roman" w:hAnsi="Times New Roman" w:cs="Times New Roman" w:eastAsia="Times New Roman" w:hint="default"/>
                <w:sz w:val="18"/>
                <w:szCs w:val="18"/>
              </w:rPr>
            </w:pPr>
            <w:r>
              <w:rPr>
                <w:rFonts w:ascii="Times New Roman"/>
                <w:spacing w:val="-1"/>
                <w:sz w:val="18"/>
              </w:rPr>
              <w:t>2,864,535.95</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pacing w:val="-1"/>
                <w:sz w:val="18"/>
              </w:rPr>
              <w:t>1,801,110.00</w:t>
            </w:r>
          </w:p>
        </w:tc>
      </w:tr>
      <w:tr>
        <w:trPr>
          <w:trHeight w:val="38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9"/>
              <w:jc w:val="right"/>
              <w:rPr>
                <w:rFonts w:ascii="Times New Roman" w:hAnsi="Times New Roman" w:cs="Times New Roman" w:eastAsia="Times New Roman" w:hint="default"/>
                <w:sz w:val="18"/>
                <w:szCs w:val="18"/>
              </w:rPr>
            </w:pPr>
            <w:r>
              <w:rPr>
                <w:rFonts w:ascii="Times New Roman"/>
                <w:sz w:val="18"/>
              </w:rPr>
              <w:t>695,818.45</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pacing w:val="-1"/>
                <w:sz w:val="18"/>
              </w:rPr>
              <w:t>1,382,996.81</w:t>
            </w:r>
          </w:p>
        </w:tc>
      </w:tr>
    </w:tbl>
    <w:p>
      <w:pPr>
        <w:spacing w:line="240" w:lineRule="auto" w:before="0"/>
        <w:rPr>
          <w:rFonts w:ascii="宋体" w:hAnsi="宋体" w:cs="宋体" w:eastAsia="宋体" w:hint="default"/>
          <w:sz w:val="20"/>
          <w:szCs w:val="20"/>
        </w:rPr>
      </w:pPr>
    </w:p>
    <w:p>
      <w:pPr>
        <w:spacing w:before="185"/>
        <w:ind w:left="24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6"/>
        <w:rPr>
          <w:rFonts w:ascii="宋体" w:hAnsi="宋体" w:cs="宋体" w:eastAsia="宋体" w:hint="default"/>
          <w:b/>
          <w:bCs/>
          <w:sz w:val="15"/>
          <w:szCs w:val="15"/>
        </w:rPr>
      </w:pPr>
    </w:p>
    <w:p>
      <w:pPr>
        <w:spacing w:before="35"/>
        <w:ind w:left="0" w:right="21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404" w:type="dxa"/>
        <w:tblLayout w:type="fixed"/>
        <w:tblCellMar>
          <w:top w:w="0" w:type="dxa"/>
          <w:left w:w="0" w:type="dxa"/>
          <w:bottom w:w="0" w:type="dxa"/>
          <w:right w:w="0" w:type="dxa"/>
        </w:tblCellMar>
        <w:tblLook w:val="01E0"/>
      </w:tblPr>
      <w:tblGrid>
        <w:gridCol w:w="2354"/>
        <w:gridCol w:w="2700"/>
        <w:gridCol w:w="3420"/>
      </w:tblGrid>
      <w:tr>
        <w:trPr>
          <w:trHeight w:val="386"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right="893"/>
              <w:jc w:val="right"/>
              <w:rPr>
                <w:rFonts w:ascii="宋体" w:hAnsi="宋体" w:cs="宋体" w:eastAsia="宋体" w:hint="default"/>
                <w:sz w:val="18"/>
                <w:szCs w:val="18"/>
              </w:rPr>
            </w:pPr>
            <w:r>
              <w:rPr>
                <w:rFonts w:ascii="宋体" w:hAnsi="宋体" w:cs="宋体" w:eastAsia="宋体" w:hint="default"/>
                <w:sz w:val="18"/>
                <w:szCs w:val="18"/>
              </w:rPr>
              <w:t>类  别</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9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601,401.60</w:t>
            </w:r>
          </w:p>
        </w:tc>
      </w:tr>
      <w:tr>
        <w:trPr>
          <w:trHeight w:val="38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9,174,004.49</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3,836,669.08</w:t>
            </w:r>
          </w:p>
        </w:tc>
      </w:tr>
      <w:tr>
        <w:trPr>
          <w:trHeight w:val="38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55,921.01</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26,596.37</w:t>
            </w:r>
          </w:p>
        </w:tc>
      </w:tr>
      <w:tr>
        <w:trPr>
          <w:trHeight w:val="38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right="893"/>
              <w:jc w:val="right"/>
              <w:rPr>
                <w:rFonts w:ascii="宋体" w:hAnsi="宋体" w:cs="宋体" w:eastAsia="宋体" w:hint="default"/>
                <w:sz w:val="18"/>
                <w:szCs w:val="18"/>
              </w:rPr>
            </w:pPr>
            <w:r>
              <w:rPr>
                <w:rFonts w:ascii="宋体" w:hAnsi="宋体" w:cs="宋体" w:eastAsia="宋体" w:hint="default"/>
                <w:sz w:val="18"/>
                <w:szCs w:val="18"/>
              </w:rPr>
              <w:t>合  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-9,118,083.48</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-3,208,671.11</w:t>
            </w:r>
          </w:p>
        </w:tc>
      </w:tr>
    </w:tbl>
    <w:p>
      <w:pPr>
        <w:spacing w:line="240" w:lineRule="auto" w:before="4"/>
        <w:rPr>
          <w:rFonts w:ascii="宋体" w:hAnsi="宋体" w:cs="宋体" w:eastAsia="宋体" w:hint="default"/>
          <w:sz w:val="22"/>
          <w:szCs w:val="22"/>
        </w:rPr>
      </w:pPr>
    </w:p>
    <w:p>
      <w:pPr>
        <w:spacing w:before="35"/>
        <w:ind w:left="24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6"/>
        <w:rPr>
          <w:rFonts w:ascii="宋体" w:hAnsi="宋体" w:cs="宋体" w:eastAsia="宋体" w:hint="default"/>
          <w:b/>
          <w:bCs/>
          <w:sz w:val="15"/>
          <w:szCs w:val="15"/>
        </w:rPr>
      </w:pPr>
    </w:p>
    <w:p>
      <w:pPr>
        <w:spacing w:before="35"/>
        <w:ind w:left="0" w:right="32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224" w:type="dxa"/>
        <w:tblLayout w:type="fixed"/>
        <w:tblCellMar>
          <w:top w:w="0" w:type="dxa"/>
          <w:left w:w="0" w:type="dxa"/>
          <w:bottom w:w="0" w:type="dxa"/>
          <w:right w:w="0" w:type="dxa"/>
        </w:tblCellMar>
        <w:tblLook w:val="01E0"/>
      </w:tblPr>
      <w:tblGrid>
        <w:gridCol w:w="2854"/>
        <w:gridCol w:w="2851"/>
        <w:gridCol w:w="2851"/>
      </w:tblGrid>
      <w:tr>
        <w:trPr>
          <w:trHeight w:val="38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1,017,561.10</w:t>
            </w:r>
          </w:p>
        </w:tc>
        <w:tc>
          <w:tcPr>
            <w:tcW w:w="28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2,329,132.19</w:t>
            </w:r>
          </w:p>
        </w:tc>
      </w:tr>
      <w:tr>
        <w:trPr>
          <w:trHeight w:val="38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1,017,561.10</w:t>
            </w:r>
          </w:p>
        </w:tc>
        <w:tc>
          <w:tcPr>
            <w:tcW w:w="28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2,329,132.19</w:t>
            </w:r>
          </w:p>
        </w:tc>
      </w:tr>
    </w:tbl>
    <w:p>
      <w:pPr>
        <w:spacing w:line="240" w:lineRule="auto" w:before="4"/>
        <w:rPr>
          <w:rFonts w:ascii="宋体" w:hAnsi="宋体" w:cs="宋体" w:eastAsia="宋体" w:hint="default"/>
          <w:sz w:val="22"/>
          <w:szCs w:val="22"/>
        </w:rPr>
      </w:pPr>
    </w:p>
    <w:p>
      <w:pPr>
        <w:spacing w:before="35"/>
        <w:ind w:left="24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1"/>
        <w:rPr>
          <w:rFonts w:ascii="宋体" w:hAnsi="宋体" w:cs="宋体" w:eastAsia="宋体" w:hint="default"/>
          <w:b/>
          <w:bCs/>
          <w:sz w:val="18"/>
          <w:szCs w:val="18"/>
        </w:rPr>
      </w:pPr>
    </w:p>
    <w:p>
      <w:pPr>
        <w:tabs>
          <w:tab w:pos="6543" w:val="left" w:leader="none"/>
        </w:tabs>
        <w:spacing w:before="0"/>
        <w:ind w:left="24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tab/>
      </w:r>
      <w:r>
        <w:rPr>
          <w:rFonts w:ascii="宋体" w:hAnsi="宋体" w:cs="宋体" w:eastAsia="宋体" w:hint="default"/>
          <w:spacing w:val="-12"/>
          <w:sz w:val="21"/>
          <w:szCs w:val="21"/>
        </w:rPr>
        <w:t>单位：元</w:t>
      </w:r>
      <w:r>
        <w:rPr>
          <w:rFonts w:ascii="宋体" w:hAnsi="宋体" w:cs="宋体" w:eastAsia="宋体" w:hint="default"/>
          <w:spacing w:val="4"/>
          <w:sz w:val="21"/>
          <w:szCs w:val="21"/>
        </w:rPr>
        <w:t> </w:t>
      </w:r>
      <w:r>
        <w:rPr>
          <w:rFonts w:ascii="宋体" w:hAnsi="宋体" w:cs="宋体" w:eastAsia="宋体" w:hint="default"/>
          <w:spacing w:val="-9"/>
          <w:sz w:val="21"/>
          <w:szCs w:val="21"/>
        </w:rPr>
        <w:t>币种：人民币</w:t>
      </w:r>
    </w:p>
    <w:p>
      <w:pPr>
        <w:spacing w:line="240" w:lineRule="auto" w:before="6"/>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2642"/>
        <w:gridCol w:w="1800"/>
        <w:gridCol w:w="1800"/>
        <w:gridCol w:w="2606"/>
      </w:tblGrid>
      <w:tr>
        <w:trPr>
          <w:trHeight w:val="392"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31"/>
              <w:jc w:val="righ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392"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right="530"/>
              <w:jc w:val="righ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2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right="530"/>
              <w:jc w:val="righ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2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right="528"/>
              <w:jc w:val="right"/>
              <w:rPr>
                <w:rFonts w:ascii="宋体" w:hAnsi="宋体" w:cs="宋体" w:eastAsia="宋体" w:hint="default"/>
                <w:sz w:val="18"/>
                <w:szCs w:val="18"/>
              </w:rPr>
            </w:pPr>
            <w:r>
              <w:rPr>
                <w:rFonts w:ascii="宋体" w:hAnsi="宋体" w:cs="宋体" w:eastAsia="宋体" w:hint="default"/>
                <w:spacing w:val="-1"/>
                <w:sz w:val="18"/>
                <w:szCs w:val="18"/>
              </w:rPr>
              <w:t>无形资产处置利得</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2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1400" w:right="1400"/>
        </w:sectPr>
      </w:pPr>
    </w:p>
    <w:p>
      <w:pPr>
        <w:spacing w:line="240" w:lineRule="auto" w:before="6"/>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2642"/>
        <w:gridCol w:w="1800"/>
        <w:gridCol w:w="1800"/>
        <w:gridCol w:w="2606"/>
      </w:tblGrid>
      <w:tr>
        <w:trPr>
          <w:trHeight w:val="392"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2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2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2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2,350,845.00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3,800,600.00</w:t>
            </w:r>
          </w:p>
        </w:tc>
        <w:tc>
          <w:tcPr>
            <w:tcW w:w="2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2,350,845.00</w:t>
            </w:r>
          </w:p>
        </w:tc>
      </w:tr>
      <w:tr>
        <w:trPr>
          <w:trHeight w:val="392"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4,101,406.64</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3,440,814.15</w:t>
            </w:r>
          </w:p>
        </w:tc>
        <w:tc>
          <w:tcPr>
            <w:tcW w:w="2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682.40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4,500.00</w:t>
            </w:r>
          </w:p>
        </w:tc>
        <w:tc>
          <w:tcPr>
            <w:tcW w:w="2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682.40</w:t>
            </w:r>
          </w:p>
        </w:tc>
      </w:tr>
      <w:tr>
        <w:trPr>
          <w:trHeight w:val="394"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6,452,934.04</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7,245,914.15</w:t>
            </w:r>
          </w:p>
        </w:tc>
        <w:tc>
          <w:tcPr>
            <w:tcW w:w="2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2,351,527.40</w:t>
            </w:r>
          </w:p>
        </w:tc>
      </w:tr>
    </w:tbl>
    <w:p>
      <w:pPr>
        <w:spacing w:line="240" w:lineRule="auto" w:before="0"/>
        <w:rPr>
          <w:rFonts w:ascii="宋体" w:hAnsi="宋体" w:cs="宋体" w:eastAsia="宋体" w:hint="default"/>
          <w:sz w:val="20"/>
          <w:szCs w:val="20"/>
        </w:rPr>
      </w:pPr>
    </w:p>
    <w:p>
      <w:pPr>
        <w:spacing w:before="185"/>
        <w:ind w:left="24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）政府补助明细</w:t>
      </w:r>
    </w:p>
    <w:p>
      <w:pPr>
        <w:spacing w:line="240" w:lineRule="auto" w:before="10"/>
        <w:rPr>
          <w:rFonts w:ascii="宋体" w:hAnsi="宋体" w:cs="宋体" w:eastAsia="宋体" w:hint="default"/>
          <w:sz w:val="20"/>
          <w:szCs w:val="20"/>
        </w:rPr>
      </w:pPr>
    </w:p>
    <w:tbl>
      <w:tblPr>
        <w:tblW w:w="0" w:type="auto"/>
        <w:jc w:val="left"/>
        <w:tblInd w:w="224" w:type="dxa"/>
        <w:tblLayout w:type="fixed"/>
        <w:tblCellMar>
          <w:top w:w="0" w:type="dxa"/>
          <w:left w:w="0" w:type="dxa"/>
          <w:bottom w:w="0" w:type="dxa"/>
          <w:right w:w="0" w:type="dxa"/>
        </w:tblCellMar>
        <w:tblLook w:val="01E0"/>
      </w:tblPr>
      <w:tblGrid>
        <w:gridCol w:w="2538"/>
        <w:gridCol w:w="2005"/>
        <w:gridCol w:w="2010"/>
        <w:gridCol w:w="2008"/>
      </w:tblGrid>
      <w:tr>
        <w:trPr>
          <w:trHeight w:val="388" w:hRule="exact"/>
        </w:trPr>
        <w:tc>
          <w:tcPr>
            <w:tcW w:w="2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4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4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4"/>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88" w:hRule="exact"/>
        </w:trPr>
        <w:tc>
          <w:tcPr>
            <w:tcW w:w="2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科技研究经费补贴</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2,350,845.00</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800,600.00</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4"/>
              <w:jc w:val="center"/>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2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上市财政资助</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pacing w:val="-1"/>
                <w:sz w:val="18"/>
              </w:rPr>
              <w:t>3,000,000.00</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4"/>
              <w:jc w:val="center"/>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2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2,350,845.00</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pacing w:val="-1"/>
                <w:sz w:val="18"/>
              </w:rPr>
              <w:t>3,800,600.00</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4"/>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4"/>
        <w:rPr>
          <w:rFonts w:ascii="宋体" w:hAnsi="宋体" w:cs="宋体" w:eastAsia="宋体" w:hint="default"/>
          <w:sz w:val="22"/>
          <w:szCs w:val="22"/>
        </w:rPr>
      </w:pPr>
    </w:p>
    <w:p>
      <w:pPr>
        <w:spacing w:before="35"/>
        <w:ind w:left="664" w:right="0" w:firstLine="0"/>
        <w:jc w:val="left"/>
        <w:rPr>
          <w:rFonts w:ascii="宋体" w:hAnsi="宋体" w:cs="宋体" w:eastAsia="宋体" w:hint="default"/>
          <w:sz w:val="21"/>
          <w:szCs w:val="21"/>
        </w:rPr>
      </w:pPr>
      <w:r>
        <w:rPr>
          <w:rFonts w:ascii="宋体" w:hAnsi="宋体" w:cs="宋体" w:eastAsia="宋体" w:hint="default"/>
          <w:sz w:val="21"/>
          <w:szCs w:val="21"/>
        </w:rPr>
        <w:t>营业外收入说明：</w:t>
      </w:r>
    </w:p>
    <w:p>
      <w:pPr>
        <w:spacing w:line="240" w:lineRule="auto" w:before="6"/>
        <w:rPr>
          <w:rFonts w:ascii="宋体" w:hAnsi="宋体" w:cs="宋体" w:eastAsia="宋体" w:hint="default"/>
          <w:sz w:val="19"/>
          <w:szCs w:val="19"/>
        </w:rPr>
      </w:pPr>
    </w:p>
    <w:p>
      <w:pPr>
        <w:spacing w:before="0"/>
        <w:ind w:left="66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、增值</w:t>
      </w:r>
      <w:r>
        <w:rPr>
          <w:rFonts w:ascii="宋体" w:hAnsi="宋体" w:cs="宋体" w:eastAsia="宋体" w:hint="default"/>
          <w:spacing w:val="-2"/>
          <w:sz w:val="21"/>
          <w:szCs w:val="21"/>
        </w:rPr>
        <w:t>税</w:t>
      </w:r>
      <w:r>
        <w:rPr>
          <w:rFonts w:ascii="宋体" w:hAnsi="宋体" w:cs="宋体" w:eastAsia="宋体" w:hint="default"/>
          <w:sz w:val="21"/>
          <w:szCs w:val="21"/>
        </w:rPr>
        <w:t>退税的原因见附注三。</w:t>
      </w:r>
    </w:p>
    <w:p>
      <w:pPr>
        <w:spacing w:line="240" w:lineRule="auto" w:before="2"/>
        <w:rPr>
          <w:rFonts w:ascii="宋体" w:hAnsi="宋体" w:cs="宋体" w:eastAsia="宋体" w:hint="default"/>
          <w:sz w:val="18"/>
          <w:szCs w:val="18"/>
        </w:rPr>
      </w:pPr>
    </w:p>
    <w:p>
      <w:pPr>
        <w:spacing w:before="0"/>
        <w:ind w:left="66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、政府</w:t>
      </w:r>
      <w:r>
        <w:rPr>
          <w:rFonts w:ascii="宋体" w:hAnsi="宋体" w:cs="宋体" w:eastAsia="宋体" w:hint="default"/>
          <w:spacing w:val="-2"/>
          <w:sz w:val="21"/>
          <w:szCs w:val="21"/>
        </w:rPr>
        <w:t>补</w:t>
      </w:r>
      <w:r>
        <w:rPr>
          <w:rFonts w:ascii="宋体" w:hAnsi="宋体" w:cs="宋体" w:eastAsia="宋体" w:hint="default"/>
          <w:sz w:val="21"/>
          <w:szCs w:val="21"/>
        </w:rPr>
        <w:t>助明细说明见附注十二。</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0"/>
        <w:ind w:left="24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before="100"/>
        <w:ind w:left="0" w:right="449"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222" w:type="dxa"/>
        <w:tblLayout w:type="fixed"/>
        <w:tblCellMar>
          <w:top w:w="0" w:type="dxa"/>
          <w:left w:w="0" w:type="dxa"/>
          <w:bottom w:w="0" w:type="dxa"/>
          <w:right w:w="0" w:type="dxa"/>
        </w:tblCellMar>
        <w:tblLook w:val="01E0"/>
      </w:tblPr>
      <w:tblGrid>
        <w:gridCol w:w="2533"/>
        <w:gridCol w:w="1620"/>
        <w:gridCol w:w="1622"/>
        <w:gridCol w:w="2976"/>
      </w:tblGrid>
      <w:tr>
        <w:trPr>
          <w:trHeight w:val="392" w:hRule="exact"/>
        </w:trPr>
        <w:tc>
          <w:tcPr>
            <w:tcW w:w="25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35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35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left="310"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392" w:hRule="exact"/>
        </w:trPr>
        <w:tc>
          <w:tcPr>
            <w:tcW w:w="25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Times New Roman" w:hAnsi="Times New Roman" w:cs="Times New Roman" w:eastAsia="Times New Roman" w:hint="default"/>
                <w:sz w:val="18"/>
                <w:szCs w:val="18"/>
              </w:rPr>
            </w:pPr>
            <w:r>
              <w:rPr>
                <w:rFonts w:ascii="Times New Roman"/>
                <w:sz w:val="18"/>
              </w:rPr>
              <w:t>140.26</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576.85</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8"/>
                <w:szCs w:val="18"/>
              </w:rPr>
            </w:pPr>
            <w:r>
              <w:rPr>
                <w:rFonts w:ascii="Times New Roman"/>
                <w:sz w:val="18"/>
              </w:rPr>
              <w:t>140.26</w:t>
            </w:r>
          </w:p>
        </w:tc>
      </w:tr>
      <w:tr>
        <w:trPr>
          <w:trHeight w:val="392" w:hRule="exact"/>
        </w:trPr>
        <w:tc>
          <w:tcPr>
            <w:tcW w:w="25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Times New Roman" w:hAnsi="Times New Roman" w:cs="Times New Roman" w:eastAsia="Times New Roman" w:hint="default"/>
                <w:sz w:val="18"/>
                <w:szCs w:val="18"/>
              </w:rPr>
            </w:pPr>
            <w:r>
              <w:rPr>
                <w:rFonts w:ascii="Times New Roman"/>
                <w:sz w:val="18"/>
              </w:rPr>
              <w:t>140.26</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576.85</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8"/>
                <w:szCs w:val="18"/>
              </w:rPr>
            </w:pPr>
            <w:r>
              <w:rPr>
                <w:rFonts w:ascii="Times New Roman"/>
                <w:sz w:val="18"/>
              </w:rPr>
              <w:t>140.26</w:t>
            </w:r>
          </w:p>
        </w:tc>
      </w:tr>
      <w:tr>
        <w:trPr>
          <w:trHeight w:val="392" w:hRule="exact"/>
        </w:trPr>
        <w:tc>
          <w:tcPr>
            <w:tcW w:w="25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662"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Times New Roman" w:hAnsi="Times New Roman" w:cs="Times New Roman" w:eastAsia="Times New Roman" w:hint="default"/>
                <w:sz w:val="18"/>
                <w:szCs w:val="18"/>
              </w:rPr>
            </w:pPr>
            <w:r>
              <w:rPr>
                <w:rFonts w:ascii="Times New Roman"/>
                <w:sz w:val="18"/>
              </w:rPr>
              <w:t>--</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right="106"/>
              <w:jc w:val="right"/>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25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Times New Roman" w:hAnsi="Times New Roman" w:cs="Times New Roman" w:eastAsia="Times New Roman" w:hint="default"/>
                <w:sz w:val="18"/>
                <w:szCs w:val="18"/>
              </w:rPr>
            </w:pPr>
            <w:r>
              <w:rPr>
                <w:rFonts w:ascii="Times New Roman"/>
                <w:sz w:val="18"/>
              </w:rPr>
              <w:t>--</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right="106"/>
              <w:jc w:val="righ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5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Times New Roman" w:hAnsi="Times New Roman" w:cs="Times New Roman" w:eastAsia="Times New Roman" w:hint="default"/>
                <w:sz w:val="18"/>
                <w:szCs w:val="18"/>
              </w:rPr>
            </w:pPr>
            <w:r>
              <w:rPr>
                <w:rFonts w:ascii="Times New Roman"/>
                <w:sz w:val="18"/>
              </w:rPr>
              <w:t>--</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right="106"/>
              <w:jc w:val="righ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5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Times New Roman" w:hAnsi="Times New Roman" w:cs="Times New Roman" w:eastAsia="Times New Roman" w:hint="default"/>
                <w:sz w:val="18"/>
                <w:szCs w:val="18"/>
              </w:rPr>
            </w:pPr>
            <w:r>
              <w:rPr>
                <w:rFonts w:ascii="Times New Roman"/>
                <w:sz w:val="18"/>
              </w:rPr>
              <w:t>20,000.00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right="106"/>
              <w:jc w:val="right"/>
              <w:rPr>
                <w:rFonts w:ascii="Times New Roman" w:hAnsi="Times New Roman" w:cs="Times New Roman" w:eastAsia="Times New Roman" w:hint="default"/>
                <w:sz w:val="18"/>
                <w:szCs w:val="18"/>
              </w:rPr>
            </w:pPr>
            <w:r>
              <w:rPr>
                <w:rFonts w:ascii="Times New Roman"/>
                <w:sz w:val="18"/>
              </w:rPr>
              <w:t>20,000.00</w:t>
            </w:r>
          </w:p>
        </w:tc>
      </w:tr>
      <w:tr>
        <w:trPr>
          <w:trHeight w:val="392" w:hRule="exact"/>
        </w:trPr>
        <w:tc>
          <w:tcPr>
            <w:tcW w:w="25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Times New Roman" w:hAnsi="Times New Roman" w:cs="Times New Roman" w:eastAsia="Times New Roman" w:hint="default"/>
                <w:sz w:val="18"/>
                <w:szCs w:val="18"/>
              </w:rPr>
            </w:pPr>
            <w:r>
              <w:rPr>
                <w:rFonts w:ascii="Times New Roman"/>
                <w:sz w:val="18"/>
              </w:rPr>
              <w:t>20,140.26</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576.85</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right="106"/>
              <w:jc w:val="right"/>
              <w:rPr>
                <w:rFonts w:ascii="Times New Roman" w:hAnsi="Times New Roman" w:cs="Times New Roman" w:eastAsia="Times New Roman" w:hint="default"/>
                <w:sz w:val="18"/>
                <w:szCs w:val="18"/>
              </w:rPr>
            </w:pPr>
            <w:r>
              <w:rPr>
                <w:rFonts w:ascii="Times New Roman"/>
                <w:sz w:val="18"/>
              </w:rPr>
              <w:t>20,140.26</w:t>
            </w:r>
          </w:p>
        </w:tc>
      </w:tr>
    </w:tbl>
    <w:p>
      <w:pPr>
        <w:spacing w:line="240" w:lineRule="auto" w:before="4"/>
        <w:rPr>
          <w:rFonts w:ascii="宋体" w:hAnsi="宋体" w:cs="宋体" w:eastAsia="宋体" w:hint="default"/>
          <w:sz w:val="22"/>
          <w:szCs w:val="22"/>
        </w:rPr>
      </w:pPr>
    </w:p>
    <w:p>
      <w:pPr>
        <w:spacing w:before="35"/>
        <w:ind w:left="24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6"/>
        <w:rPr>
          <w:rFonts w:ascii="宋体" w:hAnsi="宋体" w:cs="宋体" w:eastAsia="宋体" w:hint="default"/>
          <w:b/>
          <w:bCs/>
          <w:sz w:val="15"/>
          <w:szCs w:val="15"/>
        </w:rPr>
      </w:pPr>
    </w:p>
    <w:p>
      <w:pPr>
        <w:spacing w:before="35"/>
        <w:ind w:left="0" w:right="32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93" w:type="dxa"/>
        <w:tblLayout w:type="fixed"/>
        <w:tblCellMar>
          <w:top w:w="0" w:type="dxa"/>
          <w:left w:w="0" w:type="dxa"/>
          <w:bottom w:w="0" w:type="dxa"/>
          <w:right w:w="0" w:type="dxa"/>
        </w:tblCellMar>
        <w:tblLook w:val="01E0"/>
      </w:tblPr>
      <w:tblGrid>
        <w:gridCol w:w="4403"/>
        <w:gridCol w:w="2092"/>
        <w:gridCol w:w="2093"/>
      </w:tblGrid>
      <w:tr>
        <w:trPr>
          <w:trHeight w:val="388" w:hRule="exact"/>
        </w:trPr>
        <w:tc>
          <w:tcPr>
            <w:tcW w:w="4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9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59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6" w:hRule="exact"/>
        </w:trPr>
        <w:tc>
          <w:tcPr>
            <w:tcW w:w="4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2,830,226.82</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9"/>
              <w:jc w:val="right"/>
              <w:rPr>
                <w:rFonts w:ascii="Times New Roman" w:hAnsi="Times New Roman" w:cs="Times New Roman" w:eastAsia="Times New Roman" w:hint="default"/>
                <w:sz w:val="18"/>
                <w:szCs w:val="18"/>
              </w:rPr>
            </w:pPr>
            <w:r>
              <w:rPr>
                <w:rFonts w:ascii="Times New Roman"/>
                <w:spacing w:val="-1"/>
                <w:sz w:val="18"/>
              </w:rPr>
              <w:t>1,353,423.92</w:t>
            </w:r>
          </w:p>
        </w:tc>
      </w:tr>
      <w:tr>
        <w:trPr>
          <w:trHeight w:val="389" w:hRule="exact"/>
        </w:trPr>
        <w:tc>
          <w:tcPr>
            <w:tcW w:w="4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-493,252.34</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9"/>
              <w:jc w:val="right"/>
              <w:rPr>
                <w:rFonts w:ascii="Times New Roman" w:hAnsi="Times New Roman" w:cs="Times New Roman" w:eastAsia="Times New Roman" w:hint="default"/>
                <w:sz w:val="18"/>
                <w:szCs w:val="18"/>
              </w:rPr>
            </w:pPr>
            <w:r>
              <w:rPr>
                <w:rFonts w:ascii="Times New Roman"/>
                <w:sz w:val="18"/>
              </w:rPr>
              <w:t>-232,954.75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1400" w:right="1400"/>
        </w:sectPr>
      </w:pPr>
    </w:p>
    <w:p>
      <w:pPr>
        <w:spacing w:line="240" w:lineRule="auto" w:before="6"/>
        <w:rPr>
          <w:rFonts w:ascii="宋体" w:hAnsi="宋体" w:cs="宋体" w:eastAsia="宋体" w:hint="default"/>
          <w:sz w:val="24"/>
          <w:szCs w:val="24"/>
        </w:rPr>
      </w:pPr>
    </w:p>
    <w:p>
      <w:pPr>
        <w:spacing w:line="402" w:lineRule="exact"/>
        <w:ind w:left="19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29.85pt;height:20.1pt;mso-position-horizontal-relative:char;mso-position-vertical-relative:line" coordorigin="0,0" coordsize="8597,402">
            <v:group style="position:absolute;left:19;top:5;width:6485;height:2" coordorigin="19,5" coordsize="6485,2">
              <v:shape style="position:absolute;left:19;top:5;width:6485;height:2" coordorigin="19,5" coordsize="6485,0" path="m19,5l6504,5e" filled="false" stroked="true" strokeweight=".48004pt" strokecolor="#000000">
                <v:path arrowok="t"/>
              </v:shape>
            </v:group>
            <v:group style="position:absolute;left:6504;top:5;width:2081;height:2" coordorigin="6504,5" coordsize="2081,2">
              <v:shape style="position:absolute;left:6504;top:5;width:2081;height:2" coordorigin="6504,5" coordsize="2081,0" path="m6504,5l8585,5e" filled="false" stroked="true" strokeweight=".48pt" strokecolor="#000000">
                <v:path arrowok="t"/>
              </v:shape>
            </v:group>
            <v:group style="position:absolute;left:5;top:392;width:4398;height:2" coordorigin="5,392" coordsize="4398,2">
              <v:shape style="position:absolute;left:5;top:392;width:4398;height:2" coordorigin="5,392" coordsize="4398,0" path="m5,392l4403,392e" filled="false" stroked="true" strokeweight=".47998pt" strokecolor="#000000">
                <v:path arrowok="t"/>
              </v:shape>
            </v:group>
            <v:group style="position:absolute;left:4408;top:10;width:2;height:388" coordorigin="4408,10" coordsize="2,388">
              <v:shape style="position:absolute;left:4408;top:10;width:2;height:388" coordorigin="4408,10" coordsize="0,388" path="m4408,10l4408,397e" filled="false" stroked="true" strokeweight=".48001pt" strokecolor="#000000">
                <v:path arrowok="t"/>
              </v:shape>
            </v:group>
            <v:group style="position:absolute;left:4412;top:392;width:2082;height:2" coordorigin="4412,392" coordsize="2082,2">
              <v:shape style="position:absolute;left:4412;top:392;width:2082;height:2" coordorigin="4412,392" coordsize="2082,0" path="m4412,392l6494,392e" filled="false" stroked="true" strokeweight=".47998pt" strokecolor="#000000">
                <v:path arrowok="t"/>
              </v:shape>
            </v:group>
            <v:group style="position:absolute;left:6499;top:10;width:2;height:388" coordorigin="6499,10" coordsize="2,388">
              <v:shape style="position:absolute;left:6499;top:10;width:2;height:388" coordorigin="6499,10" coordsize="0,388" path="m6499,10l6499,397e" filled="false" stroked="true" strokeweight=".48001pt" strokecolor="#000000">
                <v:path arrowok="t"/>
              </v:shape>
            </v:group>
            <v:group style="position:absolute;left:6504;top:392;width:2088;height:2" coordorigin="6504,392" coordsize="2088,2">
              <v:shape style="position:absolute;left:6504;top:392;width:2088;height:2" coordorigin="6504,392" coordsize="2088,0" path="m6504,392l8592,392e" filled="false" stroked="true" strokeweight=".48pt" strokecolor="#000000">
                <v:path arrowok="t"/>
              </v:shape>
              <v:shape style="position:absolute;left:4408;top:5;width:2092;height:388" type="#_x0000_t202" filled="false" stroked="false">
                <v:textbox inset="0,0,0,0">
                  <w:txbxContent>
                    <w:p>
                      <w:pPr>
                        <w:spacing w:before="98"/>
                        <w:ind w:left="1115" w:right="0" w:firstLine="0"/>
                        <w:jc w:val="left"/>
                        <w:rPr>
                          <w:rFonts w:ascii="Times New Roman" w:hAnsi="Times New Roman" w:cs="Times New Roman" w:eastAsia="Times New Roman" w:hint="default"/>
                          <w:sz w:val="18"/>
                          <w:szCs w:val="18"/>
                        </w:rPr>
                      </w:pPr>
                      <w:r>
                        <w:rPr>
                          <w:rFonts w:ascii="Times New Roman"/>
                          <w:sz w:val="18"/>
                        </w:rPr>
                        <w:t>2,336,974.48</w:t>
                      </w:r>
                    </w:p>
                  </w:txbxContent>
                </v:textbox>
                <w10:wrap type="none"/>
              </v:shape>
              <v:shape style="position:absolute;left:50;top:10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7615;top:113;width:94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1,120,469.17</w:t>
                      </w:r>
                    </w:p>
                  </w:txbxContent>
                </v:textbox>
                <w10:wrap type="none"/>
              </v:shape>
            </v:group>
          </v:group>
        </w:pict>
      </w:r>
      <w:r>
        <w:rPr>
          <w:rFonts w:ascii="宋体" w:hAnsi="宋体" w:cs="宋体" w:eastAsia="宋体" w:hint="default"/>
          <w:position w:val="-7"/>
          <w:sz w:val="20"/>
          <w:szCs w:val="20"/>
        </w:rPr>
      </w:r>
    </w:p>
    <w:p>
      <w:pPr>
        <w:spacing w:line="240" w:lineRule="auto" w:before="12"/>
        <w:rPr>
          <w:rFonts w:ascii="宋体" w:hAnsi="宋体" w:cs="宋体" w:eastAsia="宋体" w:hint="default"/>
          <w:sz w:val="21"/>
          <w:szCs w:val="21"/>
        </w:rPr>
      </w:pPr>
    </w:p>
    <w:p>
      <w:pPr>
        <w:spacing w:before="35"/>
        <w:ind w:left="244" w:right="1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、基本每股收益和稀释每股收益的计算过程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spacing w:before="0"/>
        <w:ind w:left="0" w:right="139"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442"/>
        <w:gridCol w:w="1582"/>
        <w:gridCol w:w="1352"/>
        <w:gridCol w:w="1354"/>
      </w:tblGrid>
      <w:tr>
        <w:trPr>
          <w:trHeight w:val="392" w:hRule="exact"/>
        </w:trPr>
        <w:tc>
          <w:tcPr>
            <w:tcW w:w="4442"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43"/>
              <w:ind w:left="12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3"/>
              <w:ind w:left="426" w:right="0"/>
              <w:jc w:val="left"/>
              <w:rPr>
                <w:rFonts w:ascii="宋体" w:hAnsi="宋体" w:cs="宋体" w:eastAsia="宋体" w:hint="default"/>
                <w:sz w:val="18"/>
                <w:szCs w:val="18"/>
              </w:rPr>
            </w:pPr>
            <w:r>
              <w:rPr>
                <w:rFonts w:ascii="宋体" w:hAnsi="宋体" w:cs="宋体" w:eastAsia="宋体" w:hint="default"/>
                <w:sz w:val="18"/>
                <w:szCs w:val="18"/>
              </w:rPr>
              <w:t>计算过程</w:t>
            </w:r>
          </w:p>
        </w:tc>
        <w:tc>
          <w:tcPr>
            <w:tcW w:w="135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3"/>
              <w:ind w:left="2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54"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43"/>
              <w:ind w:left="22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8"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 w:right="0"/>
              <w:jc w:val="left"/>
              <w:rPr>
                <w:rFonts w:ascii="Times New Roman" w:hAnsi="Times New Roman" w:cs="Times New Roman" w:eastAsia="Times New Roman" w:hint="default"/>
                <w:sz w:val="18"/>
                <w:szCs w:val="18"/>
              </w:rPr>
            </w:pPr>
            <w:r>
              <w:rPr>
                <w:rFonts w:ascii="Times New Roman"/>
                <w:sz w:val="18"/>
              </w:rPr>
              <w:t>P0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18"/>
                <w:szCs w:val="18"/>
              </w:rPr>
            </w:pPr>
            <w:r>
              <w:rPr>
                <w:rFonts w:ascii="Times New Roman"/>
                <w:spacing w:val="-1"/>
                <w:sz w:val="18"/>
              </w:rPr>
              <w:t>20,830,897.90</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pacing w:val="-1"/>
                <w:sz w:val="18"/>
              </w:rPr>
              <w:t>33,973,521.32</w:t>
            </w:r>
          </w:p>
        </w:tc>
      </w:tr>
      <w:tr>
        <w:trPr>
          <w:trHeight w:val="386"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归属于公司普通股股东的非经常性损益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 w:right="0"/>
              <w:jc w:val="left"/>
              <w:rPr>
                <w:rFonts w:ascii="Times New Roman" w:hAnsi="Times New Roman" w:cs="Times New Roman" w:eastAsia="Times New Roman" w:hint="default"/>
                <w:sz w:val="18"/>
                <w:szCs w:val="18"/>
              </w:rPr>
            </w:pPr>
            <w:r>
              <w:rPr>
                <w:rFonts w:ascii="Times New Roman"/>
                <w:sz w:val="18"/>
              </w:rPr>
              <w:t>F</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18"/>
                <w:szCs w:val="18"/>
              </w:rPr>
            </w:pPr>
            <w:r>
              <w:rPr>
                <w:rFonts w:ascii="Times New Roman"/>
                <w:spacing w:val="-1"/>
                <w:sz w:val="18"/>
              </w:rPr>
              <w:t>1,981,716.57</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pacing w:val="-1"/>
                <w:sz w:val="18"/>
              </w:rPr>
              <w:t>3,424,100.83</w:t>
            </w:r>
          </w:p>
        </w:tc>
      </w:tr>
      <w:tr>
        <w:trPr>
          <w:trHeight w:val="388"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扣除非经常性损益后归属于普通股股东的净利润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 w:right="0"/>
              <w:jc w:val="left"/>
              <w:rPr>
                <w:rFonts w:ascii="Times New Roman" w:hAnsi="Times New Roman" w:cs="Times New Roman" w:eastAsia="Times New Roman" w:hint="default"/>
                <w:sz w:val="18"/>
                <w:szCs w:val="18"/>
              </w:rPr>
            </w:pPr>
            <w:r>
              <w:rPr>
                <w:rFonts w:ascii="Times New Roman"/>
                <w:sz w:val="18"/>
              </w:rPr>
              <w:t>P0'=P0-F</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Times New Roman" w:hAnsi="Times New Roman" w:cs="Times New Roman" w:eastAsia="Times New Roman" w:hint="default"/>
                <w:sz w:val="18"/>
                <w:szCs w:val="18"/>
              </w:rPr>
            </w:pPr>
            <w:r>
              <w:rPr>
                <w:rFonts w:ascii="Times New Roman"/>
                <w:spacing w:val="-1"/>
                <w:sz w:val="18"/>
              </w:rPr>
              <w:t>18,849,181.33</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pacing w:val="-1"/>
                <w:sz w:val="18"/>
              </w:rPr>
              <w:t>30,549,420.49</w:t>
            </w:r>
          </w:p>
        </w:tc>
      </w:tr>
      <w:tr>
        <w:trPr>
          <w:trHeight w:val="388"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稀释事项对归属于公司普通股股东的净利润的影响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 w:right="0"/>
              <w:jc w:val="left"/>
              <w:rPr>
                <w:rFonts w:ascii="Times New Roman" w:hAnsi="Times New Roman" w:cs="Times New Roman" w:eastAsia="Times New Roman" w:hint="default"/>
                <w:sz w:val="18"/>
                <w:szCs w:val="18"/>
              </w:rPr>
            </w:pPr>
            <w:r>
              <w:rPr>
                <w:rFonts w:ascii="Times New Roman"/>
                <w:sz w:val="18"/>
              </w:rPr>
              <w:t>V</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w w:val="95"/>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w w:val="95"/>
                <w:sz w:val="18"/>
              </w:rPr>
            </w:r>
          </w:p>
        </w:tc>
      </w:tr>
      <w:tr>
        <w:trPr>
          <w:trHeight w:val="854"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44"/>
              <w:ind w:left="122" w:right="-2"/>
              <w:jc w:val="both"/>
              <w:rPr>
                <w:rFonts w:ascii="宋体" w:hAnsi="宋体" w:cs="宋体" w:eastAsia="宋体" w:hint="default"/>
                <w:sz w:val="18"/>
                <w:szCs w:val="18"/>
              </w:rPr>
            </w:pPr>
            <w:r>
              <w:rPr>
                <w:rFonts w:ascii="宋体" w:hAnsi="宋体" w:cs="宋体" w:eastAsia="宋体" w:hint="default"/>
                <w:spacing w:val="-1"/>
                <w:sz w:val="18"/>
                <w:szCs w:val="18"/>
              </w:rPr>
              <w:t>归属于公司普通股股东的净利润，并考虑稀释性潜在普</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通股对其影响，按《企业会计准则》及有关规定进行调</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P1=P0+V</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w w:val="95"/>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w w:val="95"/>
                <w:sz w:val="18"/>
              </w:rPr>
            </w:r>
          </w:p>
        </w:tc>
      </w:tr>
      <w:tr>
        <w:trPr>
          <w:trHeight w:val="622"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11"/>
              <w:jc w:val="left"/>
              <w:rPr>
                <w:rFonts w:ascii="宋体" w:hAnsi="宋体" w:cs="宋体" w:eastAsia="宋体" w:hint="default"/>
                <w:sz w:val="18"/>
                <w:szCs w:val="18"/>
              </w:rPr>
            </w:pPr>
            <w:r>
              <w:rPr>
                <w:rFonts w:ascii="宋体" w:hAnsi="宋体" w:cs="宋体" w:eastAsia="宋体" w:hint="default"/>
                <w:spacing w:val="7"/>
                <w:sz w:val="18"/>
                <w:szCs w:val="18"/>
              </w:rPr>
              <w:t>稀释事项对扣除非经常性损益后归属于公司普通股股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东的净利润的影响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V'</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w w:val="95"/>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w w:val="95"/>
                <w:sz w:val="18"/>
              </w:rPr>
            </w:r>
          </w:p>
        </w:tc>
      </w:tr>
      <w:tr>
        <w:trPr>
          <w:trHeight w:val="853"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44"/>
              <w:ind w:left="122" w:right="-29"/>
              <w:jc w:val="both"/>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 </w:t>
            </w:r>
            <w:r>
              <w:rPr>
                <w:rFonts w:ascii="宋体" w:hAnsi="宋体" w:cs="宋体" w:eastAsia="宋体" w:hint="default"/>
                <w:spacing w:val="-7"/>
                <w:sz w:val="18"/>
                <w:szCs w:val="18"/>
              </w:rPr>
              <w:t>并考虑稀释性潜在普通股对其影响，按《企业会计准则》</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及有关规定进行调整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P1'=P0'+V'</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18,849,181.33</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30,549,420.49</w:t>
            </w:r>
          </w:p>
        </w:tc>
      </w:tr>
      <w:tr>
        <w:trPr>
          <w:trHeight w:val="388"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 w:right="0"/>
              <w:jc w:val="left"/>
              <w:rPr>
                <w:rFonts w:ascii="Times New Roman" w:hAnsi="Times New Roman" w:cs="Times New Roman" w:eastAsia="Times New Roman" w:hint="default"/>
                <w:sz w:val="18"/>
                <w:szCs w:val="18"/>
              </w:rPr>
            </w:pPr>
            <w:r>
              <w:rPr>
                <w:rFonts w:ascii="Times New Roman"/>
                <w:sz w:val="18"/>
              </w:rPr>
              <w:t>S0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Times New Roman" w:hAnsi="Times New Roman" w:cs="Times New Roman" w:eastAsia="Times New Roman" w:hint="default"/>
                <w:sz w:val="18"/>
                <w:szCs w:val="18"/>
              </w:rPr>
            </w:pPr>
            <w:r>
              <w:rPr>
                <w:rFonts w:ascii="Times New Roman"/>
                <w:sz w:val="18"/>
              </w:rPr>
              <w:t>60000000</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45000000</w:t>
            </w:r>
          </w:p>
        </w:tc>
      </w:tr>
      <w:tr>
        <w:trPr>
          <w:trHeight w:val="622"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11"/>
              <w:jc w:val="left"/>
              <w:rPr>
                <w:rFonts w:ascii="宋体" w:hAnsi="宋体" w:cs="宋体" w:eastAsia="宋体" w:hint="default"/>
                <w:sz w:val="18"/>
                <w:szCs w:val="18"/>
              </w:rPr>
            </w:pPr>
            <w:r>
              <w:rPr>
                <w:rFonts w:ascii="宋体" w:hAnsi="宋体" w:cs="宋体" w:eastAsia="宋体" w:hint="default"/>
                <w:spacing w:val="7"/>
                <w:sz w:val="18"/>
                <w:szCs w:val="18"/>
              </w:rPr>
              <w:t>报告期因公积金转增股本或股票股利分配等增加股份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S1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60000000</w:t>
            </w:r>
            <w:r>
              <w:rPr>
                <w:rFonts w:ascii="Times New Roman"/>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w w:val="95"/>
                <w:sz w:val="18"/>
              </w:rPr>
            </w:r>
          </w:p>
        </w:tc>
      </w:tr>
      <w:tr>
        <w:trPr>
          <w:trHeight w:val="388"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 w:right="0"/>
              <w:jc w:val="left"/>
              <w:rPr>
                <w:rFonts w:ascii="Times New Roman" w:hAnsi="Times New Roman" w:cs="Times New Roman" w:eastAsia="Times New Roman" w:hint="default"/>
                <w:sz w:val="18"/>
                <w:szCs w:val="18"/>
              </w:rPr>
            </w:pPr>
            <w:r>
              <w:rPr>
                <w:rFonts w:ascii="Times New Roman"/>
                <w:sz w:val="18"/>
              </w:rPr>
              <w:t>Si</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z w:val="18"/>
              </w:rPr>
              <w:t>15000000</w:t>
            </w:r>
          </w:p>
        </w:tc>
      </w:tr>
      <w:tr>
        <w:trPr>
          <w:trHeight w:val="386"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 w:right="0"/>
              <w:jc w:val="left"/>
              <w:rPr>
                <w:rFonts w:ascii="Times New Roman" w:hAnsi="Times New Roman" w:cs="Times New Roman" w:eastAsia="Times New Roman" w:hint="default"/>
                <w:sz w:val="18"/>
                <w:szCs w:val="18"/>
              </w:rPr>
            </w:pPr>
            <w:r>
              <w:rPr>
                <w:rFonts w:ascii="Times New Roman"/>
                <w:sz w:val="18"/>
              </w:rPr>
              <w:t>Sj</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 w:right="0"/>
              <w:jc w:val="left"/>
              <w:rPr>
                <w:rFonts w:ascii="Times New Roman" w:hAnsi="Times New Roman" w:cs="Times New Roman" w:eastAsia="Times New Roman" w:hint="default"/>
                <w:sz w:val="18"/>
                <w:szCs w:val="18"/>
              </w:rPr>
            </w:pPr>
            <w:r>
              <w:rPr>
                <w:rFonts w:ascii="Times New Roman"/>
                <w:sz w:val="18"/>
              </w:rPr>
              <w:t>Sk</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w w:val="95"/>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w w:val="95"/>
                <w:sz w:val="18"/>
              </w:rPr>
            </w:r>
          </w:p>
        </w:tc>
      </w:tr>
      <w:tr>
        <w:trPr>
          <w:trHeight w:val="388"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 w:right="0"/>
              <w:jc w:val="left"/>
              <w:rPr>
                <w:rFonts w:ascii="Times New Roman" w:hAnsi="Times New Roman" w:cs="Times New Roman" w:eastAsia="Times New Roman" w:hint="default"/>
                <w:sz w:val="18"/>
                <w:szCs w:val="18"/>
              </w:rPr>
            </w:pPr>
            <w:r>
              <w:rPr>
                <w:rFonts w:ascii="Times New Roman"/>
                <w:sz w:val="18"/>
              </w:rPr>
              <w:t>M0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18"/>
                <w:szCs w:val="18"/>
              </w:rPr>
            </w:pPr>
            <w:r>
              <w:rPr>
                <w:rFonts w:ascii="Times New Roman"/>
                <w:spacing w:val="-1"/>
                <w:w w:val="95"/>
                <w:sz w:val="18"/>
              </w:rPr>
              <w:t>12</w:t>
            </w:r>
            <w:r>
              <w:rPr>
                <w:rFonts w:ascii="Times New Roman"/>
                <w:w w:val="95"/>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pacing w:val="-1"/>
                <w:w w:val="95"/>
                <w:sz w:val="18"/>
              </w:rPr>
              <w:t>12</w:t>
            </w:r>
            <w:r>
              <w:rPr>
                <w:rFonts w:ascii="Times New Roman"/>
                <w:w w:val="95"/>
                <w:sz w:val="18"/>
              </w:rPr>
            </w:r>
          </w:p>
        </w:tc>
      </w:tr>
      <w:tr>
        <w:trPr>
          <w:trHeight w:val="388"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 w:right="0"/>
              <w:jc w:val="left"/>
              <w:rPr>
                <w:rFonts w:ascii="Times New Roman" w:hAnsi="Times New Roman" w:cs="Times New Roman" w:eastAsia="Times New Roman" w:hint="default"/>
                <w:sz w:val="18"/>
                <w:szCs w:val="18"/>
              </w:rPr>
            </w:pPr>
            <w:r>
              <w:rPr>
                <w:rFonts w:ascii="Times New Roman"/>
                <w:sz w:val="18"/>
              </w:rPr>
              <w:t>Mi</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7</w:t>
            </w:r>
          </w:p>
        </w:tc>
      </w:tr>
      <w:tr>
        <w:trPr>
          <w:trHeight w:val="388"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 w:right="0"/>
              <w:jc w:val="left"/>
              <w:rPr>
                <w:rFonts w:ascii="Times New Roman" w:hAnsi="Times New Roman" w:cs="Times New Roman" w:eastAsia="Times New Roman" w:hint="default"/>
                <w:sz w:val="18"/>
                <w:szCs w:val="18"/>
              </w:rPr>
            </w:pPr>
            <w:r>
              <w:rPr>
                <w:rFonts w:ascii="Times New Roman"/>
                <w:sz w:val="18"/>
              </w:rPr>
              <w:t>Mj</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w:t>
            </w:r>
          </w:p>
        </w:tc>
      </w:tr>
      <w:tr>
        <w:trPr>
          <w:trHeight w:val="666"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S=S0</w:t>
            </w:r>
            <w:r>
              <w:rPr>
                <w:rFonts w:ascii="宋体" w:hAnsi="宋体" w:cs="宋体" w:eastAsia="宋体" w:hint="default"/>
                <w:sz w:val="18"/>
                <w:szCs w:val="18"/>
              </w:rPr>
              <w:t>＋</w:t>
            </w:r>
            <w:r>
              <w:rPr>
                <w:rFonts w:ascii="Times New Roman" w:hAnsi="Times New Roman" w:cs="Times New Roman" w:eastAsia="Times New Roman" w:hint="default"/>
                <w:sz w:val="18"/>
                <w:szCs w:val="18"/>
              </w:rPr>
              <w:t>S1</w:t>
            </w:r>
            <w:r>
              <w:rPr>
                <w:rFonts w:ascii="宋体" w:hAnsi="宋体" w:cs="宋体" w:eastAsia="宋体" w:hint="default"/>
                <w:sz w:val="18"/>
                <w:szCs w:val="18"/>
              </w:rPr>
              <w:t>＋</w:t>
            </w:r>
            <w:r>
              <w:rPr>
                <w:rFonts w:ascii="Times New Roman" w:hAnsi="Times New Roman" w:cs="Times New Roman" w:eastAsia="Times New Roman" w:hint="default"/>
                <w:sz w:val="18"/>
                <w:szCs w:val="18"/>
              </w:rPr>
              <w:t>Si×Mi</w:t>
            </w:r>
          </w:p>
          <w:p>
            <w:pPr>
              <w:pStyle w:val="TableParagraph"/>
              <w:spacing w:line="240" w:lineRule="auto" w:before="81"/>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÷M0–Sj×Mj÷M0-Sk</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120000000</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53750000</w:t>
            </w:r>
          </w:p>
        </w:tc>
      </w:tr>
      <w:tr>
        <w:trPr>
          <w:trHeight w:val="622"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2"/>
              <w:jc w:val="left"/>
              <w:rPr>
                <w:rFonts w:ascii="宋体" w:hAnsi="宋体" w:cs="宋体" w:eastAsia="宋体" w:hint="default"/>
                <w:sz w:val="18"/>
                <w:szCs w:val="18"/>
              </w:rPr>
            </w:pPr>
            <w:r>
              <w:rPr>
                <w:rFonts w:ascii="宋体" w:hAnsi="宋体" w:cs="宋体" w:eastAsia="宋体" w:hint="default"/>
                <w:spacing w:val="-1"/>
                <w:sz w:val="18"/>
                <w:szCs w:val="18"/>
              </w:rPr>
              <w:t>加：假定稀释性潜在普通股转换为已发行普通股而增加</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X1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w w:val="95"/>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 w:right="0"/>
              <w:jc w:val="left"/>
              <w:rPr>
                <w:rFonts w:ascii="Times New Roman" w:hAnsi="Times New Roman" w:cs="Times New Roman" w:eastAsia="Times New Roman" w:hint="default"/>
                <w:sz w:val="18"/>
                <w:szCs w:val="18"/>
              </w:rPr>
            </w:pPr>
            <w:r>
              <w:rPr>
                <w:rFonts w:ascii="Times New Roman"/>
                <w:sz w:val="18"/>
              </w:rPr>
              <w:t>X2=S+X1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18"/>
                <w:szCs w:val="18"/>
              </w:rPr>
            </w:pPr>
            <w:r>
              <w:rPr>
                <w:rFonts w:ascii="Times New Roman"/>
                <w:sz w:val="18"/>
              </w:rPr>
              <w:t>120000000</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z w:val="18"/>
              </w:rPr>
              <w:t>53750000</w:t>
            </w:r>
          </w:p>
        </w:tc>
      </w:tr>
      <w:tr>
        <w:trPr>
          <w:trHeight w:val="386"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644" w:right="0"/>
              <w:jc w:val="left"/>
              <w:rPr>
                <w:rFonts w:ascii="宋体" w:hAnsi="宋体" w:cs="宋体" w:eastAsia="宋体" w:hint="default"/>
                <w:sz w:val="18"/>
                <w:szCs w:val="18"/>
              </w:rPr>
            </w:pPr>
            <w:r>
              <w:rPr>
                <w:rFonts w:ascii="宋体" w:hAnsi="宋体" w:cs="宋体" w:eastAsia="宋体" w:hint="default"/>
                <w:sz w:val="18"/>
                <w:szCs w:val="18"/>
              </w:rPr>
              <w:t>认股权证</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股份期权行权而增加的普通股加权数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644"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EPS0=P0÷S</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Times New Roman" w:hAnsi="Times New Roman" w:cs="Times New Roman" w:eastAsia="Times New Roman" w:hint="default"/>
                <w:sz w:val="18"/>
                <w:szCs w:val="18"/>
              </w:rPr>
            </w:pPr>
            <w:r>
              <w:rPr>
                <w:rFonts w:ascii="Times New Roman"/>
                <w:spacing w:val="-1"/>
                <w:sz w:val="18"/>
              </w:rPr>
              <w:t>0.1736</w:t>
            </w:r>
            <w:r>
              <w:rPr>
                <w:rFonts w:ascii="Times New Roman"/>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pacing w:val="-1"/>
                <w:sz w:val="18"/>
              </w:rPr>
              <w:t>0.6321</w:t>
            </w:r>
            <w:r>
              <w:rPr>
                <w:rFonts w:ascii="Times New Roman"/>
                <w:sz w:val="18"/>
              </w:rPr>
            </w:r>
          </w:p>
        </w:tc>
      </w:tr>
      <w:tr>
        <w:trPr>
          <w:trHeight w:val="620"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11"/>
              <w:jc w:val="left"/>
              <w:rPr>
                <w:rFonts w:ascii="宋体" w:hAnsi="宋体" w:cs="宋体" w:eastAsia="宋体" w:hint="default"/>
                <w:sz w:val="18"/>
                <w:szCs w:val="18"/>
              </w:rPr>
            </w:pPr>
            <w:r>
              <w:rPr>
                <w:rFonts w:ascii="宋体" w:hAnsi="宋体" w:cs="宋体" w:eastAsia="宋体" w:hint="default"/>
                <w:spacing w:val="7"/>
                <w:sz w:val="18"/>
                <w:szCs w:val="18"/>
              </w:rPr>
              <w:t>扣除非经常性损益后归属于公司普通股股东的基本每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EPS0'=P0'÷S</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0.1571</w:t>
            </w:r>
            <w:r>
              <w:rPr>
                <w:rFonts w:ascii="Times New Roman"/>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0.5684</w:t>
            </w:r>
            <w:r>
              <w:rPr>
                <w:rFonts w:ascii="Times New Roman"/>
                <w:sz w:val="18"/>
              </w:rPr>
            </w:r>
          </w:p>
        </w:tc>
      </w:tr>
      <w:tr>
        <w:trPr>
          <w:trHeight w:val="389"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EPS1=P1÷X2</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Times New Roman" w:hAnsi="Times New Roman" w:cs="Times New Roman" w:eastAsia="Times New Roman" w:hint="default"/>
                <w:sz w:val="18"/>
                <w:szCs w:val="18"/>
              </w:rPr>
            </w:pPr>
            <w:r>
              <w:rPr>
                <w:rFonts w:ascii="Times New Roman"/>
                <w:sz w:val="18"/>
              </w:rPr>
              <w:t>0.1736</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0.6321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1400" w:right="1500"/>
        </w:sectPr>
      </w:pPr>
    </w:p>
    <w:p>
      <w:pPr>
        <w:spacing w:line="240" w:lineRule="auto" w:before="6"/>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4442"/>
        <w:gridCol w:w="1582"/>
        <w:gridCol w:w="1352"/>
        <w:gridCol w:w="1354"/>
      </w:tblGrid>
      <w:tr>
        <w:trPr>
          <w:trHeight w:val="392" w:hRule="exact"/>
        </w:trPr>
        <w:tc>
          <w:tcPr>
            <w:tcW w:w="4442"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43"/>
              <w:ind w:left="12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3"/>
              <w:ind w:right="425"/>
              <w:jc w:val="right"/>
              <w:rPr>
                <w:rFonts w:ascii="宋体" w:hAnsi="宋体" w:cs="宋体" w:eastAsia="宋体" w:hint="default"/>
                <w:sz w:val="18"/>
                <w:szCs w:val="18"/>
              </w:rPr>
            </w:pPr>
            <w:r>
              <w:rPr>
                <w:rFonts w:ascii="宋体" w:hAnsi="宋体" w:cs="宋体" w:eastAsia="宋体" w:hint="default"/>
                <w:sz w:val="18"/>
                <w:szCs w:val="18"/>
              </w:rPr>
              <w:t>计算过程</w:t>
            </w:r>
          </w:p>
        </w:tc>
        <w:tc>
          <w:tcPr>
            <w:tcW w:w="135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3"/>
              <w:ind w:left="2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54"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43"/>
              <w:ind w:left="22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26" w:hRule="exact"/>
        </w:trPr>
        <w:tc>
          <w:tcPr>
            <w:tcW w:w="4442"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41"/>
              <w:ind w:left="122" w:right="-11"/>
              <w:jc w:val="left"/>
              <w:rPr>
                <w:rFonts w:ascii="宋体" w:hAnsi="宋体" w:cs="宋体" w:eastAsia="宋体" w:hint="default"/>
                <w:sz w:val="18"/>
                <w:szCs w:val="18"/>
              </w:rPr>
            </w:pPr>
            <w:r>
              <w:rPr>
                <w:rFonts w:ascii="宋体" w:hAnsi="宋体" w:cs="宋体" w:eastAsia="宋体" w:hint="default"/>
                <w:spacing w:val="7"/>
                <w:sz w:val="18"/>
                <w:szCs w:val="18"/>
              </w:rPr>
              <w:t>扣除非经常性损益后归属于公司普通股股东的稀释每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股收益</w:t>
            </w:r>
          </w:p>
        </w:tc>
        <w:tc>
          <w:tcPr>
            <w:tcW w:w="158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47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EPS1'=P1'÷X2</w:t>
            </w:r>
            <w:r>
              <w:rPr>
                <w:rFonts w:ascii="Times New Roman" w:hAnsi="Times New Roman" w:cs="Times New Roman" w:eastAsia="Times New Roman" w:hint="default"/>
                <w:sz w:val="18"/>
                <w:szCs w:val="18"/>
              </w:rPr>
            </w:r>
          </w:p>
        </w:tc>
        <w:tc>
          <w:tcPr>
            <w:tcW w:w="135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29" w:right="0"/>
              <w:jc w:val="left"/>
              <w:rPr>
                <w:rFonts w:ascii="Times New Roman" w:hAnsi="Times New Roman" w:cs="Times New Roman" w:eastAsia="Times New Roman" w:hint="default"/>
                <w:sz w:val="18"/>
                <w:szCs w:val="18"/>
              </w:rPr>
            </w:pPr>
            <w:r>
              <w:rPr>
                <w:rFonts w:ascii="Times New Roman"/>
                <w:sz w:val="18"/>
              </w:rPr>
              <w:t>0.1571</w:t>
            </w:r>
          </w:p>
        </w:tc>
        <w:tc>
          <w:tcPr>
            <w:tcW w:w="1354"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29" w:right="0"/>
              <w:jc w:val="left"/>
              <w:rPr>
                <w:rFonts w:ascii="Times New Roman" w:hAnsi="Times New Roman" w:cs="Times New Roman" w:eastAsia="Times New Roman" w:hint="default"/>
                <w:sz w:val="18"/>
                <w:szCs w:val="18"/>
              </w:rPr>
            </w:pPr>
            <w:r>
              <w:rPr>
                <w:rFonts w:ascii="Times New Roman"/>
                <w:sz w:val="18"/>
              </w:rPr>
              <w:t>0.5684</w:t>
            </w:r>
          </w:p>
        </w:tc>
      </w:tr>
    </w:tbl>
    <w:p>
      <w:pPr>
        <w:spacing w:before="86"/>
        <w:ind w:left="244" w:right="127" w:firstLine="0"/>
        <w:jc w:val="left"/>
        <w:rPr>
          <w:rFonts w:ascii="宋体" w:hAnsi="宋体" w:cs="宋体" w:eastAsia="宋体" w:hint="default"/>
          <w:sz w:val="21"/>
          <w:szCs w:val="21"/>
        </w:rPr>
      </w:pPr>
      <w:r>
        <w:rPr>
          <w:rFonts w:ascii="宋体" w:hAnsi="宋体" w:cs="宋体" w:eastAsia="宋体" w:hint="default"/>
          <w:sz w:val="21"/>
          <w:szCs w:val="21"/>
        </w:rPr>
        <w:t>重新计算上期每股收益：</w:t>
      </w:r>
    </w:p>
    <w:p>
      <w:pPr>
        <w:spacing w:line="240" w:lineRule="auto" w:before="6"/>
        <w:rPr>
          <w:rFonts w:ascii="宋体" w:hAnsi="宋体" w:cs="宋体" w:eastAsia="宋体" w:hint="default"/>
          <w:sz w:val="19"/>
          <w:szCs w:val="19"/>
        </w:rPr>
      </w:pPr>
    </w:p>
    <w:p>
      <w:pPr>
        <w:spacing w:line="336" w:lineRule="auto" w:before="0"/>
        <w:ind w:left="244" w:right="127"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年属于公司普通股股东的基本每股收益</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年归属于公司普通股股东的稀释每股收 益</w:t>
      </w:r>
      <w:r>
        <w:rPr>
          <w:rFonts w:ascii="Times New Roman" w:hAnsi="Times New Roman" w:cs="Times New Roman" w:eastAsia="Times New Roman" w:hint="default"/>
          <w:sz w:val="21"/>
          <w:szCs w:val="21"/>
        </w:rPr>
        <w:t>=0.6321</w:t>
      </w:r>
      <w:r>
        <w:rPr>
          <w:rFonts w:ascii="宋体" w:hAnsi="宋体" w:cs="宋体" w:eastAsia="宋体" w:hint="default"/>
          <w:sz w:val="21"/>
          <w:szCs w:val="21"/>
        </w:rPr>
        <w:t>÷</w:t>
      </w:r>
      <w:r>
        <w:rPr>
          <w:rFonts w:ascii="Times New Roman" w:hAnsi="Times New Roman" w:cs="Times New Roman" w:eastAsia="Times New Roman" w:hint="default"/>
          <w:sz w:val="21"/>
          <w:szCs w:val="21"/>
        </w:rPr>
        <w:t>2=0.3161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p>
      <w:pPr>
        <w:spacing w:line="336" w:lineRule="auto" w:before="145"/>
        <w:ind w:left="244" w:right="127"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年扣除非经常性损益后归属于公司普通股股东的基本每股收益</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年扣除非经常性 损益后归属于公司普通股股东的稀释每股收益</w:t>
      </w:r>
      <w:r>
        <w:rPr>
          <w:rFonts w:ascii="Times New Roman" w:hAnsi="Times New Roman" w:cs="Times New Roman" w:eastAsia="Times New Roman" w:hint="default"/>
          <w:sz w:val="21"/>
          <w:szCs w:val="21"/>
        </w:rPr>
        <w:t>=0.1983</w:t>
      </w:r>
      <w:r>
        <w:rPr>
          <w:rFonts w:ascii="宋体" w:hAnsi="宋体" w:cs="宋体" w:eastAsia="宋体" w:hint="default"/>
          <w:sz w:val="21"/>
          <w:szCs w:val="21"/>
        </w:rPr>
        <w:t>÷</w:t>
      </w:r>
      <w:r>
        <w:rPr>
          <w:rFonts w:ascii="Times New Roman" w:hAnsi="Times New Roman" w:cs="Times New Roman" w:eastAsia="Times New Roman" w:hint="default"/>
          <w:sz w:val="21"/>
          <w:szCs w:val="21"/>
        </w:rPr>
        <w:t>2=0.2842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p>
      <w:pPr>
        <w:spacing w:before="144"/>
        <w:ind w:left="244" w:right="1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、现金流量表项目注释</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244" w:right="1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）收到的其他与经营活动有关的现金</w:t>
      </w:r>
    </w:p>
    <w:p>
      <w:pPr>
        <w:spacing w:line="240" w:lineRule="auto" w:before="1"/>
        <w:rPr>
          <w:rFonts w:ascii="宋体" w:hAnsi="宋体" w:cs="宋体" w:eastAsia="宋体" w:hint="default"/>
          <w:sz w:val="18"/>
          <w:szCs w:val="18"/>
        </w:rPr>
      </w:pPr>
    </w:p>
    <w:p>
      <w:pPr>
        <w:spacing w:before="0"/>
        <w:ind w:left="0" w:right="22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94" w:type="dxa"/>
        <w:tblLayout w:type="fixed"/>
        <w:tblCellMar>
          <w:top w:w="0" w:type="dxa"/>
          <w:left w:w="0" w:type="dxa"/>
          <w:bottom w:w="0" w:type="dxa"/>
          <w:right w:w="0" w:type="dxa"/>
        </w:tblCellMar>
        <w:tblLook w:val="01E0"/>
      </w:tblPr>
      <w:tblGrid>
        <w:gridCol w:w="4366"/>
        <w:gridCol w:w="4140"/>
      </w:tblGrid>
      <w:tr>
        <w:trPr>
          <w:trHeight w:val="388"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88"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4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8"/>
              <w:jc w:val="right"/>
              <w:rPr>
                <w:rFonts w:ascii="Times New Roman" w:hAnsi="Times New Roman" w:cs="Times New Roman" w:eastAsia="Times New Roman" w:hint="default"/>
                <w:sz w:val="18"/>
                <w:szCs w:val="18"/>
              </w:rPr>
            </w:pPr>
            <w:r>
              <w:rPr>
                <w:rFonts w:ascii="Times New Roman"/>
                <w:spacing w:val="-1"/>
                <w:sz w:val="18"/>
              </w:rPr>
              <w:t>2,350,845.00</w:t>
            </w:r>
          </w:p>
        </w:tc>
      </w:tr>
      <w:tr>
        <w:trPr>
          <w:trHeight w:val="388"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4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8"/>
              <w:jc w:val="right"/>
              <w:rPr>
                <w:rFonts w:ascii="Times New Roman" w:hAnsi="Times New Roman" w:cs="Times New Roman" w:eastAsia="Times New Roman" w:hint="default"/>
                <w:sz w:val="18"/>
                <w:szCs w:val="18"/>
              </w:rPr>
            </w:pPr>
            <w:r>
              <w:rPr>
                <w:rFonts w:ascii="Times New Roman"/>
                <w:spacing w:val="-1"/>
                <w:sz w:val="18"/>
              </w:rPr>
              <w:t>9,158,677.91</w:t>
            </w:r>
          </w:p>
        </w:tc>
      </w:tr>
      <w:tr>
        <w:trPr>
          <w:trHeight w:val="388"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4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8"/>
              <w:jc w:val="right"/>
              <w:rPr>
                <w:rFonts w:ascii="Times New Roman" w:hAnsi="Times New Roman" w:cs="Times New Roman" w:eastAsia="Times New Roman" w:hint="default"/>
                <w:sz w:val="18"/>
                <w:szCs w:val="18"/>
              </w:rPr>
            </w:pPr>
            <w:r>
              <w:rPr>
                <w:rFonts w:ascii="Times New Roman"/>
                <w:spacing w:val="-1"/>
                <w:sz w:val="18"/>
              </w:rPr>
              <w:t>5,534,078.20</w:t>
            </w:r>
          </w:p>
        </w:tc>
      </w:tr>
      <w:tr>
        <w:trPr>
          <w:trHeight w:val="388"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7"/>
              <w:jc w:val="right"/>
              <w:rPr>
                <w:rFonts w:ascii="Times New Roman" w:hAnsi="Times New Roman" w:cs="Times New Roman" w:eastAsia="Times New Roman" w:hint="default"/>
                <w:sz w:val="18"/>
                <w:szCs w:val="18"/>
              </w:rPr>
            </w:pPr>
            <w:r>
              <w:rPr>
                <w:rFonts w:ascii="Times New Roman"/>
                <w:spacing w:val="-1"/>
                <w:sz w:val="18"/>
              </w:rPr>
              <w:t>17,043,601.11</w:t>
            </w:r>
          </w:p>
        </w:tc>
      </w:tr>
    </w:tbl>
    <w:p>
      <w:pPr>
        <w:spacing w:before="86"/>
        <w:ind w:left="244" w:right="1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）支付的其他与经营活动有关的现金</w:t>
      </w:r>
    </w:p>
    <w:p>
      <w:pPr>
        <w:spacing w:line="240" w:lineRule="auto" w:before="5"/>
        <w:rPr>
          <w:rFonts w:ascii="宋体" w:hAnsi="宋体" w:cs="宋体" w:eastAsia="宋体" w:hint="default"/>
          <w:sz w:val="15"/>
          <w:szCs w:val="15"/>
        </w:rPr>
      </w:pPr>
    </w:p>
    <w:p>
      <w:pPr>
        <w:spacing w:before="35"/>
        <w:ind w:left="0" w:right="22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94" w:type="dxa"/>
        <w:tblLayout w:type="fixed"/>
        <w:tblCellMar>
          <w:top w:w="0" w:type="dxa"/>
          <w:left w:w="0" w:type="dxa"/>
          <w:bottom w:w="0" w:type="dxa"/>
          <w:right w:w="0" w:type="dxa"/>
        </w:tblCellMar>
        <w:tblLook w:val="01E0"/>
      </w:tblPr>
      <w:tblGrid>
        <w:gridCol w:w="4366"/>
        <w:gridCol w:w="4140"/>
      </w:tblGrid>
      <w:tr>
        <w:trPr>
          <w:trHeight w:val="388"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88"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付现财务费用</w:t>
            </w:r>
          </w:p>
        </w:tc>
        <w:tc>
          <w:tcPr>
            <w:tcW w:w="4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8"/>
              <w:jc w:val="right"/>
              <w:rPr>
                <w:rFonts w:ascii="Times New Roman" w:hAnsi="Times New Roman" w:cs="Times New Roman" w:eastAsia="Times New Roman" w:hint="default"/>
                <w:sz w:val="18"/>
                <w:szCs w:val="18"/>
              </w:rPr>
            </w:pPr>
            <w:r>
              <w:rPr>
                <w:rFonts w:ascii="Times New Roman"/>
                <w:sz w:val="18"/>
              </w:rPr>
              <w:t>55,921.01</w:t>
            </w:r>
          </w:p>
        </w:tc>
      </w:tr>
      <w:tr>
        <w:trPr>
          <w:trHeight w:val="388"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除工资外付现销售费用</w:t>
            </w:r>
          </w:p>
        </w:tc>
        <w:tc>
          <w:tcPr>
            <w:tcW w:w="4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8"/>
              <w:jc w:val="right"/>
              <w:rPr>
                <w:rFonts w:ascii="Times New Roman" w:hAnsi="Times New Roman" w:cs="Times New Roman" w:eastAsia="Times New Roman" w:hint="default"/>
                <w:sz w:val="18"/>
                <w:szCs w:val="18"/>
              </w:rPr>
            </w:pPr>
            <w:r>
              <w:rPr>
                <w:rFonts w:ascii="Times New Roman"/>
                <w:spacing w:val="-1"/>
                <w:sz w:val="18"/>
              </w:rPr>
              <w:t>16,066,051.81</w:t>
            </w:r>
          </w:p>
        </w:tc>
      </w:tr>
      <w:tr>
        <w:trPr>
          <w:trHeight w:val="388"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除工资、税金外付现管理费用</w:t>
            </w:r>
          </w:p>
        </w:tc>
        <w:tc>
          <w:tcPr>
            <w:tcW w:w="4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8"/>
              <w:jc w:val="right"/>
              <w:rPr>
                <w:rFonts w:ascii="Times New Roman" w:hAnsi="Times New Roman" w:cs="Times New Roman" w:eastAsia="Times New Roman" w:hint="default"/>
                <w:sz w:val="18"/>
                <w:szCs w:val="18"/>
              </w:rPr>
            </w:pPr>
            <w:r>
              <w:rPr>
                <w:rFonts w:ascii="Times New Roman"/>
                <w:spacing w:val="-1"/>
                <w:sz w:val="18"/>
              </w:rPr>
              <w:t>10,444,071.85</w:t>
            </w:r>
          </w:p>
        </w:tc>
      </w:tr>
      <w:tr>
        <w:trPr>
          <w:trHeight w:val="388"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除工资、采购成本劳务外付现营业成本</w:t>
            </w:r>
          </w:p>
        </w:tc>
        <w:tc>
          <w:tcPr>
            <w:tcW w:w="4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8"/>
              <w:jc w:val="right"/>
              <w:rPr>
                <w:rFonts w:ascii="Times New Roman" w:hAnsi="Times New Roman" w:cs="Times New Roman" w:eastAsia="Times New Roman" w:hint="default"/>
                <w:sz w:val="18"/>
                <w:szCs w:val="18"/>
              </w:rPr>
            </w:pPr>
            <w:r>
              <w:rPr>
                <w:rFonts w:ascii="Times New Roman"/>
                <w:spacing w:val="-1"/>
                <w:sz w:val="18"/>
              </w:rPr>
              <w:t>5,079,192.83</w:t>
            </w:r>
          </w:p>
        </w:tc>
      </w:tr>
      <w:tr>
        <w:trPr>
          <w:trHeight w:val="386"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4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8"/>
              <w:jc w:val="right"/>
              <w:rPr>
                <w:rFonts w:ascii="Times New Roman" w:hAnsi="Times New Roman" w:cs="Times New Roman" w:eastAsia="Times New Roman" w:hint="default"/>
                <w:sz w:val="18"/>
                <w:szCs w:val="18"/>
              </w:rPr>
            </w:pPr>
            <w:r>
              <w:rPr>
                <w:rFonts w:ascii="Times New Roman"/>
                <w:spacing w:val="-1"/>
                <w:sz w:val="18"/>
              </w:rPr>
              <w:t>3,506,982.75</w:t>
            </w:r>
          </w:p>
        </w:tc>
      </w:tr>
      <w:tr>
        <w:trPr>
          <w:trHeight w:val="388"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8"/>
              <w:jc w:val="right"/>
              <w:rPr>
                <w:rFonts w:ascii="Times New Roman" w:hAnsi="Times New Roman" w:cs="Times New Roman" w:eastAsia="Times New Roman" w:hint="default"/>
                <w:sz w:val="18"/>
                <w:szCs w:val="18"/>
              </w:rPr>
            </w:pPr>
            <w:r>
              <w:rPr>
                <w:rFonts w:ascii="Times New Roman"/>
                <w:sz w:val="18"/>
              </w:rPr>
              <w:t>64,100.00</w:t>
            </w:r>
          </w:p>
        </w:tc>
      </w:tr>
      <w:tr>
        <w:trPr>
          <w:trHeight w:val="389"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8"/>
              <w:jc w:val="right"/>
              <w:rPr>
                <w:rFonts w:ascii="Times New Roman" w:hAnsi="Times New Roman" w:cs="Times New Roman" w:eastAsia="Times New Roman" w:hint="default"/>
                <w:sz w:val="18"/>
                <w:szCs w:val="18"/>
              </w:rPr>
            </w:pPr>
            <w:r>
              <w:rPr>
                <w:rFonts w:ascii="Times New Roman"/>
                <w:spacing w:val="-1"/>
                <w:sz w:val="18"/>
              </w:rPr>
              <w:t>35,216,320.25</w:t>
            </w:r>
          </w:p>
        </w:tc>
      </w:tr>
    </w:tbl>
    <w:p>
      <w:pPr>
        <w:spacing w:line="240" w:lineRule="auto" w:before="4"/>
        <w:rPr>
          <w:rFonts w:ascii="宋体" w:hAnsi="宋体" w:cs="宋体" w:eastAsia="宋体" w:hint="default"/>
          <w:sz w:val="22"/>
          <w:szCs w:val="22"/>
        </w:rPr>
      </w:pPr>
    </w:p>
    <w:p>
      <w:pPr>
        <w:spacing w:before="35"/>
        <w:ind w:left="244" w:right="1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244" w:right="1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）现金流量表补充资料</w:t>
      </w:r>
    </w:p>
    <w:p>
      <w:pPr>
        <w:spacing w:line="240" w:lineRule="auto" w:before="6"/>
        <w:rPr>
          <w:rFonts w:ascii="宋体" w:hAnsi="宋体" w:cs="宋体" w:eastAsia="宋体" w:hint="default"/>
          <w:sz w:val="15"/>
          <w:szCs w:val="15"/>
        </w:rPr>
      </w:pPr>
    </w:p>
    <w:p>
      <w:pPr>
        <w:spacing w:before="35"/>
        <w:ind w:left="0" w:right="11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224" w:type="dxa"/>
        <w:tblLayout w:type="fixed"/>
        <w:tblCellMar>
          <w:top w:w="0" w:type="dxa"/>
          <w:left w:w="0" w:type="dxa"/>
          <w:bottom w:w="0" w:type="dxa"/>
          <w:right w:w="0" w:type="dxa"/>
        </w:tblCellMar>
        <w:tblLook w:val="01E0"/>
      </w:tblPr>
      <w:tblGrid>
        <w:gridCol w:w="5496"/>
        <w:gridCol w:w="1602"/>
        <w:gridCol w:w="1558"/>
      </w:tblGrid>
      <w:tr>
        <w:trPr>
          <w:trHeight w:val="386"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6"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34"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411"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89"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6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2" w:top="1100" w:bottom="1180" w:left="1400" w:right="150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5496"/>
        <w:gridCol w:w="1602"/>
        <w:gridCol w:w="1558"/>
      </w:tblGrid>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6"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34"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411"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20,830,897.90</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33,973,521.32</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1,017,561.10</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2,329,132.19</w:t>
            </w:r>
          </w:p>
        </w:tc>
      </w:tr>
      <w:tr>
        <w:trPr>
          <w:trHeight w:val="386"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2,481,780.93</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1,962,234.58</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100,491.69</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8,069.89</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625,798.11</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55,105.27</w:t>
            </w:r>
          </w:p>
        </w:tc>
      </w:tr>
      <w:tr>
        <w:trPr>
          <w:trHeight w:val="622"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64"/>
              <w:ind w:left="122" w:right="10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576.85</w:t>
            </w:r>
          </w:p>
        </w:tc>
      </w:tr>
      <w:tr>
        <w:trPr>
          <w:trHeight w:val="386"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140.26</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Times New Roman" w:hAnsi="Times New Roman" w:cs="Times New Roman" w:eastAsia="Times New Roman" w:hint="default"/>
                <w:sz w:val="18"/>
                <w:szCs w:val="18"/>
              </w:rPr>
            </w:pPr>
            <w:r>
              <w:rPr>
                <w:rFonts w:ascii="Times New Roman"/>
                <w:sz w:val="18"/>
              </w:rPr>
              <w:t>601,401.60</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-493,252.34</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-232,954.75</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-3,158,886.14</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Times New Roman" w:hAnsi="Times New Roman" w:cs="Times New Roman" w:eastAsia="Times New Roman" w:hint="default"/>
                <w:sz w:val="18"/>
                <w:szCs w:val="18"/>
              </w:rPr>
            </w:pPr>
            <w:r>
              <w:rPr>
                <w:rFonts w:ascii="Times New Roman"/>
                <w:sz w:val="18"/>
              </w:rPr>
              <w:t>-276,399.99</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-19,617,306.13</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pacing w:val="-1"/>
                <w:sz w:val="18"/>
              </w:rPr>
              <w:t>-21,736,391.24</w:t>
            </w:r>
          </w:p>
        </w:tc>
      </w:tr>
      <w:tr>
        <w:trPr>
          <w:trHeight w:val="386"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4,137,520.77</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2,564,649.10</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-940,328.50</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-155,233.95</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4,984,417.65</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19,093,710.87</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6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6"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6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387,791,510.52</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pacing w:val="-1"/>
                <w:sz w:val="18"/>
              </w:rPr>
              <w:t>433,006,815.47</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433,006,815.47</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49,605,158.29</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-45,215,304.95</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pacing w:val="-1"/>
                <w:sz w:val="18"/>
              </w:rPr>
              <w:t>383,401,657.18</w:t>
            </w:r>
          </w:p>
        </w:tc>
      </w:tr>
    </w:tbl>
    <w:p>
      <w:pPr>
        <w:spacing w:line="240" w:lineRule="auto" w:before="4"/>
        <w:rPr>
          <w:rFonts w:ascii="宋体" w:hAnsi="宋体" w:cs="宋体" w:eastAsia="宋体" w:hint="default"/>
          <w:sz w:val="22"/>
          <w:szCs w:val="22"/>
        </w:rPr>
      </w:pPr>
    </w:p>
    <w:p>
      <w:pPr>
        <w:spacing w:before="35"/>
        <w:ind w:left="14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）现金和现金等价物的构成</w:t>
      </w:r>
    </w:p>
    <w:p>
      <w:pPr>
        <w:spacing w:line="240" w:lineRule="auto" w:before="6"/>
        <w:rPr>
          <w:rFonts w:ascii="宋体" w:hAnsi="宋体" w:cs="宋体" w:eastAsia="宋体" w:hint="default"/>
          <w:sz w:val="15"/>
          <w:szCs w:val="15"/>
        </w:rPr>
      </w:pPr>
    </w:p>
    <w:p>
      <w:pPr>
        <w:spacing w:before="35"/>
        <w:ind w:left="0" w:right="23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24" w:type="dxa"/>
        <w:tblLayout w:type="fixed"/>
        <w:tblCellMar>
          <w:top w:w="0" w:type="dxa"/>
          <w:left w:w="0" w:type="dxa"/>
          <w:bottom w:w="0" w:type="dxa"/>
          <w:right w:w="0" w:type="dxa"/>
        </w:tblCellMar>
        <w:tblLook w:val="01E0"/>
      </w:tblPr>
      <w:tblGrid>
        <w:gridCol w:w="5054"/>
        <w:gridCol w:w="1861"/>
        <w:gridCol w:w="1861"/>
      </w:tblGrid>
      <w:tr>
        <w:trPr>
          <w:trHeight w:val="388"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right="2387"/>
              <w:jc w:val="right"/>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0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602"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388"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387,791,510.52</w:t>
            </w: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pacing w:val="-1"/>
                <w:sz w:val="18"/>
              </w:rPr>
              <w:t>433,006,815.47</w:t>
            </w:r>
          </w:p>
        </w:tc>
      </w:tr>
      <w:tr>
        <w:trPr>
          <w:trHeight w:val="386"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105,096.28</w:t>
            </w: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41,079.64</w:t>
            </w:r>
          </w:p>
        </w:tc>
      </w:tr>
      <w:tr>
        <w:trPr>
          <w:trHeight w:val="389"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right="2405"/>
              <w:jc w:val="righ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18"/>
                <w:szCs w:val="18"/>
              </w:rPr>
            </w:pPr>
            <w:r>
              <w:rPr>
                <w:rFonts w:ascii="Times New Roman"/>
                <w:spacing w:val="-1"/>
                <w:sz w:val="18"/>
              </w:rPr>
              <w:t>387,686,414.24</w:t>
            </w: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pacing w:val="-1"/>
                <w:sz w:val="18"/>
              </w:rPr>
              <w:t>432,965,735.83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1500" w:right="13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5054"/>
        <w:gridCol w:w="1861"/>
        <w:gridCol w:w="1861"/>
      </w:tblGrid>
      <w:tr>
        <w:trPr>
          <w:trHeight w:val="388"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right="86"/>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0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602"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388"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right="2045"/>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right="2045"/>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6"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22"/>
          <w:szCs w:val="22"/>
        </w:rPr>
      </w:pPr>
    </w:p>
    <w:p>
      <w:pPr>
        <w:pStyle w:val="Heading5"/>
        <w:spacing w:line="240" w:lineRule="auto" w:before="29"/>
        <w:ind w:left="144" w:right="0"/>
        <w:jc w:val="left"/>
        <w:rPr>
          <w:b w:val="0"/>
          <w:bCs w:val="0"/>
        </w:rPr>
      </w:pPr>
      <w:r>
        <w:rPr/>
        <w:t>六、</w:t>
      </w:r>
      <w:r>
        <w:rPr>
          <w:spacing w:val="-39"/>
        </w:rPr>
        <w:t> </w:t>
      </w:r>
      <w:r>
        <w:rPr/>
        <w:t>关联方及关联交易</w:t>
      </w:r>
      <w:r>
        <w:rPr>
          <w:b w:val="0"/>
          <w:bCs w:val="0"/>
        </w:rPr>
      </w:r>
    </w:p>
    <w:p>
      <w:pPr>
        <w:spacing w:line="240" w:lineRule="auto" w:before="8"/>
        <w:rPr>
          <w:rFonts w:ascii="宋体" w:hAnsi="宋体" w:cs="宋体" w:eastAsia="宋体" w:hint="default"/>
          <w:b/>
          <w:bCs/>
          <w:sz w:val="20"/>
          <w:szCs w:val="20"/>
        </w:rPr>
      </w:pPr>
    </w:p>
    <w:p>
      <w:pPr>
        <w:spacing w:before="0"/>
        <w:ind w:left="14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564" w:right="0" w:firstLine="0"/>
        <w:jc w:val="left"/>
        <w:rPr>
          <w:rFonts w:ascii="宋体" w:hAnsi="宋体" w:cs="宋体" w:eastAsia="宋体" w:hint="default"/>
          <w:sz w:val="21"/>
          <w:szCs w:val="21"/>
        </w:rPr>
      </w:pPr>
      <w:r>
        <w:rPr>
          <w:rFonts w:ascii="宋体" w:hAnsi="宋体" w:cs="宋体" w:eastAsia="宋体" w:hint="default"/>
          <w:sz w:val="21"/>
          <w:szCs w:val="21"/>
        </w:rPr>
        <w:t>本公司股东均为自然人，有关情况详见本附注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、本企业的其他关联方情况。</w:t>
      </w:r>
    </w:p>
    <w:p>
      <w:pPr>
        <w:spacing w:line="240" w:lineRule="auto" w:before="2"/>
        <w:rPr>
          <w:rFonts w:ascii="宋体" w:hAnsi="宋体" w:cs="宋体" w:eastAsia="宋体" w:hint="default"/>
          <w:sz w:val="18"/>
          <w:szCs w:val="18"/>
        </w:rPr>
      </w:pPr>
    </w:p>
    <w:p>
      <w:pPr>
        <w:spacing w:before="0"/>
        <w:ind w:left="14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0" w:right="31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709"/>
        <w:gridCol w:w="677"/>
        <w:gridCol w:w="674"/>
        <w:gridCol w:w="588"/>
        <w:gridCol w:w="907"/>
        <w:gridCol w:w="889"/>
        <w:gridCol w:w="790"/>
        <w:gridCol w:w="655"/>
        <w:gridCol w:w="708"/>
        <w:gridCol w:w="1252"/>
      </w:tblGrid>
      <w:tr>
        <w:trPr>
          <w:trHeight w:val="950" w:hRule="exact"/>
        </w:trPr>
        <w:tc>
          <w:tcPr>
            <w:tcW w:w="1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2"/>
              <w:ind w:left="153" w:right="151"/>
              <w:jc w:val="both"/>
              <w:rPr>
                <w:rFonts w:ascii="宋体" w:hAnsi="宋体" w:cs="宋体" w:eastAsia="宋体" w:hint="default"/>
                <w:sz w:val="18"/>
                <w:szCs w:val="18"/>
              </w:rPr>
            </w:pPr>
            <w:r>
              <w:rPr>
                <w:rFonts w:ascii="宋体" w:hAnsi="宋体" w:cs="宋体" w:eastAsia="宋体" w:hint="default"/>
                <w:sz w:val="18"/>
                <w:szCs w:val="18"/>
              </w:rPr>
              <w:t>子公 司类 型</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152" w:right="150"/>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197" w:right="108"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358" w:right="176" w:hanging="180"/>
              <w:jc w:val="left"/>
              <w:rPr>
                <w:rFonts w:ascii="宋体" w:hAnsi="宋体" w:cs="宋体" w:eastAsia="宋体" w:hint="default"/>
                <w:sz w:val="18"/>
                <w:szCs w:val="18"/>
              </w:rPr>
            </w:pPr>
            <w:r>
              <w:rPr>
                <w:rFonts w:ascii="宋体" w:hAnsi="宋体" w:cs="宋体" w:eastAsia="宋体" w:hint="default"/>
                <w:sz w:val="18"/>
                <w:szCs w:val="18"/>
              </w:rPr>
              <w:t>法人代 表</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349" w:right="168"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300" w:right="119"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03"/>
              <w:ind w:left="142" w:right="140"/>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2"/>
              <w:ind w:left="123" w:right="122"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表决 权比 例</w:t>
            </w:r>
            <w:r>
              <w:rPr>
                <w:rFonts w:ascii="Times New Roman" w:hAnsi="Times New Roman" w:cs="Times New Roman" w:eastAsia="Times New Roman" w:hint="default"/>
                <w:sz w:val="18"/>
                <w:szCs w:val="18"/>
              </w:rPr>
              <w:t>(%)</w:t>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530" w:right="17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716" w:hRule="exact"/>
        </w:trPr>
        <w:tc>
          <w:tcPr>
            <w:tcW w:w="170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321" w:right="120" w:hanging="180"/>
              <w:jc w:val="left"/>
              <w:rPr>
                <w:rFonts w:ascii="宋体" w:hAnsi="宋体" w:cs="宋体" w:eastAsia="宋体" w:hint="default"/>
                <w:sz w:val="18"/>
                <w:szCs w:val="18"/>
              </w:rPr>
            </w:pPr>
            <w:r>
              <w:rPr>
                <w:rFonts w:ascii="宋体" w:hAnsi="宋体" w:cs="宋体" w:eastAsia="宋体" w:hint="default"/>
                <w:sz w:val="18"/>
                <w:szCs w:val="18"/>
              </w:rPr>
              <w:t>深圳市银之杰软件 技术有限公司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52" w:right="150"/>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陈向军</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349" w:right="168" w:hanging="180"/>
              <w:jc w:val="left"/>
              <w:rPr>
                <w:rFonts w:ascii="宋体" w:hAnsi="宋体" w:cs="宋体" w:eastAsia="宋体" w:hint="default"/>
                <w:sz w:val="18"/>
                <w:szCs w:val="18"/>
              </w:rPr>
            </w:pPr>
            <w:r>
              <w:rPr>
                <w:rFonts w:ascii="宋体" w:hAnsi="宋体" w:cs="宋体" w:eastAsia="宋体" w:hint="default"/>
                <w:sz w:val="18"/>
                <w:szCs w:val="18"/>
              </w:rPr>
              <w:t>软件开 发</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141"/>
              <w:ind w:left="127" w:right="-17"/>
              <w:jc w:val="center"/>
              <w:rPr>
                <w:rFonts w:ascii="Times New Roman" w:hAnsi="Times New Roman" w:cs="Times New Roman" w:eastAsia="Times New Roman" w:hint="default"/>
                <w:sz w:val="18"/>
                <w:szCs w:val="18"/>
              </w:rPr>
            </w:pPr>
            <w:r>
              <w:rPr>
                <w:rFonts w:ascii="Times New Roman"/>
                <w:sz w:val="18"/>
              </w:rPr>
              <w:t>RMB100</w:t>
            </w:r>
          </w:p>
          <w:p>
            <w:pPr>
              <w:pStyle w:val="TableParagraph"/>
              <w:spacing w:line="223" w:lineRule="exact"/>
              <w:ind w:left="144" w:right="0"/>
              <w:jc w:val="center"/>
              <w:rPr>
                <w:rFonts w:ascii="宋体" w:hAnsi="宋体" w:cs="宋体" w:eastAsia="宋体" w:hint="default"/>
                <w:sz w:val="18"/>
                <w:szCs w:val="18"/>
              </w:rPr>
            </w:pPr>
            <w:r>
              <w:rPr>
                <w:rFonts w:ascii="宋体" w:hAnsi="宋体" w:cs="宋体" w:eastAsia="宋体" w:hint="default"/>
                <w:sz w:val="18"/>
                <w:szCs w:val="18"/>
              </w:rPr>
              <w:t>万</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10"/>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37"/>
              <w:jc w:val="right"/>
              <w:rPr>
                <w:rFonts w:ascii="Times New Roman" w:hAnsi="Times New Roman" w:cs="Times New Roman" w:eastAsia="Times New Roman" w:hint="default"/>
                <w:sz w:val="18"/>
                <w:szCs w:val="18"/>
              </w:rPr>
            </w:pPr>
            <w:r>
              <w:rPr>
                <w:rFonts w:ascii="Times New Roman"/>
                <w:sz w:val="18"/>
              </w:rPr>
              <w:t>100%</w:t>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2"/>
              <w:jc w:val="center"/>
              <w:rPr>
                <w:rFonts w:ascii="Times New Roman" w:hAnsi="Times New Roman" w:cs="Times New Roman" w:eastAsia="Times New Roman" w:hint="default"/>
                <w:sz w:val="18"/>
                <w:szCs w:val="18"/>
              </w:rPr>
            </w:pPr>
            <w:r>
              <w:rPr>
                <w:rFonts w:ascii="Times New Roman"/>
                <w:sz w:val="18"/>
              </w:rPr>
              <w:t>68201739-4</w:t>
            </w:r>
          </w:p>
        </w:tc>
      </w:tr>
      <w:tr>
        <w:trPr>
          <w:trHeight w:val="718" w:hRule="exact"/>
        </w:trPr>
        <w:tc>
          <w:tcPr>
            <w:tcW w:w="170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321" w:right="120" w:hanging="180"/>
              <w:jc w:val="left"/>
              <w:rPr>
                <w:rFonts w:ascii="宋体" w:hAnsi="宋体" w:cs="宋体" w:eastAsia="宋体" w:hint="default"/>
                <w:sz w:val="18"/>
                <w:szCs w:val="18"/>
              </w:rPr>
            </w:pPr>
            <w:r>
              <w:rPr>
                <w:rFonts w:ascii="宋体" w:hAnsi="宋体" w:cs="宋体" w:eastAsia="宋体" w:hint="default"/>
                <w:sz w:val="18"/>
                <w:szCs w:val="18"/>
              </w:rPr>
              <w:t>深圳市银之杰技术 开发有限公司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52" w:right="150"/>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陈向军</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349" w:right="168" w:hanging="180"/>
              <w:jc w:val="left"/>
              <w:rPr>
                <w:rFonts w:ascii="宋体" w:hAnsi="宋体" w:cs="宋体" w:eastAsia="宋体" w:hint="default"/>
                <w:sz w:val="18"/>
                <w:szCs w:val="18"/>
              </w:rPr>
            </w:pPr>
            <w:r>
              <w:rPr>
                <w:rFonts w:ascii="宋体" w:hAnsi="宋体" w:cs="宋体" w:eastAsia="宋体" w:hint="default"/>
                <w:sz w:val="18"/>
                <w:szCs w:val="18"/>
              </w:rPr>
              <w:t>软件开 发</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141"/>
              <w:ind w:left="127" w:right="-17"/>
              <w:jc w:val="center"/>
              <w:rPr>
                <w:rFonts w:ascii="Times New Roman" w:hAnsi="Times New Roman" w:cs="Times New Roman" w:eastAsia="Times New Roman" w:hint="default"/>
                <w:sz w:val="18"/>
                <w:szCs w:val="18"/>
              </w:rPr>
            </w:pPr>
            <w:r>
              <w:rPr>
                <w:rFonts w:ascii="Times New Roman"/>
                <w:sz w:val="18"/>
              </w:rPr>
              <w:t>RMB300</w:t>
            </w:r>
          </w:p>
          <w:p>
            <w:pPr>
              <w:pStyle w:val="TableParagraph"/>
              <w:spacing w:line="223" w:lineRule="exact"/>
              <w:ind w:left="144" w:right="0"/>
              <w:jc w:val="center"/>
              <w:rPr>
                <w:rFonts w:ascii="宋体" w:hAnsi="宋体" w:cs="宋体" w:eastAsia="宋体" w:hint="default"/>
                <w:sz w:val="18"/>
                <w:szCs w:val="18"/>
              </w:rPr>
            </w:pPr>
            <w:r>
              <w:rPr>
                <w:rFonts w:ascii="宋体" w:hAnsi="宋体" w:cs="宋体" w:eastAsia="宋体" w:hint="default"/>
                <w:sz w:val="18"/>
                <w:szCs w:val="18"/>
              </w:rPr>
              <w:t>万</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10"/>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37"/>
              <w:jc w:val="right"/>
              <w:rPr>
                <w:rFonts w:ascii="Times New Roman" w:hAnsi="Times New Roman" w:cs="Times New Roman" w:eastAsia="Times New Roman" w:hint="default"/>
                <w:sz w:val="18"/>
                <w:szCs w:val="18"/>
              </w:rPr>
            </w:pPr>
            <w:r>
              <w:rPr>
                <w:rFonts w:ascii="Times New Roman"/>
                <w:sz w:val="18"/>
              </w:rPr>
              <w:t>100%</w:t>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3"/>
              <w:jc w:val="center"/>
              <w:rPr>
                <w:rFonts w:ascii="Times New Roman" w:hAnsi="Times New Roman" w:cs="Times New Roman" w:eastAsia="Times New Roman" w:hint="default"/>
                <w:sz w:val="18"/>
                <w:szCs w:val="18"/>
              </w:rPr>
            </w:pPr>
            <w:r>
              <w:rPr>
                <w:rFonts w:ascii="Times New Roman"/>
                <w:sz w:val="18"/>
              </w:rPr>
              <w:t>57477825-X</w:t>
            </w:r>
          </w:p>
        </w:tc>
      </w:tr>
    </w:tbl>
    <w:p>
      <w:pPr>
        <w:spacing w:line="240" w:lineRule="auto" w:before="4"/>
        <w:rPr>
          <w:rFonts w:ascii="宋体" w:hAnsi="宋体" w:cs="宋体" w:eastAsia="宋体" w:hint="default"/>
          <w:sz w:val="22"/>
          <w:szCs w:val="22"/>
        </w:rPr>
      </w:pPr>
    </w:p>
    <w:p>
      <w:pPr>
        <w:spacing w:line="436" w:lineRule="auto" w:before="35"/>
        <w:ind w:left="564" w:right="736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、关联交易情况</w:t>
      </w:r>
      <w:r>
        <w:rPr>
          <w:rFonts w:ascii="宋体" w:hAnsi="宋体" w:cs="宋体" w:eastAsia="宋体" w:hint="default"/>
          <w:b/>
          <w:bCs/>
          <w:spacing w:val="1"/>
          <w:w w:val="99"/>
          <w:sz w:val="21"/>
          <w:szCs w:val="21"/>
        </w:rPr>
        <w:t> </w:t>
      </w:r>
      <w:r>
        <w:rPr>
          <w:rFonts w:ascii="宋体" w:hAnsi="宋体" w:cs="宋体" w:eastAsia="宋体" w:hint="default"/>
          <w:sz w:val="21"/>
          <w:szCs w:val="21"/>
        </w:rPr>
        <w:t>无。</w:t>
      </w:r>
    </w:p>
    <w:p>
      <w:pPr>
        <w:pStyle w:val="Heading5"/>
        <w:spacing w:line="240" w:lineRule="auto" w:before="78"/>
        <w:ind w:left="144" w:right="0"/>
        <w:jc w:val="left"/>
        <w:rPr>
          <w:b w:val="0"/>
          <w:bCs w:val="0"/>
        </w:rPr>
      </w:pPr>
      <w:r>
        <w:rPr/>
        <w:t>七、</w:t>
      </w:r>
      <w:r>
        <w:rPr>
          <w:spacing w:val="-38"/>
        </w:rPr>
        <w:t> </w:t>
      </w:r>
      <w:r>
        <w:rPr/>
        <w:t>或有事项</w:t>
      </w:r>
      <w:r>
        <w:rPr>
          <w:b w:val="0"/>
          <w:bCs w:val="0"/>
        </w:rPr>
      </w:r>
    </w:p>
    <w:p>
      <w:pPr>
        <w:spacing w:line="240" w:lineRule="auto" w:before="9"/>
        <w:rPr>
          <w:rFonts w:ascii="宋体" w:hAnsi="宋体" w:cs="宋体" w:eastAsia="宋体" w:hint="default"/>
          <w:b/>
          <w:bCs/>
          <w:sz w:val="20"/>
          <w:szCs w:val="20"/>
        </w:rPr>
      </w:pPr>
    </w:p>
    <w:p>
      <w:pPr>
        <w:spacing w:before="0"/>
        <w:ind w:left="566" w:right="0" w:firstLine="0"/>
        <w:jc w:val="left"/>
        <w:rPr>
          <w:rFonts w:ascii="宋体" w:hAnsi="宋体" w:cs="宋体" w:eastAsia="宋体" w:hint="default"/>
          <w:sz w:val="21"/>
          <w:szCs w:val="21"/>
        </w:rPr>
      </w:pPr>
      <w:r>
        <w:rPr>
          <w:rFonts w:ascii="宋体" w:hAnsi="宋体" w:cs="宋体" w:eastAsia="宋体" w:hint="default"/>
          <w:b/>
          <w:bCs/>
          <w:sz w:val="21"/>
          <w:szCs w:val="21"/>
        </w:rPr>
        <w:t>本公司无需要披露的重大或有事项。</w:t>
      </w:r>
      <w:r>
        <w:rPr>
          <w:rFonts w:ascii="宋体" w:hAnsi="宋体" w:cs="宋体" w:eastAsia="宋体" w:hint="default"/>
          <w:sz w:val="21"/>
          <w:szCs w:val="21"/>
        </w:rPr>
      </w:r>
    </w:p>
    <w:p>
      <w:pPr>
        <w:spacing w:line="240" w:lineRule="auto" w:before="0"/>
        <w:rPr>
          <w:rFonts w:ascii="宋体" w:hAnsi="宋体" w:cs="宋体" w:eastAsia="宋体" w:hint="default"/>
          <w:b/>
          <w:bCs/>
          <w:sz w:val="19"/>
          <w:szCs w:val="19"/>
        </w:rPr>
      </w:pPr>
    </w:p>
    <w:p>
      <w:pPr>
        <w:pStyle w:val="Heading5"/>
        <w:spacing w:line="240" w:lineRule="auto"/>
        <w:ind w:left="144" w:right="0"/>
        <w:jc w:val="left"/>
        <w:rPr>
          <w:b w:val="0"/>
          <w:bCs w:val="0"/>
        </w:rPr>
      </w:pPr>
      <w:r>
        <w:rPr/>
        <w:t>八、</w:t>
      </w:r>
      <w:r>
        <w:rPr>
          <w:spacing w:val="-38"/>
        </w:rPr>
        <w:t> </w:t>
      </w:r>
      <w:r>
        <w:rPr/>
        <w:t>承诺事项</w:t>
      </w:r>
      <w:r>
        <w:rPr>
          <w:b w:val="0"/>
          <w:bCs w:val="0"/>
        </w:rPr>
      </w:r>
    </w:p>
    <w:p>
      <w:pPr>
        <w:spacing w:line="240" w:lineRule="auto" w:before="9"/>
        <w:rPr>
          <w:rFonts w:ascii="宋体" w:hAnsi="宋体" w:cs="宋体" w:eastAsia="宋体" w:hint="default"/>
          <w:b/>
          <w:bCs/>
          <w:sz w:val="20"/>
          <w:szCs w:val="20"/>
        </w:rPr>
      </w:pPr>
    </w:p>
    <w:p>
      <w:pPr>
        <w:spacing w:line="456" w:lineRule="auto" w:before="0"/>
        <w:ind w:left="144" w:right="5580" w:firstLine="420"/>
        <w:jc w:val="left"/>
        <w:rPr>
          <w:rFonts w:ascii="宋体" w:hAnsi="宋体" w:cs="宋体" w:eastAsia="宋体" w:hint="default"/>
          <w:sz w:val="21"/>
          <w:szCs w:val="21"/>
        </w:rPr>
      </w:pPr>
      <w:r>
        <w:rPr>
          <w:rFonts w:ascii="宋体" w:hAnsi="宋体" w:cs="宋体" w:eastAsia="宋体" w:hint="default"/>
          <w:sz w:val="21"/>
          <w:szCs w:val="21"/>
        </w:rPr>
        <w:t>本公司无需要披露的承诺事项。 </w:t>
      </w:r>
      <w:r>
        <w:rPr>
          <w:rFonts w:ascii="宋体" w:hAnsi="宋体" w:cs="宋体" w:eastAsia="宋体" w:hint="default"/>
          <w:b/>
          <w:bCs/>
          <w:sz w:val="23"/>
          <w:szCs w:val="23"/>
        </w:rPr>
        <w:t>九、</w:t>
      </w:r>
      <w:r>
        <w:rPr>
          <w:rFonts w:ascii="宋体" w:hAnsi="宋体" w:cs="宋体" w:eastAsia="宋体" w:hint="default"/>
          <w:b/>
          <w:bCs/>
          <w:spacing w:val="-39"/>
          <w:sz w:val="23"/>
          <w:szCs w:val="23"/>
        </w:rPr>
        <w:t> </w:t>
      </w:r>
      <w:r>
        <w:rPr>
          <w:rFonts w:ascii="宋体" w:hAnsi="宋体" w:cs="宋体" w:eastAsia="宋体" w:hint="default"/>
          <w:b/>
          <w:bCs/>
          <w:sz w:val="23"/>
          <w:szCs w:val="23"/>
        </w:rPr>
        <w:t>资产负债表日后事项</w:t>
      </w:r>
      <w:r>
        <w:rPr>
          <w:rFonts w:ascii="宋体" w:hAnsi="宋体" w:cs="宋体" w:eastAsia="宋体" w:hint="default"/>
          <w:b/>
          <w:bCs/>
          <w:w w:val="99"/>
          <w:sz w:val="23"/>
          <w:szCs w:val="23"/>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、重要的资产负债表日后事项说明</w:t>
      </w:r>
      <w:r>
        <w:rPr>
          <w:rFonts w:ascii="宋体" w:hAnsi="宋体" w:cs="宋体" w:eastAsia="宋体" w:hint="default"/>
          <w:sz w:val="21"/>
          <w:szCs w:val="21"/>
        </w:rPr>
      </w:r>
    </w:p>
    <w:p>
      <w:pPr>
        <w:spacing w:before="29"/>
        <w:ind w:left="56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日，本公</w:t>
      </w:r>
      <w:r>
        <w:rPr>
          <w:rFonts w:ascii="宋体" w:hAnsi="宋体" w:cs="宋体" w:eastAsia="宋体" w:hint="default"/>
          <w:spacing w:val="-2"/>
          <w:sz w:val="21"/>
          <w:szCs w:val="21"/>
        </w:rPr>
        <w:t>司</w:t>
      </w:r>
      <w:r>
        <w:rPr>
          <w:rFonts w:ascii="宋体" w:hAnsi="宋体" w:cs="宋体" w:eastAsia="宋体" w:hint="default"/>
          <w:sz w:val="21"/>
          <w:szCs w:val="21"/>
        </w:rPr>
        <w:t>与北京博世金信科技有限公司（以下或简称“博世金信</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签订</w:t>
      </w:r>
    </w:p>
    <w:p>
      <w:pPr>
        <w:spacing w:before="117"/>
        <w:ind w:left="143" w:right="0" w:firstLine="0"/>
        <w:jc w:val="left"/>
        <w:rPr>
          <w:rFonts w:ascii="宋体" w:hAnsi="宋体" w:cs="宋体" w:eastAsia="宋体" w:hint="default"/>
          <w:sz w:val="21"/>
          <w:szCs w:val="21"/>
        </w:rPr>
      </w:pPr>
      <w:r>
        <w:rPr>
          <w:rFonts w:ascii="宋体" w:hAnsi="宋体" w:cs="宋体" w:eastAsia="宋体" w:hint="default"/>
          <w:sz w:val="21"/>
          <w:szCs w:val="21"/>
        </w:rPr>
        <w:t>《资产收购合同</w:t>
      </w:r>
      <w:r>
        <w:rPr>
          <w:rFonts w:ascii="宋体" w:hAnsi="宋体" w:cs="宋体" w:eastAsia="宋体" w:hint="default"/>
          <w:spacing w:val="-105"/>
          <w:sz w:val="21"/>
          <w:szCs w:val="21"/>
        </w:rPr>
        <w:t>》</w:t>
      </w:r>
      <w:r>
        <w:rPr>
          <w:rFonts w:ascii="宋体" w:hAnsi="宋体" w:cs="宋体" w:eastAsia="宋体" w:hint="default"/>
          <w:spacing w:val="-45"/>
          <w:sz w:val="21"/>
          <w:szCs w:val="21"/>
        </w:rPr>
        <w:t>，</w:t>
      </w:r>
      <w:r>
        <w:rPr>
          <w:rFonts w:ascii="宋体" w:hAnsi="宋体" w:cs="宋体" w:eastAsia="宋体" w:hint="default"/>
          <w:sz w:val="21"/>
          <w:szCs w:val="21"/>
        </w:rPr>
        <w:t>使</w:t>
      </w:r>
      <w:r>
        <w:rPr>
          <w:rFonts w:ascii="宋体" w:hAnsi="宋体" w:cs="宋体" w:eastAsia="宋体" w:hint="default"/>
          <w:spacing w:val="-2"/>
          <w:sz w:val="21"/>
          <w:szCs w:val="21"/>
        </w:rPr>
        <w:t>用</w:t>
      </w:r>
      <w:r>
        <w:rPr>
          <w:rFonts w:ascii="宋体" w:hAnsi="宋体" w:cs="宋体" w:eastAsia="宋体" w:hint="default"/>
          <w:sz w:val="21"/>
          <w:szCs w:val="21"/>
        </w:rPr>
        <w:t>超募资金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33.1</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万元收</w:t>
      </w:r>
      <w:r>
        <w:rPr>
          <w:rFonts w:ascii="宋体" w:hAnsi="宋体" w:cs="宋体" w:eastAsia="宋体" w:hint="default"/>
          <w:spacing w:val="-2"/>
          <w:sz w:val="21"/>
          <w:szCs w:val="21"/>
        </w:rPr>
        <w:t>购</w:t>
      </w:r>
      <w:r>
        <w:rPr>
          <w:rFonts w:ascii="宋体" w:hAnsi="宋体" w:cs="宋体" w:eastAsia="宋体" w:hint="default"/>
          <w:sz w:val="21"/>
          <w:szCs w:val="21"/>
        </w:rPr>
        <w:t>博世金信拥有的支票打码机的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pacing w:val="-2"/>
          <w:sz w:val="21"/>
          <w:szCs w:val="21"/>
        </w:rPr>
        <w:t>项</w:t>
      </w:r>
      <w:r>
        <w:rPr>
          <w:rFonts w:ascii="宋体" w:hAnsi="宋体" w:cs="宋体" w:eastAsia="宋体" w:hint="default"/>
          <w:sz w:val="21"/>
          <w:szCs w:val="21"/>
        </w:rPr>
        <w:t>专利技</w:t>
      </w:r>
      <w:r>
        <w:rPr>
          <w:rFonts w:ascii="宋体" w:hAnsi="宋体" w:cs="宋体" w:eastAsia="宋体" w:hint="default"/>
          <w:spacing w:val="1"/>
          <w:sz w:val="21"/>
          <w:szCs w:val="21"/>
        </w:rPr>
        <w:t>术</w:t>
      </w:r>
      <w:r>
        <w:rPr>
          <w:rFonts w:ascii="宋体" w:hAnsi="宋体" w:cs="宋体" w:eastAsia="宋体" w:hint="default"/>
          <w:sz w:val="21"/>
          <w:szCs w:val="21"/>
        </w:rPr>
        <w:t>、</w:t>
      </w:r>
    </w:p>
    <w:p>
      <w:pPr>
        <w:spacing w:after="0"/>
        <w:jc w:val="left"/>
        <w:rPr>
          <w:rFonts w:ascii="宋体" w:hAnsi="宋体" w:cs="宋体" w:eastAsia="宋体" w:hint="default"/>
          <w:sz w:val="21"/>
          <w:szCs w:val="21"/>
        </w:rPr>
        <w:sectPr>
          <w:pgSz w:w="11910" w:h="16840"/>
          <w:pgMar w:header="877" w:footer="982" w:top="1100" w:bottom="1180" w:left="1500" w:right="1300"/>
        </w:sectPr>
      </w:pPr>
    </w:p>
    <w:p>
      <w:pPr>
        <w:spacing w:line="240" w:lineRule="auto" w:before="2"/>
        <w:rPr>
          <w:rFonts w:ascii="宋体" w:hAnsi="宋体" w:cs="宋体" w:eastAsia="宋体" w:hint="default"/>
          <w:sz w:val="19"/>
          <w:szCs w:val="19"/>
        </w:rPr>
      </w:pPr>
    </w:p>
    <w:p>
      <w:pPr>
        <w:spacing w:line="355" w:lineRule="auto" w:before="35"/>
        <w:ind w:left="664" w:right="670" w:firstLine="0"/>
        <w:jc w:val="left"/>
        <w:rPr>
          <w:rFonts w:ascii="宋体" w:hAnsi="宋体" w:cs="宋体" w:eastAsia="宋体" w:hint="default"/>
          <w:sz w:val="21"/>
          <w:szCs w:val="21"/>
        </w:rPr>
      </w:pPr>
      <w:r>
        <w:rPr>
          <w:rFonts w:ascii="宋体" w:hAnsi="宋体" w:cs="宋体" w:eastAsia="宋体" w:hint="default"/>
          <w:sz w:val="21"/>
          <w:szCs w:val="21"/>
        </w:rPr>
        <w:t>相关专有技术等无形资产，以及相关存货、固定资产等有形资产，该事项业经公司第二届董事</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会第七次会议审议通过。</w:t>
      </w:r>
    </w:p>
    <w:p>
      <w:pPr>
        <w:spacing w:before="153"/>
        <w:ind w:left="663" w:right="6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、资产负债表日后利润分配情况说明</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0" w:right="679" w:firstLine="0"/>
        <w:jc w:val="right"/>
        <w:rPr>
          <w:rFonts w:ascii="Times New Roman" w:hAnsi="Times New Roman" w:cs="Times New Roman" w:eastAsia="Times New Roman" w:hint="default"/>
          <w:sz w:val="21"/>
          <w:szCs w:val="21"/>
        </w:rPr>
      </w:pPr>
      <w:r>
        <w:rPr>
          <w:rFonts w:ascii="宋体" w:hAnsi="宋体" w:cs="宋体" w:eastAsia="宋体" w:hint="default"/>
          <w:sz w:val="21"/>
          <w:szCs w:val="21"/>
        </w:rPr>
        <w:t>公司拟以</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日总股本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12,000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万股为基数，向全体股东每</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股派人民币</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1.5</w:t>
      </w:r>
    </w:p>
    <w:p>
      <w:pPr>
        <w:spacing w:before="118"/>
        <w:ind w:left="663" w:right="670" w:firstLine="0"/>
        <w:jc w:val="left"/>
        <w:rPr>
          <w:rFonts w:ascii="宋体" w:hAnsi="宋体" w:cs="宋体" w:eastAsia="宋体" w:hint="default"/>
          <w:sz w:val="21"/>
          <w:szCs w:val="21"/>
        </w:rPr>
      </w:pPr>
      <w:r>
        <w:rPr>
          <w:rFonts w:ascii="宋体" w:hAnsi="宋体" w:cs="宋体" w:eastAsia="宋体" w:hint="default"/>
          <w:sz w:val="21"/>
          <w:szCs w:val="21"/>
        </w:rPr>
        <w:t>元现金（含税</w:t>
      </w:r>
      <w:r>
        <w:rPr>
          <w:rFonts w:ascii="宋体" w:hAnsi="宋体" w:cs="宋体" w:eastAsia="宋体" w:hint="default"/>
          <w:spacing w:val="-105"/>
          <w:sz w:val="21"/>
          <w:szCs w:val="21"/>
        </w:rPr>
        <w:t>）</w:t>
      </w:r>
      <w:r>
        <w:rPr>
          <w:rFonts w:ascii="宋体" w:hAnsi="宋体" w:cs="宋体" w:eastAsia="宋体" w:hint="default"/>
          <w:sz w:val="21"/>
          <w:szCs w:val="21"/>
        </w:rPr>
        <w:t>，合计</w:t>
      </w:r>
      <w:r>
        <w:rPr>
          <w:rFonts w:ascii="宋体" w:hAnsi="宋体" w:cs="宋体" w:eastAsia="宋体" w:hint="default"/>
          <w:spacing w:val="-2"/>
          <w:sz w:val="21"/>
          <w:szCs w:val="21"/>
        </w:rPr>
        <w:t>派</w:t>
      </w:r>
      <w:r>
        <w:rPr>
          <w:rFonts w:ascii="宋体" w:hAnsi="宋体" w:cs="宋体" w:eastAsia="宋体" w:hint="default"/>
          <w:sz w:val="21"/>
          <w:szCs w:val="21"/>
        </w:rPr>
        <w:t>发现金股利</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00 </w:t>
      </w:r>
      <w:r>
        <w:rPr>
          <w:rFonts w:ascii="宋体" w:hAnsi="宋体" w:cs="宋体" w:eastAsia="宋体" w:hint="default"/>
          <w:sz w:val="21"/>
          <w:szCs w:val="21"/>
        </w:rPr>
        <w:t>万</w:t>
      </w:r>
      <w:r>
        <w:rPr>
          <w:rFonts w:ascii="宋体" w:hAnsi="宋体" w:cs="宋体" w:eastAsia="宋体" w:hint="default"/>
          <w:spacing w:val="-2"/>
          <w:sz w:val="21"/>
          <w:szCs w:val="21"/>
        </w:rPr>
        <w:t>元</w:t>
      </w:r>
      <w:r>
        <w:rPr>
          <w:rFonts w:ascii="宋体" w:hAnsi="宋体" w:cs="宋体" w:eastAsia="宋体" w:hint="default"/>
          <w:sz w:val="21"/>
          <w:szCs w:val="21"/>
        </w:rPr>
        <w:t>（含税</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line="240" w:lineRule="auto" w:before="2"/>
        <w:rPr>
          <w:rFonts w:ascii="宋体" w:hAnsi="宋体" w:cs="宋体" w:eastAsia="宋体" w:hint="default"/>
          <w:sz w:val="18"/>
          <w:szCs w:val="18"/>
        </w:rPr>
      </w:pPr>
    </w:p>
    <w:p>
      <w:pPr>
        <w:spacing w:before="0"/>
        <w:ind w:left="663" w:right="6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、本公司除上述情况外，无其他重大资产负债表日后事项。</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32"/>
          <w:szCs w:val="32"/>
        </w:rPr>
      </w:pPr>
    </w:p>
    <w:p>
      <w:pPr>
        <w:pStyle w:val="Heading5"/>
        <w:spacing w:line="240" w:lineRule="auto"/>
        <w:ind w:left="664" w:right="670"/>
        <w:jc w:val="left"/>
        <w:rPr>
          <w:b w:val="0"/>
          <w:bCs w:val="0"/>
        </w:rPr>
      </w:pPr>
      <w:r>
        <w:rPr/>
        <w:t>十、</w:t>
      </w:r>
      <w:r>
        <w:rPr>
          <w:spacing w:val="-39"/>
        </w:rPr>
        <w:t> </w:t>
      </w:r>
      <w:r>
        <w:rPr/>
        <w:t>其他重要事项</w:t>
      </w:r>
      <w:r>
        <w:rPr>
          <w:b w:val="0"/>
          <w:bCs w:val="0"/>
        </w:rPr>
      </w:r>
    </w:p>
    <w:p>
      <w:pPr>
        <w:spacing w:line="240" w:lineRule="auto" w:before="9"/>
        <w:rPr>
          <w:rFonts w:ascii="宋体" w:hAnsi="宋体" w:cs="宋体" w:eastAsia="宋体" w:hint="default"/>
          <w:b/>
          <w:bCs/>
          <w:sz w:val="20"/>
          <w:szCs w:val="20"/>
        </w:rPr>
      </w:pPr>
    </w:p>
    <w:p>
      <w:pPr>
        <w:spacing w:before="0"/>
        <w:ind w:left="1084" w:right="670" w:firstLine="0"/>
        <w:jc w:val="left"/>
        <w:rPr>
          <w:rFonts w:ascii="宋体" w:hAnsi="宋体" w:cs="宋体" w:eastAsia="宋体" w:hint="default"/>
          <w:sz w:val="21"/>
          <w:szCs w:val="21"/>
        </w:rPr>
      </w:pPr>
      <w:r>
        <w:rPr>
          <w:rFonts w:ascii="宋体" w:hAnsi="宋体" w:cs="宋体" w:eastAsia="宋体" w:hint="default"/>
          <w:sz w:val="21"/>
          <w:szCs w:val="21"/>
        </w:rPr>
        <w:t>本公司无其他重要事项。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5"/>
        <w:spacing w:line="240" w:lineRule="auto"/>
        <w:ind w:left="664" w:right="670"/>
        <w:jc w:val="left"/>
        <w:rPr>
          <w:b w:val="0"/>
          <w:bCs w:val="0"/>
        </w:rPr>
      </w:pPr>
      <w:r>
        <w:rPr/>
        <w:t>十一、</w:t>
      </w:r>
      <w:r>
        <w:rPr>
          <w:spacing w:val="28"/>
        </w:rPr>
        <w:t> </w:t>
      </w:r>
      <w:r>
        <w:rPr/>
        <w:t>母公司财务报表主要项目注释</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2"/>
        <w:rPr>
          <w:rFonts w:ascii="宋体" w:hAnsi="宋体" w:cs="宋体" w:eastAsia="宋体" w:hint="default"/>
          <w:b/>
          <w:bCs/>
          <w:sz w:val="16"/>
          <w:szCs w:val="16"/>
        </w:rPr>
      </w:pPr>
    </w:p>
    <w:p>
      <w:pPr>
        <w:spacing w:before="0"/>
        <w:ind w:left="664" w:right="6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664" w:right="6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）应收账款按种类披露：</w:t>
      </w:r>
    </w:p>
    <w:p>
      <w:pPr>
        <w:spacing w:line="240" w:lineRule="auto" w:before="2"/>
        <w:rPr>
          <w:rFonts w:ascii="宋体" w:hAnsi="宋体" w:cs="宋体" w:eastAsia="宋体" w:hint="default"/>
          <w:sz w:val="18"/>
          <w:szCs w:val="18"/>
        </w:rPr>
      </w:pPr>
    </w:p>
    <w:p>
      <w:pPr>
        <w:spacing w:before="0"/>
        <w:ind w:left="0" w:right="65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152"/>
        <w:gridCol w:w="1116"/>
        <w:gridCol w:w="786"/>
        <w:gridCol w:w="1032"/>
        <w:gridCol w:w="851"/>
        <w:gridCol w:w="1116"/>
        <w:gridCol w:w="786"/>
        <w:gridCol w:w="1032"/>
        <w:gridCol w:w="842"/>
      </w:tblGrid>
      <w:tr>
        <w:trPr>
          <w:trHeight w:val="388" w:hRule="exact"/>
        </w:trPr>
        <w:tc>
          <w:tcPr>
            <w:tcW w:w="215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8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6"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88" w:hRule="exact"/>
        </w:trPr>
        <w:tc>
          <w:tcPr>
            <w:tcW w:w="2152" w:type="dxa"/>
            <w:vMerge/>
            <w:tcBorders>
              <w:left w:val="nil" w:sz="6" w:space="0" w:color="auto"/>
              <w:right w:val="single" w:sz="4" w:space="0" w:color="000000"/>
            </w:tcBorders>
          </w:tcPr>
          <w:p>
            <w:pPr/>
          </w:p>
        </w:tc>
        <w:tc>
          <w:tcPr>
            <w:tcW w:w="19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7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7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57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86" w:hRule="exact"/>
        </w:trPr>
        <w:tc>
          <w:tcPr>
            <w:tcW w:w="2152" w:type="dxa"/>
            <w:vMerge/>
            <w:tcBorders>
              <w:left w:val="nil" w:sz="6" w:space="0" w:color="auto"/>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57" w:right="0"/>
              <w:jc w:val="left"/>
              <w:rPr>
                <w:rFonts w:ascii="Times New Roman" w:hAnsi="Times New Roman" w:cs="Times New Roman" w:eastAsia="Times New Roman" w:hint="default"/>
                <w:sz w:val="18"/>
                <w:szCs w:val="18"/>
              </w:rPr>
            </w:pPr>
            <w:r>
              <w:rPr>
                <w:rFonts w:ascii="宋体" w:hAnsi="宋体" w:cs="宋体" w:eastAsia="宋体" w:hint="default"/>
                <w:spacing w:val="-34"/>
                <w:sz w:val="18"/>
                <w:szCs w:val="18"/>
              </w:rPr>
              <w:t>比例</w:t>
            </w:r>
            <w:r>
              <w:rPr>
                <w:rFonts w:ascii="Times New Roman" w:hAnsi="Times New Roman" w:cs="Times New Roman" w:eastAsia="Times New Roman" w:hint="default"/>
                <w:spacing w:val="-34"/>
                <w:sz w:val="18"/>
                <w:szCs w:val="18"/>
              </w:rPr>
              <w:t>(%)</w:t>
            </w:r>
            <w:r>
              <w:rPr>
                <w:rFonts w:ascii="Times New Roman" w:hAnsi="Times New Roman" w:cs="Times New Roman" w:eastAsia="Times New Roman" w:hint="default"/>
                <w:sz w:val="18"/>
                <w:szCs w:val="18"/>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3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8" w:right="0"/>
              <w:jc w:val="left"/>
              <w:rPr>
                <w:rFonts w:ascii="Times New Roman" w:hAnsi="Times New Roman" w:cs="Times New Roman" w:eastAsia="Times New Roman" w:hint="default"/>
                <w:sz w:val="18"/>
                <w:szCs w:val="18"/>
              </w:rPr>
            </w:pPr>
            <w:r>
              <w:rPr>
                <w:rFonts w:ascii="宋体" w:hAnsi="宋体" w:cs="宋体" w:eastAsia="宋体" w:hint="default"/>
                <w:spacing w:val="-34"/>
                <w:sz w:val="18"/>
                <w:szCs w:val="18"/>
              </w:rPr>
              <w:t>比例</w:t>
            </w:r>
            <w:r>
              <w:rPr>
                <w:rFonts w:ascii="Times New Roman" w:hAnsi="Times New Roman" w:cs="Times New Roman" w:eastAsia="Times New Roman" w:hint="default"/>
                <w:spacing w:val="-34"/>
                <w:sz w:val="18"/>
                <w:szCs w:val="18"/>
              </w:rPr>
              <w:t>(%)</w:t>
            </w:r>
            <w:r>
              <w:rPr>
                <w:rFonts w:ascii="Times New Roman" w:hAnsi="Times New Roman" w:cs="Times New Roman" w:eastAsia="Times New Roman" w:hint="default"/>
                <w:sz w:val="18"/>
                <w:szCs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57" w:right="0"/>
              <w:jc w:val="left"/>
              <w:rPr>
                <w:rFonts w:ascii="Times New Roman" w:hAnsi="Times New Roman" w:cs="Times New Roman" w:eastAsia="Times New Roman" w:hint="default"/>
                <w:sz w:val="18"/>
                <w:szCs w:val="18"/>
              </w:rPr>
            </w:pPr>
            <w:r>
              <w:rPr>
                <w:rFonts w:ascii="宋体" w:hAnsi="宋体" w:cs="宋体" w:eastAsia="宋体" w:hint="default"/>
                <w:spacing w:val="-34"/>
                <w:sz w:val="18"/>
                <w:szCs w:val="18"/>
              </w:rPr>
              <w:t>比例</w:t>
            </w:r>
            <w:r>
              <w:rPr>
                <w:rFonts w:ascii="Times New Roman" w:hAnsi="Times New Roman" w:cs="Times New Roman" w:eastAsia="Times New Roman" w:hint="default"/>
                <w:spacing w:val="-34"/>
                <w:sz w:val="18"/>
                <w:szCs w:val="18"/>
              </w:rPr>
              <w:t>(%)</w:t>
            </w:r>
            <w:r>
              <w:rPr>
                <w:rFonts w:ascii="Times New Roman" w:hAnsi="Times New Roman" w:cs="Times New Roman" w:eastAsia="Times New Roman" w:hint="default"/>
                <w:sz w:val="18"/>
                <w:szCs w:val="18"/>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3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88" w:right="0"/>
              <w:jc w:val="left"/>
              <w:rPr>
                <w:rFonts w:ascii="Times New Roman" w:hAnsi="Times New Roman" w:cs="Times New Roman" w:eastAsia="Times New Roman" w:hint="default"/>
                <w:sz w:val="18"/>
                <w:szCs w:val="18"/>
              </w:rPr>
            </w:pPr>
            <w:r>
              <w:rPr>
                <w:rFonts w:ascii="宋体" w:hAnsi="宋体" w:cs="宋体" w:eastAsia="宋体" w:hint="default"/>
                <w:spacing w:val="-34"/>
                <w:sz w:val="18"/>
                <w:szCs w:val="18"/>
              </w:rPr>
              <w:t>比例</w:t>
            </w:r>
            <w:r>
              <w:rPr>
                <w:rFonts w:ascii="Times New Roman" w:hAnsi="Times New Roman" w:cs="Times New Roman" w:eastAsia="Times New Roman" w:hint="default"/>
                <w:spacing w:val="-34"/>
                <w:sz w:val="18"/>
                <w:szCs w:val="18"/>
              </w:rPr>
              <w:t>(%)</w:t>
            </w:r>
            <w:r>
              <w:rPr>
                <w:rFonts w:ascii="Times New Roman" w:hAnsi="Times New Roman" w:cs="Times New Roman" w:eastAsia="Times New Roman" w:hint="default"/>
                <w:sz w:val="18"/>
                <w:szCs w:val="18"/>
              </w:rPr>
            </w:r>
          </w:p>
        </w:tc>
      </w:tr>
      <w:tr>
        <w:trPr>
          <w:trHeight w:val="622" w:hRule="exact"/>
        </w:trPr>
        <w:tc>
          <w:tcPr>
            <w:tcW w:w="2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07" w:right="83"/>
              <w:jc w:val="left"/>
              <w:rPr>
                <w:rFonts w:ascii="宋体" w:hAnsi="宋体" w:cs="宋体" w:eastAsia="宋体" w:hint="default"/>
                <w:sz w:val="18"/>
                <w:szCs w:val="18"/>
              </w:rPr>
            </w:pPr>
            <w:r>
              <w:rPr>
                <w:rFonts w:ascii="宋体" w:hAnsi="宋体" w:cs="宋体" w:eastAsia="宋体" w:hint="default"/>
                <w:spacing w:val="14"/>
                <w:sz w:val="18"/>
                <w:szCs w:val="18"/>
              </w:rPr>
              <w:t>单项金额重大并单项计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提坏账准备的应收账款</w:t>
            </w:r>
          </w:p>
        </w:tc>
        <w:tc>
          <w:tcPr>
            <w:tcW w:w="1116"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nil" w:sz="6" w:space="0" w:color="auto"/>
            </w:tcBorders>
          </w:tcPr>
          <w:p>
            <w:pPr/>
          </w:p>
        </w:tc>
      </w:tr>
    </w:tbl>
    <w:p>
      <w:pPr>
        <w:spacing w:before="41"/>
        <w:ind w:left="232" w:right="670" w:firstLine="0"/>
        <w:jc w:val="left"/>
        <w:rPr>
          <w:rFonts w:ascii="宋体" w:hAnsi="宋体" w:cs="宋体" w:eastAsia="宋体" w:hint="default"/>
          <w:sz w:val="18"/>
          <w:szCs w:val="18"/>
        </w:rPr>
      </w:pPr>
      <w:r>
        <w:rPr>
          <w:rFonts w:ascii="宋体" w:hAnsi="宋体" w:cs="宋体" w:eastAsia="宋体" w:hint="default"/>
          <w:spacing w:val="-12"/>
          <w:sz w:val="18"/>
          <w:szCs w:val="18"/>
        </w:rPr>
        <w:t>按组合计提坏账准备的应收账款</w:t>
      </w:r>
      <w:r>
        <w:rPr>
          <w:rFonts w:ascii="宋体" w:hAnsi="宋体" w:cs="宋体" w:eastAsia="宋体" w:hint="default"/>
          <w:sz w:val="18"/>
          <w:szCs w:val="18"/>
        </w:rPr>
      </w:r>
    </w:p>
    <w:p>
      <w:pPr>
        <w:spacing w:line="240" w:lineRule="auto" w:before="9"/>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2166"/>
        <w:gridCol w:w="1116"/>
        <w:gridCol w:w="786"/>
        <w:gridCol w:w="1032"/>
        <w:gridCol w:w="851"/>
        <w:gridCol w:w="1116"/>
        <w:gridCol w:w="786"/>
        <w:gridCol w:w="1032"/>
        <w:gridCol w:w="850"/>
      </w:tblGrid>
      <w:tr>
        <w:trPr>
          <w:trHeight w:val="394"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按款项账龄的组合</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50" w:right="0"/>
              <w:jc w:val="center"/>
              <w:rPr>
                <w:rFonts w:ascii="Times New Roman" w:hAnsi="Times New Roman" w:cs="Times New Roman" w:eastAsia="Times New Roman" w:hint="default"/>
                <w:sz w:val="18"/>
                <w:szCs w:val="18"/>
              </w:rPr>
            </w:pPr>
            <w:r>
              <w:rPr>
                <w:rFonts w:ascii="Times New Roman"/>
                <w:spacing w:val="-7"/>
                <w:sz w:val="18"/>
              </w:rPr>
              <w:t>68,109,224.31</w:t>
            </w:r>
            <w:r>
              <w:rPr>
                <w:rFonts w:ascii="Times New Roman"/>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51" w:right="0"/>
              <w:jc w:val="center"/>
              <w:rPr>
                <w:rFonts w:ascii="Times New Roman" w:hAnsi="Times New Roman" w:cs="Times New Roman" w:eastAsia="Times New Roman" w:hint="default"/>
                <w:sz w:val="18"/>
                <w:szCs w:val="18"/>
              </w:rPr>
            </w:pPr>
            <w:r>
              <w:rPr>
                <w:rFonts w:ascii="Times New Roman"/>
                <w:spacing w:val="-6"/>
                <w:sz w:val="18"/>
              </w:rPr>
              <w:t>100</w:t>
            </w:r>
            <w:r>
              <w:rPr>
                <w:rFonts w:ascii="Times New Roman"/>
                <w:sz w:val="18"/>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47"/>
              <w:jc w:val="right"/>
              <w:rPr>
                <w:rFonts w:ascii="Times New Roman" w:hAnsi="Times New Roman" w:cs="Times New Roman" w:eastAsia="Times New Roman" w:hint="default"/>
                <w:sz w:val="18"/>
                <w:szCs w:val="18"/>
              </w:rPr>
            </w:pPr>
            <w:r>
              <w:rPr>
                <w:rFonts w:ascii="Times New Roman"/>
                <w:spacing w:val="-7"/>
                <w:sz w:val="18"/>
              </w:rPr>
              <w:t>5,538,259.71</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48"/>
              <w:jc w:val="right"/>
              <w:rPr>
                <w:rFonts w:ascii="Times New Roman" w:hAnsi="Times New Roman" w:cs="Times New Roman" w:eastAsia="Times New Roman" w:hint="default"/>
                <w:sz w:val="18"/>
                <w:szCs w:val="18"/>
              </w:rPr>
            </w:pPr>
            <w:r>
              <w:rPr>
                <w:rFonts w:ascii="Times New Roman"/>
                <w:spacing w:val="-6"/>
                <w:w w:val="95"/>
                <w:sz w:val="18"/>
              </w:rPr>
              <w:t>8.13</w:t>
            </w:r>
            <w:r>
              <w:rPr>
                <w:rFonts w:ascii="Times New Roman"/>
                <w:w w:val="95"/>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50" w:right="0"/>
              <w:jc w:val="center"/>
              <w:rPr>
                <w:rFonts w:ascii="Times New Roman" w:hAnsi="Times New Roman" w:cs="Times New Roman" w:eastAsia="Times New Roman" w:hint="default"/>
                <w:sz w:val="18"/>
                <w:szCs w:val="18"/>
              </w:rPr>
            </w:pPr>
            <w:r>
              <w:rPr>
                <w:rFonts w:ascii="Times New Roman"/>
                <w:spacing w:val="-7"/>
                <w:sz w:val="18"/>
              </w:rPr>
              <w:t>52,152,301.34</w:t>
            </w:r>
            <w:r>
              <w:rPr>
                <w:rFonts w:ascii="Times New Roman"/>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4"/>
              <w:jc w:val="right"/>
              <w:rPr>
                <w:rFonts w:ascii="Times New Roman" w:hAnsi="Times New Roman" w:cs="Times New Roman" w:eastAsia="Times New Roman" w:hint="default"/>
                <w:sz w:val="18"/>
                <w:szCs w:val="18"/>
              </w:rPr>
            </w:pPr>
            <w:r>
              <w:rPr>
                <w:rFonts w:ascii="Times New Roman"/>
                <w:spacing w:val="-6"/>
                <w:w w:val="95"/>
                <w:sz w:val="18"/>
              </w:rPr>
              <w:t>100</w:t>
            </w:r>
            <w:r>
              <w:rPr>
                <w:rFonts w:ascii="Times New Roman"/>
                <w:w w:val="95"/>
                <w:sz w:val="18"/>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50" w:right="0"/>
              <w:jc w:val="center"/>
              <w:rPr>
                <w:rFonts w:ascii="Times New Roman" w:hAnsi="Times New Roman" w:cs="Times New Roman" w:eastAsia="Times New Roman" w:hint="default"/>
                <w:sz w:val="18"/>
                <w:szCs w:val="18"/>
              </w:rPr>
            </w:pPr>
            <w:r>
              <w:rPr>
                <w:rFonts w:ascii="Times New Roman"/>
                <w:spacing w:val="-7"/>
                <w:sz w:val="18"/>
              </w:rPr>
              <w:t>4,530,651.70</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45" w:right="0"/>
              <w:jc w:val="center"/>
              <w:rPr>
                <w:rFonts w:ascii="Times New Roman" w:hAnsi="Times New Roman" w:cs="Times New Roman" w:eastAsia="Times New Roman" w:hint="default"/>
                <w:sz w:val="18"/>
                <w:szCs w:val="18"/>
              </w:rPr>
            </w:pPr>
            <w:r>
              <w:rPr>
                <w:rFonts w:ascii="Times New Roman"/>
                <w:spacing w:val="-6"/>
                <w:sz w:val="18"/>
              </w:rPr>
              <w:t>8.69</w:t>
            </w:r>
            <w:r>
              <w:rPr>
                <w:rFonts w:ascii="Times New Roman"/>
                <w:sz w:val="18"/>
              </w:rPr>
            </w:r>
          </w:p>
        </w:tc>
      </w:tr>
      <w:tr>
        <w:trPr>
          <w:trHeight w:val="392"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50" w:right="0"/>
              <w:jc w:val="center"/>
              <w:rPr>
                <w:rFonts w:ascii="Times New Roman" w:hAnsi="Times New Roman" w:cs="Times New Roman" w:eastAsia="Times New Roman" w:hint="default"/>
                <w:sz w:val="18"/>
                <w:szCs w:val="18"/>
              </w:rPr>
            </w:pPr>
            <w:r>
              <w:rPr>
                <w:rFonts w:ascii="Times New Roman"/>
                <w:spacing w:val="-7"/>
                <w:sz w:val="18"/>
              </w:rPr>
              <w:t>68,109,224.31</w:t>
            </w:r>
            <w:r>
              <w:rPr>
                <w:rFonts w:ascii="Times New Roman"/>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51" w:right="0"/>
              <w:jc w:val="center"/>
              <w:rPr>
                <w:rFonts w:ascii="Times New Roman" w:hAnsi="Times New Roman" w:cs="Times New Roman" w:eastAsia="Times New Roman" w:hint="default"/>
                <w:sz w:val="18"/>
                <w:szCs w:val="18"/>
              </w:rPr>
            </w:pPr>
            <w:r>
              <w:rPr>
                <w:rFonts w:ascii="Times New Roman"/>
                <w:spacing w:val="-6"/>
                <w:sz w:val="18"/>
              </w:rPr>
              <w:t>100</w:t>
            </w:r>
            <w:r>
              <w:rPr>
                <w:rFonts w:ascii="Times New Roman"/>
                <w:sz w:val="18"/>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47"/>
              <w:jc w:val="right"/>
              <w:rPr>
                <w:rFonts w:ascii="Times New Roman" w:hAnsi="Times New Roman" w:cs="Times New Roman" w:eastAsia="Times New Roman" w:hint="default"/>
                <w:sz w:val="18"/>
                <w:szCs w:val="18"/>
              </w:rPr>
            </w:pPr>
            <w:r>
              <w:rPr>
                <w:rFonts w:ascii="Times New Roman"/>
                <w:spacing w:val="-7"/>
                <w:sz w:val="18"/>
              </w:rPr>
              <w:t>5,538,259.71</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48"/>
              <w:jc w:val="right"/>
              <w:rPr>
                <w:rFonts w:ascii="Times New Roman" w:hAnsi="Times New Roman" w:cs="Times New Roman" w:eastAsia="Times New Roman" w:hint="default"/>
                <w:sz w:val="18"/>
                <w:szCs w:val="18"/>
              </w:rPr>
            </w:pPr>
            <w:r>
              <w:rPr>
                <w:rFonts w:ascii="Times New Roman"/>
                <w:spacing w:val="-6"/>
                <w:w w:val="95"/>
                <w:sz w:val="18"/>
              </w:rPr>
              <w:t>8.13</w:t>
            </w:r>
            <w:r>
              <w:rPr>
                <w:rFonts w:ascii="Times New Roman"/>
                <w:w w:val="95"/>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50" w:right="0"/>
              <w:jc w:val="center"/>
              <w:rPr>
                <w:rFonts w:ascii="Times New Roman" w:hAnsi="Times New Roman" w:cs="Times New Roman" w:eastAsia="Times New Roman" w:hint="default"/>
                <w:sz w:val="18"/>
                <w:szCs w:val="18"/>
              </w:rPr>
            </w:pPr>
            <w:r>
              <w:rPr>
                <w:rFonts w:ascii="Times New Roman"/>
                <w:spacing w:val="-7"/>
                <w:sz w:val="18"/>
              </w:rPr>
              <w:t>52,152,301.34</w:t>
            </w:r>
            <w:r>
              <w:rPr>
                <w:rFonts w:ascii="Times New Roman"/>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4"/>
              <w:jc w:val="right"/>
              <w:rPr>
                <w:rFonts w:ascii="Times New Roman" w:hAnsi="Times New Roman" w:cs="Times New Roman" w:eastAsia="Times New Roman" w:hint="default"/>
                <w:sz w:val="18"/>
                <w:szCs w:val="18"/>
              </w:rPr>
            </w:pPr>
            <w:r>
              <w:rPr>
                <w:rFonts w:ascii="Times New Roman"/>
                <w:spacing w:val="-6"/>
                <w:w w:val="95"/>
                <w:sz w:val="18"/>
              </w:rPr>
              <w:t>100</w:t>
            </w:r>
            <w:r>
              <w:rPr>
                <w:rFonts w:ascii="Times New Roman"/>
                <w:w w:val="95"/>
                <w:sz w:val="18"/>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50" w:right="0"/>
              <w:jc w:val="center"/>
              <w:rPr>
                <w:rFonts w:ascii="Times New Roman" w:hAnsi="Times New Roman" w:cs="Times New Roman" w:eastAsia="Times New Roman" w:hint="default"/>
                <w:sz w:val="18"/>
                <w:szCs w:val="18"/>
              </w:rPr>
            </w:pPr>
            <w:r>
              <w:rPr>
                <w:rFonts w:ascii="Times New Roman"/>
                <w:spacing w:val="-7"/>
                <w:sz w:val="18"/>
              </w:rPr>
              <w:t>4,530,651.70</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45" w:right="0"/>
              <w:jc w:val="center"/>
              <w:rPr>
                <w:rFonts w:ascii="Times New Roman" w:hAnsi="Times New Roman" w:cs="Times New Roman" w:eastAsia="Times New Roman" w:hint="default"/>
                <w:sz w:val="18"/>
                <w:szCs w:val="18"/>
              </w:rPr>
            </w:pPr>
            <w:r>
              <w:rPr>
                <w:rFonts w:ascii="Times New Roman"/>
                <w:spacing w:val="-6"/>
                <w:sz w:val="18"/>
              </w:rPr>
              <w:t>8.69</w:t>
            </w:r>
            <w:r>
              <w:rPr>
                <w:rFonts w:ascii="Times New Roman"/>
                <w:sz w:val="18"/>
              </w:rPr>
            </w:r>
          </w:p>
        </w:tc>
      </w:tr>
      <w:tr>
        <w:trPr>
          <w:trHeight w:val="860"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92"/>
              <w:ind w:left="122" w:right="83"/>
              <w:jc w:val="both"/>
              <w:rPr>
                <w:rFonts w:ascii="宋体" w:hAnsi="宋体" w:cs="宋体" w:eastAsia="宋体" w:hint="default"/>
                <w:sz w:val="18"/>
                <w:szCs w:val="18"/>
              </w:rPr>
            </w:pPr>
            <w:r>
              <w:rPr>
                <w:rFonts w:ascii="宋体" w:hAnsi="宋体" w:cs="宋体" w:eastAsia="宋体" w:hint="default"/>
                <w:spacing w:val="14"/>
                <w:sz w:val="18"/>
                <w:szCs w:val="18"/>
              </w:rPr>
              <w:t>单项金额虽不重大但单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4"/>
                <w:sz w:val="18"/>
                <w:szCs w:val="18"/>
              </w:rPr>
              <w:t>项计提坏账准备的应收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账款</w:t>
            </w:r>
          </w:p>
        </w:tc>
        <w:tc>
          <w:tcPr>
            <w:tcW w:w="1116"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nil" w:sz="6" w:space="0" w:color="auto"/>
            </w:tcBorders>
          </w:tcPr>
          <w:p>
            <w:pPr/>
          </w:p>
        </w:tc>
      </w:tr>
      <w:tr>
        <w:trPr>
          <w:trHeight w:val="305"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0" w:right="0"/>
              <w:jc w:val="center"/>
              <w:rPr>
                <w:rFonts w:ascii="Times New Roman" w:hAnsi="Times New Roman" w:cs="Times New Roman" w:eastAsia="Times New Roman" w:hint="default"/>
                <w:sz w:val="18"/>
                <w:szCs w:val="18"/>
              </w:rPr>
            </w:pPr>
            <w:r>
              <w:rPr>
                <w:rFonts w:ascii="Times New Roman"/>
                <w:spacing w:val="-7"/>
                <w:sz w:val="18"/>
              </w:rPr>
              <w:t>68,109,224.31</w:t>
            </w:r>
            <w:r>
              <w:rPr>
                <w:rFonts w:ascii="Times New Roman"/>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1" w:right="0"/>
              <w:jc w:val="center"/>
              <w:rPr>
                <w:rFonts w:ascii="Times New Roman" w:hAnsi="Times New Roman" w:cs="Times New Roman" w:eastAsia="Times New Roman" w:hint="default"/>
                <w:sz w:val="18"/>
                <w:szCs w:val="18"/>
              </w:rPr>
            </w:pPr>
            <w:r>
              <w:rPr>
                <w:rFonts w:ascii="Times New Roman"/>
                <w:spacing w:val="-6"/>
                <w:sz w:val="18"/>
              </w:rPr>
              <w:t>100</w:t>
            </w:r>
            <w:r>
              <w:rPr>
                <w:rFonts w:ascii="Times New Roman"/>
                <w:sz w:val="18"/>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7"/>
              <w:jc w:val="right"/>
              <w:rPr>
                <w:rFonts w:ascii="Times New Roman" w:hAnsi="Times New Roman" w:cs="Times New Roman" w:eastAsia="Times New Roman" w:hint="default"/>
                <w:sz w:val="18"/>
                <w:szCs w:val="18"/>
              </w:rPr>
            </w:pPr>
            <w:r>
              <w:rPr>
                <w:rFonts w:ascii="Times New Roman"/>
                <w:spacing w:val="-7"/>
                <w:sz w:val="18"/>
              </w:rPr>
              <w:t>5,538,259.71</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48"/>
              <w:jc w:val="right"/>
              <w:rPr>
                <w:rFonts w:ascii="Times New Roman" w:hAnsi="Times New Roman" w:cs="Times New Roman" w:eastAsia="Times New Roman" w:hint="default"/>
                <w:sz w:val="18"/>
                <w:szCs w:val="18"/>
              </w:rPr>
            </w:pPr>
            <w:r>
              <w:rPr>
                <w:rFonts w:ascii="Times New Roman"/>
                <w:spacing w:val="-6"/>
                <w:w w:val="95"/>
                <w:sz w:val="18"/>
              </w:rPr>
              <w:t>8.13</w:t>
            </w:r>
            <w:r>
              <w:rPr>
                <w:rFonts w:ascii="Times New Roman"/>
                <w:w w:val="95"/>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0" w:right="0"/>
              <w:jc w:val="center"/>
              <w:rPr>
                <w:rFonts w:ascii="Times New Roman" w:hAnsi="Times New Roman" w:cs="Times New Roman" w:eastAsia="Times New Roman" w:hint="default"/>
                <w:sz w:val="18"/>
                <w:szCs w:val="18"/>
              </w:rPr>
            </w:pPr>
            <w:r>
              <w:rPr>
                <w:rFonts w:ascii="Times New Roman"/>
                <w:spacing w:val="-7"/>
                <w:sz w:val="18"/>
              </w:rPr>
              <w:t>52,152,301.34</w:t>
            </w:r>
            <w:r>
              <w:rPr>
                <w:rFonts w:ascii="Times New Roman"/>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4"/>
              <w:jc w:val="right"/>
              <w:rPr>
                <w:rFonts w:ascii="Times New Roman" w:hAnsi="Times New Roman" w:cs="Times New Roman" w:eastAsia="Times New Roman" w:hint="default"/>
                <w:sz w:val="18"/>
                <w:szCs w:val="18"/>
              </w:rPr>
            </w:pPr>
            <w:r>
              <w:rPr>
                <w:rFonts w:ascii="Times New Roman"/>
                <w:spacing w:val="-6"/>
                <w:w w:val="95"/>
                <w:sz w:val="18"/>
              </w:rPr>
              <w:t>100</w:t>
            </w:r>
            <w:r>
              <w:rPr>
                <w:rFonts w:ascii="Times New Roman"/>
                <w:w w:val="95"/>
                <w:sz w:val="18"/>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0" w:right="0"/>
              <w:jc w:val="center"/>
              <w:rPr>
                <w:rFonts w:ascii="Times New Roman" w:hAnsi="Times New Roman" w:cs="Times New Roman" w:eastAsia="Times New Roman" w:hint="default"/>
                <w:sz w:val="18"/>
                <w:szCs w:val="18"/>
              </w:rPr>
            </w:pPr>
            <w:r>
              <w:rPr>
                <w:rFonts w:ascii="Times New Roman"/>
                <w:spacing w:val="-7"/>
                <w:sz w:val="18"/>
              </w:rPr>
              <w:t>4,530,651.70</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left="45" w:right="0"/>
              <w:jc w:val="center"/>
              <w:rPr>
                <w:rFonts w:ascii="Times New Roman" w:hAnsi="Times New Roman" w:cs="Times New Roman" w:eastAsia="Times New Roman" w:hint="default"/>
                <w:sz w:val="18"/>
                <w:szCs w:val="18"/>
              </w:rPr>
            </w:pPr>
            <w:r>
              <w:rPr>
                <w:rFonts w:ascii="Times New Roman"/>
                <w:spacing w:val="-6"/>
                <w:sz w:val="18"/>
              </w:rPr>
              <w:t>8.69</w:t>
            </w:r>
            <w:r>
              <w:rPr>
                <w:rFonts w:ascii="Times New Roman"/>
                <w:sz w:val="18"/>
              </w:rPr>
            </w:r>
          </w:p>
        </w:tc>
      </w:tr>
    </w:tbl>
    <w:p>
      <w:pPr>
        <w:spacing w:line="240" w:lineRule="auto" w:before="1"/>
        <w:rPr>
          <w:rFonts w:ascii="宋体" w:hAnsi="宋体" w:cs="宋体" w:eastAsia="宋体" w:hint="default"/>
          <w:sz w:val="13"/>
          <w:szCs w:val="13"/>
        </w:rPr>
      </w:pPr>
    </w:p>
    <w:p>
      <w:pPr>
        <w:spacing w:line="357" w:lineRule="auto" w:before="35"/>
        <w:ind w:left="664" w:right="678" w:firstLine="420"/>
        <w:jc w:val="both"/>
        <w:rPr>
          <w:rFonts w:ascii="宋体" w:hAnsi="宋体" w:cs="宋体" w:eastAsia="宋体" w:hint="default"/>
          <w:sz w:val="21"/>
          <w:szCs w:val="21"/>
        </w:rPr>
      </w:pPr>
      <w:r>
        <w:rPr>
          <w:rFonts w:ascii="宋体" w:hAnsi="宋体" w:cs="宋体" w:eastAsia="宋体" w:hint="default"/>
          <w:sz w:val="21"/>
          <w:szCs w:val="21"/>
        </w:rPr>
        <w:t>按款项账龄的组合计提坏账准备的应收账款，是指将未单项计提坏账准备的应收账款按账 龄划分为若干组合，根据以前年度与之相同或相类似的、具有类似信用风险特征的应收账款组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合的实际损失率为基础，结合现时情况确定各项组合计提坏账准备的比例，据此计算应计提的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坏账准备。</w:t>
      </w:r>
    </w:p>
    <w:p>
      <w:pPr>
        <w:spacing w:after="0" w:line="357" w:lineRule="auto"/>
        <w:jc w:val="both"/>
        <w:rPr>
          <w:rFonts w:ascii="宋体" w:hAnsi="宋体" w:cs="宋体" w:eastAsia="宋体" w:hint="default"/>
          <w:sz w:val="21"/>
          <w:szCs w:val="21"/>
        </w:rPr>
        <w:sectPr>
          <w:pgSz w:w="11910" w:h="16840"/>
          <w:pgMar w:header="877" w:footer="982" w:top="1100" w:bottom="1180" w:left="980" w:right="960"/>
        </w:sectPr>
      </w:pPr>
    </w:p>
    <w:p>
      <w:pPr>
        <w:spacing w:line="240" w:lineRule="auto" w:before="2"/>
        <w:rPr>
          <w:rFonts w:ascii="宋体" w:hAnsi="宋体" w:cs="宋体" w:eastAsia="宋体" w:hint="default"/>
          <w:sz w:val="19"/>
          <w:szCs w:val="19"/>
        </w:rPr>
      </w:pPr>
    </w:p>
    <w:p>
      <w:pPr>
        <w:spacing w:before="35"/>
        <w:ind w:left="1084" w:right="67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组合中，按账龄分析法计提坏账准备的应收账款：</w:t>
      </w:r>
    </w:p>
    <w:p>
      <w:pPr>
        <w:spacing w:line="240" w:lineRule="auto" w:before="7"/>
        <w:rPr>
          <w:rFonts w:ascii="宋体" w:hAnsi="宋体" w:cs="宋体" w:eastAsia="宋体" w:hint="default"/>
          <w:sz w:val="16"/>
          <w:szCs w:val="16"/>
        </w:rPr>
      </w:pPr>
    </w:p>
    <w:p>
      <w:pPr>
        <w:spacing w:before="35"/>
        <w:ind w:left="0" w:right="65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534" w:type="dxa"/>
        <w:tblLayout w:type="fixed"/>
        <w:tblCellMar>
          <w:top w:w="0" w:type="dxa"/>
          <w:left w:w="0" w:type="dxa"/>
          <w:bottom w:w="0" w:type="dxa"/>
          <w:right w:w="0" w:type="dxa"/>
        </w:tblCellMar>
        <w:tblLook w:val="01E0"/>
      </w:tblPr>
      <w:tblGrid>
        <w:gridCol w:w="1742"/>
        <w:gridCol w:w="1417"/>
        <w:gridCol w:w="908"/>
        <w:gridCol w:w="1218"/>
        <w:gridCol w:w="1417"/>
        <w:gridCol w:w="966"/>
        <w:gridCol w:w="1217"/>
      </w:tblGrid>
      <w:tr>
        <w:trPr>
          <w:trHeight w:val="392" w:hRule="exact"/>
        </w:trPr>
        <w:tc>
          <w:tcPr>
            <w:tcW w:w="1742"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5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00"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2" w:hRule="exact"/>
        </w:trPr>
        <w:tc>
          <w:tcPr>
            <w:tcW w:w="1742" w:type="dxa"/>
            <w:vMerge/>
            <w:tcBorders>
              <w:left w:val="nil" w:sz="6" w:space="0" w:color="auto"/>
              <w:right w:val="single" w:sz="6" w:space="0" w:color="000000"/>
            </w:tcBorders>
          </w:tcPr>
          <w:p>
            <w:pPr/>
          </w:p>
        </w:tc>
        <w:tc>
          <w:tcPr>
            <w:tcW w:w="23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8"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7" w:type="dxa"/>
            <w:vMerge w:val="restart"/>
            <w:tcBorders>
              <w:top w:val="single" w:sz="6" w:space="0" w:color="000000"/>
              <w:left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92" w:hRule="exact"/>
        </w:trPr>
        <w:tc>
          <w:tcPr>
            <w:tcW w:w="1742" w:type="dxa"/>
            <w:vMerge/>
            <w:tcBorders>
              <w:left w:val="nil" w:sz="6" w:space="0" w:color="auto"/>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30"/>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18" w:type="dxa"/>
            <w:vMerge/>
            <w:tcBorders>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17" w:type="dxa"/>
            <w:vMerge/>
            <w:tcBorders>
              <w:left w:val="single" w:sz="6" w:space="0" w:color="000000"/>
              <w:bottom w:val="single" w:sz="6" w:space="0" w:color="000000"/>
              <w:right w:val="nil" w:sz="6" w:space="0" w:color="auto"/>
            </w:tcBorders>
          </w:tcPr>
          <w:p>
            <w:pPr/>
          </w:p>
        </w:tc>
      </w:tr>
      <w:tr>
        <w:trPr>
          <w:trHeight w:val="394"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50,895,138.84</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Times New Roman" w:hAnsi="Times New Roman" w:cs="Times New Roman" w:eastAsia="Times New Roman" w:hint="default"/>
                <w:sz w:val="18"/>
                <w:szCs w:val="18"/>
              </w:rPr>
            </w:pPr>
            <w:r>
              <w:rPr>
                <w:rFonts w:ascii="Times New Roman"/>
                <w:sz w:val="18"/>
              </w:rPr>
              <w:t>74.73</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2,544,756.94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35,903,384.74</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z w:val="18"/>
              </w:rPr>
              <w:t>68.84</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pacing w:val="-1"/>
                <w:sz w:val="18"/>
              </w:rPr>
              <w:t>1,795,169.24</w:t>
            </w:r>
          </w:p>
        </w:tc>
      </w:tr>
      <w:tr>
        <w:trPr>
          <w:trHeight w:val="392"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10,267,734.67</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Times New Roman" w:hAnsi="Times New Roman" w:cs="Times New Roman" w:eastAsia="Times New Roman" w:hint="default"/>
                <w:sz w:val="18"/>
                <w:szCs w:val="18"/>
              </w:rPr>
            </w:pPr>
            <w:r>
              <w:rPr>
                <w:rFonts w:ascii="Times New Roman"/>
                <w:sz w:val="18"/>
              </w:rPr>
              <w:t>15.08</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1,026,773.47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8,657,991.60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z w:val="18"/>
              </w:rPr>
              <w:t>16.60</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z w:val="18"/>
              </w:rPr>
              <w:t>865,799.16</w:t>
            </w:r>
          </w:p>
        </w:tc>
      </w:tr>
      <w:tr>
        <w:trPr>
          <w:trHeight w:val="392"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5,021,487.00</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Times New Roman" w:hAnsi="Times New Roman" w:cs="Times New Roman" w:eastAsia="Times New Roman" w:hint="default"/>
                <w:sz w:val="18"/>
                <w:szCs w:val="18"/>
              </w:rPr>
            </w:pPr>
            <w:r>
              <w:rPr>
                <w:rFonts w:ascii="Times New Roman"/>
                <w:sz w:val="18"/>
              </w:rPr>
              <w:t>7.37</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1,004,297.40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7"/>
              <w:jc w:val="right"/>
              <w:rPr>
                <w:rFonts w:ascii="Times New Roman" w:hAnsi="Times New Roman" w:cs="Times New Roman" w:eastAsia="Times New Roman" w:hint="default"/>
                <w:sz w:val="18"/>
                <w:szCs w:val="18"/>
              </w:rPr>
            </w:pPr>
            <w:r>
              <w:rPr>
                <w:rFonts w:ascii="Times New Roman"/>
                <w:spacing w:val="-1"/>
                <w:sz w:val="18"/>
              </w:rPr>
              <w:t>6,419,264.00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z w:val="18"/>
              </w:rPr>
              <w:t>12.31</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pacing w:val="-1"/>
                <w:sz w:val="18"/>
              </w:rPr>
              <w:t>1,283,852.80</w:t>
            </w:r>
          </w:p>
        </w:tc>
      </w:tr>
      <w:tr>
        <w:trPr>
          <w:trHeight w:val="392"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1,924,863.80</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Times New Roman" w:hAnsi="Times New Roman" w:cs="Times New Roman" w:eastAsia="Times New Roman" w:hint="default"/>
                <w:sz w:val="18"/>
                <w:szCs w:val="18"/>
              </w:rPr>
            </w:pPr>
            <w:r>
              <w:rPr>
                <w:rFonts w:ascii="Times New Roman"/>
                <w:sz w:val="18"/>
              </w:rPr>
              <w:t>2.83</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z w:val="18"/>
              </w:rPr>
              <w:t>962,431.90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7"/>
              <w:jc w:val="right"/>
              <w:rPr>
                <w:rFonts w:ascii="Times New Roman" w:hAnsi="Times New Roman" w:cs="Times New Roman" w:eastAsia="Times New Roman" w:hint="default"/>
                <w:sz w:val="18"/>
                <w:szCs w:val="18"/>
              </w:rPr>
            </w:pPr>
            <w:r>
              <w:rPr>
                <w:rFonts w:ascii="Times New Roman"/>
                <w:spacing w:val="-1"/>
                <w:sz w:val="18"/>
              </w:rPr>
              <w:t>1,171,661.00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z w:val="18"/>
              </w:rPr>
              <w:t>2.25</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z w:val="18"/>
              </w:rPr>
              <w:t>585,830.50</w:t>
            </w:r>
          </w:p>
        </w:tc>
      </w:tr>
      <w:tr>
        <w:trPr>
          <w:trHeight w:val="392"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68,109,224.31</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Times New Roman" w:hAnsi="Times New Roman" w:cs="Times New Roman" w:eastAsia="Times New Roman" w:hint="default"/>
                <w:sz w:val="18"/>
                <w:szCs w:val="18"/>
              </w:rPr>
            </w:pPr>
            <w:r>
              <w:rPr>
                <w:rFonts w:ascii="Times New Roman"/>
                <w:sz w:val="18"/>
              </w:rPr>
              <w:t>100.00</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5,538,259.71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18"/>
                <w:szCs w:val="18"/>
              </w:rPr>
            </w:pPr>
            <w:r>
              <w:rPr>
                <w:rFonts w:ascii="Times New Roman"/>
                <w:spacing w:val="-1"/>
                <w:sz w:val="18"/>
              </w:rPr>
              <w:t>52,152,301.34</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Times New Roman" w:hAnsi="Times New Roman" w:cs="Times New Roman" w:eastAsia="Times New Roman" w:hint="default"/>
                <w:sz w:val="18"/>
                <w:szCs w:val="18"/>
              </w:rPr>
            </w:pPr>
            <w:r>
              <w:rPr>
                <w:rFonts w:ascii="Times New Roman"/>
                <w:sz w:val="18"/>
              </w:rPr>
              <w:t>100.00</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right="106"/>
              <w:jc w:val="right"/>
              <w:rPr>
                <w:rFonts w:ascii="Times New Roman" w:hAnsi="Times New Roman" w:cs="Times New Roman" w:eastAsia="Times New Roman" w:hint="default"/>
                <w:sz w:val="18"/>
                <w:szCs w:val="18"/>
              </w:rPr>
            </w:pPr>
            <w:r>
              <w:rPr>
                <w:rFonts w:ascii="Times New Roman"/>
                <w:spacing w:val="-1"/>
                <w:sz w:val="18"/>
              </w:rPr>
              <w:t>4,530,651.70</w:t>
            </w:r>
          </w:p>
        </w:tc>
      </w:tr>
    </w:tbl>
    <w:p>
      <w:pPr>
        <w:spacing w:line="240" w:lineRule="auto" w:before="4"/>
        <w:rPr>
          <w:rFonts w:ascii="宋体" w:hAnsi="宋体" w:cs="宋体" w:eastAsia="宋体" w:hint="default"/>
          <w:sz w:val="22"/>
          <w:szCs w:val="22"/>
        </w:rPr>
      </w:pPr>
    </w:p>
    <w:p>
      <w:pPr>
        <w:spacing w:before="35"/>
        <w:ind w:left="664" w:right="6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）应收账款金额前五名单位情况</w:t>
      </w:r>
    </w:p>
    <w:p>
      <w:pPr>
        <w:spacing w:line="240" w:lineRule="auto" w:before="6"/>
        <w:rPr>
          <w:rFonts w:ascii="宋体" w:hAnsi="宋体" w:cs="宋体" w:eastAsia="宋体" w:hint="default"/>
          <w:sz w:val="15"/>
          <w:szCs w:val="15"/>
        </w:rPr>
      </w:pPr>
    </w:p>
    <w:p>
      <w:pPr>
        <w:spacing w:before="35"/>
        <w:ind w:left="0" w:right="65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464" w:type="dxa"/>
        <w:tblLayout w:type="fixed"/>
        <w:tblCellMar>
          <w:top w:w="0" w:type="dxa"/>
          <w:left w:w="0" w:type="dxa"/>
          <w:bottom w:w="0" w:type="dxa"/>
          <w:right w:w="0" w:type="dxa"/>
        </w:tblCellMar>
        <w:tblLook w:val="01E0"/>
      </w:tblPr>
      <w:tblGrid>
        <w:gridCol w:w="2864"/>
        <w:gridCol w:w="1427"/>
        <w:gridCol w:w="1291"/>
        <w:gridCol w:w="1004"/>
        <w:gridCol w:w="2428"/>
      </w:tblGrid>
      <w:tr>
        <w:trPr>
          <w:trHeight w:val="388"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2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76"/>
              <w:jc w:val="righ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388"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中国农业银行河北省分行</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3,160,200.00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9" w:right="0"/>
              <w:jc w:val="center"/>
              <w:rPr>
                <w:rFonts w:ascii="宋体" w:hAnsi="宋体" w:cs="宋体" w:eastAsia="宋体" w:hint="default"/>
                <w:sz w:val="18"/>
                <w:szCs w:val="18"/>
              </w:rPr>
            </w:pPr>
            <w:r>
              <w:rPr>
                <w:rFonts w:ascii="宋体" w:hAnsi="宋体" w:cs="宋体" w:eastAsia="宋体" w:hint="default"/>
                <w:sz w:val="18"/>
                <w:szCs w:val="18"/>
              </w:rPr>
              <w:t>零至三年</w:t>
            </w:r>
          </w:p>
        </w:tc>
        <w:tc>
          <w:tcPr>
            <w:tcW w:w="2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z w:val="18"/>
              </w:rPr>
              <w:t>4.64</w:t>
            </w:r>
          </w:p>
        </w:tc>
      </w:tr>
      <w:tr>
        <w:trPr>
          <w:trHeight w:val="386"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广发银行总行</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3,054,961.00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9"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z w:val="18"/>
              </w:rPr>
              <w:t>4.49</w:t>
            </w:r>
          </w:p>
        </w:tc>
      </w:tr>
      <w:tr>
        <w:trPr>
          <w:trHeight w:val="388"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中国银行广东省分行</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2,452,320.00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9"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z w:val="18"/>
              </w:rPr>
              <w:t>3.60</w:t>
            </w:r>
          </w:p>
        </w:tc>
      </w:tr>
      <w:tr>
        <w:trPr>
          <w:trHeight w:val="388"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中国农业银行广东省分行</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2,390,521.00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9"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z w:val="18"/>
              </w:rPr>
              <w:t>3.51</w:t>
            </w:r>
          </w:p>
        </w:tc>
      </w:tr>
      <w:tr>
        <w:trPr>
          <w:trHeight w:val="388"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上海浦东发展银行总行</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2,382,500.00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9"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z w:val="18"/>
              </w:rPr>
              <w:t>3.50</w:t>
            </w:r>
          </w:p>
        </w:tc>
      </w:tr>
      <w:tr>
        <w:trPr>
          <w:trHeight w:val="388"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Times New Roman" w:hAnsi="Times New Roman" w:cs="Times New Roman" w:eastAsia="Times New Roman" w:hint="default"/>
                <w:sz w:val="18"/>
                <w:szCs w:val="18"/>
              </w:rPr>
            </w:pPr>
            <w:r>
              <w:rPr>
                <w:rFonts w:ascii="Times New Roman"/>
                <w:sz w:val="18"/>
              </w:rPr>
              <w:t>--</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13,440,502.00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Times New Roman" w:hAnsi="Times New Roman" w:cs="Times New Roman" w:eastAsia="Times New Roman" w:hint="default"/>
                <w:sz w:val="18"/>
                <w:szCs w:val="18"/>
              </w:rPr>
            </w:pPr>
            <w:r>
              <w:rPr>
                <w:rFonts w:ascii="Times New Roman"/>
                <w:sz w:val="18"/>
              </w:rPr>
              <w:t>--</w:t>
            </w:r>
          </w:p>
        </w:tc>
        <w:tc>
          <w:tcPr>
            <w:tcW w:w="2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5"/>
              <w:jc w:val="right"/>
              <w:rPr>
                <w:rFonts w:ascii="Times New Roman" w:hAnsi="Times New Roman" w:cs="Times New Roman" w:eastAsia="Times New Roman" w:hint="default"/>
                <w:sz w:val="18"/>
                <w:szCs w:val="18"/>
              </w:rPr>
            </w:pPr>
            <w:r>
              <w:rPr>
                <w:rFonts w:ascii="Times New Roman"/>
                <w:sz w:val="18"/>
              </w:rPr>
              <w:t>19.74</w:t>
            </w:r>
          </w:p>
        </w:tc>
      </w:tr>
    </w:tbl>
    <w:p>
      <w:pPr>
        <w:spacing w:line="240" w:lineRule="auto" w:before="4"/>
        <w:rPr>
          <w:rFonts w:ascii="宋体" w:hAnsi="宋体" w:cs="宋体" w:eastAsia="宋体" w:hint="default"/>
          <w:sz w:val="22"/>
          <w:szCs w:val="22"/>
        </w:rPr>
      </w:pPr>
    </w:p>
    <w:p>
      <w:pPr>
        <w:spacing w:before="35"/>
        <w:ind w:left="664" w:right="6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）本报告期应收账款中无持有公司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w:t>
      </w:r>
    </w:p>
    <w:p>
      <w:pPr>
        <w:spacing w:line="240" w:lineRule="auto" w:before="3"/>
        <w:rPr>
          <w:rFonts w:ascii="宋体" w:hAnsi="宋体" w:cs="宋体" w:eastAsia="宋体" w:hint="default"/>
          <w:sz w:val="18"/>
          <w:szCs w:val="18"/>
        </w:rPr>
      </w:pPr>
    </w:p>
    <w:p>
      <w:pPr>
        <w:spacing w:before="0"/>
        <w:ind w:left="664" w:right="6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664" w:right="6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）其他应收款按种类披露：</w:t>
      </w:r>
    </w:p>
    <w:p>
      <w:pPr>
        <w:spacing w:line="240" w:lineRule="auto" w:before="2"/>
        <w:rPr>
          <w:rFonts w:ascii="宋体" w:hAnsi="宋体" w:cs="宋体" w:eastAsia="宋体" w:hint="default"/>
          <w:sz w:val="18"/>
          <w:szCs w:val="18"/>
        </w:rPr>
      </w:pPr>
    </w:p>
    <w:p>
      <w:pPr>
        <w:spacing w:before="0"/>
        <w:ind w:left="0" w:right="65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152"/>
        <w:gridCol w:w="1163"/>
        <w:gridCol w:w="761"/>
        <w:gridCol w:w="1027"/>
        <w:gridCol w:w="834"/>
        <w:gridCol w:w="1162"/>
        <w:gridCol w:w="761"/>
        <w:gridCol w:w="1027"/>
        <w:gridCol w:w="827"/>
      </w:tblGrid>
      <w:tr>
        <w:trPr>
          <w:trHeight w:val="388" w:hRule="exact"/>
        </w:trPr>
        <w:tc>
          <w:tcPr>
            <w:tcW w:w="215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8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6"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86" w:hRule="exact"/>
        </w:trPr>
        <w:tc>
          <w:tcPr>
            <w:tcW w:w="2152" w:type="dxa"/>
            <w:vMerge/>
            <w:tcBorders>
              <w:left w:val="nil" w:sz="6" w:space="0" w:color="auto"/>
              <w:right w:val="single" w:sz="4" w:space="0" w:color="000000"/>
            </w:tcBorders>
          </w:tcPr>
          <w:p>
            <w:pPr/>
          </w:p>
        </w:tc>
        <w:tc>
          <w:tcPr>
            <w:tcW w:w="1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56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88" w:hRule="exact"/>
        </w:trPr>
        <w:tc>
          <w:tcPr>
            <w:tcW w:w="2152" w:type="dxa"/>
            <w:vMerge/>
            <w:tcBorders>
              <w:left w:val="nil" w:sz="6" w:space="0" w:color="auto"/>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4" w:right="0"/>
              <w:jc w:val="left"/>
              <w:rPr>
                <w:rFonts w:ascii="Times New Roman" w:hAnsi="Times New Roman" w:cs="Times New Roman" w:eastAsia="Times New Roman" w:hint="default"/>
                <w:sz w:val="18"/>
                <w:szCs w:val="18"/>
              </w:rPr>
            </w:pPr>
            <w:r>
              <w:rPr>
                <w:rFonts w:ascii="宋体" w:hAnsi="宋体" w:cs="宋体" w:eastAsia="宋体" w:hint="default"/>
                <w:spacing w:val="-34"/>
                <w:sz w:val="18"/>
                <w:szCs w:val="18"/>
              </w:rPr>
              <w:t>比例</w:t>
            </w:r>
            <w:r>
              <w:rPr>
                <w:rFonts w:ascii="Times New Roman" w:hAnsi="Times New Roman" w:cs="Times New Roman" w:eastAsia="Times New Roman" w:hint="default"/>
                <w:spacing w:val="-34"/>
                <w:sz w:val="18"/>
                <w:szCs w:val="18"/>
              </w:rPr>
              <w:t>(%)</w:t>
            </w:r>
            <w:r>
              <w:rPr>
                <w:rFonts w:ascii="Times New Roman" w:hAnsi="Times New Roman" w:cs="Times New Roman" w:eastAsia="Times New Roman" w:hint="default"/>
                <w:sz w:val="18"/>
                <w:szCs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1" w:right="0"/>
              <w:jc w:val="left"/>
              <w:rPr>
                <w:rFonts w:ascii="Times New Roman" w:hAnsi="Times New Roman" w:cs="Times New Roman" w:eastAsia="Times New Roman" w:hint="default"/>
                <w:sz w:val="18"/>
                <w:szCs w:val="18"/>
              </w:rPr>
            </w:pPr>
            <w:r>
              <w:rPr>
                <w:rFonts w:ascii="宋体" w:hAnsi="宋体" w:cs="宋体" w:eastAsia="宋体" w:hint="default"/>
                <w:spacing w:val="-34"/>
                <w:sz w:val="18"/>
                <w:szCs w:val="18"/>
              </w:rPr>
              <w:t>比例</w:t>
            </w:r>
            <w:r>
              <w:rPr>
                <w:rFonts w:ascii="Times New Roman" w:hAnsi="Times New Roman" w:cs="Times New Roman" w:eastAsia="Times New Roman" w:hint="default"/>
                <w:spacing w:val="-34"/>
                <w:sz w:val="18"/>
                <w:szCs w:val="18"/>
              </w:rPr>
              <w:t>(%)</w:t>
            </w:r>
            <w:r>
              <w:rPr>
                <w:rFonts w:ascii="Times New Roman" w:hAnsi="Times New Roman" w:cs="Times New Roman" w:eastAsia="Times New Roman" w:hint="default"/>
                <w:sz w:val="18"/>
                <w:szCs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3" w:right="0"/>
              <w:jc w:val="left"/>
              <w:rPr>
                <w:rFonts w:ascii="Times New Roman" w:hAnsi="Times New Roman" w:cs="Times New Roman" w:eastAsia="Times New Roman" w:hint="default"/>
                <w:sz w:val="18"/>
                <w:szCs w:val="18"/>
              </w:rPr>
            </w:pPr>
            <w:r>
              <w:rPr>
                <w:rFonts w:ascii="宋体" w:hAnsi="宋体" w:cs="宋体" w:eastAsia="宋体" w:hint="default"/>
                <w:spacing w:val="-34"/>
                <w:sz w:val="18"/>
                <w:szCs w:val="18"/>
              </w:rPr>
              <w:t>比例</w:t>
            </w:r>
            <w:r>
              <w:rPr>
                <w:rFonts w:ascii="Times New Roman" w:hAnsi="Times New Roman" w:cs="Times New Roman" w:eastAsia="Times New Roman" w:hint="default"/>
                <w:spacing w:val="-34"/>
                <w:sz w:val="18"/>
                <w:szCs w:val="18"/>
              </w:rPr>
              <w:t>(%)</w:t>
            </w:r>
            <w:r>
              <w:rPr>
                <w:rFonts w:ascii="Times New Roman" w:hAnsi="Times New Roman" w:cs="Times New Roman" w:eastAsia="Times New Roman" w:hint="default"/>
                <w:sz w:val="18"/>
                <w:szCs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81" w:right="0"/>
              <w:jc w:val="left"/>
              <w:rPr>
                <w:rFonts w:ascii="Times New Roman" w:hAnsi="Times New Roman" w:cs="Times New Roman" w:eastAsia="Times New Roman" w:hint="default"/>
                <w:sz w:val="18"/>
                <w:szCs w:val="18"/>
              </w:rPr>
            </w:pPr>
            <w:r>
              <w:rPr>
                <w:rFonts w:ascii="宋体" w:hAnsi="宋体" w:cs="宋体" w:eastAsia="宋体" w:hint="default"/>
                <w:spacing w:val="-34"/>
                <w:sz w:val="18"/>
                <w:szCs w:val="18"/>
              </w:rPr>
              <w:t>比例</w:t>
            </w:r>
            <w:r>
              <w:rPr>
                <w:rFonts w:ascii="Times New Roman" w:hAnsi="Times New Roman" w:cs="Times New Roman" w:eastAsia="Times New Roman" w:hint="default"/>
                <w:spacing w:val="-34"/>
                <w:sz w:val="18"/>
                <w:szCs w:val="18"/>
              </w:rPr>
              <w:t>(%)</w:t>
            </w:r>
            <w:r>
              <w:rPr>
                <w:rFonts w:ascii="Times New Roman" w:hAnsi="Times New Roman" w:cs="Times New Roman" w:eastAsia="Times New Roman" w:hint="default"/>
                <w:sz w:val="18"/>
                <w:szCs w:val="18"/>
              </w:rPr>
            </w:r>
          </w:p>
        </w:tc>
      </w:tr>
      <w:tr>
        <w:trPr>
          <w:trHeight w:val="854" w:hRule="exact"/>
        </w:trPr>
        <w:tc>
          <w:tcPr>
            <w:tcW w:w="2152"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44"/>
              <w:ind w:left="107" w:right="83"/>
              <w:jc w:val="both"/>
              <w:rPr>
                <w:rFonts w:ascii="宋体" w:hAnsi="宋体" w:cs="宋体" w:eastAsia="宋体" w:hint="default"/>
                <w:sz w:val="18"/>
                <w:szCs w:val="18"/>
              </w:rPr>
            </w:pPr>
            <w:r>
              <w:rPr>
                <w:rFonts w:ascii="宋体" w:hAnsi="宋体" w:cs="宋体" w:eastAsia="宋体" w:hint="default"/>
                <w:spacing w:val="14"/>
                <w:sz w:val="18"/>
                <w:szCs w:val="18"/>
              </w:rPr>
              <w:t>单项金额重大并单项计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4"/>
                <w:sz w:val="18"/>
                <w:szCs w:val="18"/>
              </w:rPr>
              <w:t>提坏账准备的其他应收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款</w:t>
            </w:r>
          </w:p>
        </w:tc>
        <w:tc>
          <w:tcPr>
            <w:tcW w:w="11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nil" w:sz="6" w:space="0" w:color="auto"/>
            </w:tcBorders>
          </w:tcPr>
          <w:p>
            <w:pPr/>
          </w:p>
        </w:tc>
      </w:tr>
    </w:tbl>
    <w:p>
      <w:pPr>
        <w:spacing w:before="41"/>
        <w:ind w:left="232" w:right="670" w:firstLine="0"/>
        <w:jc w:val="left"/>
        <w:rPr>
          <w:rFonts w:ascii="宋体" w:hAnsi="宋体" w:cs="宋体" w:eastAsia="宋体" w:hint="default"/>
          <w:sz w:val="18"/>
          <w:szCs w:val="18"/>
        </w:rPr>
      </w:pPr>
      <w:r>
        <w:rPr>
          <w:rFonts w:ascii="宋体" w:hAnsi="宋体" w:cs="宋体" w:eastAsia="宋体" w:hint="default"/>
          <w:spacing w:val="-8"/>
          <w:sz w:val="18"/>
          <w:szCs w:val="18"/>
        </w:rPr>
        <w:t>按组合计提坏账准备的其他应收款</w:t>
      </w:r>
    </w:p>
    <w:p>
      <w:pPr>
        <w:spacing w:line="240" w:lineRule="auto" w:before="9"/>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2166"/>
        <w:gridCol w:w="1163"/>
        <w:gridCol w:w="761"/>
        <w:gridCol w:w="1027"/>
        <w:gridCol w:w="834"/>
        <w:gridCol w:w="1162"/>
        <w:gridCol w:w="761"/>
        <w:gridCol w:w="1027"/>
        <w:gridCol w:w="834"/>
      </w:tblGrid>
      <w:tr>
        <w:trPr>
          <w:trHeight w:val="394"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按款项账龄的组合</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18"/>
                <w:szCs w:val="18"/>
              </w:rPr>
            </w:pPr>
            <w:r>
              <w:rPr>
                <w:rFonts w:ascii="Times New Roman"/>
                <w:sz w:val="18"/>
              </w:rPr>
              <w:t>4,533,055.88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8" w:right="0"/>
              <w:jc w:val="center"/>
              <w:rPr>
                <w:rFonts w:ascii="Times New Roman" w:hAnsi="Times New Roman" w:cs="Times New Roman" w:eastAsia="Times New Roman" w:hint="default"/>
                <w:sz w:val="18"/>
                <w:szCs w:val="18"/>
              </w:rPr>
            </w:pPr>
            <w:r>
              <w:rPr>
                <w:rFonts w:ascii="Times New Roman"/>
                <w:sz w:val="18"/>
              </w:rPr>
              <w:t>100.00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2" w:right="0"/>
              <w:jc w:val="left"/>
              <w:rPr>
                <w:rFonts w:ascii="Times New Roman" w:hAnsi="Times New Roman" w:cs="Times New Roman" w:eastAsia="Times New Roman" w:hint="default"/>
                <w:sz w:val="18"/>
                <w:szCs w:val="18"/>
              </w:rPr>
            </w:pPr>
            <w:r>
              <w:rPr>
                <w:rFonts w:ascii="Times New Roman"/>
                <w:sz w:val="18"/>
              </w:rPr>
              <w:t>530,995.15</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z w:val="18"/>
              </w:rPr>
              <w:t>11.71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Times New Roman" w:hAnsi="Times New Roman" w:cs="Times New Roman" w:eastAsia="Times New Roman" w:hint="default"/>
                <w:sz w:val="18"/>
                <w:szCs w:val="18"/>
              </w:rPr>
            </w:pPr>
            <w:r>
              <w:rPr>
                <w:rFonts w:ascii="Times New Roman"/>
                <w:sz w:val="18"/>
              </w:rPr>
              <w:t>5,091,599.50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z w:val="18"/>
              </w:rPr>
              <w:t>100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522,949.45</w:t>
            </w:r>
          </w:p>
        </w:tc>
        <w:tc>
          <w:tcPr>
            <w:tcW w:w="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18"/>
                <w:szCs w:val="18"/>
              </w:rPr>
            </w:pPr>
            <w:r>
              <w:rPr>
                <w:rFonts w:ascii="Times New Roman"/>
                <w:sz w:val="18"/>
              </w:rPr>
              <w:t>10.27</w:t>
            </w:r>
          </w:p>
        </w:tc>
      </w:tr>
      <w:tr>
        <w:trPr>
          <w:trHeight w:val="394"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18"/>
                <w:szCs w:val="18"/>
              </w:rPr>
            </w:pPr>
            <w:r>
              <w:rPr>
                <w:rFonts w:ascii="Times New Roman"/>
                <w:sz w:val="18"/>
              </w:rPr>
              <w:t>4,533,055.88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8" w:right="0"/>
              <w:jc w:val="center"/>
              <w:rPr>
                <w:rFonts w:ascii="Times New Roman" w:hAnsi="Times New Roman" w:cs="Times New Roman" w:eastAsia="Times New Roman" w:hint="default"/>
                <w:sz w:val="18"/>
                <w:szCs w:val="18"/>
              </w:rPr>
            </w:pPr>
            <w:r>
              <w:rPr>
                <w:rFonts w:ascii="Times New Roman"/>
                <w:sz w:val="18"/>
              </w:rPr>
              <w:t>100.00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2" w:right="0"/>
              <w:jc w:val="left"/>
              <w:rPr>
                <w:rFonts w:ascii="Times New Roman" w:hAnsi="Times New Roman" w:cs="Times New Roman" w:eastAsia="Times New Roman" w:hint="default"/>
                <w:sz w:val="18"/>
                <w:szCs w:val="18"/>
              </w:rPr>
            </w:pPr>
            <w:r>
              <w:rPr>
                <w:rFonts w:ascii="Times New Roman"/>
                <w:sz w:val="18"/>
              </w:rPr>
              <w:t>530,995.15</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z w:val="18"/>
              </w:rPr>
              <w:t>11.71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Times New Roman" w:hAnsi="Times New Roman" w:cs="Times New Roman" w:eastAsia="Times New Roman" w:hint="default"/>
                <w:sz w:val="18"/>
                <w:szCs w:val="18"/>
              </w:rPr>
            </w:pPr>
            <w:r>
              <w:rPr>
                <w:rFonts w:ascii="Times New Roman"/>
                <w:sz w:val="18"/>
              </w:rPr>
              <w:t>5,091,599.50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z w:val="18"/>
              </w:rPr>
              <w:t>100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522,949.45</w:t>
            </w:r>
          </w:p>
        </w:tc>
        <w:tc>
          <w:tcPr>
            <w:tcW w:w="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18"/>
                <w:szCs w:val="18"/>
              </w:rPr>
            </w:pPr>
            <w:r>
              <w:rPr>
                <w:rFonts w:ascii="Times New Roman"/>
                <w:sz w:val="18"/>
              </w:rPr>
              <w:t>10.27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60"/>
        </w:sectPr>
      </w:pPr>
    </w:p>
    <w:p>
      <w:pPr>
        <w:spacing w:line="240" w:lineRule="auto" w:before="6"/>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2166"/>
        <w:gridCol w:w="1163"/>
        <w:gridCol w:w="761"/>
        <w:gridCol w:w="1027"/>
        <w:gridCol w:w="834"/>
        <w:gridCol w:w="1162"/>
        <w:gridCol w:w="761"/>
        <w:gridCol w:w="1027"/>
        <w:gridCol w:w="834"/>
      </w:tblGrid>
      <w:tr>
        <w:trPr>
          <w:trHeight w:val="860"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92"/>
              <w:ind w:left="122" w:right="83"/>
              <w:jc w:val="both"/>
              <w:rPr>
                <w:rFonts w:ascii="宋体" w:hAnsi="宋体" w:cs="宋体" w:eastAsia="宋体" w:hint="default"/>
                <w:sz w:val="18"/>
                <w:szCs w:val="18"/>
              </w:rPr>
            </w:pPr>
            <w:r>
              <w:rPr>
                <w:rFonts w:ascii="宋体" w:hAnsi="宋体" w:cs="宋体" w:eastAsia="宋体" w:hint="default"/>
                <w:spacing w:val="14"/>
                <w:sz w:val="18"/>
                <w:szCs w:val="18"/>
              </w:rPr>
              <w:t>单项金额虽不重大但单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4"/>
                <w:sz w:val="18"/>
                <w:szCs w:val="18"/>
              </w:rPr>
              <w:t>项计提坏账准备的其他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应收款</w:t>
            </w:r>
          </w:p>
        </w:tc>
        <w:tc>
          <w:tcPr>
            <w:tcW w:w="11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Times New Roman" w:hAnsi="Times New Roman" w:cs="Times New Roman" w:eastAsia="Times New Roman" w:hint="default"/>
                <w:sz w:val="18"/>
                <w:szCs w:val="18"/>
              </w:rPr>
            </w:pPr>
            <w:r>
              <w:rPr>
                <w:rFonts w:ascii="Times New Roman"/>
                <w:sz w:val="18"/>
              </w:rPr>
              <w:t>4,533,055.88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51" w:right="0"/>
              <w:jc w:val="left"/>
              <w:rPr>
                <w:rFonts w:ascii="Times New Roman" w:hAnsi="Times New Roman" w:cs="Times New Roman" w:eastAsia="Times New Roman" w:hint="default"/>
                <w:sz w:val="18"/>
                <w:szCs w:val="18"/>
              </w:rPr>
            </w:pPr>
            <w:r>
              <w:rPr>
                <w:rFonts w:ascii="Times New Roman"/>
                <w:sz w:val="18"/>
              </w:rPr>
              <w:t>100.00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2" w:right="0"/>
              <w:jc w:val="left"/>
              <w:rPr>
                <w:rFonts w:ascii="Times New Roman" w:hAnsi="Times New Roman" w:cs="Times New Roman" w:eastAsia="Times New Roman" w:hint="default"/>
                <w:sz w:val="18"/>
                <w:szCs w:val="18"/>
              </w:rPr>
            </w:pPr>
            <w:r>
              <w:rPr>
                <w:rFonts w:ascii="Times New Roman"/>
                <w:sz w:val="18"/>
              </w:rPr>
              <w:t>530,995.15</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315" w:right="0"/>
              <w:jc w:val="left"/>
              <w:rPr>
                <w:rFonts w:ascii="Times New Roman" w:hAnsi="Times New Roman" w:cs="Times New Roman" w:eastAsia="Times New Roman" w:hint="default"/>
                <w:sz w:val="18"/>
                <w:szCs w:val="18"/>
              </w:rPr>
            </w:pPr>
            <w:r>
              <w:rPr>
                <w:rFonts w:ascii="Times New Roman"/>
                <w:sz w:val="18"/>
              </w:rPr>
              <w:t>11.71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Times New Roman" w:hAnsi="Times New Roman" w:cs="Times New Roman" w:eastAsia="Times New Roman" w:hint="default"/>
                <w:sz w:val="18"/>
                <w:szCs w:val="18"/>
              </w:rPr>
            </w:pPr>
            <w:r>
              <w:rPr>
                <w:rFonts w:ascii="Times New Roman"/>
                <w:sz w:val="18"/>
              </w:rPr>
              <w:t>5,091,599.50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377" w:right="0"/>
              <w:jc w:val="left"/>
              <w:rPr>
                <w:rFonts w:ascii="Times New Roman" w:hAnsi="Times New Roman" w:cs="Times New Roman" w:eastAsia="Times New Roman" w:hint="default"/>
                <w:sz w:val="18"/>
                <w:szCs w:val="18"/>
              </w:rPr>
            </w:pPr>
            <w:r>
              <w:rPr>
                <w:rFonts w:ascii="Times New Roman"/>
                <w:sz w:val="18"/>
              </w:rPr>
              <w:t>100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Times New Roman" w:hAnsi="Times New Roman" w:cs="Times New Roman" w:eastAsia="Times New Roman" w:hint="default"/>
                <w:sz w:val="18"/>
                <w:szCs w:val="18"/>
              </w:rPr>
            </w:pPr>
            <w:r>
              <w:rPr>
                <w:rFonts w:ascii="Times New Roman"/>
                <w:sz w:val="18"/>
              </w:rPr>
              <w:t>522,949.45</w:t>
            </w:r>
          </w:p>
        </w:tc>
        <w:tc>
          <w:tcPr>
            <w:tcW w:w="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left="315" w:right="0"/>
              <w:jc w:val="left"/>
              <w:rPr>
                <w:rFonts w:ascii="Times New Roman" w:hAnsi="Times New Roman" w:cs="Times New Roman" w:eastAsia="Times New Roman" w:hint="default"/>
                <w:sz w:val="18"/>
                <w:szCs w:val="18"/>
              </w:rPr>
            </w:pPr>
            <w:r>
              <w:rPr>
                <w:rFonts w:ascii="Times New Roman"/>
                <w:sz w:val="18"/>
              </w:rPr>
              <w:t>10.27</w:t>
            </w:r>
          </w:p>
        </w:tc>
      </w:tr>
    </w:tbl>
    <w:p>
      <w:pPr>
        <w:spacing w:line="240" w:lineRule="auto" w:before="1"/>
        <w:rPr>
          <w:rFonts w:ascii="宋体" w:hAnsi="宋体" w:cs="宋体" w:eastAsia="宋体" w:hint="default"/>
          <w:sz w:val="13"/>
          <w:szCs w:val="13"/>
        </w:rPr>
      </w:pPr>
    </w:p>
    <w:p>
      <w:pPr>
        <w:spacing w:line="357" w:lineRule="auto" w:before="35"/>
        <w:ind w:left="664" w:right="678" w:firstLine="420"/>
        <w:jc w:val="both"/>
        <w:rPr>
          <w:rFonts w:ascii="宋体" w:hAnsi="宋体" w:cs="宋体" w:eastAsia="宋体" w:hint="default"/>
          <w:sz w:val="21"/>
          <w:szCs w:val="21"/>
        </w:rPr>
      </w:pPr>
      <w:r>
        <w:rPr>
          <w:rFonts w:ascii="宋体" w:hAnsi="宋体" w:cs="宋体" w:eastAsia="宋体" w:hint="default"/>
          <w:sz w:val="21"/>
          <w:szCs w:val="21"/>
        </w:rPr>
        <w:t>按款项账龄的组合计提坏账准备的其他应收款，是指将未单项计提坏账准备的其他应收款 按账龄划分为若干组合，根据以前年度与之相同或相类似的、具有类似信用风险特征的其他应</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收款组合的实际损失率为基础，结合现时情况确定各项组合计提坏账准备的比例，据此计算应</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计提的坏账准备。</w:t>
      </w:r>
    </w:p>
    <w:p>
      <w:pPr>
        <w:spacing w:before="151"/>
        <w:ind w:left="1083" w:right="67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组合中，按账龄分析法计提坏账准备的其他应收款：</w:t>
      </w:r>
    </w:p>
    <w:p>
      <w:pPr>
        <w:spacing w:line="240" w:lineRule="auto" w:before="3"/>
        <w:rPr>
          <w:rFonts w:ascii="宋体" w:hAnsi="宋体" w:cs="宋体" w:eastAsia="宋体" w:hint="default"/>
          <w:sz w:val="19"/>
          <w:szCs w:val="19"/>
        </w:rPr>
      </w:pPr>
    </w:p>
    <w:p>
      <w:pPr>
        <w:spacing w:before="0"/>
        <w:ind w:left="0" w:right="65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534" w:type="dxa"/>
        <w:tblLayout w:type="fixed"/>
        <w:tblCellMar>
          <w:top w:w="0" w:type="dxa"/>
          <w:left w:w="0" w:type="dxa"/>
          <w:bottom w:w="0" w:type="dxa"/>
          <w:right w:w="0" w:type="dxa"/>
        </w:tblCellMar>
        <w:tblLook w:val="01E0"/>
      </w:tblPr>
      <w:tblGrid>
        <w:gridCol w:w="1742"/>
        <w:gridCol w:w="1417"/>
        <w:gridCol w:w="908"/>
        <w:gridCol w:w="1218"/>
        <w:gridCol w:w="1417"/>
        <w:gridCol w:w="966"/>
        <w:gridCol w:w="1217"/>
      </w:tblGrid>
      <w:tr>
        <w:trPr>
          <w:trHeight w:val="392" w:hRule="exact"/>
        </w:trPr>
        <w:tc>
          <w:tcPr>
            <w:tcW w:w="1742"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5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00"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2" w:hRule="exact"/>
        </w:trPr>
        <w:tc>
          <w:tcPr>
            <w:tcW w:w="1742" w:type="dxa"/>
            <w:vMerge/>
            <w:tcBorders>
              <w:left w:val="nil" w:sz="6" w:space="0" w:color="auto"/>
              <w:right w:val="single" w:sz="6" w:space="0" w:color="000000"/>
            </w:tcBorders>
          </w:tcPr>
          <w:p>
            <w:pPr/>
          </w:p>
        </w:tc>
        <w:tc>
          <w:tcPr>
            <w:tcW w:w="23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8"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7" w:type="dxa"/>
            <w:vMerge w:val="restart"/>
            <w:tcBorders>
              <w:top w:val="single" w:sz="6" w:space="0" w:color="000000"/>
              <w:left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92" w:hRule="exact"/>
        </w:trPr>
        <w:tc>
          <w:tcPr>
            <w:tcW w:w="1742" w:type="dxa"/>
            <w:vMerge/>
            <w:tcBorders>
              <w:left w:val="nil" w:sz="6" w:space="0" w:color="auto"/>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30"/>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18" w:type="dxa"/>
            <w:vMerge/>
            <w:tcBorders>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17" w:type="dxa"/>
            <w:vMerge/>
            <w:tcBorders>
              <w:left w:val="single" w:sz="6" w:space="0" w:color="000000"/>
              <w:bottom w:val="single" w:sz="6" w:space="0" w:color="000000"/>
              <w:right w:val="nil" w:sz="6" w:space="0" w:color="auto"/>
            </w:tcBorders>
          </w:tcPr>
          <w:p>
            <w:pPr/>
          </w:p>
        </w:tc>
      </w:tr>
      <w:tr>
        <w:trPr>
          <w:trHeight w:val="392"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3,182,808.12</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z w:val="18"/>
              </w:rPr>
              <w:t>70.22</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159,140.41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4,198,857.64</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z w:val="18"/>
              </w:rPr>
              <w:t>82.47</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z w:val="18"/>
              </w:rPr>
              <w:t>209,942.88</w:t>
            </w:r>
          </w:p>
        </w:tc>
      </w:tr>
      <w:tr>
        <w:trPr>
          <w:trHeight w:val="392"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657,515.90</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14.50</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65,751.59</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7"/>
              <w:jc w:val="right"/>
              <w:rPr>
                <w:rFonts w:ascii="Times New Roman" w:hAnsi="Times New Roman" w:cs="Times New Roman" w:eastAsia="Times New Roman" w:hint="default"/>
                <w:sz w:val="18"/>
                <w:szCs w:val="18"/>
              </w:rPr>
            </w:pPr>
            <w:r>
              <w:rPr>
                <w:rFonts w:ascii="Times New Roman"/>
                <w:sz w:val="18"/>
              </w:rPr>
              <w:t>154,458.03</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3.03</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z w:val="18"/>
              </w:rPr>
              <w:t>15,445.80</w:t>
            </w:r>
          </w:p>
        </w:tc>
      </w:tr>
      <w:tr>
        <w:trPr>
          <w:trHeight w:val="392"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134,209.27</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2.96</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26,841.85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7"/>
              <w:jc w:val="right"/>
              <w:rPr>
                <w:rFonts w:ascii="Times New Roman" w:hAnsi="Times New Roman" w:cs="Times New Roman" w:eastAsia="Times New Roman" w:hint="default"/>
                <w:sz w:val="18"/>
                <w:szCs w:val="18"/>
              </w:rPr>
            </w:pPr>
            <w:r>
              <w:rPr>
                <w:rFonts w:ascii="Times New Roman"/>
                <w:sz w:val="18"/>
              </w:rPr>
              <w:t>238,603.83</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4.69</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z w:val="18"/>
              </w:rPr>
              <w:t>47,720.77</w:t>
            </w:r>
          </w:p>
        </w:tc>
      </w:tr>
      <w:tr>
        <w:trPr>
          <w:trHeight w:val="392"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558,522.59</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12.32</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279,261.30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7"/>
              <w:jc w:val="right"/>
              <w:rPr>
                <w:rFonts w:ascii="Times New Roman" w:hAnsi="Times New Roman" w:cs="Times New Roman" w:eastAsia="Times New Roman" w:hint="default"/>
                <w:sz w:val="18"/>
                <w:szCs w:val="18"/>
              </w:rPr>
            </w:pPr>
            <w:r>
              <w:rPr>
                <w:rFonts w:ascii="Times New Roman"/>
                <w:sz w:val="18"/>
              </w:rPr>
              <w:t>499,680.00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z w:val="18"/>
              </w:rPr>
              <w:t>9.81</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z w:val="18"/>
              </w:rPr>
              <w:t>249,840.00</w:t>
            </w:r>
          </w:p>
        </w:tc>
      </w:tr>
      <w:tr>
        <w:trPr>
          <w:trHeight w:val="394"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4,533,055.88</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z w:val="18"/>
              </w:rPr>
              <w:t>100.00</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530,995.15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5,091,599.50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z w:val="18"/>
              </w:rPr>
              <w:t>100.00</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z w:val="18"/>
              </w:rPr>
              <w:t>522,949.45</w:t>
            </w:r>
          </w:p>
        </w:tc>
      </w:tr>
    </w:tbl>
    <w:p>
      <w:pPr>
        <w:spacing w:line="240" w:lineRule="auto" w:before="4"/>
        <w:rPr>
          <w:rFonts w:ascii="宋体" w:hAnsi="宋体" w:cs="宋体" w:eastAsia="宋体" w:hint="default"/>
          <w:sz w:val="22"/>
          <w:szCs w:val="22"/>
        </w:rPr>
      </w:pPr>
    </w:p>
    <w:p>
      <w:pPr>
        <w:spacing w:before="35"/>
        <w:ind w:left="664" w:right="6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）本报告期其他应收款中无持有公司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w:t>
      </w:r>
    </w:p>
    <w:p>
      <w:pPr>
        <w:spacing w:line="240" w:lineRule="auto" w:before="3"/>
        <w:rPr>
          <w:rFonts w:ascii="宋体" w:hAnsi="宋体" w:cs="宋体" w:eastAsia="宋体" w:hint="default"/>
          <w:sz w:val="18"/>
          <w:szCs w:val="18"/>
        </w:rPr>
      </w:pPr>
    </w:p>
    <w:p>
      <w:pPr>
        <w:spacing w:before="0"/>
        <w:ind w:left="664" w:right="6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）金额较大的其他应收款的性质或内容：</w:t>
      </w:r>
    </w:p>
    <w:p>
      <w:pPr>
        <w:spacing w:line="240" w:lineRule="auto" w:before="2"/>
        <w:rPr>
          <w:rFonts w:ascii="宋体" w:hAnsi="宋体" w:cs="宋体" w:eastAsia="宋体" w:hint="default"/>
          <w:sz w:val="18"/>
          <w:szCs w:val="18"/>
        </w:rPr>
      </w:pPr>
    </w:p>
    <w:p>
      <w:pPr>
        <w:spacing w:before="0"/>
        <w:ind w:left="1084" w:right="670"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年其他应收款期末余额主要为各类押金和备用金。</w:t>
      </w:r>
    </w:p>
    <w:p>
      <w:pPr>
        <w:spacing w:line="240" w:lineRule="auto" w:before="2"/>
        <w:rPr>
          <w:rFonts w:ascii="宋体" w:hAnsi="宋体" w:cs="宋体" w:eastAsia="宋体" w:hint="default"/>
          <w:sz w:val="18"/>
          <w:szCs w:val="18"/>
        </w:rPr>
      </w:pPr>
    </w:p>
    <w:p>
      <w:pPr>
        <w:spacing w:before="0"/>
        <w:ind w:left="664" w:right="6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）其他应收款金额前五名单位情况</w:t>
      </w:r>
    </w:p>
    <w:p>
      <w:pPr>
        <w:spacing w:line="240" w:lineRule="auto" w:before="2"/>
        <w:rPr>
          <w:rFonts w:ascii="宋体" w:hAnsi="宋体" w:cs="宋体" w:eastAsia="宋体" w:hint="default"/>
          <w:sz w:val="18"/>
          <w:szCs w:val="18"/>
        </w:rPr>
      </w:pPr>
    </w:p>
    <w:p>
      <w:pPr>
        <w:spacing w:before="0"/>
        <w:ind w:left="0" w:right="65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464" w:type="dxa"/>
        <w:tblLayout w:type="fixed"/>
        <w:tblCellMar>
          <w:top w:w="0" w:type="dxa"/>
          <w:left w:w="0" w:type="dxa"/>
          <w:bottom w:w="0" w:type="dxa"/>
          <w:right w:w="0" w:type="dxa"/>
        </w:tblCellMar>
        <w:tblLook w:val="01E0"/>
      </w:tblPr>
      <w:tblGrid>
        <w:gridCol w:w="3434"/>
        <w:gridCol w:w="1260"/>
        <w:gridCol w:w="1440"/>
        <w:gridCol w:w="1081"/>
        <w:gridCol w:w="1633"/>
      </w:tblGrid>
      <w:tr>
        <w:trPr>
          <w:trHeight w:val="79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415" w:right="203" w:hanging="210"/>
              <w:jc w:val="left"/>
              <w:rPr>
                <w:rFonts w:ascii="宋体" w:hAnsi="宋体" w:cs="宋体" w:eastAsia="宋体" w:hint="default"/>
                <w:sz w:val="21"/>
                <w:szCs w:val="21"/>
              </w:rPr>
            </w:pPr>
            <w:r>
              <w:rPr>
                <w:rFonts w:ascii="宋体" w:hAnsi="宋体" w:cs="宋体" w:eastAsia="宋体" w:hint="default"/>
                <w:sz w:val="21"/>
                <w:szCs w:val="21"/>
              </w:rPr>
              <w:t>与本公司 关系</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年限</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12"/>
              <w:ind w:left="129" w:right="132" w:firstLine="51"/>
              <w:jc w:val="left"/>
              <w:rPr>
                <w:rFonts w:ascii="Times New Roman" w:hAnsi="Times New Roman" w:cs="Times New Roman" w:eastAsia="Times New Roman" w:hint="default"/>
                <w:sz w:val="21"/>
                <w:szCs w:val="21"/>
              </w:rPr>
            </w:pPr>
            <w:r>
              <w:rPr>
                <w:rFonts w:ascii="宋体" w:hAnsi="宋体" w:cs="宋体" w:eastAsia="宋体" w:hint="default"/>
                <w:sz w:val="21"/>
                <w:szCs w:val="21"/>
              </w:rPr>
              <w:t>占其他应收款 总额的比例</w:t>
            </w:r>
            <w:r>
              <w:rPr>
                <w:rFonts w:ascii="Times New Roman" w:hAnsi="Times New Roman" w:cs="Times New Roman" w:eastAsia="Times New Roman" w:hint="default"/>
                <w:sz w:val="21"/>
                <w:szCs w:val="21"/>
              </w:rPr>
              <w:t>(%)</w:t>
            </w:r>
          </w:p>
        </w:tc>
      </w:tr>
      <w:tr>
        <w:trPr>
          <w:trHeight w:val="38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冯苏军</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租赁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300,000.00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6.62</w:t>
            </w:r>
          </w:p>
        </w:tc>
      </w:tr>
      <w:tr>
        <w:trPr>
          <w:trHeight w:val="38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深圳科技工业园有限公司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租赁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231,922.00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一至二年</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5.12</w:t>
            </w:r>
          </w:p>
        </w:tc>
      </w:tr>
      <w:tr>
        <w:trPr>
          <w:trHeight w:val="38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昆仑银行股份有限公司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200,000.00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4.41</w:t>
            </w:r>
          </w:p>
        </w:tc>
      </w:tr>
      <w:tr>
        <w:trPr>
          <w:trHeight w:val="38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北京豪威大厦有限公司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租赁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228,580.76</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三年以上</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5.04</w:t>
            </w:r>
          </w:p>
        </w:tc>
      </w:tr>
      <w:tr>
        <w:trPr>
          <w:trHeight w:val="386"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廖珮怡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租赁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153,092.00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三年以上</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3.38</w:t>
            </w:r>
          </w:p>
        </w:tc>
      </w:tr>
      <w:tr>
        <w:trPr>
          <w:trHeight w:val="38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1,113,594.76</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4"/>
              <w:jc w:val="center"/>
              <w:rPr>
                <w:rFonts w:ascii="Times New Roman" w:hAnsi="Times New Roman" w:cs="Times New Roman" w:eastAsia="Times New Roman" w:hint="default"/>
                <w:sz w:val="18"/>
                <w:szCs w:val="18"/>
              </w:rPr>
            </w:pPr>
            <w:r>
              <w:rPr>
                <w:rFonts w:ascii="Times New Roman"/>
                <w:sz w:val="18"/>
              </w:rPr>
              <w:t>24.57</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60"/>
        </w:sectPr>
      </w:pPr>
    </w:p>
    <w:p>
      <w:pPr>
        <w:spacing w:line="240" w:lineRule="auto" w:before="2"/>
        <w:rPr>
          <w:rFonts w:ascii="宋体" w:hAnsi="宋体" w:cs="宋体" w:eastAsia="宋体" w:hint="default"/>
          <w:sz w:val="19"/>
          <w:szCs w:val="19"/>
        </w:rPr>
      </w:pPr>
    </w:p>
    <w:p>
      <w:pPr>
        <w:spacing w:before="35"/>
        <w:ind w:left="78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5"/>
        <w:rPr>
          <w:rFonts w:ascii="宋体" w:hAnsi="宋体" w:cs="宋体" w:eastAsia="宋体" w:hint="default"/>
          <w:b/>
          <w:bCs/>
          <w:sz w:val="15"/>
          <w:szCs w:val="15"/>
        </w:rPr>
      </w:pPr>
    </w:p>
    <w:p>
      <w:pPr>
        <w:spacing w:before="35"/>
        <w:ind w:left="0" w:right="737" w:firstLine="0"/>
        <w:jc w:val="right"/>
        <w:rPr>
          <w:rFonts w:ascii="宋体" w:hAnsi="宋体" w:cs="宋体" w:eastAsia="宋体" w:hint="default"/>
          <w:sz w:val="21"/>
          <w:szCs w:val="21"/>
        </w:rPr>
      </w:pPr>
      <w:r>
        <w:rPr>
          <w:rFonts w:ascii="宋体" w:hAnsi="宋体" w:cs="宋体" w:eastAsia="宋体" w:hint="default"/>
          <w:sz w:val="21"/>
          <w:szCs w:val="21"/>
        </w:rPr>
        <w:t>单位：万元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1205"/>
        <w:gridCol w:w="900"/>
        <w:gridCol w:w="900"/>
        <w:gridCol w:w="900"/>
        <w:gridCol w:w="930"/>
        <w:gridCol w:w="871"/>
        <w:gridCol w:w="636"/>
        <w:gridCol w:w="734"/>
        <w:gridCol w:w="996"/>
        <w:gridCol w:w="430"/>
        <w:gridCol w:w="584"/>
        <w:gridCol w:w="846"/>
      </w:tblGrid>
      <w:tr>
        <w:trPr>
          <w:trHeight w:val="364" w:hRule="exact"/>
        </w:trPr>
        <w:tc>
          <w:tcPr>
            <w:tcW w:w="1205" w:type="dxa"/>
            <w:tcBorders>
              <w:top w:val="single" w:sz="4" w:space="0" w:color="000000"/>
              <w:left w:val="nil" w:sz="6" w:space="0" w:color="auto"/>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30"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3"/>
              <w:ind w:left="133" w:right="0"/>
              <w:jc w:val="left"/>
              <w:rPr>
                <w:rFonts w:ascii="宋体" w:hAnsi="宋体" w:cs="宋体" w:eastAsia="宋体" w:hint="default"/>
                <w:sz w:val="18"/>
                <w:szCs w:val="18"/>
              </w:rPr>
            </w:pPr>
            <w:r>
              <w:rPr>
                <w:rFonts w:ascii="宋体" w:hAnsi="宋体" w:cs="宋体" w:eastAsia="宋体" w:hint="default"/>
                <w:sz w:val="18"/>
                <w:szCs w:val="18"/>
              </w:rPr>
              <w:t>在被</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9"/>
              <w:ind w:left="182" w:right="0"/>
              <w:jc w:val="left"/>
              <w:rPr>
                <w:rFonts w:ascii="宋体" w:hAnsi="宋体" w:cs="宋体" w:eastAsia="宋体" w:hint="default"/>
                <w:sz w:val="18"/>
                <w:szCs w:val="18"/>
              </w:rPr>
            </w:pPr>
            <w:r>
              <w:rPr>
                <w:rFonts w:ascii="宋体" w:hAnsi="宋体" w:cs="宋体" w:eastAsia="宋体" w:hint="default"/>
                <w:sz w:val="18"/>
                <w:szCs w:val="18"/>
              </w:rPr>
              <w:t>在被</w:t>
            </w:r>
          </w:p>
        </w:tc>
        <w:tc>
          <w:tcPr>
            <w:tcW w:w="9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9"/>
              <w:ind w:right="131"/>
              <w:jc w:val="right"/>
              <w:rPr>
                <w:rFonts w:ascii="宋体" w:hAnsi="宋体" w:cs="宋体" w:eastAsia="宋体" w:hint="default"/>
                <w:sz w:val="18"/>
                <w:szCs w:val="18"/>
              </w:rPr>
            </w:pPr>
            <w:r>
              <w:rPr>
                <w:rFonts w:ascii="宋体" w:hAnsi="宋体" w:cs="宋体" w:eastAsia="宋体" w:hint="default"/>
                <w:sz w:val="18"/>
                <w:szCs w:val="18"/>
              </w:rPr>
              <w:t>在被投资</w:t>
            </w:r>
          </w:p>
        </w:tc>
        <w:tc>
          <w:tcPr>
            <w:tcW w:w="4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37" w:lineRule="auto"/>
              <w:ind w:left="118" w:right="119"/>
              <w:jc w:val="both"/>
              <w:rPr>
                <w:rFonts w:ascii="宋体" w:hAnsi="宋体" w:cs="宋体" w:eastAsia="宋体" w:hint="default"/>
                <w:sz w:val="18"/>
                <w:szCs w:val="18"/>
              </w:rPr>
            </w:pPr>
            <w:r>
              <w:rPr>
                <w:rFonts w:ascii="宋体" w:hAnsi="宋体" w:cs="宋体" w:eastAsia="宋体" w:hint="default"/>
                <w:sz w:val="18"/>
                <w:szCs w:val="18"/>
              </w:rPr>
              <w:t>减 值 准 备</w:t>
            </w:r>
          </w:p>
        </w:tc>
        <w:tc>
          <w:tcPr>
            <w:tcW w:w="584" w:type="dxa"/>
            <w:tcBorders>
              <w:top w:val="single" w:sz="4" w:space="0" w:color="000000"/>
              <w:left w:val="single" w:sz="4" w:space="0" w:color="000000"/>
              <w:bottom w:val="nil" w:sz="6" w:space="0" w:color="auto"/>
              <w:right w:val="single" w:sz="4" w:space="0" w:color="000000"/>
            </w:tcBorders>
          </w:tcPr>
          <w:p>
            <w:pPr/>
          </w:p>
        </w:tc>
        <w:tc>
          <w:tcPr>
            <w:tcW w:w="846" w:type="dxa"/>
            <w:tcBorders>
              <w:top w:val="single" w:sz="4" w:space="0" w:color="000000"/>
              <w:left w:val="single" w:sz="4" w:space="0" w:color="000000"/>
              <w:bottom w:val="nil" w:sz="6" w:space="0" w:color="auto"/>
              <w:right w:val="nil" w:sz="6" w:space="0" w:color="auto"/>
            </w:tcBorders>
          </w:tcPr>
          <w:p>
            <w:pPr/>
          </w:p>
        </w:tc>
      </w:tr>
      <w:tr>
        <w:trPr>
          <w:trHeight w:val="934" w:hRule="exact"/>
        </w:trPr>
        <w:tc>
          <w:tcPr>
            <w:tcW w:w="1205" w:type="dxa"/>
            <w:tcBorders>
              <w:top w:val="nil" w:sz="6" w:space="0" w:color="auto"/>
              <w:left w:val="nil" w:sz="6" w:space="0" w:color="auto"/>
              <w:bottom w:val="nil" w:sz="6" w:space="0" w:color="auto"/>
              <w:right w:val="single" w:sz="4" w:space="0" w:color="000000"/>
            </w:tcBorders>
          </w:tcPr>
          <w:p>
            <w:pPr>
              <w:pStyle w:val="TableParagraph"/>
              <w:spacing w:line="360" w:lineRule="auto" w:before="137"/>
              <w:ind w:left="429" w:right="318"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360" w:lineRule="auto" w:before="137"/>
              <w:ind w:left="265" w:right="263"/>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75" w:right="173"/>
              <w:jc w:val="left"/>
              <w:rPr>
                <w:rFonts w:ascii="宋体" w:hAnsi="宋体" w:cs="宋体" w:eastAsia="宋体" w:hint="default"/>
                <w:sz w:val="18"/>
                <w:szCs w:val="18"/>
              </w:rPr>
            </w:pPr>
            <w:r>
              <w:rPr>
                <w:rFonts w:ascii="宋体" w:hAnsi="宋体" w:cs="宋体" w:eastAsia="宋体" w:hint="default"/>
                <w:sz w:val="18"/>
                <w:szCs w:val="18"/>
              </w:rPr>
              <w:t>初始投 资成本</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30" w:type="dxa"/>
            <w:tcBorders>
              <w:top w:val="nil" w:sz="6" w:space="0" w:color="auto"/>
              <w:left w:val="single" w:sz="4" w:space="0" w:color="000000"/>
              <w:bottom w:val="nil" w:sz="6" w:space="0" w:color="auto"/>
              <w:right w:val="single" w:sz="4" w:space="0" w:color="000000"/>
            </w:tcBorders>
          </w:tcPr>
          <w:p>
            <w:pPr>
              <w:pStyle w:val="TableParagraph"/>
              <w:spacing w:line="360" w:lineRule="auto" w:before="137"/>
              <w:ind w:left="279" w:right="278"/>
              <w:jc w:val="left"/>
              <w:rPr>
                <w:rFonts w:ascii="宋体" w:hAnsi="宋体" w:cs="宋体" w:eastAsia="宋体" w:hint="default"/>
                <w:sz w:val="18"/>
                <w:szCs w:val="18"/>
              </w:rPr>
            </w:pPr>
            <w:r>
              <w:rPr>
                <w:rFonts w:ascii="宋体" w:hAnsi="宋体" w:cs="宋体" w:eastAsia="宋体" w:hint="default"/>
                <w:sz w:val="18"/>
                <w:szCs w:val="18"/>
              </w:rPr>
              <w:t>增减 变动</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32" w:lineRule="exact" w:before="2"/>
              <w:ind w:left="133" w:right="131"/>
              <w:jc w:val="left"/>
              <w:rPr>
                <w:rFonts w:ascii="宋体" w:hAnsi="宋体" w:cs="宋体" w:eastAsia="宋体" w:hint="default"/>
                <w:sz w:val="18"/>
                <w:szCs w:val="18"/>
              </w:rPr>
            </w:pPr>
            <w:r>
              <w:rPr>
                <w:rFonts w:ascii="宋体" w:hAnsi="宋体" w:cs="宋体" w:eastAsia="宋体" w:hint="default"/>
                <w:sz w:val="18"/>
                <w:szCs w:val="18"/>
              </w:rPr>
              <w:t>投资 单位</w:t>
            </w:r>
          </w:p>
          <w:p>
            <w:pPr>
              <w:pStyle w:val="TableParagraph"/>
              <w:spacing w:line="234" w:lineRule="exact"/>
              <w:ind w:left="133" w:right="131"/>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199" w:lineRule="exact"/>
              <w:ind w:left="182" w:right="0"/>
              <w:jc w:val="both"/>
              <w:rPr>
                <w:rFonts w:ascii="宋体" w:hAnsi="宋体" w:cs="宋体" w:eastAsia="宋体" w:hint="default"/>
                <w:sz w:val="18"/>
                <w:szCs w:val="18"/>
              </w:rPr>
            </w:pPr>
            <w:r>
              <w:rPr>
                <w:rFonts w:ascii="宋体" w:hAnsi="宋体" w:cs="宋体" w:eastAsia="宋体" w:hint="default"/>
                <w:sz w:val="18"/>
                <w:szCs w:val="18"/>
              </w:rPr>
              <w:t>投资</w:t>
            </w:r>
          </w:p>
          <w:p>
            <w:pPr>
              <w:pStyle w:val="TableParagraph"/>
              <w:spacing w:line="240" w:lineRule="auto"/>
              <w:ind w:left="182" w:right="180"/>
              <w:jc w:val="both"/>
              <w:rPr>
                <w:rFonts w:ascii="宋体" w:hAnsi="宋体" w:cs="宋体" w:eastAsia="宋体" w:hint="default"/>
                <w:sz w:val="18"/>
                <w:szCs w:val="18"/>
              </w:rPr>
            </w:pPr>
            <w:r>
              <w:rPr>
                <w:rFonts w:ascii="宋体" w:hAnsi="宋体" w:cs="宋体" w:eastAsia="宋体" w:hint="default"/>
                <w:sz w:val="18"/>
                <w:szCs w:val="18"/>
              </w:rPr>
              <w:t>单位 表决 权比</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199" w:lineRule="exact"/>
              <w:ind w:left="133" w:right="0"/>
              <w:jc w:val="both"/>
              <w:rPr>
                <w:rFonts w:ascii="宋体" w:hAnsi="宋体" w:cs="宋体" w:eastAsia="宋体" w:hint="default"/>
                <w:sz w:val="18"/>
                <w:szCs w:val="18"/>
              </w:rPr>
            </w:pPr>
            <w:r>
              <w:rPr>
                <w:rFonts w:ascii="宋体" w:hAnsi="宋体" w:cs="宋体" w:eastAsia="宋体" w:hint="default"/>
                <w:sz w:val="18"/>
                <w:szCs w:val="18"/>
              </w:rPr>
              <w:t>单位持股</w:t>
            </w:r>
          </w:p>
          <w:p>
            <w:pPr>
              <w:pStyle w:val="TableParagraph"/>
              <w:spacing w:line="240" w:lineRule="auto"/>
              <w:ind w:left="133" w:right="131"/>
              <w:jc w:val="both"/>
              <w:rPr>
                <w:rFonts w:ascii="宋体" w:hAnsi="宋体" w:cs="宋体" w:eastAsia="宋体" w:hint="default"/>
                <w:sz w:val="18"/>
                <w:szCs w:val="18"/>
              </w:rPr>
            </w:pPr>
            <w:r>
              <w:rPr>
                <w:rFonts w:ascii="宋体" w:hAnsi="宋体" w:cs="宋体" w:eastAsia="宋体" w:hint="default"/>
                <w:sz w:val="18"/>
                <w:szCs w:val="18"/>
              </w:rPr>
              <w:t>比例与表 决权比例 不一致的</w:t>
            </w:r>
          </w:p>
        </w:tc>
        <w:tc>
          <w:tcPr>
            <w:tcW w:w="430" w:type="dxa"/>
            <w:vMerge/>
            <w:tcBorders>
              <w:left w:val="single" w:sz="4" w:space="0" w:color="000000"/>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106" w:right="0"/>
              <w:jc w:val="both"/>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37" w:lineRule="auto" w:before="1"/>
              <w:ind w:left="106" w:right="105"/>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846"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47" w:right="151"/>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353" w:hRule="exact"/>
        </w:trPr>
        <w:tc>
          <w:tcPr>
            <w:tcW w:w="1205" w:type="dxa"/>
            <w:tcBorders>
              <w:top w:val="nil" w:sz="6" w:space="0" w:color="auto"/>
              <w:left w:val="nil" w:sz="6" w:space="0" w:color="auto"/>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30"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177" w:right="0"/>
              <w:jc w:val="left"/>
              <w:rPr>
                <w:rFonts w:ascii="Times New Roman" w:hAnsi="Times New Roman" w:cs="Times New Roman" w:eastAsia="Times New Roman" w:hint="default"/>
                <w:sz w:val="18"/>
                <w:szCs w:val="18"/>
              </w:rPr>
            </w:pPr>
            <w:r>
              <w:rPr>
                <w:rFonts w:ascii="Times New Roman"/>
                <w:sz w:val="18"/>
              </w:rPr>
              <w:t>(%)</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13" w:lineRule="exact"/>
              <w:ind w:right="137"/>
              <w:jc w:val="righ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996" w:type="dxa"/>
            <w:tcBorders>
              <w:top w:val="nil" w:sz="6" w:space="0" w:color="auto"/>
              <w:left w:val="single" w:sz="4" w:space="0" w:color="000000"/>
              <w:bottom w:val="single" w:sz="4" w:space="0" w:color="000000"/>
              <w:right w:val="single" w:sz="4" w:space="0" w:color="000000"/>
            </w:tcBorders>
          </w:tcPr>
          <w:p>
            <w:pPr>
              <w:pStyle w:val="TableParagraph"/>
              <w:spacing w:line="200" w:lineRule="exact"/>
              <w:ind w:left="313"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430" w:type="dxa"/>
            <w:vMerge/>
            <w:tcBorders>
              <w:left w:val="single" w:sz="4" w:space="0" w:color="000000"/>
              <w:bottom w:val="single" w:sz="4" w:space="0" w:color="000000"/>
              <w:right w:val="single" w:sz="4" w:space="0" w:color="000000"/>
            </w:tcBorders>
          </w:tcPr>
          <w:p>
            <w:pPr/>
          </w:p>
        </w:tc>
        <w:tc>
          <w:tcPr>
            <w:tcW w:w="584" w:type="dxa"/>
            <w:tcBorders>
              <w:top w:val="nil" w:sz="6" w:space="0" w:color="auto"/>
              <w:left w:val="single" w:sz="4" w:space="0" w:color="000000"/>
              <w:bottom w:val="single" w:sz="4" w:space="0" w:color="000000"/>
              <w:right w:val="single" w:sz="4" w:space="0" w:color="000000"/>
            </w:tcBorders>
          </w:tcPr>
          <w:p>
            <w:pPr/>
          </w:p>
        </w:tc>
        <w:tc>
          <w:tcPr>
            <w:tcW w:w="846" w:type="dxa"/>
            <w:tcBorders>
              <w:top w:val="nil" w:sz="6" w:space="0" w:color="auto"/>
              <w:left w:val="single" w:sz="4" w:space="0" w:color="000000"/>
              <w:bottom w:val="single" w:sz="4" w:space="0" w:color="000000"/>
              <w:right w:val="nil" w:sz="6" w:space="0" w:color="auto"/>
            </w:tcBorders>
          </w:tcPr>
          <w:p>
            <w:pPr/>
          </w:p>
        </w:tc>
      </w:tr>
      <w:tr>
        <w:trPr>
          <w:trHeight w:val="357" w:hRule="exact"/>
        </w:trPr>
        <w:tc>
          <w:tcPr>
            <w:tcW w:w="1205" w:type="dxa"/>
            <w:tcBorders>
              <w:top w:val="single" w:sz="4" w:space="0" w:color="000000"/>
              <w:left w:val="nil" w:sz="6" w:space="0" w:color="auto"/>
              <w:bottom w:val="nil" w:sz="6" w:space="0" w:color="auto"/>
              <w:right w:val="single" w:sz="4" w:space="0" w:color="000000"/>
            </w:tcBorders>
          </w:tcPr>
          <w:p>
            <w:pPr>
              <w:pStyle w:val="TableParagraph"/>
              <w:spacing w:line="240" w:lineRule="auto" w:before="89"/>
              <w:ind w:left="159" w:right="0"/>
              <w:jc w:val="left"/>
              <w:rPr>
                <w:rFonts w:ascii="宋体" w:hAnsi="宋体" w:cs="宋体" w:eastAsia="宋体" w:hint="default"/>
                <w:sz w:val="18"/>
                <w:szCs w:val="18"/>
              </w:rPr>
            </w:pPr>
            <w:r>
              <w:rPr>
                <w:rFonts w:ascii="宋体" w:hAnsi="宋体" w:cs="宋体" w:eastAsia="宋体" w:hint="default"/>
                <w:sz w:val="18"/>
                <w:szCs w:val="18"/>
              </w:rPr>
              <w:t>深圳市银之</w:t>
            </w: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30"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996" w:type="dxa"/>
            <w:tcBorders>
              <w:top w:val="single" w:sz="4" w:space="0" w:color="000000"/>
              <w:left w:val="single" w:sz="4" w:space="0" w:color="000000"/>
              <w:bottom w:val="nil" w:sz="6" w:space="0" w:color="auto"/>
              <w:right w:val="single" w:sz="4" w:space="0" w:color="000000"/>
            </w:tcBorders>
          </w:tcPr>
          <w:p>
            <w:pPr/>
          </w:p>
        </w:tc>
        <w:tc>
          <w:tcPr>
            <w:tcW w:w="430" w:type="dxa"/>
            <w:tcBorders>
              <w:top w:val="single" w:sz="4" w:space="0" w:color="000000"/>
              <w:left w:val="single" w:sz="4" w:space="0" w:color="000000"/>
              <w:bottom w:val="nil" w:sz="6" w:space="0" w:color="auto"/>
              <w:right w:val="single" w:sz="4" w:space="0" w:color="000000"/>
            </w:tcBorders>
          </w:tcPr>
          <w:p>
            <w:pPr/>
          </w:p>
        </w:tc>
        <w:tc>
          <w:tcPr>
            <w:tcW w:w="584" w:type="dxa"/>
            <w:tcBorders>
              <w:top w:val="single" w:sz="4" w:space="0" w:color="000000"/>
              <w:left w:val="single" w:sz="4" w:space="0" w:color="000000"/>
              <w:bottom w:val="nil" w:sz="6" w:space="0" w:color="auto"/>
              <w:right w:val="single" w:sz="4" w:space="0" w:color="000000"/>
            </w:tcBorders>
          </w:tcPr>
          <w:p>
            <w:pPr/>
          </w:p>
        </w:tc>
        <w:tc>
          <w:tcPr>
            <w:tcW w:w="846" w:type="dxa"/>
            <w:tcBorders>
              <w:top w:val="single" w:sz="4" w:space="0" w:color="000000"/>
              <w:left w:val="single" w:sz="4" w:space="0" w:color="000000"/>
              <w:bottom w:val="nil" w:sz="6" w:space="0" w:color="auto"/>
              <w:right w:val="nil" w:sz="6" w:space="0" w:color="auto"/>
            </w:tcBorders>
          </w:tcPr>
          <w:p>
            <w:pPr/>
          </w:p>
        </w:tc>
      </w:tr>
      <w:tr>
        <w:trPr>
          <w:trHeight w:val="233" w:hRule="exact"/>
        </w:trPr>
        <w:tc>
          <w:tcPr>
            <w:tcW w:w="1205" w:type="dxa"/>
            <w:tcBorders>
              <w:top w:val="nil" w:sz="6" w:space="0" w:color="auto"/>
              <w:left w:val="nil" w:sz="6" w:space="0" w:color="auto"/>
              <w:bottom w:val="nil" w:sz="6" w:space="0" w:color="auto"/>
              <w:right w:val="single" w:sz="4" w:space="0" w:color="000000"/>
            </w:tcBorders>
          </w:tcPr>
          <w:p>
            <w:pPr>
              <w:pStyle w:val="TableParagraph"/>
              <w:spacing w:line="206" w:lineRule="exact"/>
              <w:ind w:left="159" w:right="0"/>
              <w:jc w:val="left"/>
              <w:rPr>
                <w:rFonts w:ascii="宋体" w:hAnsi="宋体" w:cs="宋体" w:eastAsia="宋体" w:hint="default"/>
                <w:sz w:val="18"/>
                <w:szCs w:val="18"/>
              </w:rPr>
            </w:pPr>
            <w:r>
              <w:rPr>
                <w:rFonts w:ascii="宋体" w:hAnsi="宋体" w:cs="宋体" w:eastAsia="宋体" w:hint="default"/>
                <w:sz w:val="18"/>
                <w:szCs w:val="18"/>
              </w:rPr>
              <w:t>杰软件技术</w:t>
            </w: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30"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
        </w:tc>
        <w:tc>
          <w:tcPr>
            <w:tcW w:w="430"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tcPr>
          <w:p>
            <w:pPr/>
          </w:p>
        </w:tc>
        <w:tc>
          <w:tcPr>
            <w:tcW w:w="846" w:type="dxa"/>
            <w:tcBorders>
              <w:top w:val="nil" w:sz="6" w:space="0" w:color="auto"/>
              <w:left w:val="single" w:sz="4" w:space="0" w:color="000000"/>
              <w:bottom w:val="nil" w:sz="6" w:space="0" w:color="auto"/>
              <w:right w:val="nil" w:sz="6" w:space="0" w:color="auto"/>
            </w:tcBorders>
          </w:tcPr>
          <w:p>
            <w:pPr/>
          </w:p>
        </w:tc>
      </w:tr>
      <w:tr>
        <w:trPr>
          <w:trHeight w:val="360" w:hRule="exact"/>
        </w:trPr>
        <w:tc>
          <w:tcPr>
            <w:tcW w:w="1205" w:type="dxa"/>
            <w:tcBorders>
              <w:top w:val="nil" w:sz="6" w:space="0" w:color="auto"/>
              <w:left w:val="nil" w:sz="6" w:space="0" w:color="auto"/>
              <w:bottom w:val="single" w:sz="4" w:space="0" w:color="000000"/>
              <w:right w:val="single" w:sz="4" w:space="0" w:color="000000"/>
            </w:tcBorders>
          </w:tcPr>
          <w:p>
            <w:pPr>
              <w:pStyle w:val="TableParagraph"/>
              <w:spacing w:line="207" w:lineRule="exact"/>
              <w:ind w:left="249"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18"/>
                <w:szCs w:val="18"/>
              </w:rPr>
            </w:pPr>
            <w:r>
              <w:rPr>
                <w:rFonts w:ascii="Times New Roman"/>
                <w:sz w:val="18"/>
              </w:rPr>
              <w:t>100.00</w:t>
            </w:r>
          </w:p>
        </w:tc>
        <w:tc>
          <w:tcPr>
            <w:tcW w:w="9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4"/>
              <w:ind w:right="162"/>
              <w:jc w:val="right"/>
              <w:rPr>
                <w:rFonts w:ascii="Times New Roman" w:hAnsi="Times New Roman" w:cs="Times New Roman" w:eastAsia="Times New Roman" w:hint="default"/>
                <w:sz w:val="18"/>
                <w:szCs w:val="18"/>
              </w:rPr>
            </w:pPr>
            <w:r>
              <w:rPr>
                <w:rFonts w:ascii="Times New Roman"/>
                <w:sz w:val="18"/>
              </w:rPr>
              <w:t>-</w:t>
            </w:r>
          </w:p>
        </w:tc>
        <w:tc>
          <w:tcPr>
            <w:tcW w:w="8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18"/>
                <w:szCs w:val="18"/>
              </w:rPr>
            </w:pPr>
            <w:r>
              <w:rPr>
                <w:rFonts w:ascii="Times New Roman"/>
                <w:sz w:val="18"/>
              </w:rPr>
              <w:t>100.00</w:t>
            </w: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Times New Roman" w:hAnsi="Times New Roman" w:cs="Times New Roman" w:eastAsia="Times New Roman" w:hint="default"/>
                <w:sz w:val="18"/>
                <w:szCs w:val="18"/>
              </w:rPr>
            </w:pPr>
            <w:r>
              <w:rPr>
                <w:rFonts w:ascii="Times New Roman"/>
                <w:sz w:val="18"/>
              </w:rPr>
              <w:t>100%</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18"/>
                <w:szCs w:val="18"/>
              </w:rPr>
            </w:pPr>
            <w:r>
              <w:rPr>
                <w:rFonts w:ascii="Times New Roman"/>
                <w:sz w:val="18"/>
              </w:rPr>
              <w:t>100%</w:t>
            </w:r>
          </w:p>
        </w:tc>
        <w:tc>
          <w:tcPr>
            <w:tcW w:w="996"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hAnsi="宋体" w:cs="宋体" w:eastAsia="宋体" w:hint="default"/>
                <w:sz w:val="18"/>
                <w:szCs w:val="18"/>
              </w:rPr>
              <w:t>无</w:t>
            </w:r>
          </w:p>
        </w:tc>
        <w:tc>
          <w:tcPr>
            <w:tcW w:w="4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4"/>
              <w:ind w:left="31" w:right="0"/>
              <w:jc w:val="center"/>
              <w:rPr>
                <w:rFonts w:ascii="Times New Roman" w:hAnsi="Times New Roman" w:cs="Times New Roman" w:eastAsia="Times New Roman" w:hint="default"/>
                <w:sz w:val="18"/>
                <w:szCs w:val="18"/>
              </w:rPr>
            </w:pPr>
            <w:r>
              <w:rPr>
                <w:rFonts w:ascii="Times New Roman"/>
                <w:sz w:val="18"/>
              </w:rPr>
              <w:t>-</w:t>
            </w:r>
          </w:p>
        </w:tc>
        <w:tc>
          <w:tcPr>
            <w:tcW w:w="5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4"/>
              <w:ind w:right="170"/>
              <w:jc w:val="right"/>
              <w:rPr>
                <w:rFonts w:ascii="Times New Roman" w:hAnsi="Times New Roman" w:cs="Times New Roman" w:eastAsia="Times New Roman" w:hint="default"/>
                <w:sz w:val="18"/>
                <w:szCs w:val="18"/>
              </w:rPr>
            </w:pPr>
            <w:r>
              <w:rPr>
                <w:rFonts w:ascii="Times New Roman"/>
                <w:sz w:val="18"/>
              </w:rPr>
              <w:t>-</w:t>
            </w:r>
          </w:p>
        </w:tc>
        <w:tc>
          <w:tcPr>
            <w:tcW w:w="846" w:type="dxa"/>
            <w:tcBorders>
              <w:top w:val="nil" w:sz="6" w:space="0" w:color="auto"/>
              <w:left w:val="single" w:sz="4" w:space="0" w:color="000000"/>
              <w:bottom w:val="single" w:sz="4" w:space="0" w:color="000000"/>
              <w:right w:val="nil" w:sz="6" w:space="0" w:color="auto"/>
            </w:tcBorders>
          </w:tcPr>
          <w:p>
            <w:pPr>
              <w:pStyle w:val="TableParagraph"/>
              <w:spacing w:line="240" w:lineRule="auto" w:before="23"/>
              <w:ind w:right="104"/>
              <w:jc w:val="right"/>
              <w:rPr>
                <w:rFonts w:ascii="Times New Roman" w:hAnsi="Times New Roman" w:cs="Times New Roman" w:eastAsia="Times New Roman" w:hint="default"/>
                <w:sz w:val="18"/>
                <w:szCs w:val="18"/>
              </w:rPr>
            </w:pPr>
            <w:r>
              <w:rPr>
                <w:rFonts w:ascii="Times New Roman"/>
                <w:sz w:val="18"/>
              </w:rPr>
              <w:t>1,350.00</w:t>
            </w:r>
          </w:p>
        </w:tc>
      </w:tr>
      <w:tr>
        <w:trPr>
          <w:trHeight w:val="357" w:hRule="exact"/>
        </w:trPr>
        <w:tc>
          <w:tcPr>
            <w:tcW w:w="1205" w:type="dxa"/>
            <w:tcBorders>
              <w:top w:val="single" w:sz="4" w:space="0" w:color="000000"/>
              <w:left w:val="nil" w:sz="6" w:space="0" w:color="auto"/>
              <w:bottom w:val="nil" w:sz="6" w:space="0" w:color="auto"/>
              <w:right w:val="single" w:sz="4" w:space="0" w:color="000000"/>
            </w:tcBorders>
          </w:tcPr>
          <w:p>
            <w:pPr>
              <w:pStyle w:val="TableParagraph"/>
              <w:spacing w:line="240" w:lineRule="auto" w:before="89"/>
              <w:ind w:left="159" w:right="0"/>
              <w:jc w:val="left"/>
              <w:rPr>
                <w:rFonts w:ascii="宋体" w:hAnsi="宋体" w:cs="宋体" w:eastAsia="宋体" w:hint="default"/>
                <w:sz w:val="18"/>
                <w:szCs w:val="18"/>
              </w:rPr>
            </w:pPr>
            <w:r>
              <w:rPr>
                <w:rFonts w:ascii="宋体" w:hAnsi="宋体" w:cs="宋体" w:eastAsia="宋体" w:hint="default"/>
                <w:sz w:val="18"/>
                <w:szCs w:val="18"/>
              </w:rPr>
              <w:t>深圳市银之</w:t>
            </w: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930"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996" w:type="dxa"/>
            <w:tcBorders>
              <w:top w:val="single" w:sz="4" w:space="0" w:color="000000"/>
              <w:left w:val="single" w:sz="4" w:space="0" w:color="000000"/>
              <w:bottom w:val="nil" w:sz="6" w:space="0" w:color="auto"/>
              <w:right w:val="single" w:sz="4" w:space="0" w:color="000000"/>
            </w:tcBorders>
          </w:tcPr>
          <w:p>
            <w:pPr/>
          </w:p>
        </w:tc>
        <w:tc>
          <w:tcPr>
            <w:tcW w:w="430"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846" w:type="dxa"/>
            <w:tcBorders>
              <w:top w:val="single" w:sz="4" w:space="0" w:color="000000"/>
              <w:left w:val="single" w:sz="4" w:space="0" w:color="000000"/>
              <w:bottom w:val="nil" w:sz="6" w:space="0" w:color="auto"/>
              <w:right w:val="nil" w:sz="6" w:space="0" w:color="auto"/>
            </w:tcBorders>
          </w:tcPr>
          <w:p>
            <w:pPr/>
          </w:p>
        </w:tc>
      </w:tr>
      <w:tr>
        <w:trPr>
          <w:trHeight w:val="233" w:hRule="exact"/>
        </w:trPr>
        <w:tc>
          <w:tcPr>
            <w:tcW w:w="1205" w:type="dxa"/>
            <w:tcBorders>
              <w:top w:val="nil" w:sz="6" w:space="0" w:color="auto"/>
              <w:left w:val="nil" w:sz="6" w:space="0" w:color="auto"/>
              <w:bottom w:val="nil" w:sz="6" w:space="0" w:color="auto"/>
              <w:right w:val="single" w:sz="4" w:space="0" w:color="000000"/>
            </w:tcBorders>
          </w:tcPr>
          <w:p>
            <w:pPr>
              <w:pStyle w:val="TableParagraph"/>
              <w:spacing w:line="206" w:lineRule="exact"/>
              <w:ind w:left="159" w:right="0"/>
              <w:jc w:val="left"/>
              <w:rPr>
                <w:rFonts w:ascii="宋体" w:hAnsi="宋体" w:cs="宋体" w:eastAsia="宋体" w:hint="default"/>
                <w:sz w:val="18"/>
                <w:szCs w:val="18"/>
              </w:rPr>
            </w:pPr>
            <w:r>
              <w:rPr>
                <w:rFonts w:ascii="宋体" w:hAnsi="宋体" w:cs="宋体" w:eastAsia="宋体" w:hint="default"/>
                <w:sz w:val="18"/>
                <w:szCs w:val="18"/>
              </w:rPr>
              <w:t>杰技术开发</w:t>
            </w: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930"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
        </w:tc>
        <w:tc>
          <w:tcPr>
            <w:tcW w:w="430"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846" w:type="dxa"/>
            <w:tcBorders>
              <w:top w:val="nil" w:sz="6" w:space="0" w:color="auto"/>
              <w:left w:val="single" w:sz="4" w:space="0" w:color="000000"/>
              <w:bottom w:val="nil" w:sz="6" w:space="0" w:color="auto"/>
              <w:right w:val="nil" w:sz="6" w:space="0" w:color="auto"/>
            </w:tcBorders>
          </w:tcPr>
          <w:p>
            <w:pPr/>
          </w:p>
        </w:tc>
      </w:tr>
      <w:tr>
        <w:trPr>
          <w:trHeight w:val="360" w:hRule="exact"/>
        </w:trPr>
        <w:tc>
          <w:tcPr>
            <w:tcW w:w="1205" w:type="dxa"/>
            <w:tcBorders>
              <w:top w:val="nil" w:sz="6" w:space="0" w:color="auto"/>
              <w:left w:val="nil" w:sz="6" w:space="0" w:color="auto"/>
              <w:bottom w:val="single" w:sz="4" w:space="0" w:color="000000"/>
              <w:right w:val="single" w:sz="4" w:space="0" w:color="000000"/>
            </w:tcBorders>
          </w:tcPr>
          <w:p>
            <w:pPr>
              <w:pStyle w:val="TableParagraph"/>
              <w:spacing w:line="207" w:lineRule="exact"/>
              <w:ind w:left="249"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18"/>
                <w:szCs w:val="18"/>
              </w:rPr>
            </w:pPr>
            <w:r>
              <w:rPr>
                <w:rFonts w:ascii="Times New Roman"/>
                <w:sz w:val="18"/>
              </w:rPr>
              <w:t>300.00</w:t>
            </w:r>
          </w:p>
        </w:tc>
        <w:tc>
          <w:tcPr>
            <w:tcW w:w="900" w:type="dxa"/>
            <w:vMerge/>
            <w:tcBorders>
              <w:left w:val="single" w:sz="4" w:space="0" w:color="000000"/>
              <w:bottom w:val="single" w:sz="4" w:space="0" w:color="000000"/>
              <w:right w:val="single" w:sz="4" w:space="0" w:color="000000"/>
            </w:tcBorders>
          </w:tcPr>
          <w:p>
            <w:pPr/>
          </w:p>
        </w:tc>
        <w:tc>
          <w:tcPr>
            <w:tcW w:w="9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4"/>
              <w:ind w:right="162"/>
              <w:jc w:val="right"/>
              <w:rPr>
                <w:rFonts w:ascii="Times New Roman" w:hAnsi="Times New Roman" w:cs="Times New Roman" w:eastAsia="Times New Roman" w:hint="default"/>
                <w:sz w:val="18"/>
                <w:szCs w:val="18"/>
              </w:rPr>
            </w:pPr>
            <w:r>
              <w:rPr>
                <w:rFonts w:ascii="Times New Roman"/>
                <w:sz w:val="18"/>
              </w:rPr>
              <w:t>300.00</w:t>
            </w:r>
          </w:p>
        </w:tc>
        <w:tc>
          <w:tcPr>
            <w:tcW w:w="8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18"/>
                <w:szCs w:val="18"/>
              </w:rPr>
            </w:pPr>
            <w:r>
              <w:rPr>
                <w:rFonts w:ascii="Times New Roman"/>
                <w:sz w:val="18"/>
              </w:rPr>
              <w:t>300.00</w:t>
            </w: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Times New Roman" w:hAnsi="Times New Roman" w:cs="Times New Roman" w:eastAsia="Times New Roman" w:hint="default"/>
                <w:sz w:val="18"/>
                <w:szCs w:val="18"/>
              </w:rPr>
            </w:pPr>
            <w:r>
              <w:rPr>
                <w:rFonts w:ascii="Times New Roman"/>
                <w:sz w:val="18"/>
              </w:rPr>
              <w:t>100%</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18"/>
                <w:szCs w:val="18"/>
              </w:rPr>
            </w:pPr>
            <w:r>
              <w:rPr>
                <w:rFonts w:ascii="Times New Roman"/>
                <w:sz w:val="18"/>
              </w:rPr>
              <w:t>100%</w:t>
            </w:r>
          </w:p>
        </w:tc>
        <w:tc>
          <w:tcPr>
            <w:tcW w:w="996"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hAnsi="宋体" w:cs="宋体" w:eastAsia="宋体" w:hint="default"/>
                <w:sz w:val="18"/>
                <w:szCs w:val="18"/>
              </w:rPr>
              <w:t>无</w:t>
            </w:r>
          </w:p>
        </w:tc>
        <w:tc>
          <w:tcPr>
            <w:tcW w:w="430"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846" w:type="dxa"/>
            <w:tcBorders>
              <w:top w:val="nil" w:sz="6" w:space="0" w:color="auto"/>
              <w:left w:val="single" w:sz="4" w:space="0" w:color="000000"/>
              <w:bottom w:val="single" w:sz="4" w:space="0" w:color="000000"/>
              <w:right w:val="nil" w:sz="6" w:space="0" w:color="auto"/>
            </w:tcBorders>
          </w:tcPr>
          <w:p>
            <w:pPr>
              <w:pStyle w:val="TableParagraph"/>
              <w:spacing w:line="240" w:lineRule="auto" w:before="23"/>
              <w:ind w:right="106"/>
              <w:jc w:val="right"/>
              <w:rPr>
                <w:rFonts w:ascii="Times New Roman" w:hAnsi="Times New Roman" w:cs="Times New Roman" w:eastAsia="Times New Roman" w:hint="default"/>
                <w:sz w:val="18"/>
                <w:szCs w:val="18"/>
              </w:rPr>
            </w:pPr>
            <w:r>
              <w:rPr>
                <w:rFonts w:ascii="Times New Roman"/>
                <w:sz w:val="18"/>
              </w:rPr>
              <w:t>-</w:t>
            </w:r>
          </w:p>
        </w:tc>
      </w:tr>
      <w:tr>
        <w:trPr>
          <w:trHeight w:val="484" w:hRule="exact"/>
        </w:trPr>
        <w:tc>
          <w:tcPr>
            <w:tcW w:w="12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400.00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100.00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62"/>
              <w:jc w:val="right"/>
              <w:rPr>
                <w:rFonts w:ascii="Times New Roman" w:hAnsi="Times New Roman" w:cs="Times New Roman" w:eastAsia="Times New Roman" w:hint="default"/>
                <w:sz w:val="18"/>
                <w:szCs w:val="18"/>
              </w:rPr>
            </w:pPr>
            <w:r>
              <w:rPr>
                <w:rFonts w:ascii="Times New Roman"/>
                <w:sz w:val="18"/>
              </w:rPr>
              <w:t>300.00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400.00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2" w:right="0"/>
              <w:jc w:val="left"/>
              <w:rPr>
                <w:rFonts w:ascii="Times New Roman" w:hAnsi="Times New Roman" w:cs="Times New Roman" w:eastAsia="Times New Roman" w:hint="default"/>
                <w:sz w:val="18"/>
                <w:szCs w:val="18"/>
              </w:rPr>
            </w:pPr>
            <w:r>
              <w:rPr>
                <w:rFonts w:ascii="Times New Roman"/>
                <w:sz w:val="18"/>
              </w:rPr>
              <w:t>100%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100%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hAnsi="宋体" w:cs="宋体" w:eastAsia="宋体" w:hint="default"/>
                <w:sz w:val="18"/>
                <w:szCs w:val="18"/>
              </w:rPr>
              <w:t>无</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1" w:right="0"/>
              <w:jc w:val="center"/>
              <w:rPr>
                <w:rFonts w:ascii="Times New Roman" w:hAnsi="Times New Roman" w:cs="Times New Roman" w:eastAsia="Times New Roman" w:hint="default"/>
                <w:sz w:val="18"/>
                <w:szCs w:val="18"/>
              </w:rPr>
            </w:pPr>
            <w:r>
              <w:rPr>
                <w:rFonts w:ascii="Times New Roman"/>
                <w:sz w:val="18"/>
              </w:rPr>
              <w:t>-</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70"/>
              <w:jc w:val="right"/>
              <w:rPr>
                <w:rFonts w:ascii="Times New Roman" w:hAnsi="Times New Roman" w:cs="Times New Roman" w:eastAsia="Times New Roman" w:hint="default"/>
                <w:sz w:val="18"/>
                <w:szCs w:val="18"/>
              </w:rPr>
            </w:pPr>
            <w:r>
              <w:rPr>
                <w:rFonts w:ascii="Times New Roman"/>
                <w:sz w:val="18"/>
              </w:rPr>
              <w:t>-</w:t>
            </w:r>
          </w:p>
        </w:tc>
        <w:tc>
          <w:tcPr>
            <w:tcW w:w="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4"/>
              <w:jc w:val="right"/>
              <w:rPr>
                <w:rFonts w:ascii="Times New Roman" w:hAnsi="Times New Roman" w:cs="Times New Roman" w:eastAsia="Times New Roman" w:hint="default"/>
                <w:sz w:val="18"/>
                <w:szCs w:val="18"/>
              </w:rPr>
            </w:pPr>
            <w:r>
              <w:rPr>
                <w:rFonts w:ascii="Times New Roman"/>
                <w:sz w:val="18"/>
              </w:rPr>
              <w:t>1,350.00</w:t>
            </w:r>
          </w:p>
        </w:tc>
      </w:tr>
    </w:tbl>
    <w:p>
      <w:pPr>
        <w:spacing w:before="86"/>
        <w:ind w:left="0" w:right="759" w:firstLine="0"/>
        <w:jc w:val="right"/>
        <w:rPr>
          <w:rFonts w:ascii="宋体" w:hAnsi="宋体" w:cs="宋体" w:eastAsia="宋体" w:hint="default"/>
          <w:sz w:val="21"/>
          <w:szCs w:val="21"/>
        </w:rPr>
      </w:pPr>
      <w:r>
        <w:rPr>
          <w:rFonts w:ascii="宋体" w:hAnsi="宋体" w:cs="宋体" w:eastAsia="宋体" w:hint="default"/>
          <w:sz w:val="21"/>
          <w:szCs w:val="21"/>
        </w:rPr>
        <w:t>本期现金红利</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1350 </w:t>
      </w:r>
      <w:r>
        <w:rPr>
          <w:rFonts w:ascii="宋体" w:hAnsi="宋体" w:cs="宋体" w:eastAsia="宋体" w:hint="default"/>
          <w:sz w:val="21"/>
          <w:szCs w:val="21"/>
        </w:rPr>
        <w:t>万元是指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年度深圳市银之杰软件技术有限公司宣告并已实际分配</w:t>
      </w:r>
    </w:p>
    <w:p>
      <w:pPr>
        <w:spacing w:before="117"/>
        <w:ind w:left="784"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给母公司的利润，</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年度深圳市银之杰软件技术有限公司宣告分配利润</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2300 </w:t>
      </w:r>
      <w:r>
        <w:rPr>
          <w:rFonts w:ascii="宋体" w:hAnsi="宋体" w:cs="宋体" w:eastAsia="宋体" w:hint="default"/>
          <w:sz w:val="21"/>
          <w:szCs w:val="21"/>
        </w:rPr>
        <w:t>万元，于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2011</w:t>
      </w:r>
    </w:p>
    <w:p>
      <w:pPr>
        <w:spacing w:before="118"/>
        <w:ind w:left="784"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月分配给母公司。</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3"/>
          <w:szCs w:val="23"/>
        </w:rPr>
      </w:pPr>
    </w:p>
    <w:p>
      <w:pPr>
        <w:spacing w:before="0"/>
        <w:ind w:left="78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78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w:t>
      </w:r>
    </w:p>
    <w:p>
      <w:pPr>
        <w:spacing w:line="240" w:lineRule="auto" w:before="1"/>
        <w:rPr>
          <w:rFonts w:ascii="宋体" w:hAnsi="宋体" w:cs="宋体" w:eastAsia="宋体" w:hint="default"/>
          <w:sz w:val="18"/>
          <w:szCs w:val="18"/>
        </w:rPr>
      </w:pPr>
    </w:p>
    <w:p>
      <w:pPr>
        <w:spacing w:before="0"/>
        <w:ind w:left="0" w:right="84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764" w:type="dxa"/>
        <w:tblLayout w:type="fixed"/>
        <w:tblCellMar>
          <w:top w:w="0" w:type="dxa"/>
          <w:left w:w="0" w:type="dxa"/>
          <w:bottom w:w="0" w:type="dxa"/>
          <w:right w:w="0" w:type="dxa"/>
        </w:tblCellMar>
        <w:tblLook w:val="01E0"/>
      </w:tblPr>
      <w:tblGrid>
        <w:gridCol w:w="2384"/>
        <w:gridCol w:w="3100"/>
        <w:gridCol w:w="3100"/>
      </w:tblGrid>
      <w:tr>
        <w:trPr>
          <w:trHeight w:val="388" w:hRule="exact"/>
        </w:trPr>
        <w:tc>
          <w:tcPr>
            <w:tcW w:w="2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8" w:hRule="exact"/>
        </w:trPr>
        <w:tc>
          <w:tcPr>
            <w:tcW w:w="2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94,463,450.73</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Times New Roman" w:hAnsi="Times New Roman" w:cs="Times New Roman" w:eastAsia="Times New Roman" w:hint="default"/>
                <w:sz w:val="18"/>
                <w:szCs w:val="18"/>
              </w:rPr>
            </w:pPr>
            <w:r>
              <w:rPr>
                <w:rFonts w:ascii="Times New Roman"/>
                <w:spacing w:val="-1"/>
                <w:sz w:val="18"/>
              </w:rPr>
              <w:t>90,244,022.54</w:t>
            </w:r>
          </w:p>
        </w:tc>
      </w:tr>
      <w:tr>
        <w:trPr>
          <w:trHeight w:val="388" w:hRule="exact"/>
        </w:trPr>
        <w:tc>
          <w:tcPr>
            <w:tcW w:w="2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1,931,034.60</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Times New Roman" w:hAnsi="Times New Roman" w:cs="Times New Roman" w:eastAsia="Times New Roman" w:hint="default"/>
                <w:sz w:val="18"/>
                <w:szCs w:val="18"/>
              </w:rPr>
            </w:pPr>
            <w:r>
              <w:rPr>
                <w:rFonts w:ascii="Times New Roman"/>
                <w:spacing w:val="-1"/>
                <w:sz w:val="18"/>
              </w:rPr>
              <w:t>1,898,305.20</w:t>
            </w:r>
          </w:p>
        </w:tc>
      </w:tr>
      <w:tr>
        <w:trPr>
          <w:trHeight w:val="388" w:hRule="exact"/>
        </w:trPr>
        <w:tc>
          <w:tcPr>
            <w:tcW w:w="2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96,394,485.33</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Times New Roman" w:hAnsi="Times New Roman" w:cs="Times New Roman" w:eastAsia="Times New Roman" w:hint="default"/>
                <w:sz w:val="18"/>
                <w:szCs w:val="18"/>
              </w:rPr>
            </w:pPr>
            <w:r>
              <w:rPr>
                <w:rFonts w:ascii="Times New Roman"/>
                <w:spacing w:val="-1"/>
                <w:sz w:val="18"/>
              </w:rPr>
              <w:t>92,142,327.74</w:t>
            </w:r>
          </w:p>
        </w:tc>
      </w:tr>
      <w:tr>
        <w:trPr>
          <w:trHeight w:val="388" w:hRule="exact"/>
        </w:trPr>
        <w:tc>
          <w:tcPr>
            <w:tcW w:w="2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55,687,362.60</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Times New Roman" w:hAnsi="Times New Roman" w:cs="Times New Roman" w:eastAsia="Times New Roman" w:hint="default"/>
                <w:sz w:val="18"/>
                <w:szCs w:val="18"/>
              </w:rPr>
            </w:pPr>
            <w:r>
              <w:rPr>
                <w:rFonts w:ascii="Times New Roman"/>
                <w:spacing w:val="-1"/>
                <w:sz w:val="18"/>
              </w:rPr>
              <w:t>47,415,948.09</w:t>
            </w:r>
          </w:p>
        </w:tc>
      </w:tr>
      <w:tr>
        <w:trPr>
          <w:trHeight w:val="386" w:hRule="exact"/>
        </w:trPr>
        <w:tc>
          <w:tcPr>
            <w:tcW w:w="2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其他业务支出</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1,157,844.48</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Times New Roman" w:hAnsi="Times New Roman" w:cs="Times New Roman" w:eastAsia="Times New Roman" w:hint="default"/>
                <w:sz w:val="18"/>
                <w:szCs w:val="18"/>
              </w:rPr>
            </w:pPr>
            <w:r>
              <w:rPr>
                <w:rFonts w:ascii="Times New Roman"/>
                <w:spacing w:val="-1"/>
                <w:sz w:val="18"/>
              </w:rPr>
              <w:t>1,146,476.16</w:t>
            </w:r>
          </w:p>
        </w:tc>
      </w:tr>
      <w:tr>
        <w:trPr>
          <w:trHeight w:val="389" w:hRule="exact"/>
        </w:trPr>
        <w:tc>
          <w:tcPr>
            <w:tcW w:w="2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营业成本合计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56,845,207.08</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Times New Roman" w:hAnsi="Times New Roman" w:cs="Times New Roman" w:eastAsia="Times New Roman" w:hint="default"/>
                <w:sz w:val="18"/>
                <w:szCs w:val="18"/>
              </w:rPr>
            </w:pPr>
            <w:r>
              <w:rPr>
                <w:rFonts w:ascii="Times New Roman"/>
                <w:spacing w:val="-1"/>
                <w:sz w:val="18"/>
              </w:rPr>
              <w:t>48,562,424.25</w:t>
            </w:r>
          </w:p>
        </w:tc>
      </w:tr>
    </w:tbl>
    <w:p>
      <w:pPr>
        <w:spacing w:line="240" w:lineRule="auto" w:before="4"/>
        <w:rPr>
          <w:rFonts w:ascii="宋体" w:hAnsi="宋体" w:cs="宋体" w:eastAsia="宋体" w:hint="default"/>
          <w:sz w:val="22"/>
          <w:szCs w:val="22"/>
        </w:rPr>
      </w:pPr>
    </w:p>
    <w:p>
      <w:pPr>
        <w:spacing w:before="35"/>
        <w:ind w:left="78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）主营业务（分行业）</w:t>
      </w:r>
    </w:p>
    <w:p>
      <w:pPr>
        <w:spacing w:line="240" w:lineRule="auto" w:before="5"/>
        <w:rPr>
          <w:rFonts w:ascii="宋体" w:hAnsi="宋体" w:cs="宋体" w:eastAsia="宋体" w:hint="default"/>
          <w:sz w:val="15"/>
          <w:szCs w:val="15"/>
        </w:rPr>
      </w:pPr>
    </w:p>
    <w:p>
      <w:pPr>
        <w:spacing w:before="35"/>
        <w:ind w:left="0" w:right="84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733" w:type="dxa"/>
        <w:tblLayout w:type="fixed"/>
        <w:tblCellMar>
          <w:top w:w="0" w:type="dxa"/>
          <w:left w:w="0" w:type="dxa"/>
          <w:bottom w:w="0" w:type="dxa"/>
          <w:right w:w="0" w:type="dxa"/>
        </w:tblCellMar>
        <w:tblLook w:val="01E0"/>
      </w:tblPr>
      <w:tblGrid>
        <w:gridCol w:w="2317"/>
        <w:gridCol w:w="1570"/>
        <w:gridCol w:w="1571"/>
        <w:gridCol w:w="1570"/>
        <w:gridCol w:w="1571"/>
      </w:tblGrid>
      <w:tr>
        <w:trPr>
          <w:trHeight w:val="388" w:hRule="exact"/>
        </w:trPr>
        <w:tc>
          <w:tcPr>
            <w:tcW w:w="2317"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4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8" w:hRule="exact"/>
        </w:trPr>
        <w:tc>
          <w:tcPr>
            <w:tcW w:w="2317" w:type="dxa"/>
            <w:vMerge/>
            <w:tcBorders>
              <w:left w:val="nil" w:sz="6" w:space="0" w:color="auto"/>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41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88" w:hRule="exact"/>
        </w:trPr>
        <w:tc>
          <w:tcPr>
            <w:tcW w:w="23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金融服务业</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94,463,450.73</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55,687,362.60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7" w:right="0"/>
              <w:jc w:val="left"/>
              <w:rPr>
                <w:rFonts w:ascii="Times New Roman" w:hAnsi="Times New Roman" w:cs="Times New Roman" w:eastAsia="Times New Roman" w:hint="default"/>
                <w:sz w:val="18"/>
                <w:szCs w:val="18"/>
              </w:rPr>
            </w:pPr>
            <w:r>
              <w:rPr>
                <w:rFonts w:ascii="Times New Roman"/>
                <w:sz w:val="18"/>
              </w:rPr>
              <w:t>90,244,022.54</w:t>
            </w:r>
          </w:p>
        </w:tc>
        <w:tc>
          <w:tcPr>
            <w:tcW w:w="1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30"/>
              <w:jc w:val="right"/>
              <w:rPr>
                <w:rFonts w:ascii="Times New Roman" w:hAnsi="Times New Roman" w:cs="Times New Roman" w:eastAsia="Times New Roman" w:hint="default"/>
                <w:sz w:val="18"/>
                <w:szCs w:val="18"/>
              </w:rPr>
            </w:pPr>
            <w:r>
              <w:rPr>
                <w:rFonts w:ascii="Times New Roman"/>
                <w:spacing w:val="-1"/>
                <w:sz w:val="18"/>
              </w:rPr>
              <w:t>47,415,948.09</w:t>
            </w:r>
          </w:p>
        </w:tc>
      </w:tr>
      <w:tr>
        <w:trPr>
          <w:trHeight w:val="388" w:hRule="exact"/>
        </w:trPr>
        <w:tc>
          <w:tcPr>
            <w:tcW w:w="23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94,463,450.73</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55,687,362.60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7" w:right="0"/>
              <w:jc w:val="left"/>
              <w:rPr>
                <w:rFonts w:ascii="Times New Roman" w:hAnsi="Times New Roman" w:cs="Times New Roman" w:eastAsia="Times New Roman" w:hint="default"/>
                <w:sz w:val="18"/>
                <w:szCs w:val="18"/>
              </w:rPr>
            </w:pPr>
            <w:r>
              <w:rPr>
                <w:rFonts w:ascii="Times New Roman"/>
                <w:sz w:val="18"/>
              </w:rPr>
              <w:t>90,244,022.54</w:t>
            </w:r>
          </w:p>
        </w:tc>
        <w:tc>
          <w:tcPr>
            <w:tcW w:w="1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30"/>
              <w:jc w:val="right"/>
              <w:rPr>
                <w:rFonts w:ascii="Times New Roman" w:hAnsi="Times New Roman" w:cs="Times New Roman" w:eastAsia="Times New Roman" w:hint="default"/>
                <w:sz w:val="18"/>
                <w:szCs w:val="18"/>
              </w:rPr>
            </w:pPr>
            <w:r>
              <w:rPr>
                <w:rFonts w:ascii="Times New Roman"/>
                <w:spacing w:val="-1"/>
                <w:sz w:val="18"/>
              </w:rPr>
              <w:t>47,415,948.09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860" w:right="8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before="35"/>
        <w:ind w:left="244" w:right="2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）主营业务（分产品）</w:t>
      </w:r>
    </w:p>
    <w:p>
      <w:pPr>
        <w:spacing w:line="240" w:lineRule="auto" w:before="6"/>
        <w:rPr>
          <w:rFonts w:ascii="宋体" w:hAnsi="宋体" w:cs="宋体" w:eastAsia="宋体" w:hint="default"/>
          <w:sz w:val="15"/>
          <w:szCs w:val="15"/>
        </w:rPr>
      </w:pPr>
    </w:p>
    <w:p>
      <w:pPr>
        <w:spacing w:before="35"/>
        <w:ind w:left="0" w:right="30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93" w:type="dxa"/>
        <w:tblLayout w:type="fixed"/>
        <w:tblCellMar>
          <w:top w:w="0" w:type="dxa"/>
          <w:left w:w="0" w:type="dxa"/>
          <w:bottom w:w="0" w:type="dxa"/>
          <w:right w:w="0" w:type="dxa"/>
        </w:tblCellMar>
        <w:tblLook w:val="01E0"/>
      </w:tblPr>
      <w:tblGrid>
        <w:gridCol w:w="2297"/>
        <w:gridCol w:w="1657"/>
        <w:gridCol w:w="1532"/>
        <w:gridCol w:w="1531"/>
        <w:gridCol w:w="1531"/>
      </w:tblGrid>
      <w:tr>
        <w:trPr>
          <w:trHeight w:val="386" w:hRule="exact"/>
        </w:trPr>
        <w:tc>
          <w:tcPr>
            <w:tcW w:w="2297"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6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8" w:hRule="exact"/>
        </w:trPr>
        <w:tc>
          <w:tcPr>
            <w:tcW w:w="2297" w:type="dxa"/>
            <w:vMerge/>
            <w:tcBorders>
              <w:left w:val="nil" w:sz="6" w:space="0" w:color="auto"/>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0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0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400"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88"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软件产品及开发</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81,731,401.71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47,642,868.54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4"/>
              <w:jc w:val="right"/>
              <w:rPr>
                <w:rFonts w:ascii="Times New Roman" w:hAnsi="Times New Roman" w:cs="Times New Roman" w:eastAsia="Times New Roman" w:hint="default"/>
                <w:sz w:val="18"/>
                <w:szCs w:val="18"/>
              </w:rPr>
            </w:pPr>
            <w:r>
              <w:rPr>
                <w:rFonts w:ascii="Times New Roman"/>
                <w:spacing w:val="-1"/>
                <w:sz w:val="18"/>
              </w:rPr>
              <w:t>68,075,672.99</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9"/>
              <w:jc w:val="right"/>
              <w:rPr>
                <w:rFonts w:ascii="Times New Roman" w:hAnsi="Times New Roman" w:cs="Times New Roman" w:eastAsia="Times New Roman" w:hint="default"/>
                <w:sz w:val="18"/>
                <w:szCs w:val="18"/>
              </w:rPr>
            </w:pPr>
            <w:r>
              <w:rPr>
                <w:rFonts w:ascii="Times New Roman"/>
                <w:spacing w:val="-1"/>
                <w:sz w:val="18"/>
              </w:rPr>
              <w:t>30,810,041.71</w:t>
            </w:r>
          </w:p>
        </w:tc>
      </w:tr>
      <w:tr>
        <w:trPr>
          <w:trHeight w:val="388"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5,102,662.44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4,060,449.52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4"/>
              <w:jc w:val="right"/>
              <w:rPr>
                <w:rFonts w:ascii="Times New Roman" w:hAnsi="Times New Roman" w:cs="Times New Roman" w:eastAsia="Times New Roman" w:hint="default"/>
                <w:sz w:val="18"/>
                <w:szCs w:val="18"/>
              </w:rPr>
            </w:pPr>
            <w:r>
              <w:rPr>
                <w:rFonts w:ascii="Times New Roman"/>
                <w:spacing w:val="-1"/>
                <w:sz w:val="18"/>
              </w:rPr>
              <w:t>14,122,444.43</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9"/>
              <w:jc w:val="right"/>
              <w:rPr>
                <w:rFonts w:ascii="Times New Roman" w:hAnsi="Times New Roman" w:cs="Times New Roman" w:eastAsia="Times New Roman" w:hint="default"/>
                <w:sz w:val="18"/>
                <w:szCs w:val="18"/>
              </w:rPr>
            </w:pPr>
            <w:r>
              <w:rPr>
                <w:rFonts w:ascii="Times New Roman"/>
                <w:spacing w:val="-1"/>
                <w:sz w:val="18"/>
              </w:rPr>
              <w:t>12,245,074.03</w:t>
            </w:r>
          </w:p>
        </w:tc>
      </w:tr>
      <w:tr>
        <w:trPr>
          <w:trHeight w:val="388"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服务类</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7,629,386.58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3,984,044.54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4"/>
              <w:jc w:val="right"/>
              <w:rPr>
                <w:rFonts w:ascii="Times New Roman" w:hAnsi="Times New Roman" w:cs="Times New Roman" w:eastAsia="Times New Roman" w:hint="default"/>
                <w:sz w:val="18"/>
                <w:szCs w:val="18"/>
              </w:rPr>
            </w:pPr>
            <w:r>
              <w:rPr>
                <w:rFonts w:ascii="Times New Roman"/>
                <w:spacing w:val="-1"/>
                <w:sz w:val="18"/>
              </w:rPr>
              <w:t>8,045,905.12</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9"/>
              <w:jc w:val="right"/>
              <w:rPr>
                <w:rFonts w:ascii="Times New Roman" w:hAnsi="Times New Roman" w:cs="Times New Roman" w:eastAsia="Times New Roman" w:hint="default"/>
                <w:sz w:val="18"/>
                <w:szCs w:val="18"/>
              </w:rPr>
            </w:pPr>
            <w:r>
              <w:rPr>
                <w:rFonts w:ascii="Times New Roman"/>
                <w:spacing w:val="-1"/>
                <w:sz w:val="18"/>
              </w:rPr>
              <w:t>4,360,832.35</w:t>
            </w:r>
          </w:p>
        </w:tc>
      </w:tr>
      <w:tr>
        <w:trPr>
          <w:trHeight w:val="388"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4"/>
              <w:jc w:val="right"/>
              <w:rPr>
                <w:rFonts w:ascii="Times New Roman" w:hAnsi="Times New Roman" w:cs="Times New Roman" w:eastAsia="Times New Roman" w:hint="default"/>
                <w:sz w:val="18"/>
                <w:szCs w:val="18"/>
              </w:rPr>
            </w:pPr>
            <w:r>
              <w:rPr>
                <w:rFonts w:ascii="Times New Roman"/>
                <w:spacing w:val="-1"/>
                <w:sz w:val="18"/>
              </w:rPr>
              <w:t>94,463,450.73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pacing w:val="-1"/>
                <w:sz w:val="18"/>
              </w:rPr>
              <w:t>55,687,362.60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4"/>
              <w:jc w:val="right"/>
              <w:rPr>
                <w:rFonts w:ascii="Times New Roman" w:hAnsi="Times New Roman" w:cs="Times New Roman" w:eastAsia="Times New Roman" w:hint="default"/>
                <w:sz w:val="18"/>
                <w:szCs w:val="18"/>
              </w:rPr>
            </w:pPr>
            <w:r>
              <w:rPr>
                <w:rFonts w:ascii="Times New Roman"/>
                <w:spacing w:val="-1"/>
                <w:sz w:val="18"/>
              </w:rPr>
              <w:t>90,244,022.54</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9"/>
              <w:jc w:val="right"/>
              <w:rPr>
                <w:rFonts w:ascii="Times New Roman" w:hAnsi="Times New Roman" w:cs="Times New Roman" w:eastAsia="Times New Roman" w:hint="default"/>
                <w:sz w:val="18"/>
                <w:szCs w:val="18"/>
              </w:rPr>
            </w:pPr>
            <w:r>
              <w:rPr>
                <w:rFonts w:ascii="Times New Roman"/>
                <w:spacing w:val="-1"/>
                <w:sz w:val="18"/>
              </w:rPr>
              <w:t>47,415,948.09</w:t>
            </w:r>
          </w:p>
        </w:tc>
      </w:tr>
    </w:tbl>
    <w:p>
      <w:pPr>
        <w:spacing w:line="240" w:lineRule="auto" w:before="4"/>
        <w:rPr>
          <w:rFonts w:ascii="宋体" w:hAnsi="宋体" w:cs="宋体" w:eastAsia="宋体" w:hint="default"/>
          <w:sz w:val="22"/>
          <w:szCs w:val="22"/>
        </w:rPr>
      </w:pPr>
    </w:p>
    <w:p>
      <w:pPr>
        <w:spacing w:before="35"/>
        <w:ind w:left="244" w:right="2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）公司前五名客户的营业收入情况</w:t>
      </w:r>
    </w:p>
    <w:p>
      <w:pPr>
        <w:spacing w:line="240" w:lineRule="auto" w:before="6"/>
        <w:rPr>
          <w:rFonts w:ascii="宋体" w:hAnsi="宋体" w:cs="宋体" w:eastAsia="宋体" w:hint="default"/>
          <w:sz w:val="15"/>
          <w:szCs w:val="15"/>
        </w:rPr>
      </w:pPr>
    </w:p>
    <w:p>
      <w:pPr>
        <w:spacing w:before="35"/>
        <w:ind w:left="0" w:right="19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958"/>
        <w:gridCol w:w="2566"/>
        <w:gridCol w:w="3325"/>
      </w:tblGrid>
      <w:tr>
        <w:trPr>
          <w:trHeight w:val="388"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36"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33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88"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中国银行总行</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spacing w:val="-1"/>
                <w:sz w:val="18"/>
              </w:rPr>
              <w:t>8,228,367.49</w:t>
            </w:r>
          </w:p>
        </w:tc>
        <w:tc>
          <w:tcPr>
            <w:tcW w:w="33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3"/>
              <w:jc w:val="center"/>
              <w:rPr>
                <w:rFonts w:ascii="Times New Roman" w:hAnsi="Times New Roman" w:cs="Times New Roman" w:eastAsia="Times New Roman" w:hint="default"/>
                <w:sz w:val="18"/>
                <w:szCs w:val="18"/>
              </w:rPr>
            </w:pPr>
            <w:r>
              <w:rPr>
                <w:rFonts w:ascii="Times New Roman"/>
                <w:sz w:val="18"/>
              </w:rPr>
              <w:t>8.71</w:t>
            </w:r>
          </w:p>
        </w:tc>
      </w:tr>
      <w:tr>
        <w:trPr>
          <w:trHeight w:val="386"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中国农业银行广东省分行</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spacing w:val="-1"/>
                <w:sz w:val="18"/>
              </w:rPr>
              <w:t>4,971,298.09</w:t>
            </w:r>
          </w:p>
        </w:tc>
        <w:tc>
          <w:tcPr>
            <w:tcW w:w="33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3"/>
              <w:jc w:val="center"/>
              <w:rPr>
                <w:rFonts w:ascii="Times New Roman" w:hAnsi="Times New Roman" w:cs="Times New Roman" w:eastAsia="Times New Roman" w:hint="default"/>
                <w:sz w:val="18"/>
                <w:szCs w:val="18"/>
              </w:rPr>
            </w:pPr>
            <w:r>
              <w:rPr>
                <w:rFonts w:ascii="Times New Roman"/>
                <w:sz w:val="18"/>
              </w:rPr>
              <w:t>5.26</w:t>
            </w:r>
          </w:p>
        </w:tc>
      </w:tr>
      <w:tr>
        <w:trPr>
          <w:trHeight w:val="388"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广东发展银行总行</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spacing w:val="-1"/>
                <w:sz w:val="18"/>
              </w:rPr>
              <w:t>3,792,000.00</w:t>
            </w:r>
          </w:p>
        </w:tc>
        <w:tc>
          <w:tcPr>
            <w:tcW w:w="33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3"/>
              <w:jc w:val="center"/>
              <w:rPr>
                <w:rFonts w:ascii="Times New Roman" w:hAnsi="Times New Roman" w:cs="Times New Roman" w:eastAsia="Times New Roman" w:hint="default"/>
                <w:sz w:val="18"/>
                <w:szCs w:val="18"/>
              </w:rPr>
            </w:pPr>
            <w:r>
              <w:rPr>
                <w:rFonts w:ascii="Times New Roman"/>
                <w:sz w:val="18"/>
              </w:rPr>
              <w:t>4.01</w:t>
            </w:r>
          </w:p>
        </w:tc>
      </w:tr>
      <w:tr>
        <w:trPr>
          <w:trHeight w:val="388"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中国农业银行内蒙古分行</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spacing w:val="-1"/>
                <w:sz w:val="18"/>
              </w:rPr>
              <w:t>3,370,769.25</w:t>
            </w:r>
          </w:p>
        </w:tc>
        <w:tc>
          <w:tcPr>
            <w:tcW w:w="33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3"/>
              <w:jc w:val="center"/>
              <w:rPr>
                <w:rFonts w:ascii="Times New Roman" w:hAnsi="Times New Roman" w:cs="Times New Roman" w:eastAsia="Times New Roman" w:hint="default"/>
                <w:sz w:val="18"/>
                <w:szCs w:val="18"/>
              </w:rPr>
            </w:pPr>
            <w:r>
              <w:rPr>
                <w:rFonts w:ascii="Times New Roman"/>
                <w:sz w:val="18"/>
              </w:rPr>
              <w:t>3.57</w:t>
            </w:r>
          </w:p>
        </w:tc>
      </w:tr>
      <w:tr>
        <w:trPr>
          <w:trHeight w:val="388"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贵州省农村信用社</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spacing w:val="-1"/>
                <w:sz w:val="18"/>
              </w:rPr>
              <w:t>3,235,555.56</w:t>
            </w:r>
          </w:p>
        </w:tc>
        <w:tc>
          <w:tcPr>
            <w:tcW w:w="33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3"/>
              <w:jc w:val="center"/>
              <w:rPr>
                <w:rFonts w:ascii="Times New Roman" w:hAnsi="Times New Roman" w:cs="Times New Roman" w:eastAsia="Times New Roman" w:hint="default"/>
                <w:sz w:val="18"/>
                <w:szCs w:val="18"/>
              </w:rPr>
            </w:pPr>
            <w:r>
              <w:rPr>
                <w:rFonts w:ascii="Times New Roman"/>
                <w:sz w:val="18"/>
              </w:rPr>
              <w:t>3.43</w:t>
            </w:r>
          </w:p>
        </w:tc>
      </w:tr>
      <w:tr>
        <w:trPr>
          <w:trHeight w:val="388"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Times New Roman" w:hAnsi="Times New Roman" w:cs="Times New Roman" w:eastAsia="Times New Roman" w:hint="default"/>
                <w:sz w:val="18"/>
                <w:szCs w:val="18"/>
              </w:rPr>
            </w:pPr>
            <w:r>
              <w:rPr>
                <w:rFonts w:ascii="Times New Roman"/>
                <w:spacing w:val="-1"/>
                <w:sz w:val="18"/>
              </w:rPr>
              <w:t>23,597,990.39</w:t>
            </w:r>
          </w:p>
        </w:tc>
        <w:tc>
          <w:tcPr>
            <w:tcW w:w="33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4"/>
              <w:jc w:val="center"/>
              <w:rPr>
                <w:rFonts w:ascii="Times New Roman" w:hAnsi="Times New Roman" w:cs="Times New Roman" w:eastAsia="Times New Roman" w:hint="default"/>
                <w:sz w:val="18"/>
                <w:szCs w:val="18"/>
              </w:rPr>
            </w:pPr>
            <w:r>
              <w:rPr>
                <w:rFonts w:ascii="Times New Roman"/>
                <w:sz w:val="18"/>
              </w:rPr>
              <w:t>24.98</w:t>
            </w:r>
          </w:p>
        </w:tc>
      </w:tr>
    </w:tbl>
    <w:p>
      <w:pPr>
        <w:spacing w:line="240" w:lineRule="auto" w:before="4"/>
        <w:rPr>
          <w:rFonts w:ascii="宋体" w:hAnsi="宋体" w:cs="宋体" w:eastAsia="宋体" w:hint="default"/>
          <w:sz w:val="22"/>
          <w:szCs w:val="22"/>
        </w:rPr>
      </w:pPr>
    </w:p>
    <w:p>
      <w:pPr>
        <w:spacing w:before="35"/>
        <w:ind w:left="244" w:right="2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244" w:right="2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）投资收益明细</w:t>
      </w:r>
    </w:p>
    <w:p>
      <w:pPr>
        <w:spacing w:line="240" w:lineRule="auto" w:before="4"/>
        <w:rPr>
          <w:rFonts w:ascii="宋体" w:hAnsi="宋体" w:cs="宋体" w:eastAsia="宋体" w:hint="default"/>
          <w:sz w:val="13"/>
          <w:szCs w:val="13"/>
        </w:rPr>
      </w:pPr>
    </w:p>
    <w:p>
      <w:pPr>
        <w:spacing w:before="35"/>
        <w:ind w:left="0" w:right="219"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5"/>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5068"/>
        <w:gridCol w:w="1844"/>
        <w:gridCol w:w="1842"/>
      </w:tblGrid>
      <w:tr>
        <w:trPr>
          <w:trHeight w:val="388" w:hRule="exact"/>
        </w:trPr>
        <w:tc>
          <w:tcPr>
            <w:tcW w:w="5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6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46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8" w:hRule="exact"/>
        </w:trPr>
        <w:tc>
          <w:tcPr>
            <w:tcW w:w="5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13,500,000.00</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23,000,000.00</w:t>
            </w:r>
          </w:p>
        </w:tc>
      </w:tr>
      <w:tr>
        <w:trPr>
          <w:trHeight w:val="388" w:hRule="exact"/>
        </w:trPr>
        <w:tc>
          <w:tcPr>
            <w:tcW w:w="5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13,500,000.00</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23,000,000.00</w:t>
            </w:r>
          </w:p>
        </w:tc>
      </w:tr>
    </w:tbl>
    <w:p>
      <w:pPr>
        <w:spacing w:line="240" w:lineRule="auto" w:before="0"/>
        <w:rPr>
          <w:rFonts w:ascii="宋体" w:hAnsi="宋体" w:cs="宋体" w:eastAsia="宋体" w:hint="default"/>
          <w:sz w:val="20"/>
          <w:szCs w:val="20"/>
        </w:rPr>
      </w:pPr>
    </w:p>
    <w:p>
      <w:pPr>
        <w:spacing w:before="173"/>
        <w:ind w:left="244" w:right="2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）按成本法核算的长期股权投资收益</w:t>
      </w:r>
    </w:p>
    <w:p>
      <w:pPr>
        <w:spacing w:line="240" w:lineRule="auto" w:before="3"/>
        <w:rPr>
          <w:rFonts w:ascii="宋体" w:hAnsi="宋体" w:cs="宋体" w:eastAsia="宋体" w:hint="default"/>
          <w:sz w:val="13"/>
          <w:szCs w:val="13"/>
        </w:rPr>
      </w:pPr>
    </w:p>
    <w:p>
      <w:pPr>
        <w:spacing w:before="35"/>
        <w:ind w:left="0" w:right="219"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370"/>
        <w:gridCol w:w="1528"/>
        <w:gridCol w:w="1526"/>
        <w:gridCol w:w="3400"/>
      </w:tblGrid>
      <w:tr>
        <w:trPr>
          <w:trHeight w:val="388"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74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3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620"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6"/>
              <w:ind w:left="122" w:right="86"/>
              <w:jc w:val="left"/>
              <w:rPr>
                <w:rFonts w:ascii="宋体" w:hAnsi="宋体" w:cs="宋体" w:eastAsia="宋体" w:hint="default"/>
                <w:sz w:val="18"/>
                <w:szCs w:val="18"/>
              </w:rPr>
            </w:pPr>
            <w:r>
              <w:rPr>
                <w:rFonts w:ascii="宋体" w:hAnsi="宋体" w:cs="宋体" w:eastAsia="宋体" w:hint="default"/>
                <w:spacing w:val="15"/>
                <w:sz w:val="18"/>
                <w:szCs w:val="18"/>
              </w:rPr>
              <w:t>深圳市银之杰软件有限公 </w:t>
            </w:r>
            <w:r>
              <w:rPr>
                <w:rFonts w:ascii="宋体" w:hAnsi="宋体" w:cs="宋体" w:eastAsia="宋体" w:hint="default"/>
                <w:sz w:val="18"/>
                <w:szCs w:val="18"/>
              </w:rPr>
              <w:t>司</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13,500,000.00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23,000,000.00</w:t>
            </w:r>
          </w:p>
        </w:tc>
        <w:tc>
          <w:tcPr>
            <w:tcW w:w="3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4"/>
              <w:jc w:val="center"/>
              <w:rPr>
                <w:rFonts w:ascii="宋体" w:hAnsi="宋体" w:cs="宋体" w:eastAsia="宋体" w:hint="default"/>
                <w:sz w:val="18"/>
                <w:szCs w:val="18"/>
              </w:rPr>
            </w:pPr>
            <w:r>
              <w:rPr>
                <w:rFonts w:ascii="宋体" w:hAnsi="宋体" w:cs="宋体" w:eastAsia="宋体" w:hint="default"/>
                <w:sz w:val="18"/>
                <w:szCs w:val="18"/>
              </w:rPr>
              <w:t>子公司进行利润分配</w:t>
            </w:r>
          </w:p>
        </w:tc>
      </w:tr>
      <w:tr>
        <w:trPr>
          <w:trHeight w:val="388"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79" w:right="0"/>
              <w:jc w:val="left"/>
              <w:rPr>
                <w:rFonts w:ascii="Times New Roman" w:hAnsi="Times New Roman" w:cs="Times New Roman" w:eastAsia="Times New Roman" w:hint="default"/>
                <w:sz w:val="18"/>
                <w:szCs w:val="18"/>
              </w:rPr>
            </w:pPr>
            <w:r>
              <w:rPr>
                <w:rFonts w:ascii="Times New Roman"/>
                <w:sz w:val="18"/>
              </w:rPr>
              <w:t>13,500,000.00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18"/>
                <w:szCs w:val="18"/>
              </w:rPr>
            </w:pPr>
            <w:r>
              <w:rPr>
                <w:rFonts w:ascii="Times New Roman"/>
                <w:spacing w:val="-1"/>
                <w:sz w:val="18"/>
              </w:rPr>
              <w:t>23,000,000.00</w:t>
            </w:r>
          </w:p>
        </w:tc>
        <w:tc>
          <w:tcPr>
            <w:tcW w:w="3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4"/>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before="173"/>
        <w:ind w:left="244" w:right="2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）按权益法核算的长期股权投资收益：无。</w:t>
      </w:r>
    </w:p>
    <w:p>
      <w:pPr>
        <w:spacing w:after="0"/>
        <w:jc w:val="left"/>
        <w:rPr>
          <w:rFonts w:ascii="宋体" w:hAnsi="宋体" w:cs="宋体" w:eastAsia="宋体" w:hint="default"/>
          <w:sz w:val="21"/>
          <w:szCs w:val="21"/>
        </w:rPr>
        <w:sectPr>
          <w:pgSz w:w="11910" w:h="16840"/>
          <w:pgMar w:header="877" w:footer="982" w:top="1100" w:bottom="1180" w:left="1400" w:right="14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35"/>
        <w:ind w:left="244" w:right="2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）投资收益的说明：</w:t>
      </w:r>
    </w:p>
    <w:p>
      <w:pPr>
        <w:spacing w:before="103"/>
        <w:ind w:left="0" w:right="219" w:firstLine="0"/>
        <w:jc w:val="righ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日控股子公司深圳市银之杰软件技术有限公司《关于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年度利润</w:t>
      </w:r>
    </w:p>
    <w:p>
      <w:pPr>
        <w:spacing w:before="117"/>
        <w:ind w:left="244" w:right="0" w:firstLine="0"/>
        <w:jc w:val="left"/>
        <w:rPr>
          <w:rFonts w:ascii="宋体" w:hAnsi="宋体" w:cs="宋体" w:eastAsia="宋体" w:hint="default"/>
          <w:sz w:val="21"/>
          <w:szCs w:val="21"/>
        </w:rPr>
      </w:pPr>
      <w:r>
        <w:rPr>
          <w:rFonts w:ascii="宋体" w:hAnsi="宋体" w:cs="宋体" w:eastAsia="宋体" w:hint="default"/>
          <w:spacing w:val="-3"/>
          <w:sz w:val="21"/>
          <w:szCs w:val="21"/>
        </w:rPr>
        <w:t>分配的执行董事决议书》和本公司《关于深圳市银之杰软件技术有限公司</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年度利润分配的</w:t>
      </w:r>
    </w:p>
    <w:p>
      <w:pPr>
        <w:spacing w:line="336" w:lineRule="auto" w:before="118"/>
        <w:ind w:left="244" w:right="217" w:firstLine="0"/>
        <w:jc w:val="left"/>
        <w:rPr>
          <w:rFonts w:ascii="宋体" w:hAnsi="宋体" w:cs="宋体" w:eastAsia="宋体" w:hint="default"/>
          <w:sz w:val="21"/>
          <w:szCs w:val="21"/>
        </w:rPr>
      </w:pPr>
      <w:r>
        <w:rPr>
          <w:rFonts w:ascii="宋体" w:hAnsi="宋体" w:cs="宋体" w:eastAsia="宋体" w:hint="default"/>
          <w:spacing w:val="-11"/>
          <w:sz w:val="21"/>
          <w:szCs w:val="21"/>
        </w:rPr>
        <w:t>股东会决议书》，决定将截至</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pacing w:val="-1"/>
          <w:sz w:val="21"/>
          <w:szCs w:val="21"/>
        </w:rPr>
        <w:t>年末累计税后可分配利润中的货币资金</w:t>
      </w:r>
      <w:r>
        <w:rPr>
          <w:rFonts w:ascii="宋体" w:hAnsi="宋体" w:cs="宋体" w:eastAsia="宋体" w:hint="default"/>
          <w:spacing w:val="-48"/>
          <w:sz w:val="21"/>
          <w:szCs w:val="21"/>
        </w:rPr>
        <w:t> </w:t>
      </w:r>
      <w:r>
        <w:rPr>
          <w:rFonts w:ascii="Times New Roman" w:hAnsi="Times New Roman" w:cs="Times New Roman" w:eastAsia="Times New Roman" w:hint="default"/>
          <w:spacing w:val="-1"/>
          <w:sz w:val="21"/>
          <w:szCs w:val="21"/>
        </w:rPr>
        <w:t>13,500,000.00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元分配</w:t>
      </w:r>
      <w:r>
        <w:rPr>
          <w:rFonts w:ascii="宋体" w:hAnsi="宋体" w:cs="宋体" w:eastAsia="宋体" w:hint="default"/>
          <w:spacing w:val="-103"/>
          <w:sz w:val="21"/>
          <w:szCs w:val="21"/>
        </w:rPr>
        <w:t> </w:t>
      </w:r>
      <w:r>
        <w:rPr>
          <w:rFonts w:ascii="宋体" w:hAnsi="宋体" w:cs="宋体" w:eastAsia="宋体" w:hint="default"/>
          <w:sz w:val="21"/>
          <w:szCs w:val="21"/>
        </w:rPr>
        <w:t>给本公司。</w:t>
      </w:r>
    </w:p>
    <w:p>
      <w:pPr>
        <w:spacing w:before="169"/>
        <w:ind w:left="244" w:right="2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0" w:right="19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5755"/>
        <w:gridCol w:w="1602"/>
        <w:gridCol w:w="1492"/>
      </w:tblGrid>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6"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34"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379"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602"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nil" w:sz="6" w:space="0" w:color="auto"/>
            </w:tcBorders>
          </w:tcPr>
          <w:p>
            <w:pPr/>
          </w:p>
        </w:tc>
      </w:tr>
      <w:tr>
        <w:trPr>
          <w:trHeight w:val="386"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21,360,387.21</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39,808,813.74</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1,015,653.71</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2,327,471.12</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2,480,814.69</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1,961,268.34</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98,881.65</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6,459.85</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625,798.11</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55,105.27</w:t>
            </w:r>
          </w:p>
        </w:tc>
      </w:tr>
      <w:tr>
        <w:trPr>
          <w:trHeight w:val="620"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6"/>
              <w:ind w:left="122" w:right="102" w:firstLine="360"/>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处置固定资产、无形资产和其他长期资产的损失（收益以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w:t>
            </w:r>
            <w:r>
              <w:rPr>
                <w:rFonts w:ascii="宋体" w:hAnsi="宋体" w:cs="宋体" w:eastAsia="宋体" w:hint="default"/>
                <w:sz w:val="18"/>
                <w:szCs w:val="18"/>
              </w:rPr>
              <w:t> 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576.85</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140.26</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Times New Roman" w:hAnsi="Times New Roman" w:cs="Times New Roman" w:eastAsia="Times New Roman" w:hint="default"/>
                <w:sz w:val="18"/>
                <w:szCs w:val="18"/>
              </w:rPr>
            </w:pPr>
            <w:r>
              <w:rPr>
                <w:rFonts w:ascii="Times New Roman"/>
                <w:sz w:val="18"/>
              </w:rPr>
              <w:t>601,401.60</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-13,500,000.00</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pacing w:val="-1"/>
                <w:sz w:val="18"/>
              </w:rPr>
              <w:t>-23,000,000.00</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-405,028.12</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Times New Roman" w:hAnsi="Times New Roman" w:cs="Times New Roman" w:eastAsia="Times New Roman" w:hint="default"/>
                <w:sz w:val="18"/>
                <w:szCs w:val="18"/>
              </w:rPr>
            </w:pPr>
            <w:r>
              <w:rPr>
                <w:rFonts w:ascii="Times New Roman"/>
                <w:spacing w:val="-1"/>
                <w:sz w:val="18"/>
              </w:rPr>
              <w:t>-232,747.11</w:t>
            </w:r>
          </w:p>
        </w:tc>
      </w:tr>
      <w:tr>
        <w:trPr>
          <w:trHeight w:val="386"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-3,158,886.14</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Times New Roman" w:hAnsi="Times New Roman" w:cs="Times New Roman" w:eastAsia="Times New Roman" w:hint="default"/>
                <w:sz w:val="18"/>
                <w:szCs w:val="18"/>
              </w:rPr>
            </w:pPr>
            <w:r>
              <w:rPr>
                <w:rFonts w:ascii="Times New Roman"/>
                <w:sz w:val="18"/>
              </w:rPr>
              <w:t>-276,399.99</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-19,579,158.15</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pacing w:val="-1"/>
                <w:sz w:val="18"/>
              </w:rPr>
              <w:t>-21,703,169.94</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1,862,324.87</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3,697,269.71</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-940,328.50</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-193,160.95</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-10,139,400.41</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3,052,888.49</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602"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Times New Roman" w:hAnsi="Times New Roman" w:cs="Times New Roman" w:eastAsia="Times New Roman" w:hint="default"/>
                <w:sz w:val="18"/>
                <w:szCs w:val="18"/>
              </w:rPr>
            </w:pPr>
            <w:r>
              <w:rPr>
                <w:rFonts w:ascii="Times New Roman"/>
                <w:sz w:val="18"/>
              </w:rPr>
              <w:t>--</w:t>
            </w:r>
          </w:p>
        </w:tc>
      </w:tr>
      <w:tr>
        <w:trPr>
          <w:trHeight w:val="386"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602"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380,047,228.75</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pacing w:val="-1"/>
                <w:sz w:val="18"/>
              </w:rPr>
              <w:t>406,944,604.19</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406,944,604.19</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39,577,469.39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1400" w:right="1420"/>
        </w:sectPr>
      </w:pPr>
    </w:p>
    <w:p>
      <w:pPr>
        <w:spacing w:line="240" w:lineRule="auto" w:before="6"/>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5755"/>
        <w:gridCol w:w="1602"/>
        <w:gridCol w:w="1492"/>
      </w:tblGrid>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-26,897,375.44</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pacing w:val="-1"/>
                <w:sz w:val="18"/>
              </w:rPr>
              <w:t>367,367,134.80</w:t>
            </w:r>
          </w:p>
        </w:tc>
      </w:tr>
    </w:tbl>
    <w:p>
      <w:pPr>
        <w:spacing w:line="240" w:lineRule="auto" w:before="0"/>
        <w:rPr>
          <w:rFonts w:ascii="宋体" w:hAnsi="宋体" w:cs="宋体" w:eastAsia="宋体" w:hint="default"/>
          <w:sz w:val="20"/>
          <w:szCs w:val="20"/>
        </w:rPr>
      </w:pPr>
    </w:p>
    <w:p>
      <w:pPr>
        <w:pStyle w:val="Heading5"/>
        <w:spacing w:line="240" w:lineRule="auto" w:before="181"/>
        <w:ind w:left="244" w:right="210"/>
        <w:jc w:val="left"/>
        <w:rPr>
          <w:b w:val="0"/>
          <w:bCs w:val="0"/>
        </w:rPr>
      </w:pPr>
      <w:r>
        <w:rPr/>
        <w:t>十二、</w:t>
      </w:r>
      <w:r>
        <w:rPr>
          <w:spacing w:val="31"/>
        </w:rPr>
        <w:t> </w:t>
      </w:r>
      <w:r>
        <w:rPr/>
        <w:t>补充资料</w:t>
      </w:r>
      <w:r>
        <w:rPr>
          <w:b w:val="0"/>
          <w:bCs w:val="0"/>
        </w:rPr>
      </w:r>
    </w:p>
    <w:p>
      <w:pPr>
        <w:spacing w:line="240" w:lineRule="auto" w:before="9"/>
        <w:rPr>
          <w:rFonts w:ascii="宋体" w:hAnsi="宋体" w:cs="宋体" w:eastAsia="宋体" w:hint="default"/>
          <w:b/>
          <w:bCs/>
          <w:sz w:val="20"/>
          <w:szCs w:val="20"/>
        </w:rPr>
      </w:pPr>
    </w:p>
    <w:p>
      <w:pPr>
        <w:spacing w:before="0"/>
        <w:ind w:left="244" w:right="2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6"/>
          <w:sz w:val="21"/>
          <w:szCs w:val="21"/>
        </w:rPr>
        <w:t> </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5"/>
        <w:rPr>
          <w:rFonts w:ascii="宋体" w:hAnsi="宋体" w:cs="宋体" w:eastAsia="宋体" w:hint="default"/>
          <w:b/>
          <w:bCs/>
          <w:sz w:val="15"/>
          <w:szCs w:val="15"/>
        </w:rPr>
      </w:pPr>
    </w:p>
    <w:p>
      <w:pPr>
        <w:spacing w:before="35"/>
        <w:ind w:left="0" w:right="19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224" w:type="dxa"/>
        <w:tblLayout w:type="fixed"/>
        <w:tblCellMar>
          <w:top w:w="0" w:type="dxa"/>
          <w:left w:w="0" w:type="dxa"/>
          <w:bottom w:w="0" w:type="dxa"/>
          <w:right w:w="0" w:type="dxa"/>
        </w:tblCellMar>
        <w:tblLook w:val="01E0"/>
      </w:tblPr>
      <w:tblGrid>
        <w:gridCol w:w="5234"/>
        <w:gridCol w:w="1620"/>
        <w:gridCol w:w="1800"/>
      </w:tblGrid>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right="842"/>
              <w:jc w:val="center"/>
              <w:rPr>
                <w:rFonts w:ascii="宋体" w:hAnsi="宋体" w:cs="宋体" w:eastAsia="宋体" w:hint="default"/>
                <w:sz w:val="18"/>
                <w:szCs w:val="18"/>
              </w:rPr>
            </w:pPr>
            <w:r>
              <w:rPr>
                <w:rFonts w:ascii="宋体" w:hAnsi="宋体" w:cs="宋体" w:eastAsia="宋体" w:hint="default"/>
                <w:sz w:val="18"/>
                <w:szCs w:val="18"/>
              </w:rPr>
              <w:t>项目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62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101"/>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标准定额或定量享受的政府补助除外）</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2,350,845.00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2"/>
              <w:jc w:val="center"/>
              <w:rPr>
                <w:rFonts w:ascii="宋体" w:hAnsi="宋体" w:cs="宋体" w:eastAsia="宋体" w:hint="default"/>
                <w:sz w:val="18"/>
                <w:szCs w:val="18"/>
              </w:rPr>
            </w:pPr>
            <w:r>
              <w:rPr>
                <w:rFonts w:ascii="宋体" w:hAnsi="宋体" w:cs="宋体" w:eastAsia="宋体" w:hint="default"/>
                <w:sz w:val="18"/>
                <w:szCs w:val="18"/>
              </w:rPr>
              <w:t>见政府补助明细表</w:t>
            </w:r>
          </w:p>
        </w:tc>
      </w:tr>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622"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101"/>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时应享有被投资单位可辨认净资产公允价值产生的收益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6"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1087"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44"/>
              <w:ind w:left="122" w:right="101"/>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金融资产、交易性金融负债产生的公允价值变动损益，以及处置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交易性金融资产、交易性金融负债和可供出售金融资产取得的投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资收益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62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6"/>
              <w:ind w:left="122" w:right="92"/>
              <w:jc w:val="left"/>
              <w:rPr>
                <w:rFonts w:ascii="宋体" w:hAnsi="宋体" w:cs="宋体" w:eastAsia="宋体" w:hint="default"/>
                <w:sz w:val="18"/>
                <w:szCs w:val="18"/>
              </w:rPr>
            </w:pPr>
            <w:r>
              <w:rPr>
                <w:rFonts w:ascii="宋体" w:hAnsi="宋体" w:cs="宋体" w:eastAsia="宋体" w:hint="default"/>
                <w:spacing w:val="5"/>
                <w:sz w:val="18"/>
                <w:szCs w:val="18"/>
              </w:rPr>
              <w:t>采用公允价值模式进行后续计量的投资性房地产公允价值变动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产生的损益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622"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101"/>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根据税收、会计等法律、法规的要求对当期损益进行一次性调整</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对当期损益的影响</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6"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-20,000.00</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-349,670.57</w:t>
            </w:r>
          </w:p>
        </w:tc>
        <w:tc>
          <w:tcPr>
            <w:tcW w:w="180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2" w:top="1100" w:bottom="1180" w:left="1400" w:right="142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5234"/>
        <w:gridCol w:w="1620"/>
        <w:gridCol w:w="1800"/>
      </w:tblGrid>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1,981,716.57</w:t>
            </w:r>
          </w:p>
        </w:tc>
        <w:tc>
          <w:tcPr>
            <w:tcW w:w="1800" w:type="dxa"/>
            <w:tcBorders>
              <w:top w:val="single" w:sz="4" w:space="0" w:color="000000"/>
              <w:left w:val="single" w:sz="4" w:space="0" w:color="000000"/>
              <w:bottom w:val="single" w:sz="4" w:space="0" w:color="000000"/>
              <w:right w:val="nil" w:sz="6" w:space="0" w:color="auto"/>
            </w:tcBorders>
          </w:tcPr>
          <w:p>
            <w:pPr/>
          </w:p>
        </w:tc>
      </w:tr>
    </w:tbl>
    <w:p>
      <w:pPr>
        <w:spacing w:line="240" w:lineRule="auto" w:before="4"/>
        <w:rPr>
          <w:rFonts w:ascii="宋体" w:hAnsi="宋体" w:cs="宋体" w:eastAsia="宋体" w:hint="default"/>
          <w:sz w:val="22"/>
          <w:szCs w:val="22"/>
        </w:rPr>
      </w:pPr>
    </w:p>
    <w:p>
      <w:pPr>
        <w:spacing w:before="35"/>
        <w:ind w:left="0" w:right="221" w:firstLine="0"/>
        <w:jc w:val="right"/>
        <w:rPr>
          <w:rFonts w:ascii="宋体" w:hAnsi="宋体" w:cs="宋体" w:eastAsia="宋体" w:hint="default"/>
          <w:sz w:val="21"/>
          <w:szCs w:val="21"/>
        </w:rPr>
      </w:pPr>
      <w:r>
        <w:rPr>
          <w:rFonts w:ascii="宋体" w:hAnsi="宋体" w:cs="宋体" w:eastAsia="宋体" w:hint="default"/>
          <w:sz w:val="21"/>
          <w:szCs w:val="21"/>
        </w:rPr>
        <w:t>对公司根据《公开发行证券的公司信息披露解释性公告第</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非经常性损益》定义界</w:t>
      </w:r>
    </w:p>
    <w:p>
      <w:pPr>
        <w:spacing w:line="336" w:lineRule="auto" w:before="118"/>
        <w:ind w:left="143" w:right="203" w:firstLine="0"/>
        <w:jc w:val="left"/>
        <w:rPr>
          <w:rFonts w:ascii="宋体" w:hAnsi="宋体" w:cs="宋体" w:eastAsia="宋体" w:hint="default"/>
          <w:sz w:val="21"/>
          <w:szCs w:val="21"/>
        </w:rPr>
      </w:pPr>
      <w:r>
        <w:rPr>
          <w:rFonts w:ascii="宋体" w:hAnsi="宋体" w:cs="宋体" w:eastAsia="宋体" w:hint="default"/>
          <w:sz w:val="21"/>
          <w:szCs w:val="21"/>
        </w:rPr>
        <w:t>定的非经常性损益项目，以及把《公开发行证券的公司信息披露解释性公告第</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非经常 性损益》中列举的非经常性损益项目界定为经常性损益的项目，应说明原因。</w:t>
      </w:r>
    </w:p>
    <w:p>
      <w:pPr>
        <w:spacing w:before="169"/>
        <w:ind w:left="0" w:right="19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24" w:type="dxa"/>
        <w:tblLayout w:type="fixed"/>
        <w:tblCellMar>
          <w:top w:w="0" w:type="dxa"/>
          <w:left w:w="0" w:type="dxa"/>
          <w:bottom w:w="0" w:type="dxa"/>
          <w:right w:w="0" w:type="dxa"/>
        </w:tblCellMar>
        <w:tblLook w:val="01E0"/>
      </w:tblPr>
      <w:tblGrid>
        <w:gridCol w:w="3254"/>
        <w:gridCol w:w="1508"/>
        <w:gridCol w:w="3978"/>
      </w:tblGrid>
      <w:tr>
        <w:trPr>
          <w:trHeight w:val="386"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88" w:right="0"/>
              <w:jc w:val="left"/>
              <w:rPr>
                <w:rFonts w:ascii="宋体" w:hAnsi="宋体" w:cs="宋体" w:eastAsia="宋体" w:hint="default"/>
                <w:sz w:val="18"/>
                <w:szCs w:val="18"/>
              </w:rPr>
            </w:pPr>
            <w:r>
              <w:rPr>
                <w:rFonts w:ascii="宋体" w:hAnsi="宋体" w:cs="宋体" w:eastAsia="宋体" w:hint="default"/>
                <w:sz w:val="18"/>
                <w:szCs w:val="18"/>
              </w:rPr>
              <w:t>涉及金额</w:t>
            </w:r>
          </w:p>
        </w:tc>
        <w:tc>
          <w:tcPr>
            <w:tcW w:w="3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510"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542.14</w:t>
            </w:r>
          </w:p>
        </w:tc>
        <w:tc>
          <w:tcPr>
            <w:tcW w:w="3978" w:type="dxa"/>
            <w:tcBorders>
              <w:top w:val="single" w:sz="4" w:space="0" w:color="000000"/>
              <w:left w:val="single" w:sz="4" w:space="0" w:color="000000"/>
              <w:bottom w:val="single" w:sz="4" w:space="0" w:color="000000"/>
              <w:right w:val="nil" w:sz="6" w:space="0" w:color="auto"/>
            </w:tcBorders>
          </w:tcPr>
          <w:p>
            <w:pPr/>
          </w:p>
        </w:tc>
      </w:tr>
      <w:tr>
        <w:trPr>
          <w:trHeight w:val="622"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年深圳市实施标准化战略资金</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135,000.00</w:t>
            </w:r>
          </w:p>
        </w:tc>
        <w:tc>
          <w:tcPr>
            <w:tcW w:w="3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03" w:right="107"/>
              <w:jc w:val="left"/>
              <w:rPr>
                <w:rFonts w:ascii="宋体" w:hAnsi="宋体" w:cs="宋体" w:eastAsia="宋体" w:hint="default"/>
                <w:sz w:val="18"/>
                <w:szCs w:val="18"/>
              </w:rPr>
            </w:pPr>
            <w:r>
              <w:rPr>
                <w:rFonts w:ascii="宋体" w:hAnsi="宋体" w:cs="宋体" w:eastAsia="宋体" w:hint="default"/>
                <w:spacing w:val="-1"/>
                <w:sz w:val="18"/>
                <w:szCs w:val="18"/>
              </w:rPr>
              <w:t>符合《深圳市实施标准化战略资金管理办法》规</w:t>
            </w:r>
            <w:r>
              <w:rPr>
                <w:rFonts w:ascii="宋体" w:hAnsi="宋体" w:cs="宋体" w:eastAsia="宋体" w:hint="default"/>
                <w:sz w:val="18"/>
                <w:szCs w:val="18"/>
              </w:rPr>
              <w:t> 定的行业标准研制资助项目。</w:t>
            </w:r>
          </w:p>
        </w:tc>
      </w:tr>
      <w:tr>
        <w:trPr>
          <w:trHeight w:val="854"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32" w:lineRule="exact"/>
              <w:ind w:left="1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年技术研究开发计划一般项目资 </w:t>
            </w:r>
            <w:r>
              <w:rPr>
                <w:rFonts w:ascii="宋体" w:hAnsi="宋体" w:cs="宋体" w:eastAsia="宋体" w:hint="default"/>
                <w:sz w:val="18"/>
                <w:szCs w:val="18"/>
              </w:rPr>
              <w:t>助</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3978"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44"/>
              <w:ind w:left="103" w:right="107"/>
              <w:jc w:val="both"/>
              <w:rPr>
                <w:rFonts w:ascii="宋体" w:hAnsi="宋体" w:cs="宋体" w:eastAsia="宋体" w:hint="default"/>
                <w:sz w:val="18"/>
                <w:szCs w:val="18"/>
              </w:rPr>
            </w:pPr>
            <w:r>
              <w:rPr>
                <w:rFonts w:ascii="宋体" w:hAnsi="宋体" w:cs="宋体" w:eastAsia="宋体" w:hint="default"/>
                <w:spacing w:val="-10"/>
                <w:sz w:val="18"/>
                <w:szCs w:val="18"/>
              </w:rPr>
              <w:t>符合《深圳市科技研发资金管理暂行办法》、《深</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圳市科技计划项目管理暂行办法》规定的一般资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助项目。</w:t>
            </w:r>
          </w:p>
        </w:tc>
      </w:tr>
      <w:tr>
        <w:trPr>
          <w:trHeight w:val="620"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6"/>
              <w:ind w:left="122" w:right="95"/>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年福田区科发资金重点企业研发</w:t>
            </w:r>
            <w:r>
              <w:rPr>
                <w:rFonts w:ascii="宋体" w:hAnsi="宋体" w:cs="宋体" w:eastAsia="宋体" w:hint="default"/>
                <w:spacing w:val="4"/>
                <w:sz w:val="18"/>
                <w:szCs w:val="18"/>
              </w:rPr>
              <w:t> </w:t>
            </w:r>
            <w:r>
              <w:rPr>
                <w:rFonts w:ascii="宋体" w:hAnsi="宋体" w:cs="宋体" w:eastAsia="宋体" w:hint="default"/>
                <w:sz w:val="18"/>
                <w:szCs w:val="18"/>
              </w:rPr>
              <w:t>项目资助</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400,000.00</w:t>
            </w:r>
          </w:p>
        </w:tc>
        <w:tc>
          <w:tcPr>
            <w:tcW w:w="3978"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66"/>
              <w:ind w:left="103" w:right="96"/>
              <w:jc w:val="left"/>
              <w:rPr>
                <w:rFonts w:ascii="宋体" w:hAnsi="宋体" w:cs="宋体" w:eastAsia="宋体" w:hint="default"/>
                <w:sz w:val="18"/>
                <w:szCs w:val="18"/>
              </w:rPr>
            </w:pPr>
            <w:r>
              <w:rPr>
                <w:rFonts w:ascii="宋体" w:hAnsi="宋体" w:cs="宋体" w:eastAsia="宋体" w:hint="default"/>
                <w:spacing w:val="8"/>
                <w:sz w:val="18"/>
                <w:szCs w:val="18"/>
              </w:rPr>
              <w:t>符合《深圳市福田区科技发展资金管理暂行办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法》规定的研究开发和产业化资助项目。</w:t>
            </w:r>
          </w:p>
        </w:tc>
      </w:tr>
      <w:tr>
        <w:trPr>
          <w:trHeight w:val="622"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年福田区科技发展资金发展资助</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200,000.00</w:t>
            </w:r>
          </w:p>
        </w:tc>
        <w:tc>
          <w:tcPr>
            <w:tcW w:w="3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03" w:right="96"/>
              <w:jc w:val="left"/>
              <w:rPr>
                <w:rFonts w:ascii="宋体" w:hAnsi="宋体" w:cs="宋体" w:eastAsia="宋体" w:hint="default"/>
                <w:sz w:val="18"/>
                <w:szCs w:val="18"/>
              </w:rPr>
            </w:pPr>
            <w:r>
              <w:rPr>
                <w:rFonts w:ascii="宋体" w:hAnsi="宋体" w:cs="宋体" w:eastAsia="宋体" w:hint="default"/>
                <w:spacing w:val="8"/>
                <w:sz w:val="18"/>
                <w:szCs w:val="18"/>
              </w:rPr>
              <w:t>符合《深圳市福田区科技发展资金管理暂行办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法》规定的科技发展资金资助项目。</w:t>
            </w:r>
          </w:p>
        </w:tc>
      </w:tr>
      <w:tr>
        <w:trPr>
          <w:trHeight w:val="853"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年度广东省科学技术奖励</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1"/>
              <w:jc w:val="right"/>
              <w:rPr>
                <w:rFonts w:ascii="Times New Roman" w:hAnsi="Times New Roman" w:cs="Times New Roman" w:eastAsia="Times New Roman" w:hint="default"/>
                <w:sz w:val="18"/>
                <w:szCs w:val="18"/>
              </w:rPr>
            </w:pPr>
            <w:r>
              <w:rPr>
                <w:rFonts w:ascii="Times New Roman"/>
                <w:sz w:val="18"/>
              </w:rPr>
              <w:t>20,000.00</w:t>
            </w:r>
          </w:p>
        </w:tc>
        <w:tc>
          <w:tcPr>
            <w:tcW w:w="3978"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44"/>
              <w:ind w:left="103" w:right="89"/>
              <w:jc w:val="both"/>
              <w:rPr>
                <w:rFonts w:ascii="宋体" w:hAnsi="宋体" w:cs="宋体" w:eastAsia="宋体" w:hint="default"/>
                <w:sz w:val="18"/>
                <w:szCs w:val="18"/>
              </w:rPr>
            </w:pPr>
            <w:r>
              <w:rPr>
                <w:rFonts w:ascii="宋体" w:hAnsi="宋体" w:cs="宋体" w:eastAsia="宋体" w:hint="default"/>
                <w:spacing w:val="-10"/>
                <w:sz w:val="18"/>
                <w:szCs w:val="18"/>
              </w:rPr>
              <w:t>符合《广东省科学技术奖励办法》、《广东省科学</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9"/>
                <w:sz w:val="18"/>
                <w:szCs w:val="18"/>
              </w:rPr>
              <w:t>技术奖励办法实施细则》、《广东省科学技术突出</w:t>
            </w:r>
            <w:r>
              <w:rPr>
                <w:rFonts w:ascii="宋体" w:hAnsi="宋体" w:cs="宋体" w:eastAsia="宋体" w:hint="default"/>
                <w:sz w:val="18"/>
                <w:szCs w:val="18"/>
              </w:rPr>
              <w:t> 贡献奖评审暂行办法》规定的科学技术奖要求。</w:t>
            </w:r>
          </w:p>
        </w:tc>
      </w:tr>
      <w:tr>
        <w:trPr>
          <w:trHeight w:val="854"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年度深圳市高新技术专项补助</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1"/>
              <w:jc w:val="right"/>
              <w:rPr>
                <w:rFonts w:ascii="Times New Roman" w:hAnsi="Times New Roman" w:cs="Times New Roman" w:eastAsia="Times New Roman" w:hint="default"/>
                <w:sz w:val="18"/>
                <w:szCs w:val="18"/>
              </w:rPr>
            </w:pPr>
            <w:r>
              <w:rPr>
                <w:rFonts w:ascii="Times New Roman"/>
                <w:sz w:val="18"/>
              </w:rPr>
              <w:t>591,245.00</w:t>
            </w:r>
          </w:p>
        </w:tc>
        <w:tc>
          <w:tcPr>
            <w:tcW w:w="3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03" w:right="107"/>
              <w:jc w:val="both"/>
              <w:rPr>
                <w:rFonts w:ascii="宋体" w:hAnsi="宋体" w:cs="宋体" w:eastAsia="宋体" w:hint="default"/>
                <w:sz w:val="18"/>
                <w:szCs w:val="18"/>
              </w:rPr>
            </w:pPr>
            <w:r>
              <w:rPr>
                <w:rFonts w:ascii="宋体" w:hAnsi="宋体" w:cs="宋体" w:eastAsia="宋体" w:hint="default"/>
                <w:spacing w:val="-1"/>
                <w:sz w:val="18"/>
                <w:szCs w:val="18"/>
              </w:rPr>
              <w:t>符合《印发关于加强自主创新促进高新技术产业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发展若干政策措施的通知》规定的高新技术产业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专项补助项目。</w:t>
            </w:r>
          </w:p>
        </w:tc>
      </w:tr>
      <w:tr>
        <w:trPr>
          <w:trHeight w:val="622"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年知识产权专项资助</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4,600.00</w:t>
            </w:r>
          </w:p>
        </w:tc>
        <w:tc>
          <w:tcPr>
            <w:tcW w:w="3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03" w:right="96"/>
              <w:jc w:val="left"/>
              <w:rPr>
                <w:rFonts w:ascii="宋体" w:hAnsi="宋体" w:cs="宋体" w:eastAsia="宋体" w:hint="default"/>
                <w:sz w:val="18"/>
                <w:szCs w:val="18"/>
              </w:rPr>
            </w:pPr>
            <w:r>
              <w:rPr>
                <w:rFonts w:ascii="宋体" w:hAnsi="宋体" w:cs="宋体" w:eastAsia="宋体" w:hint="default"/>
                <w:spacing w:val="8"/>
                <w:sz w:val="18"/>
                <w:szCs w:val="18"/>
              </w:rPr>
              <w:t>符合《深圳市福田区科技发展资金管理暂行办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法》规定的知识产权资助项目。</w:t>
            </w:r>
          </w:p>
        </w:tc>
      </w:tr>
      <w:tr>
        <w:trPr>
          <w:trHeight w:val="620"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6"/>
              <w:ind w:left="122" w:right="91"/>
              <w:jc w:val="left"/>
              <w:rPr>
                <w:rFonts w:ascii="宋体" w:hAnsi="宋体" w:cs="宋体" w:eastAsia="宋体" w:hint="default"/>
                <w:sz w:val="18"/>
                <w:szCs w:val="18"/>
              </w:rPr>
            </w:pPr>
            <w:r>
              <w:rPr>
                <w:rFonts w:ascii="宋体" w:hAnsi="宋体" w:cs="宋体" w:eastAsia="宋体" w:hint="default"/>
                <w:spacing w:val="9"/>
                <w:sz w:val="18"/>
                <w:szCs w:val="18"/>
              </w:rPr>
              <w:t>除上述各项之外的其他营业外收入和 </w:t>
            </w:r>
            <w:r>
              <w:rPr>
                <w:rFonts w:ascii="宋体" w:hAnsi="宋体" w:cs="宋体" w:eastAsia="宋体" w:hint="default"/>
                <w:sz w:val="18"/>
                <w:szCs w:val="18"/>
              </w:rPr>
              <w:t>支出</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-20,000.00</w:t>
            </w:r>
          </w:p>
        </w:tc>
        <w:tc>
          <w:tcPr>
            <w:tcW w:w="3978"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非经常性损益对所得税的影响合计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-349,670.57</w:t>
            </w:r>
          </w:p>
        </w:tc>
        <w:tc>
          <w:tcPr>
            <w:tcW w:w="3978"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1,981,716.57</w:t>
            </w:r>
          </w:p>
        </w:tc>
        <w:tc>
          <w:tcPr>
            <w:tcW w:w="397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before="185"/>
        <w:ind w:left="144" w:right="3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10"/>
        <w:rPr>
          <w:rFonts w:ascii="宋体" w:hAnsi="宋体" w:cs="宋体" w:eastAsia="宋体" w:hint="default"/>
          <w:b/>
          <w:bCs/>
          <w:sz w:val="20"/>
          <w:szCs w:val="20"/>
        </w:rPr>
      </w:pPr>
    </w:p>
    <w:tbl>
      <w:tblPr>
        <w:tblW w:w="0" w:type="auto"/>
        <w:jc w:val="left"/>
        <w:tblInd w:w="124" w:type="dxa"/>
        <w:tblLayout w:type="fixed"/>
        <w:tblCellMar>
          <w:top w:w="0" w:type="dxa"/>
          <w:left w:w="0" w:type="dxa"/>
          <w:bottom w:w="0" w:type="dxa"/>
          <w:right w:w="0" w:type="dxa"/>
        </w:tblCellMar>
        <w:tblLook w:val="01E0"/>
      </w:tblPr>
      <w:tblGrid>
        <w:gridCol w:w="2850"/>
        <w:gridCol w:w="2384"/>
        <w:gridCol w:w="1800"/>
        <w:gridCol w:w="1620"/>
      </w:tblGrid>
      <w:tr>
        <w:trPr>
          <w:trHeight w:val="388" w:hRule="exact"/>
        </w:trPr>
        <w:tc>
          <w:tcPr>
            <w:tcW w:w="2850"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38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4"/>
                <w:sz w:val="18"/>
                <w:szCs w:val="18"/>
              </w:rPr>
              <w:t>加权平均净资产收益率（</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p>
        </w:tc>
        <w:tc>
          <w:tcPr>
            <w:tcW w:w="342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88" w:hRule="exact"/>
        </w:trPr>
        <w:tc>
          <w:tcPr>
            <w:tcW w:w="2850" w:type="dxa"/>
            <w:vMerge/>
            <w:tcBorders>
              <w:left w:val="nil" w:sz="6" w:space="0" w:color="auto"/>
              <w:bottom w:val="single" w:sz="4" w:space="0" w:color="000000"/>
              <w:right w:val="single" w:sz="4" w:space="0" w:color="000000"/>
            </w:tcBorders>
          </w:tcPr>
          <w:p>
            <w:pPr/>
          </w:p>
        </w:tc>
        <w:tc>
          <w:tcPr>
            <w:tcW w:w="2384" w:type="dxa"/>
            <w:vMerge/>
            <w:tcBorders>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88"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18"/>
                <w:szCs w:val="18"/>
              </w:rPr>
            </w:pPr>
            <w:r>
              <w:rPr>
                <w:rFonts w:ascii="Times New Roman"/>
                <w:sz w:val="18"/>
              </w:rPr>
              <w:t>3.98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Times New Roman" w:hAnsi="Times New Roman" w:cs="Times New Roman" w:eastAsia="Times New Roman" w:hint="default"/>
                <w:sz w:val="18"/>
                <w:szCs w:val="18"/>
              </w:rPr>
            </w:pPr>
            <w:r>
              <w:rPr>
                <w:rFonts w:ascii="Times New Roman"/>
                <w:sz w:val="18"/>
              </w:rPr>
              <w:t>0.1736</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4"/>
              <w:jc w:val="center"/>
              <w:rPr>
                <w:rFonts w:ascii="Times New Roman" w:hAnsi="Times New Roman" w:cs="Times New Roman" w:eastAsia="Times New Roman" w:hint="default"/>
                <w:sz w:val="18"/>
                <w:szCs w:val="18"/>
              </w:rPr>
            </w:pPr>
            <w:r>
              <w:rPr>
                <w:rFonts w:ascii="Times New Roman"/>
                <w:sz w:val="18"/>
              </w:rPr>
              <w:t>0.1736</w:t>
            </w:r>
          </w:p>
        </w:tc>
      </w:tr>
      <w:tr>
        <w:trPr>
          <w:trHeight w:val="622"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6"/>
              <w:ind w:left="122" w:right="20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0.1571</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0.1571</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1500" w:right="1420"/>
        </w:sectPr>
      </w:pPr>
    </w:p>
    <w:p>
      <w:pPr>
        <w:spacing w:line="240" w:lineRule="auto" w:before="2"/>
        <w:rPr>
          <w:rFonts w:ascii="宋体" w:hAnsi="宋体" w:cs="宋体" w:eastAsia="宋体" w:hint="default"/>
          <w:b/>
          <w:bCs/>
          <w:sz w:val="19"/>
          <w:szCs w:val="19"/>
        </w:rPr>
      </w:pPr>
    </w:p>
    <w:p>
      <w:pPr>
        <w:spacing w:before="35"/>
        <w:ind w:left="70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、公司主要会计报表项目的异常情况及原因的说明</w:t>
      </w:r>
      <w:r>
        <w:rPr>
          <w:rFonts w:ascii="宋体" w:hAnsi="宋体" w:cs="宋体" w:eastAsia="宋体" w:hint="default"/>
          <w:sz w:val="21"/>
          <w:szCs w:val="21"/>
        </w:rPr>
      </w:r>
    </w:p>
    <w:p>
      <w:pPr>
        <w:spacing w:line="240" w:lineRule="auto" w:before="5"/>
        <w:rPr>
          <w:rFonts w:ascii="宋体" w:hAnsi="宋体" w:cs="宋体" w:eastAsia="宋体" w:hint="default"/>
          <w:b/>
          <w:bCs/>
          <w:sz w:val="15"/>
          <w:szCs w:val="15"/>
        </w:rPr>
      </w:pPr>
    </w:p>
    <w:p>
      <w:pPr>
        <w:spacing w:before="35"/>
        <w:ind w:left="0" w:right="65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1416"/>
        <w:gridCol w:w="1340"/>
        <w:gridCol w:w="1254"/>
        <w:gridCol w:w="1252"/>
        <w:gridCol w:w="893"/>
        <w:gridCol w:w="3622"/>
      </w:tblGrid>
      <w:tr>
        <w:trPr>
          <w:trHeight w:val="475"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95"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50" w:right="0"/>
              <w:jc w:val="left"/>
              <w:rPr>
                <w:rFonts w:ascii="宋体" w:hAnsi="宋体" w:cs="宋体" w:eastAsia="宋体" w:hint="default"/>
                <w:sz w:val="18"/>
                <w:szCs w:val="18"/>
              </w:rPr>
            </w:pPr>
            <w:r>
              <w:rPr>
                <w:rFonts w:ascii="宋体" w:hAnsi="宋体" w:cs="宋体" w:eastAsia="宋体" w:hint="default"/>
                <w:sz w:val="18"/>
                <w:szCs w:val="18"/>
              </w:rPr>
              <w:t>增加额</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71" w:right="0"/>
              <w:jc w:val="left"/>
              <w:rPr>
                <w:rFonts w:ascii="宋体" w:hAnsi="宋体" w:cs="宋体" w:eastAsia="宋体" w:hint="default"/>
                <w:sz w:val="18"/>
                <w:szCs w:val="18"/>
              </w:rPr>
            </w:pPr>
            <w:r>
              <w:rPr>
                <w:rFonts w:ascii="宋体" w:hAnsi="宋体" w:cs="宋体" w:eastAsia="宋体" w:hint="default"/>
                <w:sz w:val="18"/>
                <w:szCs w:val="18"/>
              </w:rPr>
              <w:t>增加率</w:t>
            </w:r>
          </w:p>
        </w:tc>
        <w:tc>
          <w:tcPr>
            <w:tcW w:w="3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变化原因分析</w:t>
            </w:r>
          </w:p>
        </w:tc>
      </w:tr>
      <w:tr>
        <w:trPr>
          <w:trHeight w:val="854"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62,570,964.60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47,621,649.64</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14,949,314.96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31.39%</w:t>
            </w:r>
          </w:p>
        </w:tc>
        <w:tc>
          <w:tcPr>
            <w:tcW w:w="3622"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44"/>
              <w:ind w:left="103" w:right="107"/>
              <w:jc w:val="both"/>
              <w:rPr>
                <w:rFonts w:ascii="宋体" w:hAnsi="宋体" w:cs="宋体" w:eastAsia="宋体" w:hint="default"/>
                <w:sz w:val="18"/>
                <w:szCs w:val="18"/>
              </w:rPr>
            </w:pPr>
            <w:r>
              <w:rPr>
                <w:rFonts w:ascii="宋体" w:hAnsi="宋体" w:cs="宋体" w:eastAsia="宋体" w:hint="default"/>
                <w:spacing w:val="-1"/>
                <w:sz w:val="18"/>
                <w:szCs w:val="18"/>
              </w:rPr>
              <w:t>销售收入增长，以及报告期内公司个别大额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合同客户采取分行实施、总行付款的结算方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式，应收账款回收周期较长。</w:t>
            </w:r>
          </w:p>
        </w:tc>
      </w:tr>
      <w:tr>
        <w:trPr>
          <w:trHeight w:val="622"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4,814,974.00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26" w:right="0"/>
              <w:jc w:val="center"/>
              <w:rPr>
                <w:rFonts w:ascii="Times New Roman" w:hAnsi="Times New Roman" w:cs="Times New Roman" w:eastAsia="Times New Roman" w:hint="default"/>
                <w:sz w:val="18"/>
                <w:szCs w:val="18"/>
              </w:rPr>
            </w:pPr>
            <w:r>
              <w:rPr>
                <w:rFonts w:ascii="Times New Roman"/>
                <w:sz w:val="18"/>
              </w:rPr>
              <w:t>634,000.00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4,180,974.00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659.46%</w:t>
            </w:r>
          </w:p>
        </w:tc>
        <w:tc>
          <w:tcPr>
            <w:tcW w:w="3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03" w:right="107"/>
              <w:jc w:val="left"/>
              <w:rPr>
                <w:rFonts w:ascii="宋体" w:hAnsi="宋体" w:cs="宋体" w:eastAsia="宋体" w:hint="default"/>
                <w:sz w:val="18"/>
                <w:szCs w:val="18"/>
              </w:rPr>
            </w:pPr>
            <w:r>
              <w:rPr>
                <w:rFonts w:ascii="宋体" w:hAnsi="宋体" w:cs="宋体" w:eastAsia="宋体" w:hint="default"/>
                <w:spacing w:val="8"/>
                <w:sz w:val="18"/>
                <w:szCs w:val="18"/>
              </w:rPr>
              <w:t>公司为保障金融专用设备产品的有效供应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向供应商的预付货款增加。</w:t>
            </w:r>
          </w:p>
        </w:tc>
      </w:tr>
      <w:tr>
        <w:trPr>
          <w:trHeight w:val="853"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4,406,444.93</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1,247,558.79</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3,158,886.14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253.21%</w:t>
            </w:r>
          </w:p>
        </w:tc>
        <w:tc>
          <w:tcPr>
            <w:tcW w:w="3622"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44"/>
              <w:ind w:left="103" w:right="107"/>
              <w:jc w:val="both"/>
              <w:rPr>
                <w:rFonts w:ascii="宋体" w:hAnsi="宋体" w:cs="宋体" w:eastAsia="宋体" w:hint="default"/>
                <w:sz w:val="18"/>
                <w:szCs w:val="18"/>
              </w:rPr>
            </w:pPr>
            <w:r>
              <w:rPr>
                <w:rFonts w:ascii="宋体" w:hAnsi="宋体" w:cs="宋体" w:eastAsia="宋体" w:hint="default"/>
                <w:spacing w:val="-1"/>
                <w:sz w:val="18"/>
                <w:szCs w:val="18"/>
              </w:rPr>
              <w:t>随着公司金融专用设备类业务较快发展，公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司此类产品的原材料及产成品的库存周转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大幅增加。</w:t>
            </w:r>
          </w:p>
        </w:tc>
      </w:tr>
      <w:tr>
        <w:trPr>
          <w:trHeight w:val="854"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5,167,420.79</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3,861,610.85</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1,305,809.94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33.82%</w:t>
            </w:r>
          </w:p>
        </w:tc>
        <w:tc>
          <w:tcPr>
            <w:tcW w:w="3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03" w:right="107"/>
              <w:jc w:val="both"/>
              <w:rPr>
                <w:rFonts w:ascii="宋体" w:hAnsi="宋体" w:cs="宋体" w:eastAsia="宋体" w:hint="default"/>
                <w:sz w:val="18"/>
                <w:szCs w:val="18"/>
              </w:rPr>
            </w:pPr>
            <w:r>
              <w:rPr>
                <w:rFonts w:ascii="宋体" w:hAnsi="宋体" w:cs="宋体" w:eastAsia="宋体" w:hint="default"/>
                <w:spacing w:val="-1"/>
                <w:sz w:val="18"/>
                <w:szCs w:val="18"/>
              </w:rPr>
              <w:t>公司随员工人数增加办公设备资产增加，以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及公司用于生产金融专用设备产品的模具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等生产设备的投入增加。</w:t>
            </w:r>
          </w:p>
        </w:tc>
      </w:tr>
      <w:tr>
        <w:trPr>
          <w:trHeight w:val="622"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12,792,080.33</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2,061,331.41</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10,730,748.92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520.57%</w:t>
            </w:r>
          </w:p>
        </w:tc>
        <w:tc>
          <w:tcPr>
            <w:tcW w:w="3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03" w:right="107"/>
              <w:jc w:val="left"/>
              <w:rPr>
                <w:rFonts w:ascii="宋体" w:hAnsi="宋体" w:cs="宋体" w:eastAsia="宋体" w:hint="default"/>
                <w:sz w:val="18"/>
                <w:szCs w:val="18"/>
              </w:rPr>
            </w:pPr>
            <w:r>
              <w:rPr>
                <w:rFonts w:ascii="宋体" w:hAnsi="宋体" w:cs="宋体" w:eastAsia="宋体" w:hint="default"/>
                <w:spacing w:val="8"/>
                <w:sz w:val="18"/>
                <w:szCs w:val="18"/>
              </w:rPr>
              <w:t>公司募集资金投资项目及新产品开发的资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本化支出增加。</w:t>
            </w:r>
          </w:p>
        </w:tc>
      </w:tr>
      <w:tr>
        <w:trPr>
          <w:trHeight w:val="620"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6,336,781.53</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3,463,204.76</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2,873,576.77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82.97%</w:t>
            </w:r>
          </w:p>
        </w:tc>
        <w:tc>
          <w:tcPr>
            <w:tcW w:w="3622"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66"/>
              <w:ind w:left="103" w:right="107"/>
              <w:jc w:val="left"/>
              <w:rPr>
                <w:rFonts w:ascii="宋体" w:hAnsi="宋体" w:cs="宋体" w:eastAsia="宋体" w:hint="default"/>
                <w:sz w:val="18"/>
                <w:szCs w:val="18"/>
              </w:rPr>
            </w:pPr>
            <w:r>
              <w:rPr>
                <w:rFonts w:ascii="宋体" w:hAnsi="宋体" w:cs="宋体" w:eastAsia="宋体" w:hint="default"/>
                <w:spacing w:val="8"/>
                <w:sz w:val="18"/>
                <w:szCs w:val="18"/>
              </w:rPr>
              <w:t>主要原因系企业所得税和城建税的税率提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高而增加的税额。</w:t>
            </w:r>
          </w:p>
        </w:tc>
      </w:tr>
      <w:tr>
        <w:trPr>
          <w:trHeight w:val="622"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120,000,000.00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60,000,000.00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100.00%</w:t>
            </w:r>
          </w:p>
        </w:tc>
        <w:tc>
          <w:tcPr>
            <w:tcW w:w="3622" w:type="dxa"/>
            <w:tcBorders>
              <w:top w:val="single" w:sz="4" w:space="0" w:color="000000"/>
              <w:left w:val="single" w:sz="4" w:space="0" w:color="000000"/>
              <w:bottom w:val="single" w:sz="4" w:space="0" w:color="000000"/>
              <w:right w:val="nil" w:sz="6" w:space="0" w:color="auto"/>
            </w:tcBorders>
          </w:tcPr>
          <w:p>
            <w:pPr>
              <w:pStyle w:val="TableParagraph"/>
              <w:spacing w:line="234" w:lineRule="exact" w:before="64"/>
              <w:ind w:left="103" w:right="106"/>
              <w:jc w:val="left"/>
              <w:rPr>
                <w:rFonts w:ascii="宋体" w:hAnsi="宋体" w:cs="宋体" w:eastAsia="宋体" w:hint="default"/>
                <w:sz w:val="18"/>
                <w:szCs w:val="18"/>
              </w:rPr>
            </w:pPr>
            <w:r>
              <w:rPr>
                <w:rFonts w:ascii="宋体" w:hAnsi="宋体" w:cs="宋体" w:eastAsia="宋体" w:hint="default"/>
                <w:sz w:val="18"/>
                <w:szCs w:val="18"/>
              </w:rPr>
              <w:t>主要原因系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年度利润分配方案中资本 公积转增股本而增加的股本。</w:t>
            </w:r>
          </w:p>
        </w:tc>
      </w:tr>
    </w:tbl>
    <w:p>
      <w:pPr>
        <w:spacing w:line="240" w:lineRule="auto" w:before="9"/>
        <w:rPr>
          <w:rFonts w:ascii="宋体" w:hAnsi="宋体" w:cs="宋体" w:eastAsia="宋体" w:hint="default"/>
          <w:sz w:val="27"/>
          <w:szCs w:val="27"/>
        </w:rPr>
      </w:pPr>
    </w:p>
    <w:tbl>
      <w:tblPr>
        <w:tblW w:w="0" w:type="auto"/>
        <w:jc w:val="left"/>
        <w:tblInd w:w="112" w:type="dxa"/>
        <w:tblLayout w:type="fixed"/>
        <w:tblCellMar>
          <w:top w:w="0" w:type="dxa"/>
          <w:left w:w="0" w:type="dxa"/>
          <w:bottom w:w="0" w:type="dxa"/>
          <w:right w:w="0" w:type="dxa"/>
        </w:tblCellMar>
        <w:tblLook w:val="01E0"/>
      </w:tblPr>
      <w:tblGrid>
        <w:gridCol w:w="1322"/>
        <w:gridCol w:w="1367"/>
        <w:gridCol w:w="1254"/>
        <w:gridCol w:w="1310"/>
        <w:gridCol w:w="1195"/>
        <w:gridCol w:w="3328"/>
      </w:tblGrid>
      <w:tr>
        <w:trPr>
          <w:trHeight w:val="388"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1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61"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增加额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2" w:right="0"/>
              <w:jc w:val="left"/>
              <w:rPr>
                <w:rFonts w:ascii="宋体" w:hAnsi="宋体" w:cs="宋体" w:eastAsia="宋体" w:hint="default"/>
                <w:sz w:val="18"/>
                <w:szCs w:val="18"/>
              </w:rPr>
            </w:pPr>
            <w:r>
              <w:rPr>
                <w:rFonts w:ascii="宋体" w:hAnsi="宋体" w:cs="宋体" w:eastAsia="宋体" w:hint="default"/>
                <w:sz w:val="18"/>
                <w:szCs w:val="18"/>
              </w:rPr>
              <w:t>增加率</w:t>
            </w:r>
          </w:p>
        </w:tc>
        <w:tc>
          <w:tcPr>
            <w:tcW w:w="33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sz w:val="18"/>
                <w:szCs w:val="18"/>
              </w:rPr>
              <w:t>变化原因分析</w:t>
            </w:r>
          </w:p>
        </w:tc>
      </w:tr>
      <w:tr>
        <w:trPr>
          <w:trHeight w:val="854"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42,994,497.52</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32,619,908.01</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10,374,589.51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31.80%</w:t>
            </w:r>
          </w:p>
        </w:tc>
        <w:tc>
          <w:tcPr>
            <w:tcW w:w="3328"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44"/>
              <w:ind w:left="103" w:right="101"/>
              <w:jc w:val="both"/>
              <w:rPr>
                <w:rFonts w:ascii="宋体" w:hAnsi="宋体" w:cs="宋体" w:eastAsia="宋体" w:hint="default"/>
                <w:sz w:val="18"/>
                <w:szCs w:val="18"/>
              </w:rPr>
            </w:pPr>
            <w:r>
              <w:rPr>
                <w:rFonts w:ascii="宋体" w:hAnsi="宋体" w:cs="宋体" w:eastAsia="宋体" w:hint="default"/>
                <w:spacing w:val="2"/>
                <w:sz w:val="18"/>
                <w:szCs w:val="18"/>
              </w:rPr>
              <w:t>主要原因系公司金融专用设备类产品的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硬件成本增加以及计入软件开发产品成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本的开发人员薪酬水平提高所致。</w:t>
            </w:r>
          </w:p>
        </w:tc>
      </w:tr>
      <w:tr>
        <w:trPr>
          <w:trHeight w:val="854"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21,680,265.51</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12,721,557.86</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50" w:right="0"/>
              <w:jc w:val="center"/>
              <w:rPr>
                <w:rFonts w:ascii="Times New Roman" w:hAnsi="Times New Roman" w:cs="Times New Roman" w:eastAsia="Times New Roman" w:hint="default"/>
                <w:sz w:val="18"/>
                <w:szCs w:val="18"/>
              </w:rPr>
            </w:pPr>
            <w:r>
              <w:rPr>
                <w:rFonts w:ascii="Times New Roman"/>
                <w:sz w:val="18"/>
              </w:rPr>
              <w:t>8,958,707.65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70.42%</w:t>
            </w:r>
          </w:p>
        </w:tc>
        <w:tc>
          <w:tcPr>
            <w:tcW w:w="3328"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44"/>
              <w:ind w:left="103" w:right="101"/>
              <w:jc w:val="both"/>
              <w:rPr>
                <w:rFonts w:ascii="宋体" w:hAnsi="宋体" w:cs="宋体" w:eastAsia="宋体" w:hint="default"/>
                <w:sz w:val="18"/>
                <w:szCs w:val="18"/>
              </w:rPr>
            </w:pPr>
            <w:r>
              <w:rPr>
                <w:rFonts w:ascii="宋体" w:hAnsi="宋体" w:cs="宋体" w:eastAsia="宋体" w:hint="default"/>
                <w:spacing w:val="2"/>
                <w:sz w:val="18"/>
                <w:szCs w:val="18"/>
              </w:rPr>
              <w:t>主要原因系加大新产品的开发和市场推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广的力度以及销售人员薪酬福利水平的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提高所致。</w:t>
            </w:r>
          </w:p>
        </w:tc>
      </w:tr>
      <w:tr>
        <w:trPr>
          <w:trHeight w:val="853"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21,642,753.51</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18,454,038.35</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50" w:right="0"/>
              <w:jc w:val="center"/>
              <w:rPr>
                <w:rFonts w:ascii="Times New Roman" w:hAnsi="Times New Roman" w:cs="Times New Roman" w:eastAsia="Times New Roman" w:hint="default"/>
                <w:sz w:val="18"/>
                <w:szCs w:val="18"/>
              </w:rPr>
            </w:pPr>
            <w:r>
              <w:rPr>
                <w:rFonts w:ascii="Times New Roman"/>
                <w:sz w:val="18"/>
              </w:rPr>
              <w:t>3,188,715.16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17.28%</w:t>
            </w:r>
          </w:p>
        </w:tc>
        <w:tc>
          <w:tcPr>
            <w:tcW w:w="3328"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44"/>
              <w:ind w:left="103" w:right="17"/>
              <w:jc w:val="left"/>
              <w:rPr>
                <w:rFonts w:ascii="宋体" w:hAnsi="宋体" w:cs="宋体" w:eastAsia="宋体" w:hint="default"/>
                <w:sz w:val="18"/>
                <w:szCs w:val="18"/>
              </w:rPr>
            </w:pPr>
            <w:r>
              <w:rPr>
                <w:rFonts w:ascii="宋体" w:hAnsi="宋体" w:cs="宋体" w:eastAsia="宋体" w:hint="default"/>
                <w:spacing w:val="2"/>
                <w:sz w:val="18"/>
                <w:szCs w:val="18"/>
              </w:rPr>
              <w:t>公司业务规模的扩大，员工薪酬水平及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薪酬福利总额增加，以及办公场地扩大、</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加大管理投入等因素造成的。</w:t>
            </w:r>
          </w:p>
        </w:tc>
      </w:tr>
      <w:tr>
        <w:trPr>
          <w:trHeight w:val="622"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-9,118,083.48</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-3,208,671.11</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-5,909,412.37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184.17%</w:t>
            </w:r>
          </w:p>
        </w:tc>
        <w:tc>
          <w:tcPr>
            <w:tcW w:w="33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03" w:right="101"/>
              <w:jc w:val="left"/>
              <w:rPr>
                <w:rFonts w:ascii="宋体" w:hAnsi="宋体" w:cs="宋体" w:eastAsia="宋体" w:hint="default"/>
                <w:sz w:val="18"/>
                <w:szCs w:val="18"/>
              </w:rPr>
            </w:pPr>
            <w:r>
              <w:rPr>
                <w:rFonts w:ascii="宋体" w:hAnsi="宋体" w:cs="宋体" w:eastAsia="宋体" w:hint="default"/>
                <w:spacing w:val="2"/>
                <w:sz w:val="18"/>
                <w:szCs w:val="18"/>
              </w:rPr>
              <w:t>公司本报告期募集资金所产生的利息收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入较上年度大幅增加。</w:t>
            </w:r>
          </w:p>
        </w:tc>
      </w:tr>
      <w:tr>
        <w:trPr>
          <w:trHeight w:val="620"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1,017,561.10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2,329,132.19</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-1,311,571.09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-56.31%</w:t>
            </w:r>
          </w:p>
        </w:tc>
        <w:tc>
          <w:tcPr>
            <w:tcW w:w="3328"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66"/>
              <w:ind w:left="103" w:right="101"/>
              <w:jc w:val="left"/>
              <w:rPr>
                <w:rFonts w:ascii="宋体" w:hAnsi="宋体" w:cs="宋体" w:eastAsia="宋体" w:hint="default"/>
                <w:sz w:val="18"/>
                <w:szCs w:val="18"/>
              </w:rPr>
            </w:pPr>
            <w:r>
              <w:rPr>
                <w:rFonts w:ascii="宋体" w:hAnsi="宋体" w:cs="宋体" w:eastAsia="宋体" w:hint="default"/>
                <w:spacing w:val="2"/>
                <w:sz w:val="18"/>
                <w:szCs w:val="18"/>
              </w:rPr>
              <w:t>主要是应收款项增长幅度下降而减少的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坏账准备。</w:t>
            </w:r>
          </w:p>
        </w:tc>
      </w:tr>
      <w:tr>
        <w:trPr>
          <w:trHeight w:val="622"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2,336,974.48</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1,120,469.17</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49" w:right="0"/>
              <w:jc w:val="center"/>
              <w:rPr>
                <w:rFonts w:ascii="Times New Roman" w:hAnsi="Times New Roman" w:cs="Times New Roman" w:eastAsia="Times New Roman" w:hint="default"/>
                <w:sz w:val="18"/>
                <w:szCs w:val="18"/>
              </w:rPr>
            </w:pPr>
            <w:r>
              <w:rPr>
                <w:rFonts w:ascii="Times New Roman"/>
                <w:sz w:val="18"/>
              </w:rPr>
              <w:t>1,216,505.31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108.57%</w:t>
            </w:r>
          </w:p>
        </w:tc>
        <w:tc>
          <w:tcPr>
            <w:tcW w:w="33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03" w:right="101"/>
              <w:jc w:val="left"/>
              <w:rPr>
                <w:rFonts w:ascii="宋体" w:hAnsi="宋体" w:cs="宋体" w:eastAsia="宋体" w:hint="default"/>
                <w:sz w:val="18"/>
                <w:szCs w:val="18"/>
              </w:rPr>
            </w:pPr>
            <w:r>
              <w:rPr>
                <w:rFonts w:ascii="宋体" w:hAnsi="宋体" w:cs="宋体" w:eastAsia="宋体" w:hint="default"/>
                <w:spacing w:val="2"/>
                <w:sz w:val="18"/>
                <w:szCs w:val="18"/>
              </w:rPr>
              <w:t>主要原因系企业所得税税率提高引起的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税额增加。</w:t>
            </w:r>
          </w:p>
        </w:tc>
      </w:tr>
    </w:tbl>
    <w:p>
      <w:pPr>
        <w:spacing w:line="240" w:lineRule="auto" w:before="0"/>
        <w:rPr>
          <w:rFonts w:ascii="宋体" w:hAnsi="宋体" w:cs="宋体" w:eastAsia="宋体" w:hint="default"/>
          <w:sz w:val="20"/>
          <w:szCs w:val="20"/>
        </w:rPr>
      </w:pPr>
    </w:p>
    <w:p>
      <w:pPr>
        <w:pStyle w:val="Heading5"/>
        <w:spacing w:line="240" w:lineRule="auto" w:before="182"/>
        <w:ind w:left="704" w:right="0"/>
        <w:jc w:val="left"/>
        <w:rPr>
          <w:b w:val="0"/>
          <w:bCs w:val="0"/>
        </w:rPr>
      </w:pPr>
      <w:r>
        <w:rPr/>
        <w:t>十三、</w:t>
      </w:r>
      <w:r>
        <w:rPr>
          <w:spacing w:val="29"/>
        </w:rPr>
        <w:t> </w:t>
      </w:r>
      <w:r>
        <w:rPr/>
        <w:t>财务报表之批准</w:t>
      </w:r>
      <w:r>
        <w:rPr>
          <w:b w:val="0"/>
          <w:bCs w:val="0"/>
        </w:rPr>
      </w:r>
    </w:p>
    <w:p>
      <w:pPr>
        <w:spacing w:line="240" w:lineRule="auto" w:before="9"/>
        <w:rPr>
          <w:rFonts w:ascii="宋体" w:hAnsi="宋体" w:cs="宋体" w:eastAsia="宋体" w:hint="default"/>
          <w:b/>
          <w:bCs/>
          <w:sz w:val="20"/>
          <w:szCs w:val="20"/>
        </w:rPr>
      </w:pPr>
    </w:p>
    <w:p>
      <w:pPr>
        <w:spacing w:before="0"/>
        <w:ind w:left="1124" w:right="0" w:firstLine="0"/>
        <w:jc w:val="left"/>
        <w:rPr>
          <w:rFonts w:ascii="宋体" w:hAnsi="宋体" w:cs="宋体" w:eastAsia="宋体" w:hint="default"/>
          <w:sz w:val="21"/>
          <w:szCs w:val="21"/>
        </w:rPr>
      </w:pPr>
      <w:r>
        <w:rPr>
          <w:rFonts w:ascii="宋体" w:hAnsi="宋体" w:cs="宋体" w:eastAsia="宋体" w:hint="default"/>
          <w:sz w:val="21"/>
          <w:szCs w:val="21"/>
        </w:rPr>
        <w:t>本财务报表于</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16</w:t>
      </w:r>
      <w:r>
        <w:rPr>
          <w:rFonts w:ascii="宋体" w:hAnsi="宋体" w:cs="宋体" w:eastAsia="宋体" w:hint="default"/>
          <w:sz w:val="21"/>
          <w:szCs w:val="21"/>
        </w:rPr>
        <w:t>日业经本公司董事会批准通过。</w:t>
      </w:r>
    </w:p>
    <w:p>
      <w:pPr>
        <w:spacing w:after="0"/>
        <w:jc w:val="left"/>
        <w:rPr>
          <w:rFonts w:ascii="宋体" w:hAnsi="宋体" w:cs="宋体" w:eastAsia="宋体" w:hint="default"/>
          <w:sz w:val="21"/>
          <w:szCs w:val="21"/>
        </w:rPr>
        <w:sectPr>
          <w:pgSz w:w="11910" w:h="16840"/>
          <w:pgMar w:header="877" w:footer="982" w:top="1100" w:bottom="1180" w:left="94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35"/>
        <w:ind w:left="5184" w:right="273" w:firstLine="0"/>
        <w:jc w:val="left"/>
        <w:rPr>
          <w:rFonts w:ascii="宋体" w:hAnsi="宋体" w:cs="宋体" w:eastAsia="宋体" w:hint="default"/>
          <w:sz w:val="21"/>
          <w:szCs w:val="21"/>
        </w:rPr>
      </w:pPr>
      <w:r>
        <w:rPr>
          <w:rFonts w:ascii="宋体" w:hAnsi="宋体" w:cs="宋体" w:eastAsia="宋体" w:hint="default"/>
          <w:sz w:val="21"/>
          <w:szCs w:val="21"/>
        </w:rPr>
        <w:t>深圳市银之杰科技股份有限公司</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before="0"/>
        <w:ind w:left="5184" w:right="273" w:firstLine="0"/>
        <w:jc w:val="left"/>
        <w:rPr>
          <w:rFonts w:ascii="宋体" w:hAnsi="宋体" w:cs="宋体" w:eastAsia="宋体" w:hint="default"/>
          <w:sz w:val="21"/>
          <w:szCs w:val="21"/>
        </w:rPr>
      </w:pPr>
      <w:r>
        <w:rPr>
          <w:rFonts w:ascii="宋体" w:hAnsi="宋体" w:cs="宋体" w:eastAsia="宋体" w:hint="default"/>
          <w:sz w:val="21"/>
          <w:szCs w:val="21"/>
        </w:rPr>
        <w:t>法定代表人：陈向军</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before="0"/>
        <w:ind w:left="5184" w:right="273" w:firstLine="0"/>
        <w:jc w:val="left"/>
        <w:rPr>
          <w:rFonts w:ascii="宋体" w:hAnsi="宋体" w:cs="宋体" w:eastAsia="宋体" w:hint="default"/>
          <w:sz w:val="21"/>
          <w:szCs w:val="21"/>
        </w:rPr>
      </w:pPr>
      <w:r>
        <w:rPr>
          <w:rFonts w:ascii="宋体" w:hAnsi="宋体" w:cs="宋体" w:eastAsia="宋体" w:hint="default"/>
          <w:sz w:val="21"/>
          <w:szCs w:val="21"/>
        </w:rPr>
        <w:t>主管会计工作负责人：许秋江</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before="0"/>
        <w:ind w:left="5184" w:right="273" w:firstLine="0"/>
        <w:jc w:val="left"/>
        <w:rPr>
          <w:rFonts w:ascii="宋体" w:hAnsi="宋体" w:cs="宋体" w:eastAsia="宋体" w:hint="default"/>
          <w:sz w:val="21"/>
          <w:szCs w:val="21"/>
        </w:rPr>
      </w:pPr>
      <w:r>
        <w:rPr>
          <w:rFonts w:ascii="宋体" w:hAnsi="宋体" w:cs="宋体" w:eastAsia="宋体" w:hint="default"/>
          <w:sz w:val="21"/>
          <w:szCs w:val="21"/>
        </w:rPr>
        <w:t>会计机构负责人：张春雷</w:t>
      </w:r>
    </w:p>
    <w:p>
      <w:pPr>
        <w:spacing w:after="0"/>
        <w:jc w:val="left"/>
        <w:rPr>
          <w:rFonts w:ascii="宋体" w:hAnsi="宋体" w:cs="宋体" w:eastAsia="宋体" w:hint="default"/>
          <w:sz w:val="21"/>
          <w:szCs w:val="21"/>
        </w:rPr>
        <w:sectPr>
          <w:pgSz w:w="11910" w:h="16840"/>
          <w:pgMar w:header="877" w:footer="982" w:top="1100" w:bottom="1180" w:left="1500" w:right="1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1"/>
        <w:spacing w:line="240" w:lineRule="auto"/>
        <w:ind w:left="2341" w:right="2340"/>
        <w:jc w:val="center"/>
      </w:pPr>
      <w:bookmarkStart w:name="_TOC_250000" w:id="10"/>
      <w:r>
        <w:rPr/>
        <w:t>第十节</w:t>
      </w:r>
      <w:r>
        <w:rPr>
          <w:spacing w:val="-4"/>
        </w:rPr>
        <w:t> </w:t>
      </w:r>
      <w:bookmarkEnd w:id="10"/>
      <w:r>
        <w:rPr/>
        <w:t>备查文件</w:t>
      </w:r>
    </w:p>
    <w:p>
      <w:pPr>
        <w:spacing w:line="240" w:lineRule="auto" w:before="0"/>
        <w:rPr>
          <w:rFonts w:ascii="黑体" w:hAnsi="黑体" w:cs="黑体" w:eastAsia="黑体" w:hint="default"/>
          <w:sz w:val="32"/>
          <w:szCs w:val="32"/>
        </w:rPr>
      </w:pPr>
    </w:p>
    <w:p>
      <w:pPr>
        <w:spacing w:line="240" w:lineRule="auto" w:before="5"/>
        <w:rPr>
          <w:rFonts w:ascii="黑体" w:hAnsi="黑体" w:cs="黑体" w:eastAsia="黑体" w:hint="default"/>
          <w:sz w:val="37"/>
          <w:szCs w:val="37"/>
        </w:rPr>
      </w:pPr>
    </w:p>
    <w:p>
      <w:pPr>
        <w:pStyle w:val="BodyText"/>
        <w:spacing w:line="338" w:lineRule="auto"/>
        <w:ind w:left="143" w:right="131" w:firstLine="459"/>
        <w:jc w:val="left"/>
      </w:pPr>
      <w:r>
        <w:rPr>
          <w:rFonts w:ascii="Times New Roman" w:hAnsi="Times New Roman" w:cs="Times New Roman" w:eastAsia="Times New Roman" w:hint="default"/>
          <w:spacing w:val="-2"/>
        </w:rPr>
        <w:t>1</w:t>
      </w:r>
      <w:r>
        <w:rPr>
          <w:spacing w:val="-2"/>
        </w:rPr>
        <w:t>．载有公司法定代表人陈向军、主管会计工作负责人许秋江、会计机构负责人张</w:t>
      </w:r>
      <w:r>
        <w:rPr>
          <w:w w:val="100"/>
        </w:rPr>
        <w:t> </w:t>
      </w:r>
      <w:r>
        <w:rPr/>
        <w:t>春雷签名并盖章的财务报表。</w:t>
      </w:r>
    </w:p>
    <w:p>
      <w:pPr>
        <w:pStyle w:val="BodyText"/>
        <w:spacing w:line="338" w:lineRule="auto" w:before="51"/>
        <w:ind w:left="143" w:right="131" w:firstLine="459"/>
        <w:jc w:val="left"/>
      </w:pPr>
      <w:r>
        <w:rPr>
          <w:rFonts w:ascii="Times New Roman" w:hAnsi="Times New Roman" w:cs="Times New Roman" w:eastAsia="Times New Roman" w:hint="default"/>
          <w:spacing w:val="-2"/>
        </w:rPr>
        <w:t>2</w:t>
      </w:r>
      <w:r>
        <w:rPr>
          <w:spacing w:val="-2"/>
        </w:rPr>
        <w:t>．载有深圳市鹏城会计师事务所有限公司盖章、注册会计师杨春盛、蒙世权签名</w:t>
      </w:r>
      <w:r>
        <w:rPr>
          <w:w w:val="100"/>
        </w:rPr>
        <w:t> </w:t>
      </w:r>
      <w:r>
        <w:rPr/>
        <w:t>并盖章的审计报告原件。</w:t>
      </w:r>
    </w:p>
    <w:p>
      <w:pPr>
        <w:pStyle w:val="BodyText"/>
        <w:spacing w:line="240" w:lineRule="auto" w:before="52"/>
        <w:ind w:left="603" w:right="273"/>
        <w:jc w:val="left"/>
      </w:pPr>
      <w:r>
        <w:rPr>
          <w:rFonts w:ascii="Times New Roman" w:hAnsi="Times New Roman" w:cs="Times New Roman" w:eastAsia="Times New Roman" w:hint="default"/>
        </w:rPr>
        <w:t>3</w:t>
      </w:r>
      <w:r>
        <w:rPr/>
        <w:t>．载有公司董事长陈向军签名的公司</w:t>
      </w:r>
      <w:r>
        <w:rPr>
          <w:rFonts w:ascii="Times New Roman" w:hAnsi="Times New Roman" w:cs="Times New Roman" w:eastAsia="Times New Roman" w:hint="default"/>
        </w:rPr>
        <w:t>2011</w:t>
      </w:r>
      <w:r>
        <w:rPr/>
        <w:t>年年度报告。</w:t>
      </w:r>
    </w:p>
    <w:p>
      <w:pPr>
        <w:pStyle w:val="BodyText"/>
        <w:spacing w:line="338" w:lineRule="auto" w:before="129"/>
        <w:ind w:left="143" w:right="131" w:firstLine="459"/>
        <w:jc w:val="left"/>
      </w:pPr>
      <w:r>
        <w:rPr>
          <w:rFonts w:ascii="Times New Roman" w:hAnsi="Times New Roman" w:cs="Times New Roman" w:eastAsia="Times New Roman" w:hint="default"/>
          <w:spacing w:val="-2"/>
        </w:rPr>
        <w:t>4</w:t>
      </w:r>
      <w:r>
        <w:rPr>
          <w:spacing w:val="-2"/>
        </w:rPr>
        <w:t>．报告期内公司在中国证监会指定网站上公开披露过的所有文件的正本及公告的</w:t>
      </w:r>
      <w:r>
        <w:rPr>
          <w:w w:val="100"/>
        </w:rPr>
        <w:t> </w:t>
      </w:r>
      <w:r>
        <w:rPr/>
        <w:t>原件。</w:t>
      </w:r>
    </w:p>
    <w:p>
      <w:pPr>
        <w:pStyle w:val="BodyText"/>
        <w:spacing w:line="338" w:lineRule="auto" w:before="52"/>
        <w:ind w:left="143" w:right="201" w:firstLine="459"/>
        <w:jc w:val="left"/>
      </w:pPr>
      <w:r>
        <w:rPr>
          <w:spacing w:val="-1"/>
        </w:rPr>
        <w:t>以上备查文件的备置地点：深圳市福田区天安数码城天祥大厦</w:t>
      </w:r>
      <w:r>
        <w:rPr>
          <w:rFonts w:ascii="Times New Roman" w:hAnsi="Times New Roman" w:cs="Times New Roman" w:eastAsia="Times New Roman" w:hint="default"/>
          <w:spacing w:val="-1"/>
        </w:rPr>
        <w:t>AB</w:t>
      </w:r>
      <w:r>
        <w:rPr>
          <w:spacing w:val="-1"/>
        </w:rPr>
        <w:t>座</w:t>
      </w:r>
      <w:r>
        <w:rPr>
          <w:rFonts w:ascii="Times New Roman" w:hAnsi="Times New Roman" w:cs="Times New Roman" w:eastAsia="Times New Roman" w:hint="default"/>
          <w:spacing w:val="-1"/>
        </w:rPr>
        <w:t>5B2</w:t>
      </w:r>
      <w:r>
        <w:rPr>
          <w:spacing w:val="-1"/>
        </w:rPr>
        <w:t>，公司董</w:t>
      </w:r>
      <w:r>
        <w:rPr>
          <w:w w:val="100"/>
        </w:rPr>
        <w:t> </w:t>
      </w:r>
      <w:r>
        <w:rPr/>
        <w:t>事会办公室。</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6"/>
          <w:szCs w:val="16"/>
        </w:rPr>
      </w:pPr>
    </w:p>
    <w:p>
      <w:pPr>
        <w:pStyle w:val="BodyText"/>
        <w:spacing w:line="453" w:lineRule="auto"/>
        <w:ind w:left="6137" w:right="124" w:hanging="597"/>
        <w:jc w:val="left"/>
      </w:pPr>
      <w:r>
        <w:rPr/>
        <w:t>深圳市银之杰科技股份有限公司</w:t>
      </w:r>
      <w:r>
        <w:rPr>
          <w:w w:val="100"/>
        </w:rPr>
        <w:t> </w:t>
      </w:r>
      <w:r>
        <w:rPr/>
        <w:t>法定代表人：陈向军</w:t>
      </w:r>
      <w:r>
        <w:rPr>
          <w:w w:val="100"/>
        </w:rPr>
        <w:t> </w:t>
      </w:r>
      <w:r>
        <w:rPr/>
        <w:t>二〇一二年三月二十日</w:t>
      </w:r>
    </w:p>
    <w:sectPr>
      <w:pgSz w:w="11910" w:h="16840"/>
      <w:pgMar w:header="877" w:footer="982" w:top="1100" w:bottom="1180" w:left="1500" w:right="1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Wingdings">
    <w:altName w:val="Wingdings"/>
    <w:charset w:val="2"/>
    <w:family w:val="auto"/>
    <w:pitch w:val="variable"/>
  </w:font>
  <w:font w:name="新宋体">
    <w:altName w:val="新宋体"/>
    <w:charset w:val="86"/>
    <w:family w:val="modern"/>
    <w:pitch w:val="fixed"/>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614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5pt;margin-top:552.637939pt;width:13pt;height:11pt;mso-position-horizontal-relative:page;mso-position-vertical-relative:page;z-index:-613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5pt;margin-top:552.637939pt;width:13pt;height:11pt;mso-position-horizontal-relative:page;mso-position-vertical-relative:page;z-index:-613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613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81.897522pt;width:15.5pt;height:11pt;mso-position-horizontal-relative:page;mso-position-vertical-relative:page;z-index:-6136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613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614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5pt;margin-top:535.297913pt;width:13pt;height:11pt;mso-position-horizontal-relative:page;mso-position-vertical-relative:page;z-index:-614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614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614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614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6139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90501pt;margin-top:536.696533pt;width:96.4pt;height:12.5pt;mso-position-horizontal-relative:page;mso-position-vertical-relative:page;z-index:-613960"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法定代表人：陈向军</w:t>
                </w:r>
              </w:p>
            </w:txbxContent>
          </v:textbox>
          <w10:wrap type="none"/>
        </v:shape>
      </w:pict>
    </w:r>
    <w:r>
      <w:rPr/>
      <w:pict>
        <v:shape style="position:absolute;margin-left:322.870789pt;margin-top:536.696533pt;width:138.35pt;height:26.95pt;mso-position-horizontal-relative:page;mso-position-vertical-relative:page;z-index:-613936"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主管会计工作负责人：许秋江</w:t>
                </w:r>
              </w:p>
              <w:p>
                <w:pPr>
                  <w:spacing w:before="85"/>
                  <w:ind w:left="0" w:right="712" w:firstLine="0"/>
                  <w:jc w:val="righ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67</w:t>
                </w:r>
                <w:r>
                  <w:rPr/>
                  <w:fldChar w:fldCharType="end"/>
                </w:r>
              </w:p>
            </w:txbxContent>
          </v:textbox>
          <w10:wrap type="none"/>
        </v:shape>
      </w:pict>
    </w:r>
    <w:r>
      <w:rPr/>
      <w:pict>
        <v:shape style="position:absolute;margin-left:653.410828pt;margin-top:536.696533pt;width:117.45pt;height:12.5pt;mso-position-horizontal-relative:page;mso-position-vertical-relative:page;z-index:-613912"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会计机构负责人：张春雷</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90501pt;margin-top:536.696533pt;width:96.4pt;height:12.5pt;mso-position-horizontal-relative:page;mso-position-vertical-relative:page;z-index:-613888"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法定代表人：陈向军</w:t>
                </w:r>
              </w:p>
            </w:txbxContent>
          </v:textbox>
          <w10:wrap type="none"/>
        </v:shape>
      </w:pict>
    </w:r>
    <w:r>
      <w:rPr/>
      <w:pict>
        <v:shape style="position:absolute;margin-left:322.870789pt;margin-top:536.696533pt;width:138.35pt;height:26.95pt;mso-position-horizontal-relative:page;mso-position-vertical-relative:page;z-index:-613864"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主管会计工作负责人：许秋江</w:t>
                </w:r>
              </w:p>
              <w:p>
                <w:pPr>
                  <w:spacing w:before="85"/>
                  <w:ind w:left="0" w:right="712" w:firstLine="0"/>
                  <w:jc w:val="righ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p>
            </w:txbxContent>
          </v:textbox>
          <w10:wrap type="none"/>
        </v:shape>
      </w:pict>
    </w:r>
    <w:r>
      <w:rPr/>
      <w:pict>
        <v:shape style="position:absolute;margin-left:653.410828pt;margin-top:536.696533pt;width:117.45pt;height:12.5pt;mso-position-horizontal-relative:page;mso-position-vertical-relative:page;z-index:-613840"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会计机构负责人：张春雷</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84pt;width:418.65pt;height:.1pt;mso-position-horizontal-relative:page;mso-position-vertical-relative:page;z-index:-614344" coordorigin="1768,1112" coordsize="8373,2">
          <v:shape style="position:absolute;left:1768;top:1112;width:8373;height:2" coordorigin="1768,1112" coordsize="8373,0" path="m1768,1112l10140,1112e" filled="false" stroked="true" strokeweight=".72003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8.879997pt;margin-top:42.865326pt;width:128pt;height:11pt;mso-position-horizontal-relative:page;mso-position-vertical-relative:page;z-index:-6143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深圳市银之杰科技股份有限公司</w:t>
                </w:r>
              </w:p>
            </w:txbxContent>
          </v:textbox>
          <w10:wrap type="none"/>
        </v:shape>
      </w:pict>
    </w:r>
    <w:r>
      <w:rPr/>
      <w:pict>
        <v:shape style="position:absolute;margin-left:439.880005pt;margin-top:42.865326pt;width:66.650pt;height:11.5pt;mso-position-horizontal-relative:page;mso-position-vertical-relative:page;z-index:-6142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5.619999pt;width:700.95pt;height:.1pt;mso-position-horizontal-relative:page;mso-position-vertical-relative:page;z-index:-614224" coordorigin="1410,1112" coordsize="14019,2">
          <v:shape style="position:absolute;left:1410;top:1112;width:14019;height:2" coordorigin="1410,1112" coordsize="14019,0" path="m1410,1112l15428,1112e" filled="false" stroked="true" strokeweight=".72pt" strokecolor="#000000">
            <v:path arrowok="t"/>
          </v:shape>
          <w10:wrap type="none"/>
        </v:group>
      </w:pict>
    </w:r>
    <w:r>
      <w:rPr/>
      <w:pict>
        <v:shape style="position:absolute;margin-left:70.990501pt;margin-top:42.865623pt;width:128pt;height:11pt;mso-position-horizontal-relative:page;mso-position-vertical-relative:page;z-index:-6142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深圳市银之杰科技股份有限公司</w:t>
                </w:r>
              </w:p>
            </w:txbxContent>
          </v:textbox>
          <w10:wrap type="none"/>
        </v:shape>
      </w:pict>
    </w:r>
    <w:r>
      <w:rPr/>
      <w:pict>
        <v:shape style="position:absolute;margin-left:696.490479pt;margin-top:42.865623pt;width:66.9pt;height:11.5pt;mso-position-horizontal-relative:page;mso-position-vertical-relative:page;z-index:-6141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84pt;width:418.65pt;height:.1pt;mso-position-horizontal-relative:page;mso-position-vertical-relative:page;z-index:-614128" coordorigin="1768,1112" coordsize="8373,2">
          <v:shape style="position:absolute;left:1768;top:1112;width:8373;height:2" coordorigin="1768,1112" coordsize="8373,0" path="m1768,1112l10140,1112e" filled="false" stroked="true" strokeweight=".72003pt" strokecolor="#000000">
            <v:path arrowok="t"/>
          </v:shape>
          <w10:wrap type="none"/>
        </v:group>
      </w:pict>
    </w:r>
    <w:r>
      <w:rPr/>
      <w:pict>
        <v:shape style="position:absolute;margin-left:88.879997pt;margin-top:42.865326pt;width:128pt;height:11pt;mso-position-horizontal-relative:page;mso-position-vertical-relative:page;z-index:-6141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深圳市银之杰科技股份有限公司</w:t>
                </w:r>
              </w:p>
            </w:txbxContent>
          </v:textbox>
          <w10:wrap type="none"/>
        </v:shape>
      </w:pict>
    </w:r>
    <w:r>
      <w:rPr/>
      <w:pict>
        <v:shape style="position:absolute;margin-left:439.880005pt;margin-top:42.865326pt;width:66.650pt;height:11.5pt;mso-position-horizontal-relative:page;mso-position-vertical-relative:page;z-index:-6140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0.699997pt;margin-top:55.619984pt;width:433.95pt;height:.1pt;mso-position-horizontal-relative:page;mso-position-vertical-relative:page;z-index:-613768" coordorigin="1614,1112" coordsize="8679,2">
          <v:shape style="position:absolute;left:1614;top:1112;width:8679;height:2" coordorigin="1614,1112" coordsize="8679,0" path="m1614,1112l10292,1112e" filled="false" stroked="true" strokeweight=".72003pt" strokecolor="#000000">
            <v:path arrowok="t"/>
          </v:shape>
          <w10:wrap type="none"/>
        </v:group>
      </w:pict>
    </w:r>
    <w:r>
      <w:rPr/>
      <w:pict>
        <v:shape style="position:absolute;margin-left:81.199997pt;margin-top:42.865326pt;width:128pt;height:11pt;mso-position-horizontal-relative:page;mso-position-vertical-relative:page;z-index:-6137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深圳市银之杰科技股份有限公司</w:t>
                </w:r>
              </w:p>
            </w:txbxContent>
          </v:textbox>
          <w10:wrap type="none"/>
        </v:shape>
      </w:pict>
    </w:r>
    <w:r>
      <w:rPr/>
      <w:pict>
        <v:shape style="position:absolute;margin-left:441.200012pt;margin-top:42.865326pt;width:66.95pt;height:11.5pt;mso-position-horizontal-relative:page;mso-position-vertical-relative:page;z-index:-6137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49"/>
      <w:ind w:left="496"/>
    </w:pPr>
    <w:rPr>
      <w:rFonts w:ascii="宋体" w:hAnsi="宋体" w:eastAsia="宋体"/>
      <w:sz w:val="23"/>
      <w:szCs w:val="23"/>
    </w:rPr>
  </w:style>
  <w:style w:styleId="BodyText" w:type="paragraph">
    <w:name w:val="Body Text"/>
    <w:basedOn w:val="Normal"/>
    <w:uiPriority w:val="1"/>
    <w:qFormat/>
    <w:pPr>
      <w:ind w:left="137"/>
    </w:pPr>
    <w:rPr>
      <w:rFonts w:ascii="宋体" w:hAnsi="宋体" w:eastAsia="宋体"/>
      <w:sz w:val="23"/>
      <w:szCs w:val="23"/>
    </w:rPr>
  </w:style>
  <w:style w:styleId="Heading1" w:type="paragraph">
    <w:name w:val="Heading 1"/>
    <w:basedOn w:val="Normal"/>
    <w:uiPriority w:val="1"/>
    <w:qFormat/>
    <w:pPr>
      <w:spacing w:before="1"/>
      <w:outlineLvl w:val="1"/>
    </w:pPr>
    <w:rPr>
      <w:rFonts w:ascii="黑体" w:hAnsi="黑体" w:eastAsia="黑体"/>
      <w:sz w:val="32"/>
      <w:szCs w:val="32"/>
    </w:rPr>
  </w:style>
  <w:style w:styleId="Heading2" w:type="paragraph">
    <w:name w:val="Heading 2"/>
    <w:basedOn w:val="Normal"/>
    <w:uiPriority w:val="1"/>
    <w:qFormat/>
    <w:pPr>
      <w:spacing w:before="7"/>
      <w:ind w:left="613"/>
      <w:outlineLvl w:val="2"/>
    </w:pPr>
    <w:rPr>
      <w:rFonts w:ascii="宋体" w:hAnsi="宋体" w:eastAsia="宋体"/>
      <w:b/>
      <w:bCs/>
      <w:sz w:val="30"/>
      <w:szCs w:val="30"/>
    </w:rPr>
  </w:style>
  <w:style w:styleId="Heading3" w:type="paragraph">
    <w:name w:val="Heading 3"/>
    <w:basedOn w:val="Normal"/>
    <w:uiPriority w:val="1"/>
    <w:qFormat/>
    <w:pPr>
      <w:spacing w:before="13"/>
      <w:ind w:left="2344"/>
      <w:outlineLvl w:val="3"/>
    </w:pPr>
    <w:rPr>
      <w:rFonts w:ascii="宋体" w:hAnsi="宋体" w:eastAsia="宋体"/>
      <w:b/>
      <w:bCs/>
      <w:sz w:val="28"/>
      <w:szCs w:val="28"/>
    </w:rPr>
  </w:style>
  <w:style w:styleId="Heading4" w:type="paragraph">
    <w:name w:val="Heading 4"/>
    <w:basedOn w:val="Normal"/>
    <w:uiPriority w:val="1"/>
    <w:qFormat/>
    <w:pPr>
      <w:spacing w:before="7"/>
      <w:ind w:left="159"/>
      <w:outlineLvl w:val="4"/>
    </w:pPr>
    <w:rPr>
      <w:rFonts w:ascii="宋体" w:hAnsi="宋体" w:eastAsia="宋体"/>
      <w:b/>
      <w:bCs/>
      <w:sz w:val="24"/>
      <w:szCs w:val="24"/>
    </w:rPr>
  </w:style>
  <w:style w:styleId="Heading5" w:type="paragraph">
    <w:name w:val="Heading 5"/>
    <w:basedOn w:val="Normal"/>
    <w:uiPriority w:val="1"/>
    <w:qFormat/>
    <w:pPr>
      <w:ind w:left="137"/>
      <w:outlineLvl w:val="5"/>
    </w:pPr>
    <w:rPr>
      <w:rFonts w:ascii="宋体" w:hAnsi="宋体" w:eastAsia="宋体"/>
      <w:b/>
      <w:bCs/>
      <w:sz w:val="23"/>
      <w:szCs w:val="23"/>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liuyi@yinzhijie.com" TargetMode="External"/><Relationship Id="rId9" Type="http://schemas.openxmlformats.org/officeDocument/2006/relationships/hyperlink" Target="mailto:linli@yinzhijie.com" TargetMode="External"/><Relationship Id="rId10" Type="http://schemas.openxmlformats.org/officeDocument/2006/relationships/hyperlink" Target="http://www.yinzhijie.com/" TargetMode="External"/><Relationship Id="rId11" Type="http://schemas.openxmlformats.org/officeDocument/2006/relationships/hyperlink" Target="mailto:invest@yinzhijie.com" TargetMode="External"/><Relationship Id="rId12" Type="http://schemas.openxmlformats.org/officeDocument/2006/relationships/hyperlink" Target="http://www.cninfo.com.cn/" TargetMode="External"/><Relationship Id="rId13" Type="http://schemas.openxmlformats.org/officeDocument/2006/relationships/image" Target="media/image2.jpeg"/><Relationship Id="rId14" Type="http://schemas.openxmlformats.org/officeDocument/2006/relationships/footer" Target="footer2.xml"/><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header" Target="header3.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header" Target="header4.xml"/><Relationship Id="rId23" Type="http://schemas.openxmlformats.org/officeDocument/2006/relationships/footer" Target="footer8.xml"/><Relationship Id="rId24" Type="http://schemas.openxmlformats.org/officeDocument/2006/relationships/header" Target="header5.xml"/><Relationship Id="rId25" Type="http://schemas.openxmlformats.org/officeDocument/2006/relationships/footer" Target="footer9.xml"/><Relationship Id="rId26" Type="http://schemas.openxmlformats.org/officeDocument/2006/relationships/header" Target="header6.xml"/><Relationship Id="rId27" Type="http://schemas.openxmlformats.org/officeDocument/2006/relationships/footer" Target="footer10.xml"/><Relationship Id="rId28" Type="http://schemas.openxmlformats.org/officeDocument/2006/relationships/header" Target="header7.xml"/><Relationship Id="rId29" Type="http://schemas.openxmlformats.org/officeDocument/2006/relationships/footer" Target="footer11.xml"/><Relationship Id="rId30" Type="http://schemas.openxmlformats.org/officeDocument/2006/relationships/header" Target="header8.xml"/><Relationship Id="rId31" Type="http://schemas.openxmlformats.org/officeDocument/2006/relationships/footer" Target="footer12.xml"/><Relationship Id="rId32" Type="http://schemas.openxmlformats.org/officeDocument/2006/relationships/footer" Target="footer13.xml"/><Relationship Id="rId33"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gongqingyu</dc:creator>
  <dc:title>Microsoft Word - 2011年年度报告.doc</dc:title>
  <dcterms:created xsi:type="dcterms:W3CDTF">2020-05-03T16:26:40Z</dcterms:created>
  <dcterms:modified xsi:type="dcterms:W3CDTF">2020-05-03T16:26:40Z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2012-03-19T00:00:00Z</vt:filetime>
  </property>
  <property fmtid="{D5CDD505-2E9C-101B-9397-08002B2CF9AE}" pid="3" name="Creator">
    <vt:lpwstr>PScript5.dll Version 5.2</vt:lpwstr>
  </property>
  <property fmtid="{D5CDD505-2E9C-101B-9397-08002B2CF9AE}" pid="4" name="LastSaved">
    <vt:filetime>2020-05-03T00:00:00Z</vt:filetime>
  </property>
</Properties>
</file>