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p>
      <w:pPr>
        <w:spacing w:line="963" w:lineRule="exact"/>
        <w:ind w:left="28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2723702" cy="6120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723702" cy="612076"/>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7"/>
          <w:szCs w:val="27"/>
        </w:rPr>
      </w:pPr>
    </w:p>
    <w:p>
      <w:pPr>
        <w:spacing w:line="620" w:lineRule="exact" w:before="0"/>
        <w:ind w:left="495" w:right="495" w:firstLine="0"/>
        <w:jc w:val="center"/>
        <w:rPr>
          <w:rFonts w:ascii="黑体" w:hAnsi="黑体" w:cs="黑体" w:eastAsia="黑体" w:hint="default"/>
          <w:sz w:val="52"/>
          <w:szCs w:val="52"/>
        </w:rPr>
      </w:pPr>
      <w:r>
        <w:rPr>
          <w:rFonts w:ascii="黑体" w:hAnsi="黑体" w:cs="黑体" w:eastAsia="黑体" w:hint="default"/>
          <w:sz w:val="52"/>
          <w:szCs w:val="52"/>
        </w:rPr>
        <w:t>深圳市银之杰科技股份有限公司</w:t>
      </w:r>
    </w:p>
    <w:p>
      <w:pPr>
        <w:spacing w:before="197"/>
        <w:ind w:left="495" w:right="495" w:firstLine="0"/>
        <w:jc w:val="center"/>
        <w:rPr>
          <w:rFonts w:ascii="Times New Roman" w:hAnsi="Times New Roman" w:cs="Times New Roman" w:eastAsia="Times New Roman" w:hint="default"/>
          <w:sz w:val="30"/>
          <w:szCs w:val="30"/>
        </w:rPr>
      </w:pPr>
      <w:r>
        <w:rPr>
          <w:rFonts w:ascii="Times New Roman"/>
          <w:b/>
          <w:sz w:val="30"/>
        </w:rPr>
        <w:t>SHENZHEN INFOTECH TECHNOLOGIES CO.,</w:t>
      </w:r>
      <w:r>
        <w:rPr>
          <w:rFonts w:ascii="Times New Roman"/>
          <w:b/>
          <w:spacing w:val="-33"/>
          <w:sz w:val="30"/>
        </w:rPr>
        <w:t> </w:t>
      </w:r>
      <w:r>
        <w:rPr>
          <w:rFonts w:ascii="Times New Roman"/>
          <w:b/>
          <w:spacing w:val="-8"/>
          <w:sz w:val="30"/>
        </w:rPr>
        <w:t>LTD.</w:t>
      </w:r>
      <w:r>
        <w:rPr>
          <w:rFonts w:ascii="Times New Roman"/>
          <w:sz w:val="30"/>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6"/>
        <w:rPr>
          <w:rFonts w:ascii="Times New Roman" w:hAnsi="Times New Roman" w:cs="Times New Roman" w:eastAsia="Times New Roman" w:hint="default"/>
          <w:b/>
          <w:bCs/>
          <w:sz w:val="33"/>
          <w:szCs w:val="33"/>
        </w:rPr>
      </w:pPr>
    </w:p>
    <w:p>
      <w:pPr>
        <w:spacing w:before="0"/>
        <w:ind w:left="495" w:right="494" w:firstLine="0"/>
        <w:jc w:val="center"/>
        <w:rPr>
          <w:rFonts w:ascii="黑体" w:hAnsi="黑体" w:cs="黑体" w:eastAsia="黑体" w:hint="default"/>
          <w:sz w:val="52"/>
          <w:szCs w:val="52"/>
        </w:rPr>
      </w:pPr>
      <w:r>
        <w:rPr>
          <w:rFonts w:ascii="黑体" w:hAnsi="黑体" w:cs="黑体" w:eastAsia="黑体" w:hint="default"/>
          <w:sz w:val="52"/>
          <w:szCs w:val="52"/>
        </w:rPr>
        <w:t>2012</w:t>
      </w:r>
      <w:r>
        <w:rPr>
          <w:rFonts w:ascii="黑体" w:hAnsi="黑体" w:cs="黑体" w:eastAsia="黑体" w:hint="default"/>
          <w:spacing w:val="-134"/>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before="442"/>
        <w:ind w:left="495" w:right="4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type w:val="continuous"/>
          <w:pgSz w:w="11910" w:h="16840"/>
          <w:pgMar w:header="747" w:top="1060" w:bottom="2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09"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公司负责人陈向军、主管会计工作负责人许秋江及会计机构负责人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张春雷声明：保证年度报告中财务报告的真实、准确、完整。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7"/>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95" w:right="4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0" w:val="right" w:leader="dot"/>
            </w:tabs>
            <w:spacing w:line="240" w:lineRule="auto" w:before="0"/>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 重要提示、目录和释义</w:t>
            </w:r>
            <w:r>
              <w:rPr>
                <w:rFonts w:ascii="Times New Roman" w:hAnsi="Times New Roman" w:cs="Times New Roman" w:eastAsia="Times New Roman" w:hint="default"/>
              </w:rPr>
              <w:tab/>
              <w:t>2</w:t>
            </w:r>
          </w:hyperlink>
        </w:p>
        <w:p>
          <w:pPr>
            <w:pStyle w:val="TOC1"/>
            <w:tabs>
              <w:tab w:pos="9779" w:val="right" w:leader="dot"/>
            </w:tabs>
            <w:spacing w:line="240" w:lineRule="auto"/>
            <w:ind w:right="0"/>
            <w:jc w:val="left"/>
            <w:rPr>
              <w:rFonts w:ascii="Times New Roman" w:hAnsi="Times New Roman" w:cs="Times New Roman" w:eastAsia="Times New Roman" w:hint="default"/>
            </w:rPr>
          </w:pPr>
          <w:hyperlink w:history="true" w:anchor="_TOC_250008">
            <w:r>
              <w:rPr/>
              <w:t>第二节 公司基本情况简介</w:t>
            </w:r>
            <w:r>
              <w:rPr>
                <w:rFonts w:ascii="Times New Roman" w:hAnsi="Times New Roman" w:cs="Times New Roman" w:eastAsia="Times New Roman" w:hint="default"/>
              </w:rPr>
              <w:tab/>
              <w:t>5</w:t>
            </w:r>
          </w:hyperlink>
        </w:p>
        <w:p>
          <w:pPr>
            <w:pStyle w:val="TOC1"/>
            <w:tabs>
              <w:tab w:pos="9780" w:val="right" w:leader="dot"/>
            </w:tabs>
            <w:spacing w:line="240" w:lineRule="auto" w:before="259"/>
            <w:ind w:right="0"/>
            <w:jc w:val="left"/>
            <w:rPr>
              <w:rFonts w:ascii="Times New Roman" w:hAnsi="Times New Roman" w:cs="Times New Roman" w:eastAsia="Times New Roman" w:hint="default"/>
            </w:rPr>
          </w:pPr>
          <w:hyperlink w:history="true" w:anchor="_TOC_250007">
            <w:r>
              <w:rPr/>
              <w:t>第三节 会计数据和财务指标摘要</w:t>
            </w:r>
            <w:r>
              <w:rPr>
                <w:rFonts w:ascii="Times New Roman" w:hAnsi="Times New Roman" w:cs="Times New Roman" w:eastAsia="Times New Roman" w:hint="default"/>
              </w:rPr>
              <w:tab/>
              <w:t>7</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6">
            <w:r>
              <w:rPr/>
              <w:t>第四节 董事会报告</w:t>
            </w:r>
            <w:r>
              <w:rPr>
                <w:rFonts w:ascii="Times New Roman" w:hAnsi="Times New Roman" w:cs="Times New Roman" w:eastAsia="Times New Roman" w:hint="default"/>
              </w:rPr>
              <w:tab/>
              <w:t>10</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5">
            <w:r>
              <w:rPr/>
              <w:t>第五节 重要事项</w:t>
            </w:r>
            <w:r>
              <w:rPr>
                <w:rFonts w:ascii="Times New Roman" w:hAnsi="Times New Roman" w:cs="Times New Roman" w:eastAsia="Times New Roman" w:hint="default"/>
              </w:rPr>
              <w:tab/>
              <w:t>30</w:t>
            </w:r>
          </w:hyperlink>
        </w:p>
        <w:p>
          <w:pPr>
            <w:pStyle w:val="TOC1"/>
            <w:tabs>
              <w:tab w:pos="9780" w:val="right" w:leader="dot"/>
            </w:tabs>
            <w:spacing w:line="240" w:lineRule="auto" w:before="259"/>
            <w:ind w:right="0"/>
            <w:jc w:val="left"/>
            <w:rPr>
              <w:rFonts w:ascii="Times New Roman" w:hAnsi="Times New Roman" w:cs="Times New Roman" w:eastAsia="Times New Roman" w:hint="default"/>
            </w:rPr>
          </w:pPr>
          <w:hyperlink w:history="true" w:anchor="_TOC_250004">
            <w:r>
              <w:rPr/>
              <w:t>第六节 股份变动及股东情况</w:t>
            </w:r>
            <w:r>
              <w:rPr>
                <w:rFonts w:ascii="Times New Roman" w:hAnsi="Times New Roman" w:cs="Times New Roman" w:eastAsia="Times New Roman" w:hint="default"/>
              </w:rPr>
              <w:tab/>
              <w:t>36</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t>第七节 董事、监事、高级管理人员和员工情况</w:t>
            </w:r>
            <w:r>
              <w:rPr>
                <w:rFonts w:ascii="Times New Roman" w:hAnsi="Times New Roman" w:cs="Times New Roman" w:eastAsia="Times New Roman" w:hint="default"/>
              </w:rPr>
              <w:tab/>
              <w:t>41</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2">
            <w:r>
              <w:rPr/>
              <w:t>第八节 公司治理</w:t>
            </w:r>
            <w:r>
              <w:rPr>
                <w:rFonts w:ascii="Times New Roman" w:hAnsi="Times New Roman" w:cs="Times New Roman" w:eastAsia="Times New Roman" w:hint="default"/>
              </w:rPr>
              <w:tab/>
              <w:t>47</w:t>
            </w:r>
          </w:hyperlink>
        </w:p>
        <w:p>
          <w:pPr>
            <w:pStyle w:val="TOC1"/>
            <w:tabs>
              <w:tab w:pos="9780" w:val="right" w:leader="dot"/>
            </w:tabs>
            <w:spacing w:line="240" w:lineRule="auto" w:before="259"/>
            <w:ind w:right="0"/>
            <w:jc w:val="left"/>
            <w:rPr>
              <w:rFonts w:ascii="Times New Roman" w:hAnsi="Times New Roman" w:cs="Times New Roman" w:eastAsia="Times New Roman" w:hint="default"/>
            </w:rPr>
          </w:pPr>
          <w:hyperlink w:history="true" w:anchor="_TOC_250001">
            <w:r>
              <w:rPr/>
              <w:t>第九节 财务报告</w:t>
            </w:r>
            <w:r>
              <w:rPr>
                <w:rFonts w:ascii="Times New Roman" w:hAnsi="Times New Roman" w:cs="Times New Roman" w:eastAsia="Times New Roman" w:hint="default"/>
              </w:rPr>
              <w:tab/>
              <w:t>50</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0">
            <w:r>
              <w:rPr/>
              <w:t>第十节 备查文件目录</w:t>
            </w:r>
            <w:r>
              <w:rPr>
                <w:rFonts w:ascii="Times New Roman" w:hAnsi="Times New Roman" w:cs="Times New Roman" w:eastAsia="Times New Roman" w:hint="default"/>
              </w:rPr>
              <w:tab/>
              <w:t>134</w:t>
            </w:r>
          </w:hyperlink>
        </w:p>
        <w:p>
          <w:pPr/>
          <w:r>
            <w:fldChar w:fldCharType="end"/>
          </w:r>
        </w:p>
      </w:sdtContent>
    </w:sdt>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10"/>
        <w:rPr>
          <w:rFonts w:ascii="Times New Roman" w:hAnsi="Times New Roman" w:cs="Times New Roman" w:eastAsia="Times New Roman" w:hint="default"/>
          <w:sz w:val="33"/>
          <w:szCs w:val="33"/>
        </w:rPr>
      </w:pPr>
    </w:p>
    <w:p>
      <w:pPr>
        <w:spacing w:before="0"/>
        <w:ind w:left="495" w:right="4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before="44"/>
        <w:ind w:left="0" w:right="158"/>
        <w:jc w:val="right"/>
      </w:pPr>
      <w:r>
        <w:rPr/>
        <w:pict>
          <v:shape style="position:absolute;margin-left:56.459999pt;margin-top:-221.947968pt;width:479.2pt;height:502.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中国证劵监督管理委员会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影像技术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对通过摄像、扫描等方式获得的数字图像进行传输、图像处理、识别</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存储、管理等一系列信息化应用的技术。</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支票、汇票、本票等。</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验印</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银行在受理诸如支票等涉及客户签章的业务时，核对客户签章与预留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银行的签章是否相符的业务操作程序。</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工作流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将组织中例行的、为完成特定目标的工作程序抽象成具有严格顺序的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工作序列，对每项工作均定义清晰的进入条件和完成标准，并以恰当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的软件模型对各项工作组织的逻辑和规则在计算机中进行表示。</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工作流引擎</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利用工作流的计算机模型对工作流进行计算机计算机化表示并驱动 工作流运行的软件技术，是工作流管理系统的核心部分。</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流程银行</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通过重新构造银行的业务流程、组织流程、管理流程，改造传统的银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行模式，形成以流程为核心的全新的银行模式。本报告中多特指商业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银行为达到以上变革目的而进行的信息化建设。</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银行业务流程再造</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商业银行为了适应市场需要，采取积极彻底的措施向流程银行的管理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模式靠拢，对原有的业务流程以及内外部组织结构进行彻底地变革， 以期有效改善对客户的服务质量，降低成本，加强风险控制的实践。</w:t>
                        </w:r>
                      </w:p>
                    </w:tc>
                  </w:tr>
                </w:tbl>
                <w:p>
                  <w:pPr/>
                </w:p>
              </w:txbxContent>
            </v:textbox>
            <w10:wrap type="none"/>
          </v:shape>
        </w:pict>
      </w: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8" w:id="2"/>
      <w:r>
        <w:rPr/>
        <w:t>第二节</w:t>
      </w:r>
      <w:r>
        <w:rPr>
          <w:spacing w:val="-9"/>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5"/>
        <w:gridCol w:w="2156"/>
        <w:gridCol w:w="2177"/>
      </w:tblGrid>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银之杰</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300085</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3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银之杰</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Shenzhen Infotech Technologies</w:t>
            </w:r>
            <w:r>
              <w:rPr>
                <w:rFonts w:ascii="Times New Roman"/>
                <w:spacing w:val="-26"/>
                <w:sz w:val="18"/>
              </w:rPr>
              <w:t> </w:t>
            </w:r>
            <w:r>
              <w:rPr>
                <w:rFonts w:ascii="Times New Roman"/>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INFOTECH</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5B2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518048</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10A</w:t>
            </w:r>
            <w:r>
              <w:rPr>
                <w:rFonts w:ascii="宋体" w:hAnsi="宋体" w:cs="宋体" w:eastAsia="宋体" w:hint="default"/>
                <w:sz w:val="18"/>
                <w:szCs w:val="18"/>
              </w:rPr>
              <w:t>、</w:t>
            </w:r>
            <w:r>
              <w:rPr>
                <w:rFonts w:ascii="Times New Roman" w:hAnsi="Times New Roman" w:cs="Times New Roman" w:eastAsia="Times New Roman" w:hint="default"/>
                <w:sz w:val="18"/>
                <w:szCs w:val="18"/>
              </w:rPr>
              <w:t>5B2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518048</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8">
              <w:r>
                <w:rPr>
                  <w:rFonts w:ascii="Times New Roman"/>
                  <w:sz w:val="18"/>
                </w:rPr>
                <w:t>www.yinzhijie.com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invest@yinzhijie.com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国富浩华会计师事务所</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林丽</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AB</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10A</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AB</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10A</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0755-83930085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0755-83930085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0755-83562955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0755-83562955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liuyi@yinzhijie.com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linli@yinzhijie.com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0"/>
        <w:gridCol w:w="5708"/>
      </w:tblGrid>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深圳市华强北路长</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兴大厦盛庭苑酒店</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4403012009512</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9"/>
              <w:jc w:val="right"/>
              <w:rPr>
                <w:rFonts w:ascii="Times New Roman" w:hAnsi="Times New Roman" w:cs="Times New Roman" w:eastAsia="Times New Roman" w:hint="default"/>
                <w:sz w:val="18"/>
                <w:szCs w:val="18"/>
              </w:rPr>
            </w:pPr>
            <w:r>
              <w:rPr>
                <w:rFonts w:ascii="Times New Roman"/>
                <w:sz w:val="18"/>
              </w:rPr>
              <w:t>440301708458455</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70845845-5</w:t>
            </w:r>
          </w:p>
        </w:tc>
      </w:tr>
      <w:tr>
        <w:trPr>
          <w:trHeight w:val="35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1"/>
              <w:jc w:val="left"/>
              <w:rPr>
                <w:rFonts w:ascii="宋体" w:hAnsi="宋体" w:cs="宋体" w:eastAsia="宋体" w:hint="default"/>
                <w:sz w:val="18"/>
                <w:szCs w:val="18"/>
              </w:rPr>
            </w:pPr>
            <w:r>
              <w:rPr>
                <w:rFonts w:ascii="宋体" w:hAnsi="宋体" w:cs="宋体" w:eastAsia="宋体" w:hint="default"/>
                <w:sz w:val="18"/>
                <w:szCs w:val="18"/>
              </w:rPr>
              <w:t>股份公司成立变更 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深圳市福田区车公 庙天安数码城天祥 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5B2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440301102955880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440301708458455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70845845-5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1"/>
              <w:jc w:val="left"/>
              <w:rPr>
                <w:rFonts w:ascii="宋体" w:hAnsi="宋体" w:cs="宋体" w:eastAsia="宋体" w:hint="default"/>
                <w:sz w:val="18"/>
                <w:szCs w:val="18"/>
              </w:rPr>
            </w:pPr>
            <w:r>
              <w:rPr>
                <w:rFonts w:ascii="宋体" w:hAnsi="宋体" w:cs="宋体" w:eastAsia="宋体" w:hint="default"/>
                <w:sz w:val="18"/>
                <w:szCs w:val="18"/>
              </w:rPr>
              <w:t>首次公开发行股票 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深圳市福田区车公 庙天安数码城天祥 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5B2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440301102955880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440301708458455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70845845-5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1"/>
              <w:jc w:val="left"/>
              <w:rPr>
                <w:rFonts w:ascii="宋体" w:hAnsi="宋体" w:cs="宋体" w:eastAsia="宋体" w:hint="default"/>
                <w:sz w:val="18"/>
                <w:szCs w:val="18"/>
              </w:rPr>
            </w:pPr>
            <w:r>
              <w:rPr>
                <w:rFonts w:ascii="宋体" w:hAnsi="宋体" w:cs="宋体" w:eastAsia="宋体" w:hint="default"/>
                <w:sz w:val="18"/>
                <w:szCs w:val="18"/>
              </w:rPr>
              <w:t>资本公积金转增股 本变更注册登记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深圳市福田区车公 庙天安数码城天祥 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5B2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440301102955880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440301708458455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70845845-5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1"/>
              <w:jc w:val="left"/>
              <w:rPr>
                <w:rFonts w:ascii="宋体" w:hAnsi="宋体" w:cs="宋体" w:eastAsia="宋体" w:hint="default"/>
                <w:sz w:val="18"/>
                <w:szCs w:val="18"/>
              </w:rPr>
            </w:pPr>
            <w:r>
              <w:rPr>
                <w:rFonts w:ascii="宋体" w:hAnsi="宋体" w:cs="宋体" w:eastAsia="宋体" w:hint="default"/>
                <w:sz w:val="18"/>
                <w:szCs w:val="18"/>
              </w:rPr>
              <w:t>报告期内公司章程 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深圳市福田区车公 庙天安数码城天祥 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5B2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440301102955880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440301708458455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70845845-5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7"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338" w:lineRule="auto" w:before="117"/>
        <w:ind w:right="86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主要会计数据</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9"/>
        <w:gridCol w:w="1735"/>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100,527,997.61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96,394,485.33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92,142,327.74</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11,150,805.23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16,735,078.60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27,848,653.19</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20,267,993.45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23,167,872.38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35,093,990.49</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18,030,617.44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20,830,897.90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33,973,521.32</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14,670,954.82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18,849,181.33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30,549,420.49</w:t>
            </w:r>
          </w:p>
        </w:tc>
      </w:tr>
      <w:tr>
        <w:trPr>
          <w:trHeight w:val="715"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5,549,027.47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4,984,417.65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19,093,710.87</w:t>
            </w:r>
          </w:p>
        </w:tc>
      </w:tr>
      <w:tr>
        <w:trPr>
          <w:trHeight w:val="161" w:hRule="exact"/>
        </w:trPr>
        <w:tc>
          <w:tcPr>
            <w:tcW w:w="2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91" w:hRule="exact"/>
        </w:trPr>
        <w:tc>
          <w:tcPr>
            <w:tcW w:w="2620" w:type="dxa"/>
            <w:tcBorders>
              <w:top w:val="nil" w:sz="6" w:space="0" w:color="auto"/>
              <w:left w:val="single" w:sz="4" w:space="0" w:color="000000"/>
              <w:bottom w:val="nil" w:sz="6" w:space="0" w:color="auto"/>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9" w:type="dxa"/>
            <w:vMerge/>
            <w:tcBorders>
              <w:left w:val="single" w:sz="4" w:space="0" w:color="000000"/>
              <w:right w:val="single" w:sz="4" w:space="0" w:color="000000"/>
            </w:tcBorders>
            <w:shd w:val="clear" w:color="auto" w:fill="D3D3D3"/>
          </w:tcPr>
          <w:p>
            <w:pPr/>
          </w:p>
        </w:tc>
        <w:tc>
          <w:tcPr>
            <w:tcW w:w="1735" w:type="dxa"/>
            <w:vMerge/>
            <w:tcBorders>
              <w:left w:val="single" w:sz="4" w:space="0" w:color="000000"/>
              <w:right w:val="single" w:sz="4" w:space="0" w:color="000000"/>
            </w:tcBorders>
            <w:shd w:val="clear" w:color="auto" w:fill="D3D3D3"/>
          </w:tcPr>
          <w:p>
            <w:pPr/>
          </w:p>
        </w:tc>
      </w:tr>
      <w:tr>
        <w:trPr>
          <w:trHeight w:val="161" w:hRule="exact"/>
        </w:trPr>
        <w:tc>
          <w:tcPr>
            <w:tcW w:w="2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528,315,392.36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530,295,506.22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541,026,412.47</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12,603,261.44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14,613,992.74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10,175,796.89</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515,712,130.92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515,681,513.48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530,850,615.58</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60,000,000.00</w:t>
            </w:r>
          </w:p>
        </w:tc>
      </w:tr>
    </w:tbl>
    <w:p>
      <w:pPr>
        <w:pStyle w:val="BodyText"/>
        <w:spacing w:line="240" w:lineRule="auto" w:before="51"/>
        <w:ind w:right="0"/>
        <w:jc w:val="left"/>
      </w:pPr>
      <w:r>
        <w:rPr/>
        <w:t>主要财务指标</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4"/>
        <w:gridCol w:w="1736"/>
        <w:gridCol w:w="1736"/>
        <w:gridCol w:w="1736"/>
        <w:gridCol w:w="1735"/>
      </w:tblGrid>
      <w:tr>
        <w:trPr>
          <w:trHeight w:val="401"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0.1736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0.3161</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0.1736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0.3161</w:t>
            </w: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0.2842</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-0.47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9.66%</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-0.47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9.66%</w:t>
            </w: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-0.75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8.68%</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-0.75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4"/>
        <w:gridCol w:w="1736"/>
        <w:gridCol w:w="1736"/>
        <w:gridCol w:w="1736"/>
        <w:gridCol w:w="1735"/>
      </w:tblGrid>
      <w:tr>
        <w:trPr>
          <w:trHeight w:val="36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0.3182</w:t>
            </w: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92" w:hRule="exact"/>
        </w:trPr>
        <w:tc>
          <w:tcPr>
            <w:tcW w:w="2624" w:type="dxa"/>
            <w:tcBorders>
              <w:top w:val="nil" w:sz="6" w:space="0" w:color="auto"/>
              <w:left w:val="single" w:sz="4" w:space="0" w:color="000000"/>
              <w:bottom w:val="nil" w:sz="6" w:space="0" w:color="auto"/>
              <w:right w:val="single" w:sz="4" w:space="0" w:color="000000"/>
            </w:tcBorders>
            <w:shd w:val="clear" w:color="auto" w:fill="D3D3D3"/>
          </w:tcPr>
          <w:p>
            <w:pPr/>
          </w:p>
        </w:tc>
        <w:tc>
          <w:tcPr>
            <w:tcW w:w="1736" w:type="dxa"/>
            <w:vMerge/>
            <w:tcBorders>
              <w:left w:val="single" w:sz="4" w:space="0" w:color="000000"/>
              <w:right w:val="single" w:sz="4" w:space="0" w:color="000000"/>
            </w:tcBorders>
            <w:shd w:val="clear" w:color="auto" w:fill="D3D3D3"/>
          </w:tcPr>
          <w:p>
            <w:pPr/>
          </w:p>
        </w:tc>
        <w:tc>
          <w:tcPr>
            <w:tcW w:w="1736" w:type="dxa"/>
            <w:vMerge/>
            <w:tcBorders>
              <w:left w:val="single" w:sz="4" w:space="0" w:color="000000"/>
              <w:right w:val="single" w:sz="4" w:space="0" w:color="000000"/>
            </w:tcBorders>
            <w:shd w:val="clear" w:color="auto" w:fill="D3D3D3"/>
          </w:tcPr>
          <w:p>
            <w:pPr/>
          </w:p>
        </w:tc>
        <w:tc>
          <w:tcPr>
            <w:tcW w:w="1736" w:type="dxa"/>
            <w:vMerge/>
            <w:tcBorders>
              <w:left w:val="single" w:sz="4" w:space="0" w:color="000000"/>
              <w:right w:val="single" w:sz="4" w:space="0" w:color="000000"/>
            </w:tcBorders>
            <w:shd w:val="clear" w:color="auto" w:fill="D3D3D3"/>
          </w:tcPr>
          <w:p>
            <w:pPr/>
          </w:p>
        </w:tc>
        <w:tc>
          <w:tcPr>
            <w:tcW w:w="1735" w:type="dxa"/>
            <w:vMerge/>
            <w:tcBorders>
              <w:left w:val="single" w:sz="4" w:space="0" w:color="000000"/>
              <w:right w:val="single" w:sz="4" w:space="0" w:color="000000"/>
            </w:tcBorders>
            <w:shd w:val="clear" w:color="auto" w:fill="D3D3D3"/>
          </w:tcPr>
          <w:p>
            <w:pP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6" w:type="dxa"/>
            <w:vMerge/>
            <w:tcBorders>
              <w:left w:val="single" w:sz="4" w:space="0" w:color="000000"/>
              <w:bottom w:val="single" w:sz="4" w:space="0" w:color="000000"/>
              <w:right w:val="single" w:sz="4" w:space="0" w:color="000000"/>
            </w:tcBorders>
            <w:shd w:val="clear" w:color="auto" w:fill="D3D3D3"/>
          </w:tcPr>
          <w:p>
            <w:pPr/>
          </w:p>
        </w:tc>
        <w:tc>
          <w:tcPr>
            <w:tcW w:w="1736" w:type="dxa"/>
            <w:vMerge/>
            <w:tcBorders>
              <w:left w:val="single" w:sz="4" w:space="0" w:color="000000"/>
              <w:bottom w:val="single" w:sz="4" w:space="0" w:color="000000"/>
              <w:right w:val="single" w:sz="4" w:space="0" w:color="000000"/>
            </w:tcBorders>
            <w:shd w:val="clear" w:color="auto" w:fill="D3D3D3"/>
          </w:tcPr>
          <w:p>
            <w:pPr/>
          </w:p>
        </w:tc>
        <w:tc>
          <w:tcPr>
            <w:tcW w:w="1736" w:type="dxa"/>
            <w:vMerge/>
            <w:tcBorders>
              <w:left w:val="single" w:sz="4" w:space="0" w:color="000000"/>
              <w:bottom w:val="single" w:sz="4" w:space="0" w:color="000000"/>
              <w:right w:val="single" w:sz="4" w:space="0" w:color="000000"/>
            </w:tcBorders>
            <w:shd w:val="clear" w:color="auto" w:fill="D3D3D3"/>
          </w:tcPr>
          <w:p>
            <w:pPr/>
          </w:p>
        </w:tc>
        <w:tc>
          <w:tcPr>
            <w:tcW w:w="173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8.8475</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84"/>
        <w:gridCol w:w="1741"/>
        <w:gridCol w:w="2003"/>
        <w:gridCol w:w="1770"/>
        <w:gridCol w:w="1770"/>
      </w:tblGrid>
      <w:tr>
        <w:trPr>
          <w:trHeight w:val="402" w:hRule="exact"/>
        </w:trPr>
        <w:tc>
          <w:tcPr>
            <w:tcW w:w="2284" w:type="dxa"/>
            <w:vMerge w:val="restart"/>
            <w:tcBorders>
              <w:top w:val="single" w:sz="4" w:space="0" w:color="000000"/>
              <w:left w:val="single" w:sz="4" w:space="0" w:color="000000"/>
              <w:right w:val="single" w:sz="4" w:space="0" w:color="000000"/>
            </w:tcBorders>
            <w:shd w:val="clear" w:color="auto" w:fill="D3D3D3"/>
          </w:tcPr>
          <w:p>
            <w:pPr/>
          </w:p>
        </w:tc>
        <w:tc>
          <w:tcPr>
            <w:tcW w:w="37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401" w:hRule="exact"/>
        </w:trPr>
        <w:tc>
          <w:tcPr>
            <w:tcW w:w="2284" w:type="dxa"/>
            <w:vMerge/>
            <w:tcBorders>
              <w:left w:val="single" w:sz="4" w:space="0" w:color="000000"/>
              <w:bottom w:val="single" w:sz="4" w:space="0" w:color="000000"/>
              <w:right w:val="single" w:sz="4" w:space="0" w:color="000000"/>
            </w:tcBorders>
            <w:shd w:val="clear" w:color="auto" w:fill="D3D3D3"/>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0"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4" w:right="0"/>
              <w:jc w:val="left"/>
              <w:rPr>
                <w:rFonts w:ascii="Times New Roman" w:hAnsi="Times New Roman" w:cs="Times New Roman" w:eastAsia="Times New Roman" w:hint="default"/>
                <w:sz w:val="18"/>
                <w:szCs w:val="18"/>
              </w:rPr>
            </w:pPr>
            <w:r>
              <w:rPr>
                <w:rFonts w:ascii="Times New Roman"/>
                <w:sz w:val="18"/>
              </w:rPr>
              <w:t>18,030,617.44</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20,830,897.90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2" w:right="0"/>
              <w:jc w:val="left"/>
              <w:rPr>
                <w:rFonts w:ascii="Times New Roman" w:hAnsi="Times New Roman" w:cs="Times New Roman" w:eastAsia="Times New Roman" w:hint="default"/>
                <w:sz w:val="18"/>
                <w:szCs w:val="18"/>
              </w:rPr>
            </w:pPr>
            <w:r>
              <w:rPr>
                <w:rFonts w:ascii="Times New Roman"/>
                <w:sz w:val="18"/>
              </w:rPr>
              <w:t>515,712,130.92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2" w:right="0"/>
              <w:jc w:val="left"/>
              <w:rPr>
                <w:rFonts w:ascii="Times New Roman" w:hAnsi="Times New Roman" w:cs="Times New Roman" w:eastAsia="Times New Roman" w:hint="default"/>
                <w:sz w:val="18"/>
                <w:szCs w:val="18"/>
              </w:rPr>
            </w:pPr>
            <w:r>
              <w:rPr>
                <w:rFonts w:ascii="Times New Roman"/>
                <w:sz w:val="18"/>
              </w:rPr>
              <w:t>515,681,513.48</w:t>
            </w:r>
          </w:p>
        </w:tc>
      </w:tr>
      <w:tr>
        <w:trPr>
          <w:trHeight w:val="402" w:hRule="exact"/>
        </w:trPr>
        <w:tc>
          <w:tcPr>
            <w:tcW w:w="956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84"/>
        <w:gridCol w:w="1741"/>
        <w:gridCol w:w="2003"/>
        <w:gridCol w:w="1770"/>
        <w:gridCol w:w="1770"/>
      </w:tblGrid>
      <w:tr>
        <w:trPr>
          <w:trHeight w:val="402" w:hRule="exact"/>
        </w:trPr>
        <w:tc>
          <w:tcPr>
            <w:tcW w:w="2284" w:type="dxa"/>
            <w:vMerge w:val="restart"/>
            <w:tcBorders>
              <w:top w:val="single" w:sz="4" w:space="0" w:color="000000"/>
              <w:left w:val="single" w:sz="4" w:space="0" w:color="000000"/>
              <w:right w:val="single" w:sz="4" w:space="0" w:color="000000"/>
            </w:tcBorders>
            <w:shd w:val="clear" w:color="auto" w:fill="D3D3D3"/>
          </w:tcPr>
          <w:p>
            <w:pPr/>
          </w:p>
        </w:tc>
        <w:tc>
          <w:tcPr>
            <w:tcW w:w="37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401" w:hRule="exact"/>
        </w:trPr>
        <w:tc>
          <w:tcPr>
            <w:tcW w:w="2284" w:type="dxa"/>
            <w:vMerge/>
            <w:tcBorders>
              <w:left w:val="single" w:sz="4" w:space="0" w:color="000000"/>
              <w:bottom w:val="single" w:sz="4" w:space="0" w:color="000000"/>
              <w:right w:val="single" w:sz="4" w:space="0" w:color="000000"/>
            </w:tcBorders>
            <w:shd w:val="clear" w:color="auto" w:fill="D3D3D3"/>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0"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4" w:right="0"/>
              <w:jc w:val="left"/>
              <w:rPr>
                <w:rFonts w:ascii="Times New Roman" w:hAnsi="Times New Roman" w:cs="Times New Roman" w:eastAsia="Times New Roman" w:hint="default"/>
                <w:sz w:val="18"/>
                <w:szCs w:val="18"/>
              </w:rPr>
            </w:pPr>
            <w:r>
              <w:rPr>
                <w:rFonts w:ascii="Times New Roman"/>
                <w:sz w:val="18"/>
              </w:rPr>
              <w:t>18,030,617.44</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20,830,897.90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2" w:right="0"/>
              <w:jc w:val="left"/>
              <w:rPr>
                <w:rFonts w:ascii="Times New Roman" w:hAnsi="Times New Roman" w:cs="Times New Roman" w:eastAsia="Times New Roman" w:hint="default"/>
                <w:sz w:val="18"/>
                <w:szCs w:val="18"/>
              </w:rPr>
            </w:pPr>
            <w:r>
              <w:rPr>
                <w:rFonts w:ascii="Times New Roman"/>
                <w:sz w:val="18"/>
              </w:rPr>
              <w:t>515,712,130.92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2" w:right="0"/>
              <w:jc w:val="left"/>
              <w:rPr>
                <w:rFonts w:ascii="Times New Roman" w:hAnsi="Times New Roman" w:cs="Times New Roman" w:eastAsia="Times New Roman" w:hint="default"/>
                <w:sz w:val="18"/>
                <w:szCs w:val="18"/>
              </w:rPr>
            </w:pPr>
            <w:r>
              <w:rPr>
                <w:rFonts w:ascii="Times New Roman"/>
                <w:sz w:val="18"/>
              </w:rPr>
              <w:t>515,681,513.48</w:t>
            </w:r>
          </w:p>
        </w:tc>
      </w:tr>
      <w:tr>
        <w:trPr>
          <w:trHeight w:val="402" w:hRule="exact"/>
        </w:trPr>
        <w:tc>
          <w:tcPr>
            <w:tcW w:w="956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三、报告期内非经常性损益的项目及金额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-2,122.86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542.14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3,953,873.00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2,350,845.00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3,800,600.00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3,923.15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592,087.52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349,670.57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380,422.32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3,359,662.62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1,981,716.57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3,424,100.83</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7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四、重大风险提示</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left="513" w:right="90"/>
        <w:jc w:val="left"/>
      </w:pPr>
      <w:r>
        <w:rPr>
          <w:rFonts w:ascii="Times New Roman" w:hAnsi="Times New Roman" w:cs="Times New Roman" w:eastAsia="Times New Roman" w:hint="default"/>
        </w:rPr>
        <w:t>1</w:t>
      </w:r>
      <w:r>
        <w:rPr/>
        <w:t>、市场竞争风险 </w:t>
      </w:r>
      <w:r>
        <w:rPr>
          <w:spacing w:val="-2"/>
        </w:rPr>
        <w:t>公司主营业务一直专注于金融信息化领域，随着公司围绕银行业的支付结算、风险防控、业务流程再造和金融专用设备</w:t>
      </w:r>
    </w:p>
    <w:p>
      <w:pPr>
        <w:pStyle w:val="BodyText"/>
        <w:spacing w:line="477" w:lineRule="auto" w:before="74"/>
        <w:ind w:left="153" w:right="191"/>
        <w:jc w:val="both"/>
      </w:pPr>
      <w:r>
        <w:rPr>
          <w:spacing w:val="-2"/>
        </w:rPr>
        <w:t>领域的产品线进一步拓宽，公司面临的行业竞争也日趋激烈。在公司业务向更广阔的金融信息化领域拓展的同时，公司新的</w:t>
      </w:r>
      <w:r>
        <w:rPr>
          <w:spacing w:val="-66"/>
        </w:rPr>
        <w:t> </w:t>
      </w:r>
      <w:r>
        <w:rPr>
          <w:spacing w:val="-66"/>
        </w:rPr>
      </w:r>
      <w:r>
        <w:rPr>
          <w:spacing w:val="-2"/>
        </w:rPr>
        <w:t>产品或服务可能将面临更多的市场竞争者，甚至是来自国外的竞争对手，这将使公司未来面临的市场竞争更加激烈。市场竞</w:t>
      </w:r>
      <w:r>
        <w:rPr>
          <w:spacing w:val="-66"/>
        </w:rPr>
        <w:t> </w:t>
      </w:r>
      <w:r>
        <w:rPr>
          <w:spacing w:val="-66"/>
        </w:rPr>
      </w:r>
      <w:r>
        <w:rPr/>
        <w:t>争的日趋激烈，将可能影响公司未来的盈利能力。</w:t>
      </w:r>
    </w:p>
    <w:p>
      <w:pPr>
        <w:pStyle w:val="BodyText"/>
        <w:spacing w:line="451" w:lineRule="auto" w:before="54"/>
        <w:ind w:left="513" w:right="90"/>
        <w:jc w:val="left"/>
      </w:pPr>
      <w:r>
        <w:rPr>
          <w:rFonts w:ascii="Times New Roman" w:hAnsi="Times New Roman" w:cs="Times New Roman" w:eastAsia="Times New Roman" w:hint="default"/>
        </w:rPr>
        <w:t>2</w:t>
      </w:r>
      <w:r>
        <w:rPr/>
        <w:t>、产品价格风险 </w:t>
      </w:r>
      <w:r>
        <w:rPr>
          <w:spacing w:val="-2"/>
        </w:rPr>
        <w:t>公司主要为银行提供产品和技术服务。银行客户的采购决策程序比较规范，对于新项目或者金额比较大的项目一般采取</w:t>
      </w:r>
    </w:p>
    <w:p>
      <w:pPr>
        <w:pStyle w:val="BodyText"/>
        <w:spacing w:line="477" w:lineRule="auto" w:before="74"/>
        <w:ind w:left="153" w:right="90"/>
        <w:jc w:val="left"/>
      </w:pPr>
      <w:r>
        <w:rPr>
          <w:spacing w:val="-2"/>
        </w:rPr>
        <w:t>招投标的方式进行采购，这将进一步加剧厂商间的竞争，降低产品的价格。如果公司产品价格的降低幅度较大，将可能影响</w:t>
      </w:r>
      <w:r>
        <w:rPr>
          <w:spacing w:val="-66"/>
        </w:rPr>
        <w:t> </w:t>
      </w:r>
      <w:r>
        <w:rPr>
          <w:spacing w:val="-66"/>
        </w:rPr>
      </w:r>
      <w:r>
        <w:rPr/>
        <w:t>公司未来的盈利能力。</w:t>
      </w:r>
    </w:p>
    <w:p>
      <w:pPr>
        <w:pStyle w:val="BodyText"/>
        <w:spacing w:line="451" w:lineRule="auto" w:before="54"/>
        <w:ind w:left="513" w:right="90"/>
        <w:jc w:val="left"/>
      </w:pPr>
      <w:r>
        <w:rPr>
          <w:rFonts w:ascii="Times New Roman" w:hAnsi="Times New Roman" w:cs="Times New Roman" w:eastAsia="Times New Roman" w:hint="default"/>
        </w:rPr>
        <w:t>3</w:t>
      </w:r>
      <w:r>
        <w:rPr/>
        <w:t>、经营管理风险 </w:t>
      </w:r>
      <w:r>
        <w:rPr>
          <w:spacing w:val="-2"/>
        </w:rPr>
        <w:t>公司上市后，随着经营规模的不断扩大，公司组织结构和管理体系趋于复杂化，公司的经营决策、风险控制的难度大为</w:t>
      </w:r>
    </w:p>
    <w:p>
      <w:pPr>
        <w:pStyle w:val="BodyText"/>
        <w:spacing w:line="477" w:lineRule="auto" w:before="74"/>
        <w:ind w:left="153" w:right="90"/>
        <w:jc w:val="left"/>
      </w:pPr>
      <w:r>
        <w:rPr>
          <w:spacing w:val="-2"/>
        </w:rPr>
        <w:t>增加，对公司管理团队的管理水平及驾驭经营风险的能力带来一定程度的挑战，对公司的内部控制、生产组织、售后服务等</w:t>
      </w:r>
      <w:r>
        <w:rPr>
          <w:spacing w:val="-66"/>
        </w:rPr>
        <w:t> </w:t>
      </w:r>
      <w:r>
        <w:rPr>
          <w:spacing w:val="-66"/>
        </w:rPr>
      </w:r>
      <w:r>
        <w:rPr>
          <w:spacing w:val="-4"/>
        </w:rPr>
        <w:t>都提出了更高的要求，对在管理、技术、营销、生产等方面的中高级人才的需求也将日益增加。尽管公司高层团队配置合理，</w:t>
      </w:r>
      <w:r>
        <w:rPr>
          <w:spacing w:val="-44"/>
        </w:rPr>
        <w:t> </w:t>
      </w:r>
      <w:r>
        <w:rPr>
          <w:spacing w:val="-44"/>
        </w:rPr>
      </w:r>
      <w:r>
        <w:rPr>
          <w:spacing w:val="-2"/>
        </w:rPr>
        <w:t>经营管理经验丰富，但如果公司在业务流程运作过程中不能实施有效控制和持续引进、储备高素质人才，将对公司的高效运</w:t>
      </w:r>
      <w:r>
        <w:rPr>
          <w:spacing w:val="-66"/>
        </w:rPr>
        <w:t> </w:t>
      </w:r>
      <w:r>
        <w:rPr>
          <w:spacing w:val="-66"/>
        </w:rPr>
      </w:r>
      <w:r>
        <w:rPr/>
        <w:t>转及管理效率带来一定风险。</w:t>
      </w:r>
    </w:p>
    <w:p>
      <w:pPr>
        <w:pStyle w:val="BodyText"/>
        <w:spacing w:line="451" w:lineRule="auto" w:before="54"/>
        <w:ind w:left="513" w:right="90"/>
        <w:jc w:val="left"/>
      </w:pPr>
      <w:r>
        <w:rPr>
          <w:rFonts w:ascii="Times New Roman" w:hAnsi="Times New Roman" w:cs="Times New Roman" w:eastAsia="Times New Roman" w:hint="default"/>
        </w:rPr>
        <w:t>4</w:t>
      </w:r>
      <w:r>
        <w:rPr/>
        <w:t>、募集资金投资项目风险 </w:t>
      </w:r>
      <w:r>
        <w:rPr>
          <w:spacing w:val="-2"/>
        </w:rPr>
        <w:t>公司原募集资金拟投资项目的可行性分析是基于公司上市时的市场环境、技术发展趋势及本公司的实际情况做出的，经</w:t>
      </w:r>
    </w:p>
    <w:p>
      <w:pPr>
        <w:pStyle w:val="BodyText"/>
        <w:spacing w:line="477" w:lineRule="auto" w:before="74"/>
        <w:ind w:left="153" w:right="90"/>
        <w:jc w:val="left"/>
      </w:pPr>
      <w:r>
        <w:rPr>
          <w:spacing w:val="-2"/>
        </w:rPr>
        <w:t>过了慎重、充分的可行性研究论证。但仍存在项目实施及后期生产经营过程中可能会由于市场环境变化、产业政策调整、技</w:t>
      </w:r>
      <w:r>
        <w:rPr>
          <w:spacing w:val="-66"/>
        </w:rPr>
        <w:t> </w:t>
      </w:r>
      <w:r>
        <w:rPr>
          <w:spacing w:val="-66"/>
        </w:rPr>
      </w:r>
      <w:r>
        <w:rPr/>
        <w:t>术更新等因素导致项目无法按计划完成或无法达到预期收益，因此募集资金投资项目的实施存在一定的风险。</w:t>
      </w:r>
    </w:p>
    <w:p>
      <w:pPr>
        <w:spacing w:after="0" w:line="477"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7"/>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一、管理层讨论与分析</w:t>
      </w:r>
      <w:r>
        <w:rPr>
          <w:b w:val="0"/>
          <w:bCs w:val="0"/>
        </w:rPr>
      </w:r>
    </w:p>
    <w:p>
      <w:pPr>
        <w:spacing w:line="240" w:lineRule="auto" w:before="7"/>
        <w:rPr>
          <w:rFonts w:ascii="宋体" w:hAnsi="宋体" w:cs="宋体" w:eastAsia="宋体" w:hint="default"/>
          <w:b/>
          <w:bCs/>
          <w:sz w:val="32"/>
          <w:szCs w:val="32"/>
        </w:rPr>
      </w:pPr>
    </w:p>
    <w:p>
      <w:pPr>
        <w:pStyle w:val="BodyText"/>
        <w:spacing w:line="463" w:lineRule="auto"/>
        <w:ind w:right="191" w:firstLine="360"/>
        <w:jc w:val="both"/>
      </w:pPr>
      <w:r>
        <w:rPr>
          <w:rFonts w:ascii="Times New Roman" w:hAnsi="Times New Roman" w:cs="Times New Roman" w:eastAsia="Times New Roman" w:hint="default"/>
          <w:spacing w:val="-2"/>
        </w:rPr>
        <w:t>2012</w:t>
      </w:r>
      <w:r>
        <w:rPr>
          <w:spacing w:val="-2"/>
        </w:rPr>
        <w:t>年，公司坚持既定发展战略，按照年度经营计划，立足于传统优势产品领域，加大新产品开发力度，紧密围绕市场</w:t>
      </w:r>
      <w:r>
        <w:rPr/>
        <w:t> </w:t>
      </w:r>
      <w:r>
        <w:rPr>
          <w:spacing w:val="-2"/>
        </w:rPr>
        <w:t>需求进行深度挖掘和创新，持续拓宽产品线和开拓新的业务领域，同时继续推进管理规范化工作和科学管理体系的建设，经</w:t>
      </w:r>
      <w:r>
        <w:rPr>
          <w:spacing w:val="-66"/>
        </w:rPr>
        <w:t> </w:t>
      </w:r>
      <w:r>
        <w:rPr>
          <w:spacing w:val="-66"/>
        </w:rPr>
      </w:r>
      <w:r>
        <w:rPr/>
        <w:t>营业绩保持了稳定发展。</w:t>
      </w:r>
    </w:p>
    <w:p>
      <w:pPr>
        <w:pStyle w:val="BodyText"/>
        <w:spacing w:line="240" w:lineRule="auto" w:before="65"/>
        <w:ind w:left="534" w:right="90"/>
        <w:jc w:val="left"/>
      </w:pPr>
      <w:r>
        <w:rPr/>
        <w:t>报告期内，公司营业收入为</w:t>
      </w:r>
      <w:r>
        <w:rPr>
          <w:rFonts w:ascii="Times New Roman" w:hAnsi="Times New Roman" w:cs="Times New Roman" w:eastAsia="Times New Roman" w:hint="default"/>
        </w:rPr>
        <w:t>100,527,997.61</w:t>
      </w:r>
      <w:r>
        <w:rPr/>
        <w:t>元，较上年同期增长</w:t>
      </w:r>
      <w:r>
        <w:rPr>
          <w:rFonts w:ascii="Times New Roman" w:hAnsi="Times New Roman" w:cs="Times New Roman" w:eastAsia="Times New Roman" w:hint="default"/>
        </w:rPr>
        <w:t>4.29%</w:t>
      </w:r>
      <w:r>
        <w:rPr/>
        <w:t>；实现营业利润</w:t>
      </w:r>
      <w:r>
        <w:rPr>
          <w:rFonts w:ascii="Times New Roman" w:hAnsi="Times New Roman" w:cs="Times New Roman" w:eastAsia="Times New Roman" w:hint="default"/>
        </w:rPr>
        <w:t>11,150,805.23</w:t>
      </w:r>
      <w:r>
        <w:rPr/>
        <w:t>元，较上年同期下降</w:t>
      </w:r>
    </w:p>
    <w:p>
      <w:pPr>
        <w:spacing w:line="240" w:lineRule="auto" w:before="9"/>
        <w:rPr>
          <w:rFonts w:ascii="宋体" w:hAnsi="宋体" w:cs="宋体" w:eastAsia="宋体" w:hint="default"/>
          <w:sz w:val="16"/>
          <w:szCs w:val="16"/>
        </w:rPr>
      </w:pPr>
    </w:p>
    <w:p>
      <w:pPr>
        <w:pStyle w:val="BodyText"/>
        <w:spacing w:line="451" w:lineRule="auto"/>
        <w:ind w:left="534" w:right="250" w:hanging="381"/>
        <w:jc w:val="left"/>
      </w:pPr>
      <w:r>
        <w:rPr>
          <w:rFonts w:ascii="Times New Roman" w:hAnsi="Times New Roman" w:cs="Times New Roman" w:eastAsia="Times New Roman" w:hint="default"/>
        </w:rPr>
        <w:t>33.37%</w:t>
      </w:r>
      <w:r>
        <w:rPr/>
        <w:t>；净利润</w:t>
      </w:r>
      <w:r>
        <w:rPr>
          <w:rFonts w:ascii="Times New Roman" w:hAnsi="Times New Roman" w:cs="Times New Roman" w:eastAsia="Times New Roman" w:hint="default"/>
        </w:rPr>
        <w:t>18,030,617.44</w:t>
      </w:r>
      <w:r>
        <w:rPr/>
        <w:t>元，较上年同期下降</w:t>
      </w:r>
      <w:r>
        <w:rPr>
          <w:rFonts w:ascii="Times New Roman" w:hAnsi="Times New Roman" w:cs="Times New Roman" w:eastAsia="Times New Roman" w:hint="default"/>
        </w:rPr>
        <w:t>13.44%</w:t>
      </w:r>
      <w:r>
        <w:rPr/>
        <w:t>。 主营业务收入方面，通过对产品的技术改进和升级换代，公司银行影像应用软件业务继续保持了稳定的业务规模；流</w:t>
      </w:r>
    </w:p>
    <w:p>
      <w:pPr>
        <w:pStyle w:val="BodyText"/>
        <w:spacing w:line="477" w:lineRule="auto" w:before="74"/>
        <w:ind w:right="189"/>
        <w:jc w:val="both"/>
      </w:pPr>
      <w:r>
        <w:rPr>
          <w:spacing w:val="-2"/>
        </w:rPr>
        <w:t>程银行软件和金融专用设备等新产品领域的产品开发和市场推广初显成效，实现营业总收入比去年同期略有增长。公司正致</w:t>
      </w:r>
      <w:r>
        <w:rPr>
          <w:spacing w:val="-64"/>
        </w:rPr>
        <w:t> </w:t>
      </w:r>
      <w:r>
        <w:rPr>
          <w:spacing w:val="-64"/>
        </w:rPr>
      </w:r>
      <w:r>
        <w:rPr>
          <w:spacing w:val="-2"/>
        </w:rPr>
        <w:t>力于通过继续推进新产品的研发和市场推广，支持公司未来业务的发展。具体经营策略上，公司一方面着力发展国内流程银</w:t>
      </w:r>
      <w:r>
        <w:rPr>
          <w:spacing w:val="-66"/>
        </w:rPr>
        <w:t> </w:t>
      </w:r>
      <w:r>
        <w:rPr>
          <w:spacing w:val="-66"/>
        </w:rPr>
      </w:r>
      <w:r>
        <w:rPr>
          <w:spacing w:val="-2"/>
        </w:rPr>
        <w:t>行项目市场，依托行业的良好发展契机带动公司的快速发展；另一方面充分利用好募集资金，通过收购和投资扩大公司的产</w:t>
      </w:r>
      <w:r>
        <w:rPr>
          <w:spacing w:val="-66"/>
        </w:rPr>
        <w:t> </w:t>
      </w:r>
      <w:r>
        <w:rPr>
          <w:spacing w:val="-66"/>
        </w:rPr>
      </w:r>
      <w:r>
        <w:rPr>
          <w:spacing w:val="-2"/>
        </w:rPr>
        <w:t>品线和业务领域。相信随着公司经营战略的逐步实现，公司的盈利能力会有更大的提升。在市场开拓方面，报告期内公司实</w:t>
      </w:r>
      <w:r>
        <w:rPr>
          <w:spacing w:val="-66"/>
        </w:rPr>
        <w:t> </w:t>
      </w:r>
      <w:r>
        <w:rPr>
          <w:spacing w:val="-66"/>
        </w:rPr>
      </w:r>
      <w:r>
        <w:rPr>
          <w:spacing w:val="-2"/>
        </w:rPr>
        <w:t>现了印章智能管理系统、回单自助打印系统等新产品在既有客户的良好推广，同时开拓了中国银行河南分行、中国邮政储蓄</w:t>
      </w:r>
      <w:r>
        <w:rPr>
          <w:spacing w:val="-66"/>
        </w:rPr>
        <w:t> </w:t>
      </w:r>
      <w:r>
        <w:rPr>
          <w:spacing w:val="-66"/>
        </w:rPr>
      </w:r>
      <w:r>
        <w:rPr/>
        <w:t>银行深圳分行、厦门农村商业银行、沈阳农村商业银行及吉林省农村信用社等一批银行客户。</w:t>
      </w:r>
    </w:p>
    <w:p>
      <w:pPr>
        <w:pStyle w:val="BodyText"/>
        <w:spacing w:line="475" w:lineRule="auto" w:before="54"/>
        <w:ind w:right="90" w:firstLine="380"/>
        <w:jc w:val="left"/>
      </w:pPr>
      <w:r>
        <w:rPr/>
        <w:t>营业利润及净利润下降的主要原因是：报告期内，公司处于新产品研发投入期，按照公司以构建流程银行为核心的经 </w:t>
      </w:r>
      <w:r>
        <w:rPr>
          <w:spacing w:val="-2"/>
        </w:rPr>
        <w:t>营发展计划，着力增强了公司研发与技术人才的储备与培养，员工人数和薪酬总量较上年同期有较大幅度的增加。同时，由</w:t>
      </w:r>
      <w:r>
        <w:rPr>
          <w:spacing w:val="-66"/>
        </w:rPr>
        <w:t> </w:t>
      </w:r>
      <w:r>
        <w:rPr>
          <w:spacing w:val="-66"/>
        </w:rPr>
      </w:r>
      <w:r>
        <w:rPr/>
        <w:t>于办公和生产场地扩大、投资无形资产摊销增大等原因，管理费用与营业成本较上年同期相比增幅较大。</w:t>
      </w:r>
    </w:p>
    <w:p>
      <w:pPr>
        <w:pStyle w:val="BodyText"/>
        <w:spacing w:line="477" w:lineRule="auto" w:before="56"/>
        <w:ind w:right="90" w:firstLine="380"/>
        <w:jc w:val="left"/>
      </w:pPr>
      <w:r>
        <w:rPr/>
        <w:t>报告期内，公司主营业务继续专注于金融信息化行业，致力于为银行提供以构建流程银行为核心的，覆盖支付结算、 </w:t>
      </w:r>
      <w:r>
        <w:rPr>
          <w:spacing w:val="-2"/>
        </w:rPr>
        <w:t>风险防控、业务流程再造、自助服务等领域的软件产品、软件开发、金融专用设备和技术服务。按照公司战略发展规划和公</w:t>
      </w:r>
      <w:r>
        <w:rPr>
          <w:spacing w:val="-66"/>
        </w:rPr>
        <w:t> </w:t>
      </w:r>
      <w:r>
        <w:rPr>
          <w:spacing w:val="-66"/>
        </w:rPr>
      </w:r>
      <w:r>
        <w:rPr>
          <w:spacing w:val="-2"/>
        </w:rPr>
        <w:t>司本年度经营计划，报告期内公司在推进传统优势产品如电脑验印系统、票据影像处理软件、银企对账系统、远程授权管理</w:t>
      </w:r>
      <w:r>
        <w:rPr>
          <w:spacing w:val="-66"/>
        </w:rPr>
        <w:t> </w:t>
      </w:r>
      <w:r>
        <w:rPr>
          <w:spacing w:val="-66"/>
        </w:rPr>
      </w:r>
      <w:r>
        <w:rPr/>
        <w:t>系统等销售工作的同时，重点加强了新产品的开发及推广，以银行业务流程再造的市场需求为主线，努力为银行客户开发、 提供以构建流程银行为核心的新产品及服务，努力拓宽产品线，开拓新的金融信息化业务领域。目前公司新产品开发计划、 </w:t>
      </w:r>
      <w:r>
        <w:rPr>
          <w:spacing w:val="-2"/>
        </w:rPr>
        <w:t>市场推广计划等重要经营计划进展顺利，流程银行软件及印章智能管理系统、回单自助打印系统等金融设备类新产品已开发</w:t>
      </w:r>
      <w:r>
        <w:rPr>
          <w:spacing w:val="-64"/>
        </w:rPr>
        <w:t> </w:t>
      </w:r>
      <w:r>
        <w:rPr>
          <w:spacing w:val="-64"/>
        </w:rPr>
      </w:r>
      <w:r>
        <w:rPr/>
        <w:t>完成，营销推广初见成效，相信产品推广计划的进一步实现，将为公司业务提供新的业绩增长点。</w:t>
      </w:r>
    </w:p>
    <w:p>
      <w:pPr>
        <w:pStyle w:val="BodyText"/>
        <w:spacing w:line="477" w:lineRule="auto" w:before="54"/>
        <w:ind w:right="90" w:firstLine="380"/>
        <w:jc w:val="left"/>
      </w:pPr>
      <w:r>
        <w:rPr/>
        <w:t>随着国内银行业在提高信息化经营管理水平，特别是在业务流程再造领域的高度关注与投入，基于影像技术的银行应 </w:t>
      </w:r>
      <w:r>
        <w:rPr>
          <w:spacing w:val="-2"/>
        </w:rPr>
        <w:t>用软件产品、金融专用设备以及相关服务的市场前景和需求总量在未来几年内仍将保持较快发展。在市场环境提供了良好机</w:t>
      </w:r>
      <w:r>
        <w:rPr>
          <w:spacing w:val="-64"/>
        </w:rPr>
        <w:t> </w:t>
      </w:r>
      <w:r>
        <w:rPr>
          <w:spacing w:val="-64"/>
        </w:rPr>
      </w:r>
      <w:r>
        <w:rPr>
          <w:spacing w:val="-2"/>
        </w:rPr>
        <w:t>遇的同时，公司认为在该行业领域的业务发展也存在银行用户业务需求复杂多变、产品技术方案需不断改进和完善、以及市</w:t>
      </w:r>
    </w:p>
    <w:p>
      <w:pPr>
        <w:spacing w:after="0" w:line="477"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34" w:right="210" w:hanging="381"/>
        <w:jc w:val="left"/>
      </w:pPr>
      <w:r>
        <w:rPr/>
        <w:t>场竞争加剧等挑战和风险。 针对企业经营面临的挑战和风险，公司将坚持充分发挥现有产品潜力、大力开发新产品、努力开拓新业务领域的既定</w:t>
      </w:r>
    </w:p>
    <w:p>
      <w:pPr>
        <w:pStyle w:val="BodyText"/>
        <w:spacing w:line="458" w:lineRule="auto" w:before="54"/>
        <w:ind w:right="148"/>
        <w:jc w:val="both"/>
      </w:pPr>
      <w:r>
        <w:rPr/>
        <w:t>经营战略，努力做好以下几方面的工作：</w:t>
      </w:r>
      <w:r>
        <w:rPr>
          <w:rFonts w:ascii="Times New Roman" w:hAnsi="Times New Roman" w:cs="Times New Roman" w:eastAsia="Times New Roman" w:hint="default"/>
        </w:rPr>
        <w:t>1</w:t>
      </w:r>
      <w:r>
        <w:rPr/>
        <w:t>）坚持自主创新，加大力度研发具有领先性的技术和产品解决方案，为公司业务 创造新的业绩增长点；</w:t>
      </w:r>
      <w:r>
        <w:rPr>
          <w:rFonts w:ascii="Times New Roman" w:hAnsi="Times New Roman" w:cs="Times New Roman" w:eastAsia="Times New Roman" w:hint="default"/>
        </w:rPr>
        <w:t>2</w:t>
      </w:r>
      <w:r>
        <w:rPr/>
        <w:t>）通过进一步完善产品研发体系的组织结构，加强产品研发的项目管理、质量管理和绩效管理体系 的建设，努力提升产品开发效率，进一步提高公司经营效益；</w:t>
      </w:r>
      <w:r>
        <w:rPr>
          <w:rFonts w:ascii="Times New Roman" w:hAnsi="Times New Roman" w:cs="Times New Roman" w:eastAsia="Times New Roman" w:hint="default"/>
        </w:rPr>
        <w:t>3</w:t>
      </w:r>
      <w:r>
        <w:rPr/>
        <w:t>）充分利用募集资金，积极寻求与行业内有产品、技术互补 </w:t>
      </w:r>
      <w:r>
        <w:rPr>
          <w:spacing w:val="-2"/>
        </w:rPr>
        <w:t>优势的企业，通过引进、收购、合作等方式，进一步拓宽公司的产品线领域，发挥公司在金融行业的客户资源优势，开拓更</w:t>
      </w:r>
      <w:r>
        <w:rPr>
          <w:spacing w:val="-68"/>
        </w:rPr>
        <w:t> </w:t>
      </w:r>
      <w:r>
        <w:rPr>
          <w:spacing w:val="-68"/>
        </w:rPr>
      </w:r>
      <w:r>
        <w:rPr/>
        <w:t>大的业务发展空间。</w:t>
      </w:r>
    </w:p>
    <w:p>
      <w:pPr>
        <w:pStyle w:val="BodyText"/>
        <w:spacing w:line="477" w:lineRule="auto" w:before="68"/>
        <w:ind w:right="0" w:firstLine="380"/>
        <w:jc w:val="left"/>
      </w:pPr>
      <w:r>
        <w:rPr/>
        <w:t>上市以来，公司竞争优势、品牌影响力得到进一步提升。在此基础上，董事会和经营管理团队将继续推动公司整体业 </w:t>
      </w:r>
      <w:r>
        <w:rPr>
          <w:spacing w:val="-2"/>
        </w:rPr>
        <w:t>务规模和产业领域升级，一方面积极稳步实施经营计划，另一方面积极规划更长远的战略目标，努力成为推动行业发展的开</w:t>
      </w:r>
      <w:r>
        <w:rPr>
          <w:spacing w:val="-66"/>
        </w:rPr>
        <w:t> </w:t>
      </w:r>
      <w:r>
        <w:rPr>
          <w:spacing w:val="-66"/>
        </w:rPr>
      </w:r>
      <w:r>
        <w:rPr/>
        <w:t>拓者和领导者，为股东及利益相关者创造更大的价值。</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r>
        <w:rPr/>
        <w:t>二、报告期内主要经营情况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53" w:right="189" w:firstLine="360"/>
        <w:jc w:val="both"/>
      </w:pPr>
      <w:r>
        <w:rPr/>
        <w:t>报告期内，公司实现营业收入</w:t>
      </w:r>
      <w:r>
        <w:rPr>
          <w:rFonts w:ascii="Times New Roman" w:hAnsi="Times New Roman" w:cs="Times New Roman" w:eastAsia="Times New Roman" w:hint="default"/>
        </w:rPr>
        <w:t>10,053</w:t>
      </w:r>
      <w:r>
        <w:rPr/>
        <w:t>万元，较上年同期增长</w:t>
      </w:r>
      <w:r>
        <w:rPr>
          <w:rFonts w:ascii="Times New Roman" w:hAnsi="Times New Roman" w:cs="Times New Roman" w:eastAsia="Times New Roman" w:hint="default"/>
        </w:rPr>
        <w:t>4.29%</w:t>
      </w:r>
      <w:r>
        <w:rPr/>
        <w:t>。营业收入中主营业务收入全部集中于金融（银行） 信息化行业，占公司营业收入总额的</w:t>
      </w:r>
      <w:r>
        <w:rPr>
          <w:rFonts w:ascii="Times New Roman" w:hAnsi="Times New Roman" w:cs="Times New Roman" w:eastAsia="Times New Roman" w:hint="default"/>
        </w:rPr>
        <w:t>97.88%</w:t>
      </w:r>
      <w:r>
        <w:rPr/>
        <w:t>。公司主营业务收入的构成来自于为国内银行业提供的自主研发软件产品、定 制软件开发、金融专用设备、系统集成和技术服务等五类产品和服务。</w:t>
      </w:r>
    </w:p>
    <w:p>
      <w:pPr>
        <w:pStyle w:val="BodyText"/>
        <w:spacing w:line="458" w:lineRule="auto" w:before="74"/>
        <w:ind w:right="0" w:firstLine="360"/>
        <w:jc w:val="left"/>
      </w:pPr>
      <w:r>
        <w:rPr>
          <w:spacing w:val="-2"/>
        </w:rPr>
        <w:t>报告期内，公司通过对自主研发软件产品的技术改进和升级换代，推动了公司传统软件产品包括电脑验印系统、远程授</w:t>
      </w:r>
      <w:r>
        <w:rPr/>
        <w:t> 权管理系统等的市场销售，实现营业收入</w:t>
      </w:r>
      <w:r>
        <w:rPr>
          <w:rFonts w:ascii="Times New Roman" w:hAnsi="Times New Roman" w:cs="Times New Roman" w:eastAsia="Times New Roman" w:hint="default"/>
        </w:rPr>
        <w:t>5495</w:t>
      </w:r>
      <w:r>
        <w:rPr/>
        <w:t>万元，较上年度增长</w:t>
      </w:r>
      <w:r>
        <w:rPr>
          <w:rFonts w:ascii="Times New Roman" w:hAnsi="Times New Roman" w:cs="Times New Roman" w:eastAsia="Times New Roman" w:hint="default"/>
        </w:rPr>
        <w:t>25.01%</w:t>
      </w:r>
      <w:r>
        <w:rPr/>
        <w:t>。同时，公司在</w:t>
      </w:r>
      <w:r>
        <w:rPr>
          <w:rFonts w:ascii="Times New Roman" w:hAnsi="Times New Roman" w:cs="Times New Roman" w:eastAsia="Times New Roman" w:hint="default"/>
        </w:rPr>
        <w:t>2012</w:t>
      </w:r>
      <w:r>
        <w:rPr/>
        <w:t>年度着力发展流程银行软件 业务，较以往年度取得了市场突破性的订单，推动公司定制软件开发业务实现营业收入</w:t>
      </w:r>
      <w:r>
        <w:rPr>
          <w:rFonts w:ascii="Times New Roman" w:hAnsi="Times New Roman" w:cs="Times New Roman" w:eastAsia="Times New Roman" w:hint="default"/>
        </w:rPr>
        <w:t>1787</w:t>
      </w:r>
      <w:r>
        <w:rPr/>
        <w:t>万元，较上年度增长</w:t>
      </w:r>
      <w:r>
        <w:rPr>
          <w:rFonts w:ascii="Times New Roman" w:hAnsi="Times New Roman" w:cs="Times New Roman" w:eastAsia="Times New Roman" w:hint="default"/>
        </w:rPr>
        <w:t>41.58%</w:t>
      </w:r>
      <w:r>
        <w:rPr/>
        <w:t>。 </w:t>
      </w:r>
      <w:r>
        <w:rPr>
          <w:spacing w:val="-2"/>
        </w:rPr>
        <w:t>金融专用设备类产品实现营业收入</w:t>
      </w:r>
      <w:r>
        <w:rPr>
          <w:rFonts w:ascii="Times New Roman" w:hAnsi="Times New Roman" w:cs="Times New Roman" w:eastAsia="Times New Roman" w:hint="default"/>
          <w:spacing w:val="-2"/>
        </w:rPr>
        <w:t>1786</w:t>
      </w:r>
      <w:r>
        <w:rPr>
          <w:spacing w:val="-2"/>
        </w:rPr>
        <w:t>万元，受公司上年度签署中国银行集中核准配套设备大额订单的影响，本年度金融专</w:t>
      </w:r>
      <w:r>
        <w:rPr>
          <w:spacing w:val="-60"/>
        </w:rPr>
        <w:t> </w:t>
      </w:r>
      <w:r>
        <w:rPr>
          <w:spacing w:val="-60"/>
        </w:rPr>
      </w:r>
      <w:r>
        <w:rPr/>
        <w:t>用设备收入较上年度下降</w:t>
      </w:r>
      <w:r>
        <w:rPr>
          <w:rFonts w:ascii="Times New Roman" w:hAnsi="Times New Roman" w:cs="Times New Roman" w:eastAsia="Times New Roman" w:hint="default"/>
        </w:rPr>
        <w:t>35.45%</w:t>
      </w:r>
      <w:r>
        <w:rPr/>
        <w:t>。</w:t>
      </w:r>
    </w:p>
    <w:p>
      <w:pPr>
        <w:pStyle w:val="BodyText"/>
        <w:spacing w:line="451" w:lineRule="auto" w:before="37"/>
        <w:ind w:right="0" w:firstLine="360"/>
        <w:jc w:val="left"/>
      </w:pPr>
      <w:r>
        <w:rPr>
          <w:rFonts w:ascii="Times New Roman" w:hAnsi="Times New Roman" w:cs="Times New Roman" w:eastAsia="Times New Roman" w:hint="default"/>
          <w:spacing w:val="-2"/>
        </w:rPr>
        <w:t>2013</w:t>
      </w:r>
      <w:r>
        <w:rPr>
          <w:spacing w:val="-2"/>
        </w:rPr>
        <w:t>年度，公司将在努力保持既有软件产品业务规模的同时，继续着力发展流程银行软件业务，并做好金融专用设备类</w:t>
      </w:r>
      <w:r>
        <w:rPr/>
        <w:t> 产品的市场推广，推动公司主营业务收入的进一步提升。</w:t>
      </w:r>
    </w:p>
    <w:p>
      <w:pPr>
        <w:spacing w:line="240" w:lineRule="auto" w:before="11"/>
        <w:rPr>
          <w:rFonts w:ascii="宋体" w:hAnsi="宋体" w:cs="宋体" w:eastAsia="宋体" w:hint="default"/>
          <w:sz w:val="14"/>
          <w:szCs w:val="14"/>
        </w:rPr>
      </w:pPr>
    </w:p>
    <w:p>
      <w:pPr>
        <w:pStyle w:val="Heading4"/>
        <w:spacing w:line="240" w:lineRule="auto"/>
        <w:ind w:right="0"/>
        <w:jc w:val="both"/>
        <w:rPr>
          <w:b w:val="0"/>
          <w:bCs w:val="0"/>
        </w:rPr>
      </w:pPr>
      <w:r>
        <w:rPr/>
        <w:t>公司实物销售收入是否大于劳务收入</w:t>
      </w:r>
      <w:r>
        <w:rPr>
          <w:b w:val="0"/>
          <w:bCs w:val="0"/>
        </w:rPr>
      </w:r>
    </w:p>
    <w:p>
      <w:pPr>
        <w:spacing w:line="240" w:lineRule="auto" w:before="1"/>
        <w:rPr>
          <w:rFonts w:ascii="宋体" w:hAnsi="宋体" w:cs="宋体" w:eastAsia="宋体" w:hint="default"/>
          <w:b/>
          <w:bCs/>
          <w:sz w:val="21"/>
          <w:szCs w:val="21"/>
        </w:rPr>
      </w:pPr>
    </w:p>
    <w:p>
      <w:pPr>
        <w:spacing w:line="489" w:lineRule="auto" w:before="0"/>
        <w:ind w:left="154" w:right="77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w:t>
      </w:r>
      <w:r>
        <w:rPr>
          <w:rFonts w:ascii="宋体" w:hAnsi="宋体" w:cs="宋体" w:eastAsia="宋体" w:hint="default"/>
          <w:b/>
          <w:bCs/>
          <w:sz w:val="18"/>
          <w:szCs w:val="18"/>
        </w:rPr>
        <w:t>公司重大的在手订单情况</w:t>
      </w:r>
      <w:r>
        <w:rPr>
          <w:rFonts w:ascii="宋体" w:hAnsi="宋体" w:cs="宋体" w:eastAsia="宋体" w:hint="default"/>
          <w:sz w:val="18"/>
          <w:szCs w:val="18"/>
        </w:rPr>
      </w:r>
    </w:p>
    <w:p>
      <w:pPr>
        <w:pStyle w:val="BodyText"/>
        <w:spacing w:line="240" w:lineRule="auto" w:before="88"/>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t>数量分散的订单情况</w:t>
      </w:r>
      <w:r>
        <w:rPr>
          <w:b w:val="0"/>
          <w:bCs w:val="0"/>
        </w:rPr>
      </w:r>
    </w:p>
    <w:p>
      <w:pPr>
        <w:spacing w:line="240" w:lineRule="auto" w:before="1"/>
        <w:rPr>
          <w:rFonts w:ascii="宋体" w:hAnsi="宋体" w:cs="宋体" w:eastAsia="宋体" w:hint="default"/>
          <w:b/>
          <w:bCs/>
          <w:sz w:val="21"/>
          <w:szCs w:val="21"/>
        </w:rPr>
      </w:pPr>
    </w:p>
    <w:p>
      <w:pPr>
        <w:spacing w:line="489" w:lineRule="auto" w:before="0"/>
        <w:ind w:left="154" w:right="5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公司报告期内产品或服务发生重大变化或调整有关情况</w:t>
      </w:r>
      <w:r>
        <w:rPr>
          <w:rFonts w:ascii="宋体" w:hAnsi="宋体" w:cs="宋体" w:eastAsia="宋体" w:hint="default"/>
          <w:sz w:val="18"/>
          <w:szCs w:val="18"/>
        </w:rPr>
      </w:r>
    </w:p>
    <w:p>
      <w:pPr>
        <w:pStyle w:val="BodyText"/>
        <w:spacing w:line="240" w:lineRule="auto" w:before="8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金融信息化行业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45,978,891.84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9" w:right="0"/>
              <w:jc w:val="left"/>
              <w:rPr>
                <w:rFonts w:ascii="Times New Roman" w:hAnsi="Times New Roman" w:cs="Times New Roman" w:eastAsia="Times New Roman" w:hint="default"/>
                <w:sz w:val="18"/>
                <w:szCs w:val="18"/>
              </w:rPr>
            </w:pPr>
            <w:r>
              <w:rPr>
                <w:rFonts w:ascii="Times New Roman"/>
                <w:sz w:val="18"/>
              </w:rPr>
              <w:t>97.54%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41,836,653.04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9" w:right="0"/>
              <w:jc w:val="left"/>
              <w:rPr>
                <w:rFonts w:ascii="Times New Roman" w:hAnsi="Times New Roman" w:cs="Times New Roman" w:eastAsia="Times New Roman" w:hint="default"/>
                <w:sz w:val="18"/>
                <w:szCs w:val="18"/>
              </w:rPr>
            </w:pPr>
            <w:r>
              <w:rPr>
                <w:rFonts w:ascii="Times New Roman"/>
                <w:sz w:val="18"/>
              </w:rPr>
              <w:t>97.31%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0" w:right="0"/>
              <w:jc w:val="left"/>
              <w:rPr>
                <w:rFonts w:ascii="Times New Roman" w:hAnsi="Times New Roman" w:cs="Times New Roman" w:eastAsia="Times New Roman" w:hint="default"/>
                <w:sz w:val="18"/>
                <w:szCs w:val="18"/>
              </w:rPr>
            </w:pPr>
            <w:r>
              <w:rPr>
                <w:rFonts w:ascii="Times New Roman"/>
                <w:sz w:val="18"/>
              </w:rPr>
              <w:t>9.90%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20,466,965.97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21,680,265.51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29,848,601.36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21,642,753.51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主要是因为公司人员规模扩大，薪酬 福利总额增加，以及办公场地扩大、 房屋租赁费用增加、加大管理投入等 因素造成管理费用同比有较大幅度 的增长。</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-10,263,615.96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-9,118,083.48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报告期内公司银行存款所产生的利 息收入较上年同期增加所致。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2,237,376.01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2,336,974.48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53" w:right="148" w:firstLine="336"/>
        <w:jc w:val="both"/>
      </w:pPr>
      <w:r>
        <w:rPr>
          <w:spacing w:val="-2"/>
        </w:rPr>
        <w:t>金融信息化行业客户业务创新层出不穷，市场需求日新月异。公司一直十分重视研发投入，坚持以客户需求为导向，走</w:t>
      </w:r>
      <w:r>
        <w:rPr/>
        <w:t> </w:t>
      </w:r>
      <w:r>
        <w:rPr>
          <w:spacing w:val="-2"/>
        </w:rPr>
        <w:t>自主创新的产品研发道路。自公司上市以来，研发新产品、拓宽产品线始终是公司首要的战略经营措施。公司一方面努力做</w:t>
      </w:r>
      <w:r>
        <w:rPr>
          <w:spacing w:val="-66"/>
        </w:rPr>
        <w:t> </w:t>
      </w:r>
      <w:r>
        <w:rPr>
          <w:spacing w:val="-66"/>
        </w:rPr>
      </w:r>
      <w:r>
        <w:rPr>
          <w:spacing w:val="-2"/>
        </w:rPr>
        <w:t>好提高、完善现有产品的各项技术和功能，另一方面加大新产品的研发力度。目前公司除募集资金计划投资项目外，正在进</w:t>
      </w:r>
      <w:r>
        <w:rPr>
          <w:spacing w:val="-66"/>
        </w:rPr>
        <w:t> </w:t>
      </w:r>
      <w:r>
        <w:rPr>
          <w:spacing w:val="-66"/>
        </w:rPr>
      </w:r>
      <w:r>
        <w:rPr/>
        <w:t>行的研发项目主要包括：</w:t>
      </w:r>
    </w:p>
    <w:p>
      <w:pPr>
        <w:spacing w:line="240" w:lineRule="auto" w:before="3"/>
        <w:rPr>
          <w:rFonts w:ascii="宋体" w:hAnsi="宋体" w:cs="宋体" w:eastAsia="宋体" w:hint="default"/>
          <w:sz w:val="9"/>
          <w:szCs w:val="9"/>
        </w:rPr>
      </w:pPr>
    </w:p>
    <w:tbl>
      <w:tblPr>
        <w:tblW w:w="0" w:type="auto"/>
        <w:jc w:val="left"/>
        <w:tblInd w:w="578" w:type="dxa"/>
        <w:tblLayout w:type="fixed"/>
        <w:tblCellMar>
          <w:top w:w="0" w:type="dxa"/>
          <w:left w:w="0" w:type="dxa"/>
          <w:bottom w:w="0" w:type="dxa"/>
          <w:right w:w="0" w:type="dxa"/>
        </w:tblCellMar>
        <w:tblLook w:val="01E0"/>
      </w:tblPr>
      <w:tblGrid>
        <w:gridCol w:w="2160"/>
        <w:gridCol w:w="4680"/>
        <w:gridCol w:w="1933"/>
      </w:tblGrid>
      <w:tr>
        <w:trPr>
          <w:trHeight w:val="583" w:hRule="exact"/>
        </w:trPr>
        <w:tc>
          <w:tcPr>
            <w:tcW w:w="216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41"/>
              <w:ind w:left="71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68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技术目标</w:t>
            </w:r>
          </w:p>
        </w:tc>
        <w:tc>
          <w:tcPr>
            <w:tcW w:w="193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41"/>
              <w:ind w:left="598" w:right="0"/>
              <w:jc w:val="left"/>
              <w:rPr>
                <w:rFonts w:ascii="宋体" w:hAnsi="宋体" w:cs="宋体" w:eastAsia="宋体" w:hint="default"/>
                <w:sz w:val="18"/>
                <w:szCs w:val="18"/>
              </w:rPr>
            </w:pPr>
            <w:r>
              <w:rPr>
                <w:rFonts w:ascii="宋体" w:hAnsi="宋体" w:cs="宋体" w:eastAsia="宋体" w:hint="default"/>
                <w:sz w:val="18"/>
                <w:szCs w:val="18"/>
              </w:rPr>
              <w:t>业务目标</w:t>
            </w:r>
          </w:p>
        </w:tc>
      </w:tr>
      <w:tr>
        <w:trPr>
          <w:trHeight w:val="850" w:hRule="exact"/>
        </w:trPr>
        <w:tc>
          <w:tcPr>
            <w:tcW w:w="21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流程银行业务平台系统</w:t>
            </w:r>
          </w:p>
        </w:tc>
        <w:tc>
          <w:tcPr>
            <w:tcW w:w="4680" w:type="dxa"/>
            <w:tcBorders>
              <w:top w:val="single" w:sz="10" w:space="0" w:color="000000"/>
              <w:left w:val="single" w:sz="6" w:space="0" w:color="000000"/>
              <w:bottom w:val="single" w:sz="6" w:space="0" w:color="000000"/>
              <w:right w:val="single" w:sz="6" w:space="0" w:color="000000"/>
            </w:tcBorders>
          </w:tcPr>
          <w:p>
            <w:pPr>
              <w:pStyle w:val="TableParagraph"/>
              <w:tabs>
                <w:tab w:pos="422" w:val="left" w:leader="none"/>
              </w:tabs>
              <w:spacing w:line="316" w:lineRule="auto" w:before="113"/>
              <w:ind w:left="422" w:right="-4" w:hanging="420"/>
              <w:jc w:val="left"/>
              <w:rPr>
                <w:rFonts w:ascii="宋体" w:hAnsi="宋体" w:cs="宋体" w:eastAsia="宋体" w:hint="default"/>
                <w:sz w:val="18"/>
                <w:szCs w:val="18"/>
              </w:rPr>
            </w:pPr>
            <w:r>
              <w:rPr>
                <w:rFonts w:ascii="宋体" w:hAnsi="宋体" w:cs="宋体" w:eastAsia="宋体" w:hint="default"/>
                <w:sz w:val="18"/>
                <w:szCs w:val="18"/>
              </w:rPr>
              <w:t>1.</w:t>
              <w:tab/>
            </w:r>
            <w:r>
              <w:rPr>
                <w:rFonts w:ascii="宋体" w:hAnsi="宋体" w:cs="宋体" w:eastAsia="宋体" w:hint="default"/>
                <w:spacing w:val="3"/>
                <w:sz w:val="18"/>
                <w:szCs w:val="18"/>
              </w:rPr>
              <w:t>通过流程作业的方式使银行传统作业型网点向营销型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网点转变；</w:t>
            </w:r>
          </w:p>
        </w:tc>
        <w:tc>
          <w:tcPr>
            <w:tcW w:w="1933"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129"/>
              <w:ind w:left="2" w:right="-8"/>
              <w:jc w:val="left"/>
              <w:rPr>
                <w:rFonts w:ascii="宋体" w:hAnsi="宋体" w:cs="宋体" w:eastAsia="宋体" w:hint="default"/>
                <w:sz w:val="18"/>
                <w:szCs w:val="18"/>
              </w:rPr>
            </w:pPr>
            <w:r>
              <w:rPr>
                <w:rFonts w:ascii="宋体" w:hAnsi="宋体" w:cs="宋体" w:eastAsia="宋体" w:hint="default"/>
                <w:spacing w:val="12"/>
                <w:sz w:val="18"/>
                <w:szCs w:val="18"/>
              </w:rPr>
              <w:t>形成符合流程银行建设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需要的</w:t>
            </w:r>
            <w:r>
              <w:rPr>
                <w:rFonts w:ascii="Times New Roman" w:hAnsi="Times New Roman" w:cs="Times New Roman" w:eastAsia="Times New Roman" w:hint="default"/>
                <w:spacing w:val="-5"/>
                <w:sz w:val="18"/>
                <w:szCs w:val="18"/>
              </w:rPr>
              <w:t>IT</w:t>
            </w:r>
            <w:r>
              <w:rPr>
                <w:rFonts w:ascii="宋体" w:hAnsi="宋体" w:cs="宋体" w:eastAsia="宋体" w:hint="default"/>
                <w:spacing w:val="-5"/>
                <w:sz w:val="18"/>
                <w:szCs w:val="18"/>
              </w:rPr>
              <w:t>解决方案，拓宽</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578" w:type="dxa"/>
        <w:tblLayout w:type="fixed"/>
        <w:tblCellMar>
          <w:top w:w="0" w:type="dxa"/>
          <w:left w:w="0" w:type="dxa"/>
          <w:bottom w:w="0" w:type="dxa"/>
          <w:right w:w="0" w:type="dxa"/>
        </w:tblCellMar>
        <w:tblLook w:val="01E0"/>
      </w:tblPr>
      <w:tblGrid>
        <w:gridCol w:w="2160"/>
        <w:gridCol w:w="310"/>
        <w:gridCol w:w="4370"/>
        <w:gridCol w:w="1933"/>
      </w:tblGrid>
      <w:tr>
        <w:trPr>
          <w:trHeight w:val="330" w:hRule="exact"/>
        </w:trPr>
        <w:tc>
          <w:tcPr>
            <w:tcW w:w="2160" w:type="dxa"/>
            <w:vMerge w:val="restart"/>
            <w:tcBorders>
              <w:top w:val="single" w:sz="6" w:space="0" w:color="000000"/>
              <w:left w:val="single" w:sz="6" w:space="0" w:color="000000"/>
              <w:right w:val="single" w:sz="6" w:space="0" w:color="000000"/>
            </w:tcBorders>
          </w:tcPr>
          <w:p>
            <w:pPr/>
          </w:p>
        </w:tc>
        <w:tc>
          <w:tcPr>
            <w:tcW w:w="310" w:type="dxa"/>
            <w:tcBorders>
              <w:top w:val="single" w:sz="6" w:space="0" w:color="000000"/>
              <w:left w:val="single" w:sz="6" w:space="0" w:color="000000"/>
              <w:bottom w:val="nil" w:sz="6" w:space="0" w:color="auto"/>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w:t>
            </w:r>
          </w:p>
        </w:tc>
        <w:tc>
          <w:tcPr>
            <w:tcW w:w="4370" w:type="dxa"/>
            <w:tcBorders>
              <w:top w:val="single" w:sz="6" w:space="0" w:color="000000"/>
              <w:left w:val="nil" w:sz="6" w:space="0" w:color="auto"/>
              <w:bottom w:val="nil" w:sz="6" w:space="0" w:color="auto"/>
              <w:right w:val="single" w:sz="6" w:space="0" w:color="000000"/>
            </w:tcBorders>
          </w:tcPr>
          <w:p>
            <w:pPr>
              <w:pStyle w:val="TableParagraph"/>
              <w:spacing w:line="240" w:lineRule="auto" w:before="21"/>
              <w:ind w:left="119" w:right="-17"/>
              <w:jc w:val="left"/>
              <w:rPr>
                <w:rFonts w:ascii="宋体" w:hAnsi="宋体" w:cs="宋体" w:eastAsia="宋体" w:hint="default"/>
                <w:sz w:val="18"/>
                <w:szCs w:val="18"/>
              </w:rPr>
            </w:pPr>
            <w:r>
              <w:rPr>
                <w:rFonts w:ascii="宋体" w:hAnsi="宋体" w:cs="宋体" w:eastAsia="宋体" w:hint="default"/>
                <w:spacing w:val="-3"/>
                <w:sz w:val="18"/>
                <w:szCs w:val="18"/>
              </w:rPr>
              <w:t>采用影像处理机制，前台业务采集、上传、影像拆分、</w:t>
            </w:r>
            <w:r>
              <w:rPr>
                <w:rFonts w:ascii="宋体" w:hAnsi="宋体" w:cs="宋体" w:eastAsia="宋体" w:hint="default"/>
                <w:sz w:val="18"/>
                <w:szCs w:val="18"/>
              </w:rPr>
            </w:r>
          </w:p>
        </w:tc>
        <w:tc>
          <w:tcPr>
            <w:tcW w:w="193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公司产品线</w:t>
            </w:r>
          </w:p>
        </w:tc>
      </w:tr>
      <w:tr>
        <w:trPr>
          <w:trHeight w:val="312" w:hRule="exact"/>
        </w:trPr>
        <w:tc>
          <w:tcPr>
            <w:tcW w:w="2160" w:type="dxa"/>
            <w:vMerge/>
            <w:tcBorders>
              <w:left w:val="single" w:sz="6" w:space="0" w:color="000000"/>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
        </w:tc>
        <w:tc>
          <w:tcPr>
            <w:tcW w:w="4370" w:type="dxa"/>
            <w:tcBorders>
              <w:top w:val="nil" w:sz="6" w:space="0" w:color="auto"/>
              <w:left w:val="nil" w:sz="6" w:space="0" w:color="auto"/>
              <w:bottom w:val="nil" w:sz="6" w:space="0" w:color="auto"/>
              <w:right w:val="single" w:sz="6" w:space="0" w:color="000000"/>
            </w:tcBorders>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pacing w:val="-4"/>
                <w:sz w:val="18"/>
                <w:szCs w:val="18"/>
              </w:rPr>
              <w:t>切片录入、组合拼装，解决银行网点分散处理向集中作</w:t>
            </w:r>
          </w:p>
        </w:tc>
        <w:tc>
          <w:tcPr>
            <w:tcW w:w="1933" w:type="dxa"/>
            <w:tcBorders>
              <w:top w:val="nil" w:sz="6" w:space="0" w:color="auto"/>
              <w:left w:val="single" w:sz="6" w:space="0" w:color="000000"/>
              <w:bottom w:val="nil" w:sz="6" w:space="0" w:color="auto"/>
              <w:right w:val="single" w:sz="6" w:space="0" w:color="000000"/>
            </w:tcBorders>
          </w:tcPr>
          <w:p>
            <w:pPr/>
          </w:p>
        </w:tc>
      </w:tr>
      <w:tr>
        <w:trPr>
          <w:trHeight w:val="358" w:hRule="exact"/>
        </w:trPr>
        <w:tc>
          <w:tcPr>
            <w:tcW w:w="2160" w:type="dxa"/>
            <w:vMerge/>
            <w:tcBorders>
              <w:left w:val="single" w:sz="6" w:space="0" w:color="000000"/>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
        </w:tc>
        <w:tc>
          <w:tcPr>
            <w:tcW w:w="4370" w:type="dxa"/>
            <w:tcBorders>
              <w:top w:val="nil" w:sz="6" w:space="0" w:color="auto"/>
              <w:left w:val="nil" w:sz="6" w:space="0" w:color="auto"/>
              <w:bottom w:val="nil" w:sz="6" w:space="0" w:color="auto"/>
              <w:right w:val="single" w:sz="6" w:space="0" w:color="000000"/>
            </w:tcBorders>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z w:val="18"/>
                <w:szCs w:val="18"/>
              </w:rPr>
              <w:t>业的转变；</w:t>
            </w:r>
          </w:p>
        </w:tc>
        <w:tc>
          <w:tcPr>
            <w:tcW w:w="1933" w:type="dxa"/>
            <w:tcBorders>
              <w:top w:val="nil" w:sz="6" w:space="0" w:color="auto"/>
              <w:left w:val="single" w:sz="6" w:space="0" w:color="000000"/>
              <w:bottom w:val="nil" w:sz="6" w:space="0" w:color="auto"/>
              <w:right w:val="single" w:sz="6" w:space="0" w:color="000000"/>
            </w:tcBorders>
          </w:tcPr>
          <w:p>
            <w:pPr/>
          </w:p>
        </w:tc>
      </w:tr>
      <w:tr>
        <w:trPr>
          <w:trHeight w:val="405" w:hRule="exact"/>
        </w:trPr>
        <w:tc>
          <w:tcPr>
            <w:tcW w:w="2160" w:type="dxa"/>
            <w:vMerge/>
            <w:tcBorders>
              <w:left w:val="single" w:sz="6" w:space="0" w:color="000000"/>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Style w:val="TableParagraph"/>
              <w:spacing w:line="240" w:lineRule="auto" w:before="56"/>
              <w:ind w:left="2" w:right="0"/>
              <w:jc w:val="left"/>
              <w:rPr>
                <w:rFonts w:ascii="宋体" w:hAnsi="宋体" w:cs="宋体" w:eastAsia="宋体" w:hint="default"/>
                <w:sz w:val="18"/>
                <w:szCs w:val="18"/>
              </w:rPr>
            </w:pPr>
            <w:r>
              <w:rPr>
                <w:rFonts w:ascii="宋体"/>
                <w:sz w:val="18"/>
              </w:rPr>
              <w:t>3.</w:t>
            </w:r>
          </w:p>
        </w:tc>
        <w:tc>
          <w:tcPr>
            <w:tcW w:w="4370" w:type="dxa"/>
            <w:tcBorders>
              <w:top w:val="nil" w:sz="6" w:space="0" w:color="auto"/>
              <w:left w:val="nil" w:sz="6" w:space="0" w:color="auto"/>
              <w:bottom w:val="nil" w:sz="6" w:space="0" w:color="auto"/>
              <w:right w:val="single" w:sz="6" w:space="0" w:color="000000"/>
            </w:tcBorders>
          </w:tcPr>
          <w:p>
            <w:pPr>
              <w:pStyle w:val="TableParagraph"/>
              <w:spacing w:line="240" w:lineRule="auto" w:before="56"/>
              <w:ind w:left="119" w:right="0"/>
              <w:jc w:val="left"/>
              <w:rPr>
                <w:rFonts w:ascii="宋体" w:hAnsi="宋体" w:cs="宋体" w:eastAsia="宋体" w:hint="default"/>
                <w:sz w:val="18"/>
                <w:szCs w:val="18"/>
              </w:rPr>
            </w:pPr>
            <w:r>
              <w:rPr>
                <w:rFonts w:ascii="宋体" w:hAnsi="宋体" w:cs="宋体" w:eastAsia="宋体" w:hint="default"/>
                <w:sz w:val="18"/>
                <w:szCs w:val="18"/>
              </w:rPr>
              <w:t>应用工作流引擎提供灵活的业务规则设计和实施；</w:t>
            </w:r>
          </w:p>
        </w:tc>
        <w:tc>
          <w:tcPr>
            <w:tcW w:w="1933" w:type="dxa"/>
            <w:tcBorders>
              <w:top w:val="nil" w:sz="6" w:space="0" w:color="auto"/>
              <w:left w:val="single" w:sz="6" w:space="0" w:color="000000"/>
              <w:bottom w:val="nil" w:sz="6" w:space="0" w:color="auto"/>
              <w:right w:val="single" w:sz="6" w:space="0" w:color="000000"/>
            </w:tcBorders>
          </w:tcPr>
          <w:p>
            <w:pPr/>
          </w:p>
        </w:tc>
      </w:tr>
      <w:tr>
        <w:trPr>
          <w:trHeight w:val="359" w:hRule="exact"/>
        </w:trPr>
        <w:tc>
          <w:tcPr>
            <w:tcW w:w="2160" w:type="dxa"/>
            <w:vMerge/>
            <w:tcBorders>
              <w:left w:val="single" w:sz="6" w:space="0" w:color="000000"/>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Style w:val="TableParagraph"/>
              <w:spacing w:line="240" w:lineRule="auto" w:before="57"/>
              <w:ind w:left="2" w:right="0"/>
              <w:jc w:val="left"/>
              <w:rPr>
                <w:rFonts w:ascii="宋体" w:hAnsi="宋体" w:cs="宋体" w:eastAsia="宋体" w:hint="default"/>
                <w:sz w:val="18"/>
                <w:szCs w:val="18"/>
              </w:rPr>
            </w:pPr>
            <w:r>
              <w:rPr>
                <w:rFonts w:ascii="宋体"/>
                <w:sz w:val="18"/>
              </w:rPr>
              <w:t>4.</w:t>
            </w:r>
          </w:p>
        </w:tc>
        <w:tc>
          <w:tcPr>
            <w:tcW w:w="4370" w:type="dxa"/>
            <w:tcBorders>
              <w:top w:val="nil" w:sz="6" w:space="0" w:color="auto"/>
              <w:left w:val="nil" w:sz="6" w:space="0" w:color="auto"/>
              <w:bottom w:val="nil" w:sz="6" w:space="0" w:color="auto"/>
              <w:right w:val="single" w:sz="6" w:space="0" w:color="000000"/>
            </w:tcBorders>
          </w:tcPr>
          <w:p>
            <w:pPr>
              <w:pStyle w:val="TableParagraph"/>
              <w:spacing w:line="240" w:lineRule="auto" w:before="57"/>
              <w:ind w:left="119" w:right="0"/>
              <w:jc w:val="left"/>
              <w:rPr>
                <w:rFonts w:ascii="宋体" w:hAnsi="宋体" w:cs="宋体" w:eastAsia="宋体" w:hint="default"/>
                <w:sz w:val="18"/>
                <w:szCs w:val="18"/>
              </w:rPr>
            </w:pPr>
            <w:r>
              <w:rPr>
                <w:rFonts w:ascii="宋体" w:hAnsi="宋体" w:cs="宋体" w:eastAsia="宋体" w:hint="default"/>
                <w:sz w:val="18"/>
                <w:szCs w:val="18"/>
              </w:rPr>
              <w:t>应用内容管理技术为非结构化数据提供归档</w:t>
            </w:r>
            <w:r>
              <w:rPr>
                <w:rFonts w:ascii="宋体" w:hAnsi="宋体" w:cs="宋体" w:eastAsia="宋体" w:hint="default"/>
                <w:spacing w:val="-81"/>
                <w:sz w:val="18"/>
                <w:szCs w:val="18"/>
              </w:rPr>
              <w:t>、</w:t>
            </w:r>
            <w:r>
              <w:rPr>
                <w:rFonts w:ascii="宋体" w:hAnsi="宋体" w:cs="宋体" w:eastAsia="宋体" w:hint="default"/>
                <w:sz w:val="18"/>
                <w:szCs w:val="18"/>
              </w:rPr>
              <w:t>查询和备</w:t>
            </w:r>
          </w:p>
        </w:tc>
        <w:tc>
          <w:tcPr>
            <w:tcW w:w="1933" w:type="dxa"/>
            <w:tcBorders>
              <w:top w:val="nil" w:sz="6" w:space="0" w:color="auto"/>
              <w:left w:val="single" w:sz="6" w:space="0" w:color="000000"/>
              <w:bottom w:val="nil" w:sz="6" w:space="0" w:color="auto"/>
              <w:right w:val="single" w:sz="6" w:space="0" w:color="000000"/>
            </w:tcBorders>
          </w:tcPr>
          <w:p>
            <w:pPr/>
          </w:p>
        </w:tc>
      </w:tr>
      <w:tr>
        <w:trPr>
          <w:trHeight w:val="422" w:hRule="exact"/>
        </w:trPr>
        <w:tc>
          <w:tcPr>
            <w:tcW w:w="2160" w:type="dxa"/>
            <w:vMerge/>
            <w:tcBorders>
              <w:left w:val="single" w:sz="6" w:space="0" w:color="000000"/>
              <w:bottom w:val="single" w:sz="6" w:space="0" w:color="000000"/>
              <w:right w:val="single" w:sz="6" w:space="0" w:color="000000"/>
            </w:tcBorders>
          </w:tcPr>
          <w:p>
            <w:pPr/>
          </w:p>
        </w:tc>
        <w:tc>
          <w:tcPr>
            <w:tcW w:w="310" w:type="dxa"/>
            <w:tcBorders>
              <w:top w:val="nil" w:sz="6" w:space="0" w:color="auto"/>
              <w:left w:val="single" w:sz="6" w:space="0" w:color="000000"/>
              <w:bottom w:val="single" w:sz="6" w:space="0" w:color="000000"/>
              <w:right w:val="nil" w:sz="6" w:space="0" w:color="auto"/>
            </w:tcBorders>
          </w:tcPr>
          <w:p>
            <w:pPr/>
          </w:p>
        </w:tc>
        <w:tc>
          <w:tcPr>
            <w:tcW w:w="4370" w:type="dxa"/>
            <w:tcBorders>
              <w:top w:val="nil" w:sz="6" w:space="0" w:color="auto"/>
              <w:left w:val="nil" w:sz="6" w:space="0" w:color="auto"/>
              <w:bottom w:val="single" w:sz="6" w:space="0" w:color="000000"/>
              <w:right w:val="single" w:sz="6" w:space="0" w:color="000000"/>
            </w:tcBorders>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933" w:type="dxa"/>
            <w:tcBorders>
              <w:top w:val="nil" w:sz="6" w:space="0" w:color="auto"/>
              <w:left w:val="single" w:sz="6" w:space="0" w:color="000000"/>
              <w:bottom w:val="single" w:sz="6" w:space="0" w:color="000000"/>
              <w:right w:val="single" w:sz="6" w:space="0" w:color="000000"/>
            </w:tcBorders>
          </w:tcPr>
          <w:p>
            <w:pPr/>
          </w:p>
        </w:tc>
      </w:tr>
      <w:tr>
        <w:trPr>
          <w:trHeight w:val="422" w:hRule="exact"/>
        </w:trPr>
        <w:tc>
          <w:tcPr>
            <w:tcW w:w="2160" w:type="dxa"/>
            <w:tcBorders>
              <w:top w:val="single" w:sz="6" w:space="0" w:color="000000"/>
              <w:left w:val="single" w:sz="6" w:space="0" w:color="000000"/>
              <w:bottom w:val="nil" w:sz="6" w:space="0" w:color="auto"/>
              <w:right w:val="single" w:sz="6" w:space="0" w:color="000000"/>
            </w:tcBorders>
          </w:tcPr>
          <w:p>
            <w:pPr/>
          </w:p>
        </w:tc>
        <w:tc>
          <w:tcPr>
            <w:tcW w:w="310" w:type="dxa"/>
            <w:tcBorders>
              <w:top w:val="single" w:sz="6" w:space="0" w:color="000000"/>
              <w:left w:val="single" w:sz="6" w:space="0" w:color="000000"/>
              <w:bottom w:val="nil" w:sz="6" w:space="0" w:color="auto"/>
              <w:right w:val="nil" w:sz="6" w:space="0" w:color="auto"/>
            </w:tcBorders>
          </w:tcPr>
          <w:p>
            <w:pPr>
              <w:pStyle w:val="TableParagraph"/>
              <w:spacing w:line="240" w:lineRule="auto" w:before="113"/>
              <w:ind w:left="2" w:right="0"/>
              <w:jc w:val="left"/>
              <w:rPr>
                <w:rFonts w:ascii="宋体" w:hAnsi="宋体" w:cs="宋体" w:eastAsia="宋体" w:hint="default"/>
                <w:sz w:val="18"/>
                <w:szCs w:val="18"/>
              </w:rPr>
            </w:pPr>
            <w:r>
              <w:rPr>
                <w:rFonts w:ascii="宋体"/>
                <w:sz w:val="18"/>
              </w:rPr>
              <w:t>1.</w:t>
            </w:r>
          </w:p>
        </w:tc>
        <w:tc>
          <w:tcPr>
            <w:tcW w:w="4370" w:type="dxa"/>
            <w:tcBorders>
              <w:top w:val="single" w:sz="6" w:space="0" w:color="000000"/>
              <w:left w:val="nil" w:sz="6" w:space="0" w:color="auto"/>
              <w:bottom w:val="nil" w:sz="6" w:space="0" w:color="auto"/>
              <w:right w:val="single" w:sz="6" w:space="0" w:color="000000"/>
            </w:tcBorders>
          </w:tcPr>
          <w:p>
            <w:pPr>
              <w:pStyle w:val="TableParagraph"/>
              <w:spacing w:line="240" w:lineRule="auto" w:before="113"/>
              <w:ind w:left="119" w:right="-4"/>
              <w:jc w:val="left"/>
              <w:rPr>
                <w:rFonts w:ascii="宋体" w:hAnsi="宋体" w:cs="宋体" w:eastAsia="宋体" w:hint="default"/>
                <w:sz w:val="18"/>
                <w:szCs w:val="18"/>
              </w:rPr>
            </w:pPr>
            <w:r>
              <w:rPr>
                <w:rFonts w:ascii="宋体" w:hAnsi="宋体" w:cs="宋体" w:eastAsia="宋体" w:hint="default"/>
                <w:spacing w:val="3"/>
                <w:sz w:val="18"/>
                <w:szCs w:val="18"/>
              </w:rPr>
              <w:t>借助影像技术帮助银行实现从传统的纸质业务受理模</w:t>
            </w:r>
            <w:r>
              <w:rPr>
                <w:rFonts w:ascii="宋体" w:hAnsi="宋体" w:cs="宋体" w:eastAsia="宋体" w:hint="default"/>
                <w:sz w:val="18"/>
                <w:szCs w:val="18"/>
              </w:rPr>
            </w:r>
          </w:p>
        </w:tc>
        <w:tc>
          <w:tcPr>
            <w:tcW w:w="1933" w:type="dxa"/>
            <w:tcBorders>
              <w:top w:val="single" w:sz="6" w:space="0" w:color="000000"/>
              <w:left w:val="single" w:sz="6" w:space="0" w:color="000000"/>
              <w:bottom w:val="nil" w:sz="6" w:space="0" w:color="auto"/>
              <w:right w:val="single" w:sz="6" w:space="0" w:color="000000"/>
            </w:tcBorders>
          </w:tcPr>
          <w:p>
            <w:pPr/>
          </w:p>
        </w:tc>
      </w:tr>
      <w:tr>
        <w:trPr>
          <w:trHeight w:val="358" w:hRule="exact"/>
        </w:trPr>
        <w:tc>
          <w:tcPr>
            <w:tcW w:w="2160" w:type="dxa"/>
            <w:tcBorders>
              <w:top w:val="nil" w:sz="6" w:space="0" w:color="auto"/>
              <w:left w:val="single" w:sz="6" w:space="0" w:color="000000"/>
              <w:bottom w:val="nil" w:sz="6" w:space="0" w:color="auto"/>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
        </w:tc>
        <w:tc>
          <w:tcPr>
            <w:tcW w:w="4370" w:type="dxa"/>
            <w:tcBorders>
              <w:top w:val="nil" w:sz="6" w:space="0" w:color="auto"/>
              <w:left w:val="nil" w:sz="6" w:space="0" w:color="auto"/>
              <w:bottom w:val="nil" w:sz="6" w:space="0" w:color="auto"/>
              <w:right w:val="single" w:sz="6" w:space="0" w:color="000000"/>
            </w:tcBorders>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z w:val="18"/>
                <w:szCs w:val="18"/>
              </w:rPr>
              <w:t>式到业务影像化处理的转变；</w:t>
            </w:r>
          </w:p>
        </w:tc>
        <w:tc>
          <w:tcPr>
            <w:tcW w:w="1933" w:type="dxa"/>
            <w:tcBorders>
              <w:top w:val="nil" w:sz="6" w:space="0" w:color="auto"/>
              <w:left w:val="single" w:sz="6" w:space="0" w:color="000000"/>
              <w:bottom w:val="nil" w:sz="6" w:space="0" w:color="auto"/>
              <w:right w:val="single" w:sz="6" w:space="0" w:color="000000"/>
            </w:tcBorders>
          </w:tcPr>
          <w:p>
            <w:pPr/>
          </w:p>
        </w:tc>
      </w:tr>
      <w:tr>
        <w:trPr>
          <w:trHeight w:val="810"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综合影像处理平台</w:t>
            </w:r>
          </w:p>
        </w:tc>
        <w:tc>
          <w:tcPr>
            <w:tcW w:w="310" w:type="dxa"/>
            <w:tcBorders>
              <w:top w:val="nil" w:sz="6" w:space="0" w:color="auto"/>
              <w:left w:val="single" w:sz="6" w:space="0" w:color="000000"/>
              <w:bottom w:val="nil" w:sz="6" w:space="0" w:color="auto"/>
              <w:right w:val="nil" w:sz="6" w:space="0" w:color="auto"/>
            </w:tcBorders>
          </w:tcPr>
          <w:p>
            <w:pPr>
              <w:pStyle w:val="TableParagraph"/>
              <w:spacing w:line="240" w:lineRule="auto" w:before="56"/>
              <w:ind w:left="2" w:right="0"/>
              <w:jc w:val="left"/>
              <w:rPr>
                <w:rFonts w:ascii="宋体" w:hAnsi="宋体" w:cs="宋体" w:eastAsia="宋体" w:hint="default"/>
                <w:sz w:val="18"/>
                <w:szCs w:val="18"/>
              </w:rPr>
            </w:pPr>
            <w:r>
              <w:rPr>
                <w:rFonts w:ascii="宋体"/>
                <w:sz w:val="18"/>
              </w:rPr>
              <w:t>2.</w:t>
            </w: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sz w:val="18"/>
              </w:rPr>
              <w:t>3.</w:t>
            </w:r>
          </w:p>
        </w:tc>
        <w:tc>
          <w:tcPr>
            <w:tcW w:w="4370" w:type="dxa"/>
            <w:tcBorders>
              <w:top w:val="nil" w:sz="6" w:space="0" w:color="auto"/>
              <w:left w:val="nil" w:sz="6" w:space="0" w:color="auto"/>
              <w:bottom w:val="nil" w:sz="6" w:space="0" w:color="auto"/>
              <w:right w:val="single" w:sz="6" w:space="0" w:color="000000"/>
            </w:tcBorders>
          </w:tcPr>
          <w:p>
            <w:pPr>
              <w:pStyle w:val="TableParagraph"/>
              <w:spacing w:line="412" w:lineRule="auto" w:before="56"/>
              <w:ind w:left="119" w:right="641"/>
              <w:jc w:val="left"/>
              <w:rPr>
                <w:rFonts w:ascii="宋体" w:hAnsi="宋体" w:cs="宋体" w:eastAsia="宋体" w:hint="default"/>
                <w:sz w:val="18"/>
                <w:szCs w:val="18"/>
              </w:rPr>
            </w:pPr>
            <w:r>
              <w:rPr>
                <w:rFonts w:ascii="宋体" w:hAnsi="宋体" w:cs="宋体" w:eastAsia="宋体" w:hint="default"/>
                <w:sz w:val="18"/>
                <w:szCs w:val="18"/>
              </w:rPr>
              <w:t>实现银行纸质档案电子化采集、传输、存储； 影像应用软件开发的平台级产品；</w:t>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316" w:lineRule="auto" w:before="103"/>
              <w:ind w:left="2" w:right="-8"/>
              <w:jc w:val="left"/>
              <w:rPr>
                <w:rFonts w:ascii="宋体" w:hAnsi="宋体" w:cs="宋体" w:eastAsia="宋体" w:hint="default"/>
                <w:sz w:val="18"/>
                <w:szCs w:val="18"/>
              </w:rPr>
            </w:pPr>
            <w:r>
              <w:rPr>
                <w:rFonts w:ascii="宋体" w:hAnsi="宋体" w:cs="宋体" w:eastAsia="宋体" w:hint="default"/>
                <w:spacing w:val="12"/>
                <w:sz w:val="18"/>
                <w:szCs w:val="18"/>
              </w:rPr>
              <w:t>使公司影像应用软件的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开发更加快捷、高效</w:t>
            </w:r>
          </w:p>
        </w:tc>
      </w:tr>
      <w:tr>
        <w:trPr>
          <w:trHeight w:val="358" w:hRule="exact"/>
        </w:trPr>
        <w:tc>
          <w:tcPr>
            <w:tcW w:w="2160" w:type="dxa"/>
            <w:tcBorders>
              <w:top w:val="nil" w:sz="6" w:space="0" w:color="auto"/>
              <w:left w:val="single" w:sz="6" w:space="0" w:color="000000"/>
              <w:bottom w:val="nil" w:sz="6" w:space="0" w:color="auto"/>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Style w:val="TableParagraph"/>
              <w:spacing w:line="240" w:lineRule="auto" w:before="56"/>
              <w:ind w:left="2" w:right="0"/>
              <w:jc w:val="left"/>
              <w:rPr>
                <w:rFonts w:ascii="宋体" w:hAnsi="宋体" w:cs="宋体" w:eastAsia="宋体" w:hint="default"/>
                <w:sz w:val="18"/>
                <w:szCs w:val="18"/>
              </w:rPr>
            </w:pPr>
            <w:r>
              <w:rPr>
                <w:rFonts w:ascii="宋体"/>
                <w:sz w:val="18"/>
              </w:rPr>
              <w:t>4.</w:t>
            </w:r>
          </w:p>
        </w:tc>
        <w:tc>
          <w:tcPr>
            <w:tcW w:w="4370" w:type="dxa"/>
            <w:tcBorders>
              <w:top w:val="nil" w:sz="6" w:space="0" w:color="auto"/>
              <w:left w:val="nil" w:sz="6" w:space="0" w:color="auto"/>
              <w:bottom w:val="nil" w:sz="6" w:space="0" w:color="auto"/>
              <w:right w:val="single" w:sz="6" w:space="0" w:color="000000"/>
            </w:tcBorders>
          </w:tcPr>
          <w:p>
            <w:pPr>
              <w:pStyle w:val="TableParagraph"/>
              <w:spacing w:line="240" w:lineRule="auto" w:before="56"/>
              <w:ind w:left="119" w:right="-4"/>
              <w:jc w:val="left"/>
              <w:rPr>
                <w:rFonts w:ascii="宋体" w:hAnsi="宋体" w:cs="宋体" w:eastAsia="宋体" w:hint="default"/>
                <w:sz w:val="18"/>
                <w:szCs w:val="18"/>
              </w:rPr>
            </w:pPr>
            <w:r>
              <w:rPr>
                <w:rFonts w:ascii="宋体" w:hAnsi="宋体" w:cs="宋体" w:eastAsia="宋体" w:hint="default"/>
                <w:spacing w:val="3"/>
                <w:sz w:val="18"/>
                <w:szCs w:val="18"/>
              </w:rPr>
              <w:t>为银行用户提供多样影像控件优化其业务处理模式和</w:t>
            </w:r>
            <w:r>
              <w:rPr>
                <w:rFonts w:ascii="宋体" w:hAnsi="宋体" w:cs="宋体" w:eastAsia="宋体" w:hint="default"/>
                <w:sz w:val="18"/>
                <w:szCs w:val="18"/>
              </w:rPr>
            </w:r>
          </w:p>
        </w:tc>
        <w:tc>
          <w:tcPr>
            <w:tcW w:w="1933" w:type="dxa"/>
            <w:tcBorders>
              <w:top w:val="nil" w:sz="6" w:space="0" w:color="auto"/>
              <w:left w:val="single" w:sz="6" w:space="0" w:color="000000"/>
              <w:bottom w:val="nil" w:sz="6" w:space="0" w:color="auto"/>
              <w:right w:val="single" w:sz="6" w:space="0" w:color="000000"/>
            </w:tcBorders>
          </w:tcPr>
          <w:p>
            <w:pPr/>
          </w:p>
        </w:tc>
      </w:tr>
      <w:tr>
        <w:trPr>
          <w:trHeight w:val="422" w:hRule="exact"/>
        </w:trPr>
        <w:tc>
          <w:tcPr>
            <w:tcW w:w="2160" w:type="dxa"/>
            <w:tcBorders>
              <w:top w:val="nil" w:sz="6" w:space="0" w:color="auto"/>
              <w:left w:val="single" w:sz="6" w:space="0" w:color="000000"/>
              <w:bottom w:val="single" w:sz="6" w:space="0" w:color="000000"/>
              <w:right w:val="single" w:sz="6" w:space="0" w:color="000000"/>
            </w:tcBorders>
          </w:tcPr>
          <w:p>
            <w:pPr/>
          </w:p>
        </w:tc>
        <w:tc>
          <w:tcPr>
            <w:tcW w:w="310" w:type="dxa"/>
            <w:tcBorders>
              <w:top w:val="nil" w:sz="6" w:space="0" w:color="auto"/>
              <w:left w:val="single" w:sz="6" w:space="0" w:color="000000"/>
              <w:bottom w:val="single" w:sz="6" w:space="0" w:color="000000"/>
              <w:right w:val="nil" w:sz="6" w:space="0" w:color="auto"/>
            </w:tcBorders>
          </w:tcPr>
          <w:p>
            <w:pPr/>
          </w:p>
        </w:tc>
        <w:tc>
          <w:tcPr>
            <w:tcW w:w="4370" w:type="dxa"/>
            <w:tcBorders>
              <w:top w:val="nil" w:sz="6" w:space="0" w:color="auto"/>
              <w:left w:val="nil" w:sz="6" w:space="0" w:color="auto"/>
              <w:bottom w:val="single" w:sz="6" w:space="0" w:color="000000"/>
              <w:right w:val="single" w:sz="6" w:space="0" w:color="000000"/>
            </w:tcBorders>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z w:val="18"/>
                <w:szCs w:val="18"/>
              </w:rPr>
              <w:t>应用体验。</w:t>
            </w:r>
          </w:p>
        </w:tc>
        <w:tc>
          <w:tcPr>
            <w:tcW w:w="1933" w:type="dxa"/>
            <w:tcBorders>
              <w:top w:val="nil" w:sz="6" w:space="0" w:color="auto"/>
              <w:left w:val="single" w:sz="6" w:space="0" w:color="000000"/>
              <w:bottom w:val="single" w:sz="6" w:space="0" w:color="000000"/>
              <w:right w:val="single" w:sz="6" w:space="0" w:color="000000"/>
            </w:tcBorders>
          </w:tcPr>
          <w:p>
            <w:pPr/>
          </w:p>
        </w:tc>
      </w:tr>
      <w:tr>
        <w:trPr>
          <w:trHeight w:val="424" w:hRule="exact"/>
        </w:trPr>
        <w:tc>
          <w:tcPr>
            <w:tcW w:w="2160" w:type="dxa"/>
            <w:tcBorders>
              <w:top w:val="single" w:sz="6" w:space="0" w:color="000000"/>
              <w:left w:val="single" w:sz="6" w:space="0" w:color="000000"/>
              <w:bottom w:val="nil" w:sz="6" w:space="0" w:color="auto"/>
              <w:right w:val="single" w:sz="6" w:space="0" w:color="000000"/>
            </w:tcBorders>
          </w:tcPr>
          <w:p>
            <w:pPr/>
          </w:p>
        </w:tc>
        <w:tc>
          <w:tcPr>
            <w:tcW w:w="310" w:type="dxa"/>
            <w:tcBorders>
              <w:top w:val="single" w:sz="6" w:space="0" w:color="000000"/>
              <w:left w:val="single" w:sz="6" w:space="0" w:color="000000"/>
              <w:bottom w:val="nil" w:sz="6" w:space="0" w:color="auto"/>
              <w:right w:val="nil" w:sz="6" w:space="0" w:color="auto"/>
            </w:tcBorders>
          </w:tcPr>
          <w:p>
            <w:pPr>
              <w:pStyle w:val="TableParagraph"/>
              <w:spacing w:line="240" w:lineRule="auto" w:before="115"/>
              <w:ind w:left="2" w:right="0"/>
              <w:jc w:val="left"/>
              <w:rPr>
                <w:rFonts w:ascii="宋体" w:hAnsi="宋体" w:cs="宋体" w:eastAsia="宋体" w:hint="default"/>
                <w:sz w:val="18"/>
                <w:szCs w:val="18"/>
              </w:rPr>
            </w:pPr>
            <w:r>
              <w:rPr>
                <w:rFonts w:ascii="宋体"/>
                <w:sz w:val="18"/>
              </w:rPr>
              <w:t>1.</w:t>
            </w:r>
          </w:p>
        </w:tc>
        <w:tc>
          <w:tcPr>
            <w:tcW w:w="4370" w:type="dxa"/>
            <w:tcBorders>
              <w:top w:val="single" w:sz="6" w:space="0" w:color="000000"/>
              <w:left w:val="nil" w:sz="6" w:space="0" w:color="auto"/>
              <w:bottom w:val="nil" w:sz="6" w:space="0" w:color="auto"/>
              <w:right w:val="single" w:sz="6" w:space="0" w:color="000000"/>
            </w:tcBorders>
          </w:tcPr>
          <w:p>
            <w:pPr>
              <w:pStyle w:val="TableParagraph"/>
              <w:spacing w:line="240" w:lineRule="auto" w:before="115"/>
              <w:ind w:left="119" w:right="-4"/>
              <w:jc w:val="left"/>
              <w:rPr>
                <w:rFonts w:ascii="宋体" w:hAnsi="宋体" w:cs="宋体" w:eastAsia="宋体" w:hint="default"/>
                <w:sz w:val="18"/>
                <w:szCs w:val="18"/>
              </w:rPr>
            </w:pPr>
            <w:r>
              <w:rPr>
                <w:rFonts w:ascii="宋体" w:hAnsi="宋体" w:cs="宋体" w:eastAsia="宋体" w:hint="default"/>
                <w:spacing w:val="3"/>
                <w:sz w:val="18"/>
                <w:szCs w:val="18"/>
              </w:rPr>
              <w:t>将银行原有的纸质凭证事后监督模式改为基于影像的</w:t>
            </w:r>
            <w:r>
              <w:rPr>
                <w:rFonts w:ascii="宋体" w:hAnsi="宋体" w:cs="宋体" w:eastAsia="宋体" w:hint="default"/>
                <w:sz w:val="18"/>
                <w:szCs w:val="18"/>
              </w:rPr>
            </w:r>
          </w:p>
        </w:tc>
        <w:tc>
          <w:tcPr>
            <w:tcW w:w="1933" w:type="dxa"/>
            <w:tcBorders>
              <w:top w:val="single" w:sz="6" w:space="0" w:color="000000"/>
              <w:left w:val="single" w:sz="6" w:space="0" w:color="000000"/>
              <w:bottom w:val="nil" w:sz="6" w:space="0" w:color="auto"/>
              <w:right w:val="single" w:sz="6" w:space="0" w:color="000000"/>
            </w:tcBorders>
          </w:tcPr>
          <w:p>
            <w:pPr/>
          </w:p>
        </w:tc>
      </w:tr>
      <w:tr>
        <w:trPr>
          <w:trHeight w:val="358" w:hRule="exact"/>
        </w:trPr>
        <w:tc>
          <w:tcPr>
            <w:tcW w:w="2160" w:type="dxa"/>
            <w:tcBorders>
              <w:top w:val="nil" w:sz="6" w:space="0" w:color="auto"/>
              <w:left w:val="single" w:sz="6" w:space="0" w:color="000000"/>
              <w:bottom w:val="nil" w:sz="6" w:space="0" w:color="auto"/>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
        </w:tc>
        <w:tc>
          <w:tcPr>
            <w:tcW w:w="4370" w:type="dxa"/>
            <w:tcBorders>
              <w:top w:val="nil" w:sz="6" w:space="0" w:color="auto"/>
              <w:left w:val="nil" w:sz="6" w:space="0" w:color="auto"/>
              <w:bottom w:val="nil" w:sz="6" w:space="0" w:color="auto"/>
              <w:right w:val="single" w:sz="6" w:space="0" w:color="000000"/>
            </w:tcBorders>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z w:val="18"/>
                <w:szCs w:val="18"/>
              </w:rPr>
              <w:t>无纸化监督模式；</w:t>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57"/>
              <w:ind w:left="2" w:right="-8"/>
              <w:jc w:val="left"/>
              <w:rPr>
                <w:rFonts w:ascii="宋体" w:hAnsi="宋体" w:cs="宋体" w:eastAsia="宋体" w:hint="default"/>
                <w:sz w:val="18"/>
                <w:szCs w:val="18"/>
              </w:rPr>
            </w:pPr>
            <w:r>
              <w:rPr>
                <w:rFonts w:ascii="宋体" w:hAnsi="宋体" w:cs="宋体" w:eastAsia="宋体" w:hint="default"/>
                <w:spacing w:val="12"/>
                <w:sz w:val="18"/>
                <w:szCs w:val="18"/>
              </w:rPr>
              <w:t>形成符合市场应用需求</w:t>
            </w:r>
            <w:r>
              <w:rPr>
                <w:rFonts w:ascii="宋体" w:hAnsi="宋体" w:cs="宋体" w:eastAsia="宋体" w:hint="default"/>
                <w:sz w:val="18"/>
                <w:szCs w:val="18"/>
              </w:rPr>
            </w:r>
          </w:p>
        </w:tc>
      </w:tr>
      <w:tr>
        <w:trPr>
          <w:trHeight w:val="340"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新一代事后监督系统</w:t>
            </w:r>
          </w:p>
        </w:tc>
        <w:tc>
          <w:tcPr>
            <w:tcW w:w="310" w:type="dxa"/>
            <w:tcBorders>
              <w:top w:val="nil" w:sz="6" w:space="0" w:color="auto"/>
              <w:left w:val="single" w:sz="6" w:space="0" w:color="000000"/>
              <w:bottom w:val="nil" w:sz="6" w:space="0" w:color="auto"/>
              <w:right w:val="nil" w:sz="6" w:space="0" w:color="auto"/>
            </w:tcBorders>
          </w:tcPr>
          <w:p>
            <w:pPr>
              <w:pStyle w:val="TableParagraph"/>
              <w:spacing w:line="240" w:lineRule="auto" w:before="56"/>
              <w:ind w:left="2" w:right="0"/>
              <w:jc w:val="left"/>
              <w:rPr>
                <w:rFonts w:ascii="宋体" w:hAnsi="宋体" w:cs="宋体" w:eastAsia="宋体" w:hint="default"/>
                <w:sz w:val="18"/>
                <w:szCs w:val="18"/>
              </w:rPr>
            </w:pPr>
            <w:r>
              <w:rPr>
                <w:rFonts w:ascii="宋体"/>
                <w:sz w:val="18"/>
              </w:rPr>
              <w:t>2.</w:t>
            </w:r>
          </w:p>
        </w:tc>
        <w:tc>
          <w:tcPr>
            <w:tcW w:w="4370" w:type="dxa"/>
            <w:tcBorders>
              <w:top w:val="nil" w:sz="6" w:space="0" w:color="auto"/>
              <w:left w:val="nil" w:sz="6" w:space="0" w:color="auto"/>
              <w:bottom w:val="nil" w:sz="6" w:space="0" w:color="auto"/>
              <w:right w:val="single" w:sz="6" w:space="0" w:color="000000"/>
            </w:tcBorders>
          </w:tcPr>
          <w:p>
            <w:pPr>
              <w:pStyle w:val="TableParagraph"/>
              <w:spacing w:line="240" w:lineRule="auto" w:before="56"/>
              <w:ind w:left="119" w:right="-2"/>
              <w:jc w:val="left"/>
              <w:rPr>
                <w:rFonts w:ascii="宋体" w:hAnsi="宋体" w:cs="宋体" w:eastAsia="宋体" w:hint="default"/>
                <w:sz w:val="18"/>
                <w:szCs w:val="18"/>
              </w:rPr>
            </w:pPr>
            <w:r>
              <w:rPr>
                <w:rFonts w:ascii="宋体" w:hAnsi="宋体" w:cs="宋体" w:eastAsia="宋体" w:hint="default"/>
                <w:spacing w:val="3"/>
                <w:sz w:val="18"/>
                <w:szCs w:val="18"/>
              </w:rPr>
              <w:t>通过采用</w:t>
            </w:r>
            <w:r>
              <w:rPr>
                <w:rFonts w:ascii="Times New Roman" w:hAnsi="Times New Roman" w:cs="Times New Roman" w:eastAsia="Times New Roman" w:hint="default"/>
                <w:spacing w:val="3"/>
                <w:sz w:val="18"/>
                <w:szCs w:val="18"/>
              </w:rPr>
              <w:t>OCR</w:t>
            </w:r>
            <w:r>
              <w:rPr>
                <w:rFonts w:ascii="宋体" w:hAnsi="宋体" w:cs="宋体" w:eastAsia="宋体" w:hint="default"/>
                <w:spacing w:val="3"/>
                <w:sz w:val="18"/>
                <w:szCs w:val="18"/>
              </w:rPr>
              <w:t>识别技术，自动识别记账凭证要素并辅</w:t>
            </w:r>
            <w:r>
              <w:rPr>
                <w:rFonts w:ascii="宋体" w:hAnsi="宋体" w:cs="宋体" w:eastAsia="宋体" w:hint="default"/>
                <w:sz w:val="18"/>
                <w:szCs w:val="18"/>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7"/>
                <w:sz w:val="18"/>
                <w:szCs w:val="18"/>
              </w:rPr>
              <w:t>的新产品，拓宽公司产品</w:t>
            </w:r>
          </w:p>
        </w:tc>
      </w:tr>
      <w:tr>
        <w:trPr>
          <w:trHeight w:val="330" w:hRule="exact"/>
        </w:trPr>
        <w:tc>
          <w:tcPr>
            <w:tcW w:w="2160" w:type="dxa"/>
            <w:tcBorders>
              <w:top w:val="nil" w:sz="6" w:space="0" w:color="auto"/>
              <w:left w:val="single" w:sz="6" w:space="0" w:color="000000"/>
              <w:bottom w:val="nil" w:sz="6" w:space="0" w:color="auto"/>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
        </w:tc>
        <w:tc>
          <w:tcPr>
            <w:tcW w:w="4370"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119" w:right="-4"/>
              <w:jc w:val="left"/>
              <w:rPr>
                <w:rFonts w:ascii="宋体" w:hAnsi="宋体" w:cs="宋体" w:eastAsia="宋体" w:hint="default"/>
                <w:sz w:val="18"/>
                <w:szCs w:val="18"/>
              </w:rPr>
            </w:pPr>
            <w:r>
              <w:rPr>
                <w:rFonts w:ascii="宋体" w:hAnsi="宋体" w:cs="宋体" w:eastAsia="宋体" w:hint="default"/>
                <w:spacing w:val="3"/>
                <w:sz w:val="18"/>
                <w:szCs w:val="18"/>
              </w:rPr>
              <w:t>以人工确认的方式，进一步提高系统的监督质量和效</w:t>
            </w:r>
            <w:r>
              <w:rPr>
                <w:rFonts w:ascii="宋体" w:hAnsi="宋体" w:cs="宋体" w:eastAsia="宋体" w:hint="default"/>
                <w:sz w:val="18"/>
                <w:szCs w:val="18"/>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线</w:t>
            </w:r>
          </w:p>
        </w:tc>
      </w:tr>
      <w:tr>
        <w:trPr>
          <w:trHeight w:val="422" w:hRule="exact"/>
        </w:trPr>
        <w:tc>
          <w:tcPr>
            <w:tcW w:w="2160" w:type="dxa"/>
            <w:tcBorders>
              <w:top w:val="nil" w:sz="6" w:space="0" w:color="auto"/>
              <w:left w:val="single" w:sz="6" w:space="0" w:color="000000"/>
              <w:bottom w:val="single" w:sz="6" w:space="0" w:color="000000"/>
              <w:right w:val="single" w:sz="6" w:space="0" w:color="000000"/>
            </w:tcBorders>
          </w:tcPr>
          <w:p>
            <w:pPr/>
          </w:p>
        </w:tc>
        <w:tc>
          <w:tcPr>
            <w:tcW w:w="310" w:type="dxa"/>
            <w:tcBorders>
              <w:top w:val="nil" w:sz="6" w:space="0" w:color="auto"/>
              <w:left w:val="single" w:sz="6" w:space="0" w:color="000000"/>
              <w:bottom w:val="single" w:sz="6" w:space="0" w:color="000000"/>
              <w:right w:val="nil" w:sz="6" w:space="0" w:color="auto"/>
            </w:tcBorders>
          </w:tcPr>
          <w:p>
            <w:pPr/>
          </w:p>
        </w:tc>
        <w:tc>
          <w:tcPr>
            <w:tcW w:w="4370" w:type="dxa"/>
            <w:tcBorders>
              <w:top w:val="nil" w:sz="6" w:space="0" w:color="auto"/>
              <w:left w:val="nil" w:sz="6" w:space="0" w:color="auto"/>
              <w:bottom w:val="single" w:sz="6" w:space="0" w:color="000000"/>
              <w:right w:val="single" w:sz="6" w:space="0" w:color="000000"/>
            </w:tcBorders>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933" w:type="dxa"/>
            <w:tcBorders>
              <w:top w:val="nil" w:sz="6" w:space="0" w:color="auto"/>
              <w:left w:val="single" w:sz="6" w:space="0" w:color="000000"/>
              <w:bottom w:val="single" w:sz="6" w:space="0" w:color="000000"/>
              <w:right w:val="single" w:sz="6" w:space="0" w:color="000000"/>
            </w:tcBorders>
          </w:tcPr>
          <w:p>
            <w:pPr/>
          </w:p>
        </w:tc>
      </w:tr>
      <w:tr>
        <w:trPr>
          <w:trHeight w:val="423" w:hRule="exact"/>
        </w:trPr>
        <w:tc>
          <w:tcPr>
            <w:tcW w:w="2160" w:type="dxa"/>
            <w:tcBorders>
              <w:top w:val="single" w:sz="6" w:space="0" w:color="000000"/>
              <w:left w:val="single" w:sz="6" w:space="0" w:color="000000"/>
              <w:bottom w:val="nil" w:sz="6" w:space="0" w:color="auto"/>
              <w:right w:val="single" w:sz="6" w:space="0" w:color="000000"/>
            </w:tcBorders>
          </w:tcPr>
          <w:p>
            <w:pPr/>
          </w:p>
        </w:tc>
        <w:tc>
          <w:tcPr>
            <w:tcW w:w="310" w:type="dxa"/>
            <w:tcBorders>
              <w:top w:val="single" w:sz="6" w:space="0" w:color="000000"/>
              <w:left w:val="single" w:sz="6" w:space="0" w:color="000000"/>
              <w:bottom w:val="nil" w:sz="6" w:space="0" w:color="auto"/>
              <w:right w:val="nil" w:sz="6" w:space="0" w:color="auto"/>
            </w:tcBorders>
          </w:tcPr>
          <w:p>
            <w:pPr>
              <w:pStyle w:val="TableParagraph"/>
              <w:spacing w:line="240" w:lineRule="auto" w:before="115"/>
              <w:ind w:left="2" w:right="0"/>
              <w:jc w:val="left"/>
              <w:rPr>
                <w:rFonts w:ascii="宋体" w:hAnsi="宋体" w:cs="宋体" w:eastAsia="宋体" w:hint="default"/>
                <w:sz w:val="18"/>
                <w:szCs w:val="18"/>
              </w:rPr>
            </w:pPr>
            <w:r>
              <w:rPr>
                <w:rFonts w:ascii="宋体"/>
                <w:sz w:val="18"/>
              </w:rPr>
              <w:t>1.</w:t>
            </w:r>
          </w:p>
        </w:tc>
        <w:tc>
          <w:tcPr>
            <w:tcW w:w="4370" w:type="dxa"/>
            <w:tcBorders>
              <w:top w:val="single" w:sz="6" w:space="0" w:color="000000"/>
              <w:left w:val="nil" w:sz="6" w:space="0" w:color="auto"/>
              <w:bottom w:val="nil" w:sz="6" w:space="0" w:color="auto"/>
              <w:right w:val="single" w:sz="6" w:space="0" w:color="000000"/>
            </w:tcBorders>
          </w:tcPr>
          <w:p>
            <w:pPr>
              <w:pStyle w:val="TableParagraph"/>
              <w:spacing w:line="240" w:lineRule="auto" w:before="115"/>
              <w:ind w:left="119" w:right="-4"/>
              <w:jc w:val="left"/>
              <w:rPr>
                <w:rFonts w:ascii="宋体" w:hAnsi="宋体" w:cs="宋体" w:eastAsia="宋体" w:hint="default"/>
                <w:sz w:val="18"/>
                <w:szCs w:val="18"/>
              </w:rPr>
            </w:pPr>
            <w:r>
              <w:rPr>
                <w:rFonts w:ascii="宋体" w:hAnsi="宋体" w:cs="宋体" w:eastAsia="宋体" w:hint="default"/>
                <w:spacing w:val="3"/>
                <w:sz w:val="18"/>
                <w:szCs w:val="18"/>
              </w:rPr>
              <w:t>解决银行及其他大型组织机构中的重要印章的远程监</w:t>
            </w:r>
            <w:r>
              <w:rPr>
                <w:rFonts w:ascii="宋体" w:hAnsi="宋体" w:cs="宋体" w:eastAsia="宋体" w:hint="default"/>
                <w:sz w:val="18"/>
                <w:szCs w:val="18"/>
              </w:rPr>
            </w:r>
          </w:p>
        </w:tc>
        <w:tc>
          <w:tcPr>
            <w:tcW w:w="1933" w:type="dxa"/>
            <w:tcBorders>
              <w:top w:val="single" w:sz="6" w:space="0" w:color="000000"/>
              <w:left w:val="single" w:sz="6" w:space="0" w:color="000000"/>
              <w:bottom w:val="nil" w:sz="6" w:space="0" w:color="auto"/>
              <w:right w:val="single" w:sz="6" w:space="0" w:color="000000"/>
            </w:tcBorders>
          </w:tcPr>
          <w:p>
            <w:pPr/>
          </w:p>
        </w:tc>
      </w:tr>
      <w:tr>
        <w:trPr>
          <w:trHeight w:val="428" w:hRule="exact"/>
        </w:trPr>
        <w:tc>
          <w:tcPr>
            <w:tcW w:w="2160" w:type="dxa"/>
            <w:tcBorders>
              <w:top w:val="nil" w:sz="6" w:space="0" w:color="auto"/>
              <w:left w:val="single" w:sz="6" w:space="0" w:color="000000"/>
              <w:bottom w:val="nil" w:sz="6" w:space="0" w:color="auto"/>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
        </w:tc>
        <w:tc>
          <w:tcPr>
            <w:tcW w:w="4370" w:type="dxa"/>
            <w:tcBorders>
              <w:top w:val="nil" w:sz="6" w:space="0" w:color="auto"/>
              <w:left w:val="nil" w:sz="6" w:space="0" w:color="auto"/>
              <w:bottom w:val="nil" w:sz="6" w:space="0" w:color="auto"/>
              <w:right w:val="single" w:sz="6" w:space="0" w:color="000000"/>
            </w:tcBorders>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z w:val="18"/>
                <w:szCs w:val="18"/>
              </w:rPr>
              <w:t>管问题；</w:t>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150"/>
              <w:ind w:left="2" w:right="-8"/>
              <w:jc w:val="left"/>
              <w:rPr>
                <w:rFonts w:ascii="宋体" w:hAnsi="宋体" w:cs="宋体" w:eastAsia="宋体" w:hint="default"/>
                <w:sz w:val="18"/>
                <w:szCs w:val="18"/>
              </w:rPr>
            </w:pPr>
            <w:r>
              <w:rPr>
                <w:rFonts w:ascii="宋体" w:hAnsi="宋体" w:cs="宋体" w:eastAsia="宋体" w:hint="default"/>
                <w:spacing w:val="12"/>
                <w:sz w:val="18"/>
                <w:szCs w:val="18"/>
              </w:rPr>
              <w:t>继续完善公司现有产品</w:t>
            </w:r>
            <w:r>
              <w:rPr>
                <w:rFonts w:ascii="宋体" w:hAnsi="宋体" w:cs="宋体" w:eastAsia="宋体" w:hint="default"/>
                <w:sz w:val="18"/>
                <w:szCs w:val="18"/>
              </w:rPr>
            </w:r>
          </w:p>
        </w:tc>
      </w:tr>
      <w:tr>
        <w:trPr>
          <w:trHeight w:val="335"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z w:val="18"/>
                <w:szCs w:val="18"/>
              </w:rPr>
              <w:t>印章智能管理系统</w:t>
            </w:r>
          </w:p>
        </w:tc>
        <w:tc>
          <w:tcPr>
            <w:tcW w:w="310" w:type="dxa"/>
            <w:tcBorders>
              <w:top w:val="nil" w:sz="6" w:space="0" w:color="auto"/>
              <w:left w:val="single" w:sz="6" w:space="0" w:color="000000"/>
              <w:bottom w:val="nil" w:sz="6" w:space="0" w:color="auto"/>
              <w:right w:val="nil" w:sz="6" w:space="0" w:color="auto"/>
            </w:tcBorders>
          </w:tcPr>
          <w:p>
            <w:pPr>
              <w:pStyle w:val="TableParagraph"/>
              <w:spacing w:line="223" w:lineRule="exact"/>
              <w:ind w:left="2" w:right="0"/>
              <w:jc w:val="left"/>
              <w:rPr>
                <w:rFonts w:ascii="宋体" w:hAnsi="宋体" w:cs="宋体" w:eastAsia="宋体" w:hint="default"/>
                <w:sz w:val="18"/>
                <w:szCs w:val="18"/>
              </w:rPr>
            </w:pPr>
            <w:r>
              <w:rPr>
                <w:rFonts w:ascii="宋体"/>
                <w:sz w:val="18"/>
              </w:rPr>
              <w:t>2.</w:t>
            </w:r>
          </w:p>
        </w:tc>
        <w:tc>
          <w:tcPr>
            <w:tcW w:w="4370" w:type="dxa"/>
            <w:tcBorders>
              <w:top w:val="nil" w:sz="6" w:space="0" w:color="auto"/>
              <w:left w:val="nil" w:sz="6" w:space="0" w:color="auto"/>
              <w:bottom w:val="nil" w:sz="6" w:space="0" w:color="auto"/>
              <w:right w:val="single" w:sz="6" w:space="0" w:color="000000"/>
            </w:tcBorders>
          </w:tcPr>
          <w:p>
            <w:pPr>
              <w:pStyle w:val="TableParagraph"/>
              <w:spacing w:line="223" w:lineRule="exact"/>
              <w:ind w:left="119" w:right="0"/>
              <w:jc w:val="left"/>
              <w:rPr>
                <w:rFonts w:ascii="宋体" w:hAnsi="宋体" w:cs="宋体" w:eastAsia="宋体" w:hint="default"/>
                <w:sz w:val="18"/>
                <w:szCs w:val="18"/>
              </w:rPr>
            </w:pPr>
            <w:r>
              <w:rPr>
                <w:rFonts w:ascii="宋体" w:hAnsi="宋体" w:cs="宋体" w:eastAsia="宋体" w:hint="default"/>
                <w:sz w:val="18"/>
                <w:szCs w:val="18"/>
              </w:rPr>
              <w:t>采用安全设备保管印章；</w:t>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pacing w:val="-7"/>
                <w:sz w:val="18"/>
                <w:szCs w:val="18"/>
              </w:rPr>
              <w:t>的功能和性能，提升公司</w:t>
            </w:r>
          </w:p>
        </w:tc>
      </w:tr>
      <w:tr>
        <w:trPr>
          <w:trHeight w:val="404" w:hRule="exact"/>
        </w:trPr>
        <w:tc>
          <w:tcPr>
            <w:tcW w:w="2160" w:type="dxa"/>
            <w:tcBorders>
              <w:top w:val="nil" w:sz="6" w:space="0" w:color="auto"/>
              <w:left w:val="single" w:sz="6" w:space="0" w:color="000000"/>
              <w:bottom w:val="nil" w:sz="6" w:space="0" w:color="auto"/>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Style w:val="TableParagraph"/>
              <w:spacing w:line="240" w:lineRule="auto" w:before="56"/>
              <w:ind w:left="2" w:right="0"/>
              <w:jc w:val="left"/>
              <w:rPr>
                <w:rFonts w:ascii="宋体" w:hAnsi="宋体" w:cs="宋体" w:eastAsia="宋体" w:hint="default"/>
                <w:sz w:val="18"/>
                <w:szCs w:val="18"/>
              </w:rPr>
            </w:pPr>
            <w:r>
              <w:rPr>
                <w:rFonts w:ascii="宋体"/>
                <w:sz w:val="18"/>
              </w:rPr>
              <w:t>3.</w:t>
            </w:r>
          </w:p>
        </w:tc>
        <w:tc>
          <w:tcPr>
            <w:tcW w:w="4370" w:type="dxa"/>
            <w:tcBorders>
              <w:top w:val="nil" w:sz="6" w:space="0" w:color="auto"/>
              <w:left w:val="nil" w:sz="6" w:space="0" w:color="auto"/>
              <w:bottom w:val="nil" w:sz="6" w:space="0" w:color="auto"/>
              <w:right w:val="single" w:sz="6" w:space="0" w:color="000000"/>
            </w:tcBorders>
          </w:tcPr>
          <w:p>
            <w:pPr>
              <w:pStyle w:val="TableParagraph"/>
              <w:spacing w:line="240" w:lineRule="auto" w:before="56"/>
              <w:ind w:left="119" w:right="0"/>
              <w:jc w:val="left"/>
              <w:rPr>
                <w:rFonts w:ascii="宋体" w:hAnsi="宋体" w:cs="宋体" w:eastAsia="宋体" w:hint="default"/>
                <w:sz w:val="18"/>
                <w:szCs w:val="18"/>
              </w:rPr>
            </w:pPr>
            <w:r>
              <w:rPr>
                <w:rFonts w:ascii="宋体" w:hAnsi="宋体" w:cs="宋体" w:eastAsia="宋体" w:hint="default"/>
                <w:sz w:val="18"/>
                <w:szCs w:val="18"/>
              </w:rPr>
              <w:t>计算机智能控制提取、加盖印章功能；</w:t>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新产品业务收入</w:t>
            </w:r>
          </w:p>
        </w:tc>
      </w:tr>
      <w:tr>
        <w:trPr>
          <w:trHeight w:val="469" w:hRule="exact"/>
        </w:trPr>
        <w:tc>
          <w:tcPr>
            <w:tcW w:w="2160" w:type="dxa"/>
            <w:tcBorders>
              <w:top w:val="nil" w:sz="6" w:space="0" w:color="auto"/>
              <w:left w:val="single" w:sz="6" w:space="0" w:color="000000"/>
              <w:bottom w:val="single" w:sz="6" w:space="0" w:color="000000"/>
              <w:right w:val="single" w:sz="6" w:space="0" w:color="000000"/>
            </w:tcBorders>
          </w:tcPr>
          <w:p>
            <w:pPr/>
          </w:p>
        </w:tc>
        <w:tc>
          <w:tcPr>
            <w:tcW w:w="310" w:type="dxa"/>
            <w:tcBorders>
              <w:top w:val="nil" w:sz="6" w:space="0" w:color="auto"/>
              <w:left w:val="single" w:sz="6" w:space="0" w:color="000000"/>
              <w:bottom w:val="single" w:sz="6" w:space="0" w:color="000000"/>
              <w:right w:val="nil" w:sz="6" w:space="0" w:color="auto"/>
            </w:tcBorders>
          </w:tcPr>
          <w:p>
            <w:pPr>
              <w:pStyle w:val="TableParagraph"/>
              <w:spacing w:line="240" w:lineRule="auto" w:before="57"/>
              <w:ind w:left="2" w:right="0"/>
              <w:jc w:val="left"/>
              <w:rPr>
                <w:rFonts w:ascii="宋体" w:hAnsi="宋体" w:cs="宋体" w:eastAsia="宋体" w:hint="default"/>
                <w:sz w:val="18"/>
                <w:szCs w:val="18"/>
              </w:rPr>
            </w:pPr>
            <w:r>
              <w:rPr>
                <w:rFonts w:ascii="宋体"/>
                <w:sz w:val="18"/>
              </w:rPr>
              <w:t>4.</w:t>
            </w:r>
          </w:p>
        </w:tc>
        <w:tc>
          <w:tcPr>
            <w:tcW w:w="4370" w:type="dxa"/>
            <w:tcBorders>
              <w:top w:val="nil" w:sz="6" w:space="0" w:color="auto"/>
              <w:left w:val="nil" w:sz="6" w:space="0" w:color="auto"/>
              <w:bottom w:val="single" w:sz="6" w:space="0" w:color="000000"/>
              <w:right w:val="single" w:sz="6" w:space="0" w:color="000000"/>
            </w:tcBorders>
          </w:tcPr>
          <w:p>
            <w:pPr>
              <w:pStyle w:val="TableParagraph"/>
              <w:spacing w:line="240" w:lineRule="auto" w:before="57"/>
              <w:ind w:left="119" w:right="0"/>
              <w:jc w:val="left"/>
              <w:rPr>
                <w:rFonts w:ascii="宋体" w:hAnsi="宋体" w:cs="宋体" w:eastAsia="宋体" w:hint="default"/>
                <w:sz w:val="18"/>
                <w:szCs w:val="18"/>
              </w:rPr>
            </w:pPr>
            <w:r>
              <w:rPr>
                <w:rFonts w:ascii="宋体" w:hAnsi="宋体" w:cs="宋体" w:eastAsia="宋体" w:hint="default"/>
                <w:sz w:val="18"/>
                <w:szCs w:val="18"/>
              </w:rPr>
              <w:t>自动留存印章使用记录。</w:t>
            </w:r>
          </w:p>
        </w:tc>
        <w:tc>
          <w:tcPr>
            <w:tcW w:w="1933" w:type="dxa"/>
            <w:tcBorders>
              <w:top w:val="nil" w:sz="6" w:space="0" w:color="auto"/>
              <w:left w:val="single" w:sz="6" w:space="0" w:color="000000"/>
              <w:bottom w:val="single" w:sz="6" w:space="0" w:color="000000"/>
              <w:right w:val="single" w:sz="6" w:space="0" w:color="000000"/>
            </w:tcBorders>
          </w:tcPr>
          <w:p>
            <w:pPr/>
          </w:p>
        </w:tc>
      </w:tr>
      <w:tr>
        <w:trPr>
          <w:trHeight w:val="414" w:hRule="exact"/>
        </w:trPr>
        <w:tc>
          <w:tcPr>
            <w:tcW w:w="2160" w:type="dxa"/>
            <w:tcBorders>
              <w:top w:val="single" w:sz="6" w:space="0" w:color="000000"/>
              <w:left w:val="single" w:sz="6" w:space="0" w:color="000000"/>
              <w:bottom w:val="nil" w:sz="6" w:space="0" w:color="auto"/>
              <w:right w:val="single" w:sz="6" w:space="0" w:color="000000"/>
            </w:tcBorders>
          </w:tcPr>
          <w:p>
            <w:pPr/>
          </w:p>
        </w:tc>
        <w:tc>
          <w:tcPr>
            <w:tcW w:w="310" w:type="dxa"/>
            <w:tcBorders>
              <w:top w:val="single" w:sz="6" w:space="0" w:color="000000"/>
              <w:left w:val="single" w:sz="6" w:space="0" w:color="000000"/>
              <w:bottom w:val="nil" w:sz="6" w:space="0" w:color="auto"/>
              <w:right w:val="nil" w:sz="6" w:space="0" w:color="auto"/>
            </w:tcBorders>
          </w:tcPr>
          <w:p>
            <w:pPr>
              <w:pStyle w:val="TableParagraph"/>
              <w:spacing w:line="240" w:lineRule="auto" w:before="112"/>
              <w:ind w:left="2" w:right="0"/>
              <w:jc w:val="left"/>
              <w:rPr>
                <w:rFonts w:ascii="宋体" w:hAnsi="宋体" w:cs="宋体" w:eastAsia="宋体" w:hint="default"/>
                <w:sz w:val="18"/>
                <w:szCs w:val="18"/>
              </w:rPr>
            </w:pPr>
            <w:r>
              <w:rPr>
                <w:rFonts w:ascii="宋体"/>
                <w:sz w:val="18"/>
              </w:rPr>
              <w:t>1.</w:t>
            </w:r>
          </w:p>
        </w:tc>
        <w:tc>
          <w:tcPr>
            <w:tcW w:w="4370" w:type="dxa"/>
            <w:tcBorders>
              <w:top w:val="single" w:sz="6" w:space="0" w:color="000000"/>
              <w:left w:val="nil" w:sz="6" w:space="0" w:color="auto"/>
              <w:bottom w:val="nil" w:sz="6" w:space="0" w:color="auto"/>
              <w:right w:val="single" w:sz="6" w:space="0" w:color="000000"/>
            </w:tcBorders>
          </w:tcPr>
          <w:p>
            <w:pPr>
              <w:pStyle w:val="TableParagraph"/>
              <w:spacing w:line="240" w:lineRule="auto" w:before="112"/>
              <w:ind w:left="119" w:right="0"/>
              <w:jc w:val="left"/>
              <w:rPr>
                <w:rFonts w:ascii="宋体" w:hAnsi="宋体" w:cs="宋体" w:eastAsia="宋体" w:hint="default"/>
                <w:sz w:val="18"/>
                <w:szCs w:val="18"/>
              </w:rPr>
            </w:pPr>
            <w:r>
              <w:rPr>
                <w:rFonts w:ascii="宋体" w:hAnsi="宋体" w:cs="宋体" w:eastAsia="宋体" w:hint="default"/>
                <w:sz w:val="18"/>
                <w:szCs w:val="18"/>
              </w:rPr>
              <w:t>开发银行开户客户回单自助打印系统；</w:t>
            </w:r>
          </w:p>
        </w:tc>
        <w:tc>
          <w:tcPr>
            <w:tcW w:w="1933" w:type="dxa"/>
            <w:tcBorders>
              <w:top w:val="single" w:sz="6" w:space="0" w:color="000000"/>
              <w:left w:val="single" w:sz="6" w:space="0" w:color="000000"/>
              <w:bottom w:val="nil" w:sz="6" w:space="0" w:color="auto"/>
              <w:right w:val="single" w:sz="6" w:space="0" w:color="000000"/>
            </w:tcBorders>
          </w:tcPr>
          <w:p>
            <w:pPr/>
          </w:p>
        </w:tc>
      </w:tr>
      <w:tr>
        <w:trPr>
          <w:trHeight w:val="359" w:hRule="exact"/>
        </w:trPr>
        <w:tc>
          <w:tcPr>
            <w:tcW w:w="2160" w:type="dxa"/>
            <w:tcBorders>
              <w:top w:val="nil" w:sz="6" w:space="0" w:color="auto"/>
              <w:left w:val="single" w:sz="6" w:space="0" w:color="000000"/>
              <w:bottom w:val="nil" w:sz="6" w:space="0" w:color="auto"/>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Style w:val="TableParagraph"/>
              <w:spacing w:line="240" w:lineRule="auto" w:before="112"/>
              <w:ind w:left="2" w:right="0"/>
              <w:jc w:val="left"/>
              <w:rPr>
                <w:rFonts w:ascii="宋体" w:hAnsi="宋体" w:cs="宋体" w:eastAsia="宋体" w:hint="default"/>
                <w:sz w:val="18"/>
                <w:szCs w:val="18"/>
              </w:rPr>
            </w:pPr>
            <w:r>
              <w:rPr>
                <w:rFonts w:ascii="宋体"/>
                <w:sz w:val="18"/>
              </w:rPr>
              <w:t>2.</w:t>
            </w:r>
          </w:p>
        </w:tc>
        <w:tc>
          <w:tcPr>
            <w:tcW w:w="4370" w:type="dxa"/>
            <w:tcBorders>
              <w:top w:val="nil" w:sz="6" w:space="0" w:color="auto"/>
              <w:left w:val="nil" w:sz="6" w:space="0" w:color="auto"/>
              <w:bottom w:val="nil" w:sz="6" w:space="0" w:color="auto"/>
              <w:right w:val="single" w:sz="6" w:space="0" w:color="000000"/>
            </w:tcBorders>
          </w:tcPr>
          <w:p>
            <w:pPr>
              <w:pStyle w:val="TableParagraph"/>
              <w:spacing w:line="240" w:lineRule="auto" w:before="112"/>
              <w:ind w:left="119" w:right="0"/>
              <w:jc w:val="left"/>
              <w:rPr>
                <w:rFonts w:ascii="宋体" w:hAnsi="宋体" w:cs="宋体" w:eastAsia="宋体" w:hint="default"/>
                <w:sz w:val="18"/>
                <w:szCs w:val="18"/>
              </w:rPr>
            </w:pPr>
            <w:r>
              <w:rPr>
                <w:rFonts w:ascii="宋体" w:hAnsi="宋体" w:cs="宋体" w:eastAsia="宋体" w:hint="default"/>
                <w:sz w:val="18"/>
                <w:szCs w:val="18"/>
              </w:rPr>
              <w:t>提供对公回单、对账单按需打印服务；</w:t>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8"/>
              <w:jc w:val="left"/>
              <w:rPr>
                <w:rFonts w:ascii="宋体" w:hAnsi="宋体" w:cs="宋体" w:eastAsia="宋体" w:hint="default"/>
                <w:sz w:val="18"/>
                <w:szCs w:val="18"/>
              </w:rPr>
            </w:pPr>
            <w:r>
              <w:rPr>
                <w:rFonts w:ascii="宋体" w:hAnsi="宋体" w:cs="宋体" w:eastAsia="宋体" w:hint="default"/>
                <w:spacing w:val="12"/>
                <w:sz w:val="18"/>
                <w:szCs w:val="18"/>
              </w:rPr>
              <w:t>继续完善公司现有产品</w:t>
            </w:r>
            <w:r>
              <w:rPr>
                <w:rFonts w:ascii="宋体" w:hAnsi="宋体" w:cs="宋体" w:eastAsia="宋体" w:hint="default"/>
                <w:sz w:val="18"/>
                <w:szCs w:val="18"/>
              </w:rPr>
            </w:r>
          </w:p>
        </w:tc>
      </w:tr>
      <w:tr>
        <w:trPr>
          <w:trHeight w:val="203"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191" w:lineRule="exact"/>
              <w:ind w:left="2" w:right="0"/>
              <w:jc w:val="left"/>
              <w:rPr>
                <w:rFonts w:ascii="宋体" w:hAnsi="宋体" w:cs="宋体" w:eastAsia="宋体" w:hint="default"/>
                <w:sz w:val="18"/>
                <w:szCs w:val="18"/>
              </w:rPr>
            </w:pPr>
            <w:r>
              <w:rPr>
                <w:rFonts w:ascii="宋体" w:hAnsi="宋体" w:cs="宋体" w:eastAsia="宋体" w:hint="default"/>
                <w:sz w:val="18"/>
                <w:szCs w:val="18"/>
              </w:rPr>
              <w:t>自助回单打印系统</w:t>
            </w:r>
          </w:p>
        </w:tc>
        <w:tc>
          <w:tcPr>
            <w:tcW w:w="310" w:type="dxa"/>
            <w:tcBorders>
              <w:top w:val="nil" w:sz="6" w:space="0" w:color="auto"/>
              <w:left w:val="single" w:sz="6" w:space="0" w:color="000000"/>
              <w:bottom w:val="nil" w:sz="6" w:space="0" w:color="auto"/>
              <w:right w:val="nil" w:sz="6" w:space="0" w:color="auto"/>
            </w:tcBorders>
          </w:tcPr>
          <w:p>
            <w:pPr/>
          </w:p>
        </w:tc>
        <w:tc>
          <w:tcPr>
            <w:tcW w:w="4370" w:type="dxa"/>
            <w:tcBorders>
              <w:top w:val="nil" w:sz="6" w:space="0" w:color="auto"/>
              <w:left w:val="nil" w:sz="6" w:space="0" w:color="auto"/>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191" w:lineRule="exact"/>
              <w:ind w:left="2" w:right="0"/>
              <w:jc w:val="left"/>
              <w:rPr>
                <w:rFonts w:ascii="宋体" w:hAnsi="宋体" w:cs="宋体" w:eastAsia="宋体" w:hint="default"/>
                <w:sz w:val="18"/>
                <w:szCs w:val="18"/>
              </w:rPr>
            </w:pPr>
            <w:r>
              <w:rPr>
                <w:rFonts w:ascii="宋体" w:hAnsi="宋体" w:cs="宋体" w:eastAsia="宋体" w:hint="default"/>
                <w:spacing w:val="-7"/>
                <w:sz w:val="18"/>
                <w:szCs w:val="18"/>
              </w:rPr>
              <w:t>的功能和性能，提升公司</w:t>
            </w:r>
          </w:p>
        </w:tc>
      </w:tr>
      <w:tr>
        <w:trPr>
          <w:trHeight w:val="358" w:hRule="exact"/>
        </w:trPr>
        <w:tc>
          <w:tcPr>
            <w:tcW w:w="2160" w:type="dxa"/>
            <w:tcBorders>
              <w:top w:val="nil" w:sz="6" w:space="0" w:color="auto"/>
              <w:left w:val="single" w:sz="6" w:space="0" w:color="000000"/>
              <w:bottom w:val="nil" w:sz="6" w:space="0" w:color="auto"/>
              <w:right w:val="single" w:sz="6" w:space="0" w:color="000000"/>
            </w:tcBorders>
          </w:tcPr>
          <w:p>
            <w:pPr/>
          </w:p>
        </w:tc>
        <w:tc>
          <w:tcPr>
            <w:tcW w:w="310" w:type="dxa"/>
            <w:tcBorders>
              <w:top w:val="nil" w:sz="6" w:space="0" w:color="auto"/>
              <w:left w:val="single" w:sz="6" w:space="0" w:color="000000"/>
              <w:bottom w:val="nil" w:sz="6" w:space="0" w:color="auto"/>
              <w:right w:val="nil" w:sz="6" w:space="0" w:color="auto"/>
            </w:tcBorders>
          </w:tcPr>
          <w:p>
            <w:pPr>
              <w:pStyle w:val="TableParagraph"/>
              <w:spacing w:line="191" w:lineRule="exact"/>
              <w:ind w:left="2" w:right="0"/>
              <w:jc w:val="left"/>
              <w:rPr>
                <w:rFonts w:ascii="宋体" w:hAnsi="宋体" w:cs="宋体" w:eastAsia="宋体" w:hint="default"/>
                <w:sz w:val="18"/>
                <w:szCs w:val="18"/>
              </w:rPr>
            </w:pPr>
            <w:r>
              <w:rPr>
                <w:rFonts w:ascii="宋体"/>
                <w:sz w:val="18"/>
              </w:rPr>
              <w:t>3.</w:t>
            </w:r>
          </w:p>
        </w:tc>
        <w:tc>
          <w:tcPr>
            <w:tcW w:w="4370" w:type="dxa"/>
            <w:tcBorders>
              <w:top w:val="nil" w:sz="6" w:space="0" w:color="auto"/>
              <w:left w:val="nil" w:sz="6" w:space="0" w:color="auto"/>
              <w:bottom w:val="nil" w:sz="6" w:space="0" w:color="auto"/>
              <w:right w:val="single" w:sz="6" w:space="0" w:color="000000"/>
            </w:tcBorders>
          </w:tcPr>
          <w:p>
            <w:pPr>
              <w:pStyle w:val="TableParagraph"/>
              <w:spacing w:line="191" w:lineRule="exact"/>
              <w:ind w:left="119" w:right="0"/>
              <w:jc w:val="left"/>
              <w:rPr>
                <w:rFonts w:ascii="宋体" w:hAnsi="宋体" w:cs="宋体" w:eastAsia="宋体" w:hint="default"/>
                <w:sz w:val="18"/>
                <w:szCs w:val="18"/>
              </w:rPr>
            </w:pPr>
            <w:r>
              <w:rPr>
                <w:rFonts w:ascii="宋体" w:hAnsi="宋体" w:cs="宋体" w:eastAsia="宋体" w:hint="default"/>
                <w:sz w:val="18"/>
                <w:szCs w:val="18"/>
              </w:rPr>
              <w:t>按时间段、业务类型等自助打印业务回单；</w:t>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新产品业务收入</w:t>
            </w:r>
          </w:p>
        </w:tc>
      </w:tr>
      <w:tr>
        <w:trPr>
          <w:trHeight w:val="414" w:hRule="exact"/>
        </w:trPr>
        <w:tc>
          <w:tcPr>
            <w:tcW w:w="2160" w:type="dxa"/>
            <w:tcBorders>
              <w:top w:val="nil" w:sz="6" w:space="0" w:color="auto"/>
              <w:left w:val="single" w:sz="6" w:space="0" w:color="000000"/>
              <w:bottom w:val="single" w:sz="6" w:space="0" w:color="000000"/>
              <w:right w:val="single" w:sz="6" w:space="0" w:color="000000"/>
            </w:tcBorders>
          </w:tcPr>
          <w:p>
            <w:pPr/>
          </w:p>
        </w:tc>
        <w:tc>
          <w:tcPr>
            <w:tcW w:w="310" w:type="dxa"/>
            <w:tcBorders>
              <w:top w:val="nil" w:sz="6" w:space="0" w:color="auto"/>
              <w:left w:val="single" w:sz="6" w:space="0" w:color="000000"/>
              <w:bottom w:val="single" w:sz="6" w:space="0" w:color="000000"/>
              <w:right w:val="nil" w:sz="6" w:space="0" w:color="auto"/>
            </w:tcBorders>
          </w:tcPr>
          <w:p>
            <w:pPr>
              <w:pStyle w:val="TableParagraph"/>
              <w:spacing w:line="240" w:lineRule="auto" w:before="2"/>
              <w:ind w:left="2" w:right="0"/>
              <w:jc w:val="left"/>
              <w:rPr>
                <w:rFonts w:ascii="宋体" w:hAnsi="宋体" w:cs="宋体" w:eastAsia="宋体" w:hint="default"/>
                <w:sz w:val="18"/>
                <w:szCs w:val="18"/>
              </w:rPr>
            </w:pPr>
            <w:r>
              <w:rPr>
                <w:rFonts w:ascii="宋体"/>
                <w:sz w:val="18"/>
              </w:rPr>
              <w:t>4.</w:t>
            </w:r>
          </w:p>
        </w:tc>
        <w:tc>
          <w:tcPr>
            <w:tcW w:w="4370" w:type="dxa"/>
            <w:tcBorders>
              <w:top w:val="nil" w:sz="6" w:space="0" w:color="auto"/>
              <w:left w:val="nil" w:sz="6" w:space="0" w:color="auto"/>
              <w:bottom w:val="single" w:sz="6" w:space="0" w:color="000000"/>
              <w:right w:val="single" w:sz="6" w:space="0" w:color="000000"/>
            </w:tcBorders>
          </w:tcPr>
          <w:p>
            <w:pPr>
              <w:pStyle w:val="TableParagraph"/>
              <w:spacing w:line="240" w:lineRule="auto" w:before="2"/>
              <w:ind w:left="119" w:right="0"/>
              <w:jc w:val="left"/>
              <w:rPr>
                <w:rFonts w:ascii="宋体" w:hAnsi="宋体" w:cs="宋体" w:eastAsia="宋体" w:hint="default"/>
                <w:sz w:val="18"/>
                <w:szCs w:val="18"/>
              </w:rPr>
            </w:pPr>
            <w:r>
              <w:rPr>
                <w:rFonts w:ascii="宋体" w:hAnsi="宋体" w:cs="宋体" w:eastAsia="宋体" w:hint="default"/>
                <w:sz w:val="18"/>
                <w:szCs w:val="18"/>
              </w:rPr>
              <w:t>多种方式用户登录、实时客户信息查询功能。</w:t>
            </w:r>
          </w:p>
        </w:tc>
        <w:tc>
          <w:tcPr>
            <w:tcW w:w="1933" w:type="dxa"/>
            <w:tcBorders>
              <w:top w:val="nil" w:sz="6" w:space="0" w:color="auto"/>
              <w:left w:val="single" w:sz="6" w:space="0" w:color="000000"/>
              <w:bottom w:val="single" w:sz="6" w:space="0" w:color="000000"/>
              <w:right w:val="single" w:sz="6" w:space="0" w:color="000000"/>
            </w:tcBorders>
          </w:tcPr>
          <w:p>
            <w:pPr/>
          </w:p>
        </w:tc>
      </w:tr>
      <w:tr>
        <w:trPr>
          <w:trHeight w:val="396" w:hRule="exact"/>
        </w:trPr>
        <w:tc>
          <w:tcPr>
            <w:tcW w:w="2160" w:type="dxa"/>
            <w:tcBorders>
              <w:top w:val="single" w:sz="6" w:space="0" w:color="000000"/>
              <w:left w:val="single" w:sz="6" w:space="0" w:color="000000"/>
              <w:bottom w:val="nil" w:sz="6" w:space="0" w:color="auto"/>
              <w:right w:val="single" w:sz="6" w:space="0" w:color="000000"/>
            </w:tcBorders>
          </w:tcPr>
          <w:p>
            <w:pPr/>
          </w:p>
        </w:tc>
        <w:tc>
          <w:tcPr>
            <w:tcW w:w="310" w:type="dxa"/>
            <w:tcBorders>
              <w:top w:val="single" w:sz="6" w:space="0" w:color="000000"/>
              <w:left w:val="single" w:sz="6" w:space="0" w:color="000000"/>
              <w:bottom w:val="nil" w:sz="6" w:space="0" w:color="auto"/>
              <w:right w:val="nil" w:sz="6" w:space="0" w:color="auto"/>
            </w:tcBorders>
          </w:tcPr>
          <w:p>
            <w:pPr>
              <w:pStyle w:val="TableParagraph"/>
              <w:spacing w:line="240" w:lineRule="auto" w:before="113"/>
              <w:ind w:left="2" w:right="0"/>
              <w:jc w:val="left"/>
              <w:rPr>
                <w:rFonts w:ascii="宋体" w:hAnsi="宋体" w:cs="宋体" w:eastAsia="宋体" w:hint="default"/>
                <w:sz w:val="18"/>
                <w:szCs w:val="18"/>
              </w:rPr>
            </w:pPr>
            <w:r>
              <w:rPr>
                <w:rFonts w:ascii="宋体"/>
                <w:sz w:val="18"/>
              </w:rPr>
              <w:t>1.</w:t>
            </w:r>
          </w:p>
        </w:tc>
        <w:tc>
          <w:tcPr>
            <w:tcW w:w="4370" w:type="dxa"/>
            <w:tcBorders>
              <w:top w:val="single" w:sz="6" w:space="0" w:color="000000"/>
              <w:left w:val="nil" w:sz="6" w:space="0" w:color="auto"/>
              <w:bottom w:val="nil" w:sz="6" w:space="0" w:color="auto"/>
              <w:right w:val="single" w:sz="6" w:space="0" w:color="000000"/>
            </w:tcBorders>
          </w:tcPr>
          <w:p>
            <w:pPr>
              <w:pStyle w:val="TableParagraph"/>
              <w:spacing w:line="240" w:lineRule="auto" w:before="113"/>
              <w:ind w:left="119" w:right="0"/>
              <w:jc w:val="left"/>
              <w:rPr>
                <w:rFonts w:ascii="宋体" w:hAnsi="宋体" w:cs="宋体" w:eastAsia="宋体" w:hint="default"/>
                <w:sz w:val="18"/>
                <w:szCs w:val="18"/>
              </w:rPr>
            </w:pPr>
            <w:r>
              <w:rPr>
                <w:rFonts w:ascii="宋体" w:hAnsi="宋体" w:cs="宋体" w:eastAsia="宋体" w:hint="default"/>
                <w:sz w:val="18"/>
                <w:szCs w:val="18"/>
              </w:rPr>
              <w:t>能够</w:t>
            </w:r>
            <w:r>
              <w:rPr>
                <w:rFonts w:ascii="Times New Roman" w:hAnsi="Times New Roman" w:cs="Times New Roman" w:eastAsia="Times New Roman" w:hint="default"/>
                <w:sz w:val="18"/>
                <w:szCs w:val="18"/>
              </w:rPr>
              <w:t>7*24</w:t>
            </w:r>
            <w:r>
              <w:rPr>
                <w:rFonts w:ascii="宋体" w:hAnsi="宋体" w:cs="宋体" w:eastAsia="宋体" w:hint="default"/>
                <w:sz w:val="18"/>
                <w:szCs w:val="18"/>
              </w:rPr>
              <w:t>小时自助式接收客户多种类支票；</w:t>
            </w:r>
          </w:p>
        </w:tc>
        <w:tc>
          <w:tcPr>
            <w:tcW w:w="1933" w:type="dxa"/>
            <w:tcBorders>
              <w:top w:val="single" w:sz="6" w:space="0" w:color="000000"/>
              <w:left w:val="single" w:sz="6" w:space="0" w:color="000000"/>
              <w:bottom w:val="nil" w:sz="6" w:space="0" w:color="auto"/>
              <w:right w:val="single" w:sz="6" w:space="0" w:color="000000"/>
            </w:tcBorders>
          </w:tcPr>
          <w:p>
            <w:pPr/>
          </w:p>
        </w:tc>
      </w:tr>
      <w:tr>
        <w:trPr>
          <w:trHeight w:val="869" w:hRule="exact"/>
        </w:trPr>
        <w:tc>
          <w:tcPr>
            <w:tcW w:w="216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支票自助受理系统</w:t>
            </w:r>
          </w:p>
        </w:tc>
        <w:tc>
          <w:tcPr>
            <w:tcW w:w="310" w:type="dxa"/>
            <w:tcBorders>
              <w:top w:val="nil" w:sz="6" w:space="0" w:color="auto"/>
              <w:left w:val="single" w:sz="6" w:space="0" w:color="000000"/>
              <w:bottom w:val="nil" w:sz="6" w:space="0" w:color="auto"/>
              <w:right w:val="nil" w:sz="6" w:space="0" w:color="auto"/>
            </w:tcBorders>
          </w:tcPr>
          <w:p>
            <w:pPr>
              <w:pStyle w:val="TableParagraph"/>
              <w:spacing w:line="240" w:lineRule="auto" w:before="130"/>
              <w:ind w:left="2" w:right="0"/>
              <w:jc w:val="left"/>
              <w:rPr>
                <w:rFonts w:ascii="宋体" w:hAnsi="宋体" w:cs="宋体" w:eastAsia="宋体" w:hint="default"/>
                <w:sz w:val="18"/>
                <w:szCs w:val="18"/>
              </w:rPr>
            </w:pPr>
            <w:r>
              <w:rPr>
                <w:rFonts w:ascii="宋体"/>
                <w:sz w:val="18"/>
              </w:rPr>
              <w:t>2.</w:t>
            </w:r>
          </w:p>
        </w:tc>
        <w:tc>
          <w:tcPr>
            <w:tcW w:w="4370" w:type="dxa"/>
            <w:tcBorders>
              <w:top w:val="nil" w:sz="6" w:space="0" w:color="auto"/>
              <w:left w:val="nil" w:sz="6" w:space="0" w:color="auto"/>
              <w:bottom w:val="nil" w:sz="6" w:space="0" w:color="auto"/>
              <w:right w:val="single" w:sz="6" w:space="0" w:color="000000"/>
            </w:tcBorders>
          </w:tcPr>
          <w:p>
            <w:pPr>
              <w:pStyle w:val="TableParagraph"/>
              <w:spacing w:line="316" w:lineRule="auto" w:before="130"/>
              <w:ind w:left="119" w:right="1"/>
              <w:jc w:val="left"/>
              <w:rPr>
                <w:rFonts w:ascii="宋体" w:hAnsi="宋体" w:cs="宋体" w:eastAsia="宋体" w:hint="default"/>
                <w:sz w:val="18"/>
                <w:szCs w:val="18"/>
              </w:rPr>
            </w:pPr>
            <w:r>
              <w:rPr>
                <w:rFonts w:ascii="宋体" w:hAnsi="宋体" w:cs="宋体" w:eastAsia="宋体" w:hint="default"/>
                <w:spacing w:val="-4"/>
                <w:sz w:val="18"/>
                <w:szCs w:val="18"/>
              </w:rPr>
              <w:t>双面扫描接收到的支票，并实时的传递支票影像到后台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作业中心；</w:t>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2" w:right="-8"/>
              <w:jc w:val="left"/>
              <w:rPr>
                <w:rFonts w:ascii="宋体" w:hAnsi="宋体" w:cs="宋体" w:eastAsia="宋体" w:hint="default"/>
                <w:sz w:val="18"/>
                <w:szCs w:val="18"/>
              </w:rPr>
            </w:pPr>
            <w:r>
              <w:rPr>
                <w:rFonts w:ascii="宋体" w:hAnsi="宋体" w:cs="宋体" w:eastAsia="宋体" w:hint="default"/>
                <w:spacing w:val="12"/>
                <w:sz w:val="18"/>
                <w:szCs w:val="18"/>
              </w:rPr>
              <w:t>形成符合市场应用需求</w:t>
            </w:r>
            <w:r>
              <w:rPr>
                <w:rFonts w:ascii="宋体" w:hAnsi="宋体" w:cs="宋体" w:eastAsia="宋体" w:hint="default"/>
                <w:sz w:val="18"/>
                <w:szCs w:val="18"/>
              </w:rPr>
            </w:r>
          </w:p>
          <w:p>
            <w:pPr>
              <w:pStyle w:val="TableParagraph"/>
              <w:spacing w:line="316" w:lineRule="auto" w:before="76"/>
              <w:ind w:left="2" w:right="1"/>
              <w:jc w:val="left"/>
              <w:rPr>
                <w:rFonts w:ascii="宋体" w:hAnsi="宋体" w:cs="宋体" w:eastAsia="宋体" w:hint="default"/>
                <w:sz w:val="18"/>
                <w:szCs w:val="18"/>
              </w:rPr>
            </w:pPr>
            <w:r>
              <w:rPr>
                <w:rFonts w:ascii="宋体" w:hAnsi="宋体" w:cs="宋体" w:eastAsia="宋体" w:hint="default"/>
                <w:spacing w:val="-7"/>
                <w:sz w:val="18"/>
                <w:szCs w:val="18"/>
              </w:rPr>
              <w:t>的新产品，拓宽公司产品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线</w:t>
            </w:r>
          </w:p>
        </w:tc>
      </w:tr>
      <w:tr>
        <w:trPr>
          <w:trHeight w:val="391" w:hRule="exact"/>
        </w:trPr>
        <w:tc>
          <w:tcPr>
            <w:tcW w:w="2160" w:type="dxa"/>
            <w:tcBorders>
              <w:top w:val="nil" w:sz="6" w:space="0" w:color="auto"/>
              <w:left w:val="single" w:sz="6" w:space="0" w:color="000000"/>
              <w:bottom w:val="single" w:sz="6" w:space="0" w:color="000000"/>
              <w:right w:val="single" w:sz="6" w:space="0" w:color="000000"/>
            </w:tcBorders>
          </w:tcPr>
          <w:p>
            <w:pPr/>
          </w:p>
        </w:tc>
        <w:tc>
          <w:tcPr>
            <w:tcW w:w="310" w:type="dxa"/>
            <w:tcBorders>
              <w:top w:val="nil" w:sz="6" w:space="0" w:color="auto"/>
              <w:left w:val="single" w:sz="6" w:space="0" w:color="000000"/>
              <w:bottom w:val="single" w:sz="6" w:space="0" w:color="000000"/>
              <w:right w:val="nil" w:sz="6" w:space="0" w:color="auto"/>
            </w:tcBorders>
          </w:tcPr>
          <w:p>
            <w:pPr>
              <w:pStyle w:val="TableParagraph"/>
              <w:spacing w:line="215" w:lineRule="exact"/>
              <w:ind w:left="2" w:right="0"/>
              <w:jc w:val="left"/>
              <w:rPr>
                <w:rFonts w:ascii="宋体" w:hAnsi="宋体" w:cs="宋体" w:eastAsia="宋体" w:hint="default"/>
                <w:sz w:val="18"/>
                <w:szCs w:val="18"/>
              </w:rPr>
            </w:pPr>
            <w:r>
              <w:rPr>
                <w:rFonts w:ascii="宋体"/>
                <w:sz w:val="18"/>
              </w:rPr>
              <w:t>3.</w:t>
            </w:r>
          </w:p>
        </w:tc>
        <w:tc>
          <w:tcPr>
            <w:tcW w:w="4370" w:type="dxa"/>
            <w:tcBorders>
              <w:top w:val="nil" w:sz="6" w:space="0" w:color="auto"/>
              <w:left w:val="nil" w:sz="6" w:space="0" w:color="auto"/>
              <w:bottom w:val="single" w:sz="6" w:space="0" w:color="000000"/>
              <w:right w:val="single" w:sz="6" w:space="0" w:color="000000"/>
            </w:tcBorders>
          </w:tcPr>
          <w:p>
            <w:pPr>
              <w:pStyle w:val="TableParagraph"/>
              <w:spacing w:line="215" w:lineRule="exact"/>
              <w:ind w:left="119" w:right="0"/>
              <w:jc w:val="left"/>
              <w:rPr>
                <w:rFonts w:ascii="宋体" w:hAnsi="宋体" w:cs="宋体" w:eastAsia="宋体" w:hint="default"/>
                <w:sz w:val="18"/>
                <w:szCs w:val="18"/>
              </w:rPr>
            </w:pPr>
            <w:r>
              <w:rPr>
                <w:rFonts w:ascii="宋体" w:hAnsi="宋体" w:cs="宋体" w:eastAsia="宋体" w:hint="default"/>
                <w:sz w:val="18"/>
                <w:szCs w:val="18"/>
              </w:rPr>
              <w:t>提供实物支票的有效保管和存储。</w:t>
            </w:r>
          </w:p>
        </w:tc>
        <w:tc>
          <w:tcPr>
            <w:tcW w:w="1933" w:type="dxa"/>
            <w:tcBorders>
              <w:top w:val="nil" w:sz="6" w:space="0" w:color="auto"/>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15"/>
          <w:szCs w:val="15"/>
        </w:rPr>
      </w:pPr>
    </w:p>
    <w:p>
      <w:pPr>
        <w:pStyle w:val="BodyText"/>
        <w:spacing w:line="477" w:lineRule="auto" w:before="44"/>
        <w:ind w:left="153" w:right="149" w:firstLine="360"/>
        <w:jc w:val="both"/>
      </w:pPr>
      <w:r>
        <w:rPr>
          <w:spacing w:val="-2"/>
        </w:rPr>
        <w:t>预计以上正在研发项目完成后，将显著拓宽公司产品线。流程银行业务平台、印章智能管理系统、自助回单打印系统等</w:t>
      </w:r>
      <w:r>
        <w:rPr/>
        <w:t> </w:t>
      </w:r>
      <w:r>
        <w:rPr>
          <w:spacing w:val="-2"/>
        </w:rPr>
        <w:t>研发项目先期完成并推向市场后，预计将对公司定制软件开发和金融专用设备业务收入产生积极的影响。同时，以上研发项</w:t>
      </w:r>
      <w:r>
        <w:rPr>
          <w:spacing w:val="-66"/>
        </w:rPr>
        <w:t> </w:t>
      </w:r>
      <w:r>
        <w:rPr>
          <w:spacing w:val="-66"/>
        </w:rPr>
      </w:r>
      <w:r>
        <w:rPr/>
        <w:t>目的实施，将进一步提升公司的研发能力，为公司在金融信息化行业的长远业务发展奠定更坚实的产品技术基础。</w:t>
      </w:r>
    </w:p>
    <w:p>
      <w:pPr>
        <w:spacing w:line="240" w:lineRule="auto" w:before="4"/>
        <w:rPr>
          <w:rFonts w:ascii="宋体" w:hAnsi="宋体" w:cs="宋体" w:eastAsia="宋体" w:hint="default"/>
          <w:sz w:val="13"/>
          <w:szCs w:val="13"/>
        </w:rPr>
      </w:pPr>
    </w:p>
    <w:p>
      <w:pPr>
        <w:pStyle w:val="Heading4"/>
        <w:spacing w:line="240" w:lineRule="auto"/>
        <w:ind w:left="153" w:right="0"/>
        <w:jc w:val="left"/>
        <w:rPr>
          <w:b w:val="0"/>
          <w:bCs w:val="0"/>
        </w:rPr>
      </w:pPr>
      <w:r>
        <w:rPr/>
        <w:t>近三年公司研发投入金额及占营业收入的比例</w:t>
      </w:r>
      <w:r>
        <w:rPr>
          <w:b w:val="0"/>
          <w:bCs w:val="0"/>
        </w:rPr>
      </w:r>
    </w:p>
    <w:p>
      <w:pPr>
        <w:spacing w:after="0" w:line="240" w:lineRule="auto"/>
        <w:jc w:val="left"/>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26,661,766.29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22,728,428.80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18,984,985.99</w:t>
            </w:r>
          </w:p>
        </w:tc>
      </w:tr>
      <w:tr>
        <w:trPr>
          <w:trHeight w:val="402" w:hRule="exact"/>
        </w:trPr>
        <w:tc>
          <w:tcPr>
            <w:tcW w:w="2392"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2393"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26.52%</w:t>
            </w:r>
          </w:p>
        </w:tc>
        <w:tc>
          <w:tcPr>
            <w:tcW w:w="23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pict>
          <v:shape style="position:absolute;margin-left:170.399994pt;margin-top:-32.666008pt;width:125.3pt;height:19.650pt;mso-position-horizontal-relative:page;mso-position-vertical-relative:paragraph;z-index:-636448" type="#_x0000_t202" filled="false" stroked="false">
            <v:textbox inset="0,0,0,0">
              <w:txbxContent>
                <w:p>
                  <w:pPr>
                    <w:pStyle w:val="BodyText"/>
                    <w:spacing w:line="240" w:lineRule="auto" w:before="51"/>
                    <w:ind w:left="0" w:right="0"/>
                    <w:jc w:val="left"/>
                  </w:pPr>
                  <w:r>
                    <w:rPr/>
                    <w:t>）</w:t>
                  </w:r>
                </w:p>
              </w:txbxContent>
            </v:textbox>
            <w10:wrap type="none"/>
          </v:shape>
        </w:pict>
      </w:r>
      <w:r>
        <w:rPr/>
        <w:t>（</w:t>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128,285,667.94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112,199,960.56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122,736,640.47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107,215,542.91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5,549,027.47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4,984,417.65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15,862.96%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21,591,259.16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14,200,076.60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-21,548,159.16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-14,199,806.60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6,094,268.41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24,778,014.42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35,999,916.00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-18,683,746.01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-35,999,916.00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-34,682,877.70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-45,215,304.95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23.29%</w:t>
            </w:r>
          </w:p>
        </w:tc>
      </w:tr>
    </w:tbl>
    <w:p>
      <w:pPr>
        <w:spacing w:line="240" w:lineRule="auto" w:before="7"/>
        <w:rPr>
          <w:rFonts w:ascii="宋体" w:hAnsi="宋体" w:cs="宋体" w:eastAsia="宋体" w:hint="default"/>
          <w:sz w:val="12"/>
          <w:szCs w:val="12"/>
        </w:rPr>
      </w:pPr>
    </w:p>
    <w:p>
      <w:pPr>
        <w:pStyle w:val="Heading4"/>
        <w:spacing w:line="240" w:lineRule="auto" w:before="44"/>
        <w:ind w:right="0"/>
        <w:jc w:val="left"/>
        <w:rPr>
          <w:b w:val="0"/>
          <w:bCs w:val="0"/>
        </w:rPr>
      </w:pPr>
      <w:r>
        <w:rPr/>
        <w:t>相关数据同比发生变动</w:t>
      </w:r>
      <w:r>
        <w:rPr>
          <w:spacing w:val="-50"/>
        </w:rPr>
        <w:t> </w:t>
      </w:r>
      <w:r>
        <w:rPr>
          <w:rFonts w:ascii="Times New Roman" w:hAnsi="Times New Roman" w:cs="Times New Roman" w:eastAsia="Times New Roman" w:hint="default"/>
        </w:rPr>
        <w:t>30%</w:t>
      </w:r>
      <w:r>
        <w:rPr/>
        <w:t>以上的原因说明</w:t>
      </w:r>
      <w:r>
        <w:rPr>
          <w:b w:val="0"/>
          <w:bCs w:val="0"/>
        </w:rPr>
      </w:r>
    </w:p>
    <w:p>
      <w:pPr>
        <w:spacing w:line="240" w:lineRule="auto" w:before="0"/>
        <w:rPr>
          <w:rFonts w:ascii="宋体" w:hAnsi="宋体" w:cs="宋体" w:eastAsia="宋体" w:hint="default"/>
          <w:b/>
          <w:bCs/>
          <w:sz w:val="20"/>
          <w:szCs w:val="20"/>
        </w:rPr>
      </w:pPr>
    </w:p>
    <w:p>
      <w:pPr>
        <w:pStyle w:val="BodyText"/>
        <w:spacing w:line="412" w:lineRule="auto"/>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报告期内，投资活动现金流入增加</w:t>
      </w:r>
      <w:r>
        <w:rPr>
          <w:rFonts w:ascii="Times New Roman" w:hAnsi="Times New Roman" w:cs="Times New Roman" w:eastAsia="Times New Roman" w:hint="default"/>
          <w:spacing w:val="-1"/>
        </w:rPr>
        <w:t>4.28</w:t>
      </w:r>
      <w:r>
        <w:rPr>
          <w:spacing w:val="-1"/>
        </w:rPr>
        <w:t>万元，增幅为</w:t>
      </w:r>
      <w:r>
        <w:rPr>
          <w:rFonts w:ascii="Times New Roman" w:hAnsi="Times New Roman" w:cs="Times New Roman" w:eastAsia="Times New Roman" w:hint="default"/>
          <w:spacing w:val="-1"/>
        </w:rPr>
        <w:t>15,862.96%</w:t>
      </w:r>
      <w:r>
        <w:rPr>
          <w:spacing w:val="-1"/>
        </w:rPr>
        <w:t>，主要是公司报告期内处理了部分固定资产取得现金流</w:t>
      </w:r>
    </w:p>
    <w:p>
      <w:pPr>
        <w:pStyle w:val="BodyText"/>
        <w:spacing w:line="451" w:lineRule="auto" w:before="75"/>
        <w:ind w:right="140"/>
        <w:jc w:val="left"/>
      </w:pPr>
      <w:r>
        <w:rPr>
          <w:spacing w:val="-1"/>
        </w:rPr>
        <w:t>入增加；投资活动现金流出增加</w:t>
      </w:r>
      <w:r>
        <w:rPr>
          <w:rFonts w:ascii="Times New Roman" w:hAnsi="Times New Roman" w:cs="Times New Roman" w:eastAsia="Times New Roman" w:hint="default"/>
          <w:spacing w:val="-1"/>
        </w:rPr>
        <w:t>739.12</w:t>
      </w:r>
      <w:r>
        <w:rPr>
          <w:spacing w:val="-1"/>
        </w:rPr>
        <w:t>万元，增幅为</w:t>
      </w:r>
      <w:r>
        <w:rPr>
          <w:rFonts w:ascii="Times New Roman" w:hAnsi="Times New Roman" w:cs="Times New Roman" w:eastAsia="Times New Roman" w:hint="default"/>
          <w:spacing w:val="-1"/>
        </w:rPr>
        <w:t>52.05%</w:t>
      </w:r>
      <w:r>
        <w:rPr>
          <w:spacing w:val="-1"/>
        </w:rPr>
        <w:t>，主要是由于报告期内公司收购了北京博世金信科技有限公司拥</w:t>
      </w:r>
      <w:r>
        <w:rPr>
          <w:spacing w:val="-87"/>
        </w:rPr>
        <w:t> </w:t>
      </w:r>
      <w:r>
        <w:rPr>
          <w:spacing w:val="-87"/>
        </w:rPr>
      </w:r>
      <w:r>
        <w:rPr/>
        <w:t>有的支票打码机的</w:t>
      </w:r>
      <w:r>
        <w:rPr>
          <w:rFonts w:ascii="Times New Roman" w:hAnsi="Times New Roman" w:cs="Times New Roman" w:eastAsia="Times New Roman" w:hint="default"/>
        </w:rPr>
        <w:t>6</w:t>
      </w:r>
      <w:r>
        <w:rPr/>
        <w:t>项专利技术、相关专有技术等无形资产及固定资产，形成的长期投资现金流出增加。</w:t>
      </w:r>
    </w:p>
    <w:p>
      <w:pPr>
        <w:pStyle w:val="BodyText"/>
        <w:spacing w:line="451" w:lineRule="auto" w:before="43"/>
        <w:ind w:right="151" w:firstLine="360"/>
        <w:jc w:val="both"/>
      </w:pPr>
      <w:r>
        <w:rPr>
          <w:spacing w:val="-1"/>
        </w:rPr>
        <w:t>报告期内，筹资活动现金流入</w:t>
      </w:r>
      <w:r>
        <w:rPr>
          <w:rFonts w:ascii="Times New Roman" w:hAnsi="Times New Roman" w:cs="Times New Roman" w:eastAsia="Times New Roman" w:hint="default"/>
          <w:spacing w:val="-1"/>
        </w:rPr>
        <w:t>609.43</w:t>
      </w:r>
      <w:r>
        <w:rPr>
          <w:spacing w:val="-1"/>
        </w:rPr>
        <w:t>万元，主要是公司代收代缴原始股东股利分配的应缴纳的个人所得税款项；筹资活</w:t>
      </w:r>
      <w:r>
        <w:rPr/>
        <w:t> </w:t>
      </w:r>
      <w:r>
        <w:rPr>
          <w:spacing w:val="-1"/>
        </w:rPr>
        <w:t>动现金流出减少</w:t>
      </w:r>
      <w:r>
        <w:rPr>
          <w:rFonts w:ascii="Times New Roman" w:hAnsi="Times New Roman" w:cs="Times New Roman" w:eastAsia="Times New Roman" w:hint="default"/>
          <w:spacing w:val="-1"/>
        </w:rPr>
        <w:t>1,122.19</w:t>
      </w:r>
      <w:r>
        <w:rPr>
          <w:spacing w:val="-1"/>
        </w:rPr>
        <w:t>万元，减幅为</w:t>
      </w:r>
      <w:r>
        <w:rPr>
          <w:rFonts w:ascii="Times New Roman" w:hAnsi="Times New Roman" w:cs="Times New Roman" w:eastAsia="Times New Roman" w:hint="default"/>
          <w:spacing w:val="-1"/>
        </w:rPr>
        <w:t>31.17%</w:t>
      </w:r>
      <w:r>
        <w:rPr>
          <w:spacing w:val="-1"/>
        </w:rPr>
        <w:t>，主要由于公司在报告期内向全体股东派发了现金股利</w:t>
      </w:r>
      <w:r>
        <w:rPr>
          <w:rFonts w:ascii="Times New Roman" w:hAnsi="Times New Roman" w:cs="Times New Roman" w:eastAsia="Times New Roman" w:hint="default"/>
          <w:spacing w:val="-1"/>
        </w:rPr>
        <w:t>1,800</w:t>
      </w:r>
      <w:r>
        <w:rPr>
          <w:spacing w:val="-1"/>
        </w:rPr>
        <w:t>万元，比上年同期</w:t>
      </w:r>
      <w:r>
        <w:rPr>
          <w:spacing w:val="-88"/>
        </w:rPr>
        <w:t> </w:t>
      </w:r>
      <w:r>
        <w:rPr>
          <w:spacing w:val="-88"/>
        </w:rPr>
      </w:r>
      <w:r>
        <w:rPr/>
        <w:t>派发现金股利减少造成的。</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报告期内公司经营活动的现金流量与本年度净利润存在重大差异的原因说明</w:t>
      </w:r>
      <w:r>
        <w:rPr>
          <w:b w:val="0"/>
          <w:bCs w:val="0"/>
        </w:rPr>
      </w:r>
    </w:p>
    <w:p>
      <w:pPr>
        <w:spacing w:line="240" w:lineRule="auto" w:before="1"/>
        <w:rPr>
          <w:rFonts w:ascii="宋体" w:hAnsi="宋体" w:cs="宋体" w:eastAsia="宋体" w:hint="default"/>
          <w:b/>
          <w:bCs/>
          <w:sz w:val="21"/>
          <w:szCs w:val="21"/>
        </w:rPr>
      </w:pPr>
    </w:p>
    <w:p>
      <w:pPr>
        <w:pStyle w:val="BodyText"/>
        <w:spacing w:line="412" w:lineRule="auto"/>
        <w:ind w:right="32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报告期内，公司经营活动的现金流量较本年度净利润少</w:t>
      </w:r>
      <w:r>
        <w:rPr>
          <w:rFonts w:ascii="Times New Roman" w:hAnsi="Times New Roman" w:cs="Times New Roman" w:eastAsia="Times New Roman" w:hint="default"/>
        </w:rPr>
        <w:t>1,248.16</w:t>
      </w:r>
      <w:r>
        <w:rPr/>
        <w:t>万元，主要原因是：</w:t>
      </w:r>
    </w:p>
    <w:p>
      <w:pPr>
        <w:pStyle w:val="BodyText"/>
        <w:spacing w:line="240" w:lineRule="auto" w:before="75"/>
        <w:ind w:right="0"/>
        <w:jc w:val="left"/>
      </w:pPr>
      <w:r>
        <w:rPr/>
        <w:t>（</w:t>
      </w:r>
      <w:r>
        <w:rPr>
          <w:rFonts w:ascii="Times New Roman" w:hAnsi="Times New Roman" w:cs="Times New Roman" w:eastAsia="Times New Roman" w:hint="default"/>
        </w:rPr>
        <w:t>1</w:t>
      </w:r>
      <w:r>
        <w:rPr/>
        <w:t>）公司金融设备类新产品的组装生产增加了货物采购的预付成本及产品的库存成本，增加了公司经营活动的现金支出；</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w:t>
      </w:r>
      <w:r>
        <w:rPr>
          <w:rFonts w:ascii="Times New Roman" w:hAnsi="Times New Roman" w:cs="Times New Roman" w:eastAsia="Times New Roman" w:hint="default"/>
        </w:rPr>
        <w:t>2</w:t>
      </w:r>
      <w:r>
        <w:rPr/>
        <w:t>）税务部门已审批的即征即退增值税款部分尚未及时退回，影响了公司经营活动的现金流入；</w:t>
      </w:r>
    </w:p>
    <w:p>
      <w:pPr>
        <w:spacing w:line="240" w:lineRule="auto" w:before="9"/>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3</w:t>
      </w:r>
      <w:r>
        <w:rPr/>
        <w:t>）由于公司业务发展的需要，公司业务部门及员工备用金、业务投标押金的增加，增加了公司经营活动的现金支出；</w:t>
      </w:r>
    </w:p>
    <w:p>
      <w:pPr>
        <w:spacing w:line="240" w:lineRule="auto" w:before="9"/>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4</w:t>
      </w:r>
      <w:r>
        <w:rPr/>
        <w:t>）公司应收账款的增加的影响。</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26,182,095.61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26.61%</w:t>
            </w:r>
          </w:p>
        </w:tc>
      </w:tr>
    </w:tbl>
    <w:p>
      <w:pPr>
        <w:pStyle w:val="BodyText"/>
        <w:spacing w:line="240" w:lineRule="auto" w:before="51"/>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40" w:lineRule="auto" w:before="102"/>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25,863,909.77</w:t>
            </w:r>
          </w:p>
        </w:tc>
      </w:tr>
      <w:tr>
        <w:trPr>
          <w:trHeight w:val="402" w:hRule="exact"/>
        </w:trPr>
        <w:tc>
          <w:tcPr>
            <w:tcW w:w="4257"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47.30%</w:t>
            </w:r>
          </w:p>
        </w:tc>
      </w:tr>
    </w:tbl>
    <w:p>
      <w:pPr>
        <w:pStyle w:val="BodyText"/>
        <w:spacing w:line="240" w:lineRule="auto" w:before="51"/>
        <w:ind w:right="0"/>
        <w:jc w:val="left"/>
      </w:pPr>
      <w:r>
        <w:rPr/>
        <w:pict>
          <v:shape style="position:absolute;margin-left:263.579712pt;margin-top:-20.117977pt;width:271.3pt;height:19.650pt;mso-position-horizontal-relative:page;mso-position-vertical-relative:paragraph;z-index:-636424" type="#_x0000_t202" filled="false" stroked="false">
            <v:textbox inset="0,0,0,0">
              <w:txbxContent>
                <w:p>
                  <w:pPr>
                    <w:pStyle w:val="BodyText"/>
                    <w:spacing w:line="240" w:lineRule="auto" w:before="51"/>
                    <w:ind w:left="0" w:right="0"/>
                    <w:jc w:val="left"/>
                  </w:pPr>
                  <w:r>
                    <w:rPr/>
                    <w:t>）</w:t>
                  </w:r>
                </w:p>
              </w:txbxContent>
            </v:textbox>
            <w10:wrap type="none"/>
          </v:shape>
        </w:pict>
      </w: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7"/>
        <w:rPr>
          <w:rFonts w:ascii="宋体" w:hAnsi="宋体" w:cs="宋体" w:eastAsia="宋体" w:hint="default"/>
          <w:b/>
          <w:bCs/>
          <w:sz w:val="32"/>
          <w:szCs w:val="32"/>
        </w:rPr>
      </w:pPr>
    </w:p>
    <w:p>
      <w:pPr>
        <w:pStyle w:val="Heading4"/>
        <w:spacing w:line="240" w:lineRule="auto"/>
        <w:ind w:right="0"/>
        <w:jc w:val="left"/>
        <w:rPr>
          <w:b w:val="0"/>
          <w:bCs w:val="0"/>
        </w:rPr>
      </w:pPr>
      <w:r>
        <w:rPr/>
        <w:t>首次公开发行招股说明书中披露的未来发展与规划在本报告期的实施情况</w:t>
      </w:r>
      <w:r>
        <w:rPr>
          <w:b w:val="0"/>
          <w:bCs w:val="0"/>
        </w:rPr>
      </w:r>
    </w:p>
    <w:p>
      <w:pPr>
        <w:spacing w:line="240" w:lineRule="auto" w:before="1"/>
        <w:rPr>
          <w:rFonts w:ascii="宋体" w:hAnsi="宋体" w:cs="宋体" w:eastAsia="宋体" w:hint="default"/>
          <w:b/>
          <w:bCs/>
          <w:sz w:val="21"/>
          <w:szCs w:val="21"/>
        </w:rPr>
      </w:pPr>
    </w:p>
    <w:p>
      <w:pPr>
        <w:pStyle w:val="BodyText"/>
        <w:spacing w:line="412" w:lineRule="auto"/>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公司在首次公开发行招股说明书中，对公司上市后三年制定了发展规划，主要包括产品创新计划、技术创新计划、市场</w:t>
      </w:r>
    </w:p>
    <w:p>
      <w:pPr>
        <w:pStyle w:val="BodyText"/>
        <w:spacing w:line="477" w:lineRule="auto" w:before="103"/>
        <w:ind w:right="0"/>
        <w:jc w:val="left"/>
      </w:pPr>
      <w:r>
        <w:rPr>
          <w:spacing w:val="-2"/>
        </w:rPr>
        <w:t>开拓计划、人才队伍建设计划、组织结构改革和调整计划等方面。报告期内，公司按照招股说明书既定公司发展规划实施经</w:t>
      </w:r>
      <w:r>
        <w:rPr>
          <w:spacing w:val="-66"/>
        </w:rPr>
        <w:t> </w:t>
      </w:r>
      <w:r>
        <w:rPr>
          <w:spacing w:val="-66"/>
        </w:rPr>
      </w:r>
      <w:r>
        <w:rPr/>
        <w:t>营，保持并继续扩大了公司在行业的竞争优势。</w:t>
      </w:r>
    </w:p>
    <w:p>
      <w:pPr>
        <w:pStyle w:val="BodyText"/>
        <w:spacing w:line="477" w:lineRule="auto" w:before="54"/>
        <w:ind w:right="149" w:firstLine="360"/>
        <w:jc w:val="both"/>
      </w:pPr>
      <w:r>
        <w:rPr>
          <w:spacing w:val="-2"/>
        </w:rPr>
        <w:t>在产品创新和技术创新计划实施方面，公司上市以来始终把新产品研发作为公司首要的战略经营措施。报告期内，公司</w:t>
      </w:r>
      <w:r>
        <w:rPr/>
        <w:t> </w:t>
      </w:r>
      <w:r>
        <w:rPr>
          <w:spacing w:val="-2"/>
        </w:rPr>
        <w:t>在流程银行软件、金融专用设备新产品领域取得了显著的进展。流程银行业务平台、印章智能管理系统、回单自助打印系统</w:t>
      </w:r>
      <w:r>
        <w:rPr>
          <w:spacing w:val="-66"/>
        </w:rPr>
        <w:t> </w:t>
      </w:r>
      <w:r>
        <w:rPr>
          <w:spacing w:val="-66"/>
        </w:rPr>
      </w:r>
      <w:r>
        <w:rPr/>
        <w:t>等数项新产品进展顺利，为公司今后业务发展开拓了广阔的产品和市场空间。</w:t>
      </w:r>
    </w:p>
    <w:p>
      <w:pPr>
        <w:pStyle w:val="BodyText"/>
        <w:spacing w:line="477" w:lineRule="auto" w:before="54"/>
        <w:ind w:right="149" w:firstLine="360"/>
        <w:jc w:val="both"/>
      </w:pPr>
      <w:r>
        <w:rPr>
          <w:spacing w:val="-2"/>
        </w:rPr>
        <w:t>在市场开拓计划方面，公司持续维护并深化现有客户的合作关系，同时不断挖掘新的潜在客户。截至报告期末，公司已</w:t>
      </w:r>
      <w:r>
        <w:rPr/>
        <w:t> 为国内</w:t>
      </w:r>
      <w:r>
        <w:rPr>
          <w:rFonts w:ascii="Times New Roman" w:hAnsi="Times New Roman" w:cs="Times New Roman" w:eastAsia="Times New Roman" w:hint="default"/>
        </w:rPr>
        <w:t>330</w:t>
      </w:r>
      <w:r>
        <w:rPr/>
        <w:t>家银行客户提供了产品和服务，在行业内的客户基础优势得到了进一步的巩固和加强。</w:t>
      </w:r>
    </w:p>
    <w:p>
      <w:pPr>
        <w:pStyle w:val="BodyText"/>
        <w:spacing w:line="463" w:lineRule="auto" w:before="21"/>
        <w:ind w:right="151" w:firstLine="360"/>
        <w:jc w:val="both"/>
      </w:pPr>
      <w:r>
        <w:rPr/>
        <w:t>在人才队伍建设和组织建设计划的实施方面，公司继续坚持</w:t>
      </w:r>
      <w:r>
        <w:rPr>
          <w:rFonts w:ascii="Times New Roman" w:hAnsi="Times New Roman" w:cs="Times New Roman" w:eastAsia="Times New Roman" w:hint="default"/>
        </w:rPr>
        <w:t>“</w:t>
      </w:r>
      <w:r>
        <w:rPr/>
        <w:t>以制度管理人，以培训造就人，以文化凝聚人，以事业留 住人</w:t>
      </w:r>
      <w:r>
        <w:rPr>
          <w:rFonts w:ascii="Times New Roman" w:hAnsi="Times New Roman" w:cs="Times New Roman" w:eastAsia="Times New Roman" w:hint="default"/>
        </w:rPr>
        <w:t>”</w:t>
      </w:r>
      <w:r>
        <w:rPr/>
        <w:t>的人才战略，不断充实和加强人才队伍。公司人员规模从上市前的</w:t>
      </w:r>
      <w:r>
        <w:rPr>
          <w:rFonts w:ascii="Times New Roman" w:hAnsi="Times New Roman" w:cs="Times New Roman" w:eastAsia="Times New Roman" w:hint="default"/>
        </w:rPr>
        <w:t>289</w:t>
      </w:r>
      <w:r>
        <w:rPr/>
        <w:t>人扩大至报告期末的</w:t>
      </w:r>
      <w:r>
        <w:rPr>
          <w:rFonts w:ascii="Times New Roman" w:hAnsi="Times New Roman" w:cs="Times New Roman" w:eastAsia="Times New Roman" w:hint="default"/>
        </w:rPr>
        <w:t>505</w:t>
      </w:r>
      <w:r>
        <w:rPr/>
        <w:t>人。薪酬、绩效考核、 </w:t>
      </w:r>
      <w:r>
        <w:rPr>
          <w:spacing w:val="-2"/>
        </w:rPr>
        <w:t>人才培训等各项人力资源体系进一步完善。同时，公司按照上市公司治理规范持续完善了治理结构和内部控制制度建设，在</w:t>
      </w:r>
      <w:r>
        <w:rPr>
          <w:spacing w:val="-66"/>
        </w:rPr>
        <w:t> </w:t>
      </w:r>
      <w:r>
        <w:rPr>
          <w:spacing w:val="-66"/>
        </w:rPr>
      </w:r>
      <w:r>
        <w:rPr>
          <w:spacing w:val="-2"/>
        </w:rPr>
        <w:t>经营组织结构上进行了适应市场的改革和调整，构建了面向客户、精简高效的组织架构。公司治理结构和内部管理更加适应</w:t>
      </w:r>
      <w:r>
        <w:rPr>
          <w:spacing w:val="-66"/>
        </w:rPr>
        <w:t> </w:t>
      </w:r>
      <w:r>
        <w:rPr>
          <w:spacing w:val="-66"/>
        </w:rPr>
      </w:r>
      <w:r>
        <w:rPr/>
        <w:t>激烈市场竞争下的高新技术企业的发展。</w:t>
      </w:r>
    </w:p>
    <w:p>
      <w:pPr>
        <w:spacing w:after="0" w:line="463"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r>
        <w:rPr/>
        <w:t>公司回顾总结前期披露的发展战略和经营计划在报告期内的进展情况</w:t>
      </w:r>
      <w:r>
        <w:rPr>
          <w:b w:val="0"/>
          <w:bCs w:val="0"/>
        </w:rPr>
      </w:r>
    </w:p>
    <w:p>
      <w:pPr>
        <w:spacing w:line="240" w:lineRule="auto" w:before="12"/>
        <w:rPr>
          <w:rFonts w:ascii="宋体" w:hAnsi="宋体" w:cs="宋体" w:eastAsia="宋体" w:hint="default"/>
          <w:b/>
          <w:bCs/>
          <w:sz w:val="26"/>
          <w:szCs w:val="26"/>
        </w:rPr>
      </w:pPr>
    </w:p>
    <w:p>
      <w:pPr>
        <w:pStyle w:val="BodyText"/>
        <w:spacing w:line="463" w:lineRule="auto"/>
        <w:ind w:right="149" w:firstLine="360"/>
        <w:jc w:val="both"/>
      </w:pPr>
      <w:r>
        <w:rPr>
          <w:spacing w:val="-2"/>
        </w:rPr>
        <w:t>公司</w:t>
      </w:r>
      <w:r>
        <w:rPr>
          <w:rFonts w:ascii="Times New Roman" w:hAnsi="Times New Roman" w:cs="Times New Roman" w:eastAsia="Times New Roman" w:hint="default"/>
          <w:spacing w:val="-2"/>
        </w:rPr>
        <w:t>2011</w:t>
      </w:r>
      <w:r>
        <w:rPr>
          <w:spacing w:val="-2"/>
        </w:rPr>
        <w:t>年度报告中制定了，本报告期内公司将坚持自主创新，研发具有领先性的技术、产品解决方案，同时通过进一</w:t>
      </w:r>
      <w:r>
        <w:rPr/>
        <w:t> </w:t>
      </w:r>
      <w:r>
        <w:rPr>
          <w:spacing w:val="-2"/>
        </w:rPr>
        <w:t>步加强项目管理体系、绩效管理体系等方面的建设，提升公司内部组织效率，继续沿着充分发挥有产品潜力、大力开发新产</w:t>
      </w:r>
      <w:r>
        <w:rPr>
          <w:spacing w:val="-66"/>
        </w:rPr>
        <w:t> </w:t>
      </w:r>
      <w:r>
        <w:rPr>
          <w:spacing w:val="-66"/>
        </w:rPr>
      </w:r>
      <w:r>
        <w:rPr/>
        <w:t>品、努力开拓新业务领域的经营战略。</w:t>
      </w:r>
    </w:p>
    <w:p>
      <w:pPr>
        <w:pStyle w:val="BodyText"/>
        <w:spacing w:line="477" w:lineRule="auto" w:before="65"/>
        <w:ind w:right="149" w:firstLine="360"/>
        <w:jc w:val="both"/>
      </w:pPr>
      <w:r>
        <w:rPr>
          <w:spacing w:val="-2"/>
        </w:rPr>
        <w:t>报告期内，公司按照既定发展战略，充分发挥现有产品潜力、大力开发新产品、努力开拓新业务领域。既有优势产品方</w:t>
      </w:r>
      <w:r>
        <w:rPr/>
        <w:t> </w:t>
      </w:r>
      <w:r>
        <w:rPr>
          <w:spacing w:val="-2"/>
        </w:rPr>
        <w:t>面，通过对产品的技术改进和升级换代，公司银行影像应用软件业务继续保持了稳定的业务规模；开发新产品方面，目前公</w:t>
      </w:r>
      <w:r>
        <w:rPr>
          <w:spacing w:val="-66"/>
        </w:rPr>
        <w:t> </w:t>
      </w:r>
      <w:r>
        <w:rPr>
          <w:spacing w:val="-66"/>
        </w:rPr>
      </w:r>
      <w:r>
        <w:rPr>
          <w:spacing w:val="-2"/>
        </w:rPr>
        <w:t>司新产品开发计划、市场推广计划等重要经营计划进展顺利，印章智能管理系统、回单自助打印系统等一批新产品已经开发</w:t>
      </w:r>
      <w:r>
        <w:rPr>
          <w:spacing w:val="-66"/>
        </w:rPr>
        <w:t> </w:t>
      </w:r>
      <w:r>
        <w:rPr>
          <w:spacing w:val="-66"/>
        </w:rPr>
      </w:r>
      <w:r>
        <w:rPr>
          <w:spacing w:val="-2"/>
        </w:rPr>
        <w:t>完成；开拓新业务领域方面，公司以银行业务流程再造的市场需求为主线，重点加强了以构建流程银行为核心的新产品和服</w:t>
      </w:r>
      <w:r>
        <w:rPr>
          <w:spacing w:val="-66"/>
        </w:rPr>
        <w:t> </w:t>
      </w:r>
      <w:r>
        <w:rPr>
          <w:spacing w:val="-66"/>
        </w:rPr>
      </w:r>
      <w:r>
        <w:rPr/>
        <w:t>务，目前流程银行软件的市场推广初显成效。</w:t>
      </w:r>
    </w:p>
    <w:p>
      <w:pPr>
        <w:spacing w:line="240" w:lineRule="auto" w:before="4"/>
        <w:rPr>
          <w:rFonts w:ascii="宋体" w:hAnsi="宋体" w:cs="宋体" w:eastAsia="宋体" w:hint="default"/>
          <w:sz w:val="13"/>
          <w:szCs w:val="13"/>
        </w:rPr>
      </w:pPr>
    </w:p>
    <w:p>
      <w:pPr>
        <w:pStyle w:val="Heading4"/>
        <w:spacing w:line="240" w:lineRule="auto"/>
        <w:ind w:right="0"/>
        <w:jc w:val="left"/>
        <w:rPr>
          <w:b w:val="0"/>
          <w:bCs w:val="0"/>
        </w:rPr>
      </w:pPr>
      <w:r>
        <w:rPr/>
        <w:t>公司实际经营业绩较曾公开披露过的本年度盈利预测低于或高于</w:t>
      </w:r>
      <w:r>
        <w:rPr>
          <w:spacing w:val="-54"/>
        </w:rPr>
        <w:t> </w:t>
      </w:r>
      <w:r>
        <w:rPr>
          <w:rFonts w:ascii="Times New Roman" w:hAnsi="Times New Roman" w:cs="Times New Roman" w:eastAsia="Times New Roman" w:hint="default"/>
        </w:rPr>
        <w:t>20%</w:t>
      </w:r>
      <w:r>
        <w:rPr/>
        <w:t>以上的差异原因</w:t>
      </w:r>
      <w:r>
        <w:rPr>
          <w:b w:val="0"/>
          <w:bCs w:val="0"/>
        </w:rPr>
      </w:r>
    </w:p>
    <w:p>
      <w:pPr>
        <w:spacing w:line="240" w:lineRule="auto" w:before="0"/>
        <w:rPr>
          <w:rFonts w:ascii="宋体" w:hAnsi="宋体" w:cs="宋体" w:eastAsia="宋体" w:hint="default"/>
          <w:b/>
          <w:bCs/>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金融信息化行业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98,397,141.41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45,978,891.84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54,948,178.56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23,572,605.85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定制软件开发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17,867,234.20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6,716,216.35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17,862,057.19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11,016,090.05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1,555,179.44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1,225,478.31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6,164,492.02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3,448,501.28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-4.53%</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北方地区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18,615,936.46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8,390,390.01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33,220,131.80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15,662,130.34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-12.11%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28,746,096.93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14,028,940.83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5,374,959.85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2,539,097.10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12,440,016.37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5,358,333.56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-9.83%</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3 </w:t>
      </w:r>
      <w:r>
        <w:rPr/>
        <w:t>年按报告期末口径调整后的主营业务数据</w:t>
      </w:r>
    </w:p>
    <w:p>
      <w:pPr>
        <w:pStyle w:val="BodyText"/>
        <w:spacing w:line="240" w:lineRule="auto" w:before="10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367"/>
        <w:gridCol w:w="892"/>
        <w:gridCol w:w="798"/>
        <w:gridCol w:w="2917"/>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3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22" w:right="-2" w:firstLine="62"/>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22" w:right="-11" w:firstLine="57"/>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26" w:type="dxa"/>
            <w:vMerge/>
            <w:tcBorders>
              <w:left w:val="single" w:sz="4" w:space="0" w:color="000000"/>
              <w:bottom w:val="single" w:sz="4" w:space="0" w:color="000000"/>
              <w:right w:val="single" w:sz="4" w:space="0" w:color="000000"/>
            </w:tcBorders>
            <w:shd w:val="clear" w:color="auto" w:fill="D3D3D3"/>
          </w:tcPr>
          <w:p>
            <w:pPr/>
          </w:p>
        </w:tc>
        <w:tc>
          <w:tcPr>
            <w:tcW w:w="901"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892"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353,108,632.82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387,791,510.52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
              <w:jc w:val="left"/>
              <w:rPr>
                <w:rFonts w:ascii="宋体" w:hAnsi="宋体" w:cs="宋体" w:eastAsia="宋体" w:hint="default"/>
                <w:sz w:val="18"/>
                <w:szCs w:val="18"/>
              </w:rPr>
            </w:pPr>
            <w:r>
              <w:rPr>
                <w:rFonts w:ascii="宋体" w:hAnsi="宋体" w:cs="宋体" w:eastAsia="宋体" w:hint="default"/>
                <w:sz w:val="18"/>
                <w:szCs w:val="18"/>
              </w:rPr>
              <w:t>货币资金减少主要系公司派发现金 股利、职工薪酬和管理支出的增加、 以及研发投入增加所致。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67,521,521.03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62,570,964.60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主要原因系销售收入增长，以及报告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期内公司个别大额合同客户采取分 </w:t>
            </w:r>
            <w:r>
              <w:rPr>
                <w:rFonts w:ascii="宋体" w:hAnsi="宋体" w:cs="宋体" w:eastAsia="宋体" w:hint="default"/>
                <w:spacing w:val="-2"/>
                <w:sz w:val="18"/>
                <w:szCs w:val="18"/>
              </w:rPr>
              <w:t>行实施、总行付款的结算方式，应收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账款回收周期较长所致。</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11,468,637.78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4,406,444.93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主要原因系公司新开发的金融专用 设备产品的硬件构成比例相对公司 </w:t>
            </w:r>
            <w:r>
              <w:rPr>
                <w:rFonts w:ascii="宋体" w:hAnsi="宋体" w:cs="宋体" w:eastAsia="宋体" w:hint="default"/>
                <w:spacing w:val="-2"/>
                <w:sz w:val="18"/>
                <w:szCs w:val="18"/>
              </w:rPr>
              <w:t>以往产品提高，公司增加生产、采购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了准备用于近期销售的此类产品所 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44,020,938.63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45,178,783.11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减少原因是投资性房地产的摊销。</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6,123,625.10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5,167,420.79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主要原因系公司研发项目固定资产 设备的投入增加。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公司核心竞争能力包括：</w:t>
      </w:r>
    </w:p>
    <w:p>
      <w:pPr>
        <w:spacing w:line="240" w:lineRule="auto" w:before="10"/>
        <w:rPr>
          <w:rFonts w:ascii="宋体" w:hAnsi="宋体" w:cs="宋体" w:eastAsia="宋体" w:hint="default"/>
          <w:sz w:val="17"/>
          <w:szCs w:val="17"/>
        </w:rPr>
      </w:pPr>
    </w:p>
    <w:p>
      <w:pPr>
        <w:pStyle w:val="BodyText"/>
        <w:spacing w:line="451" w:lineRule="auto"/>
        <w:ind w:left="513" w:right="0"/>
        <w:jc w:val="left"/>
      </w:pPr>
      <w:r>
        <w:rPr/>
        <w:t>（</w:t>
      </w:r>
      <w:r>
        <w:rPr>
          <w:rFonts w:ascii="Times New Roman" w:hAnsi="Times New Roman" w:cs="Times New Roman" w:eastAsia="Times New Roman" w:hint="default"/>
        </w:rPr>
        <w:t>1</w:t>
      </w:r>
      <w:r>
        <w:rPr/>
        <w:t>）核心技术优势 </w:t>
      </w:r>
      <w:r>
        <w:rPr>
          <w:spacing w:val="-2"/>
        </w:rPr>
        <w:t>经过公司在行业内十余年的专业化积累，公司的一批产品技术在行业内具有领先地位。电脑验印技术是公司的传统优势</w:t>
      </w:r>
    </w:p>
    <w:p>
      <w:pPr>
        <w:pStyle w:val="BodyText"/>
        <w:spacing w:line="458" w:lineRule="auto" w:before="74"/>
        <w:ind w:left="153" w:right="140"/>
        <w:jc w:val="left"/>
      </w:pPr>
      <w:r>
        <w:rPr/>
        <w:t>技术，这一技术优势目前仍然得到了保持和继续加强。同时，公司在其他新技术领域也发展较快，如影像处理技术、</w:t>
      </w:r>
      <w:r>
        <w:rPr>
          <w:rFonts w:ascii="Times New Roman" w:hAnsi="Times New Roman" w:cs="Times New Roman" w:eastAsia="Times New Roman" w:hint="default"/>
        </w:rPr>
        <w:t>OCR</w:t>
      </w:r>
      <w:r>
        <w:rPr>
          <w:rFonts w:ascii="Times New Roman" w:hAnsi="Times New Roman" w:cs="Times New Roman" w:eastAsia="Times New Roman" w:hint="default"/>
          <w:spacing w:val="-1"/>
        </w:rPr>
        <w:t> </w:t>
      </w:r>
      <w:r>
        <w:rPr>
          <w:spacing w:val="-2"/>
        </w:rPr>
        <w:t>技术、工作流引擎技术、内容管理技术等，在行业内具有相对领先的优势。报告期内，公司行业专有硬件的技术开发能力也</w:t>
      </w:r>
      <w:r>
        <w:rPr>
          <w:spacing w:val="-66"/>
        </w:rPr>
        <w:t> </w:t>
      </w:r>
      <w:r>
        <w:rPr>
          <w:spacing w:val="-66"/>
        </w:rPr>
      </w:r>
      <w:r>
        <w:rPr>
          <w:spacing w:val="-2"/>
        </w:rPr>
        <w:t>得到进一步加强。同时，公司还是金融行业关于票据影像技术标准的参与制定单位。这些核心技术的拥有，使得公司能够一</w:t>
      </w:r>
      <w:r>
        <w:rPr>
          <w:spacing w:val="-66"/>
        </w:rPr>
        <w:t> </w:t>
      </w:r>
      <w:r>
        <w:rPr>
          <w:spacing w:val="-66"/>
        </w:rPr>
      </w:r>
      <w:r>
        <w:rPr>
          <w:spacing w:val="-2"/>
        </w:rPr>
        <w:t>直在行业中引领产品开发和应用的方向，保持行业先行者和领导者的地位。报告期内，公司新增软件著作权</w:t>
      </w:r>
      <w:r>
        <w:rPr>
          <w:rFonts w:ascii="Times New Roman" w:hAnsi="Times New Roman" w:cs="Times New Roman" w:eastAsia="Times New Roman" w:hint="default"/>
          <w:spacing w:val="-2"/>
        </w:rPr>
        <w:t>15</w:t>
      </w:r>
      <w:r>
        <w:rPr>
          <w:spacing w:val="-2"/>
        </w:rPr>
        <w:t>项，新增专利</w:t>
      </w:r>
      <w:r>
        <w:rPr>
          <w:spacing w:val="-64"/>
        </w:rPr>
        <w:t> </w:t>
      </w:r>
      <w:r>
        <w:rPr>
          <w:spacing w:val="-64"/>
        </w:rPr>
      </w:r>
      <w:r>
        <w:rPr>
          <w:spacing w:val="-1"/>
        </w:rPr>
        <w:t>授权</w:t>
      </w:r>
      <w:r>
        <w:rPr>
          <w:rFonts w:ascii="Times New Roman" w:hAnsi="Times New Roman" w:cs="Times New Roman" w:eastAsia="Times New Roman" w:hint="default"/>
          <w:spacing w:val="-1"/>
        </w:rPr>
        <w:t>20</w:t>
      </w:r>
      <w:r>
        <w:rPr>
          <w:spacing w:val="-1"/>
        </w:rPr>
        <w:t>项。截至报告期末，公司已获得软件著作权</w:t>
      </w:r>
      <w:r>
        <w:rPr>
          <w:rFonts w:ascii="Times New Roman" w:hAnsi="Times New Roman" w:cs="Times New Roman" w:eastAsia="Times New Roman" w:hint="default"/>
          <w:spacing w:val="-1"/>
        </w:rPr>
        <w:t>47</w:t>
      </w:r>
      <w:r>
        <w:rPr>
          <w:spacing w:val="-1"/>
        </w:rPr>
        <w:t>项、专利授权</w:t>
      </w:r>
      <w:r>
        <w:rPr>
          <w:rFonts w:ascii="Times New Roman" w:hAnsi="Times New Roman" w:cs="Times New Roman" w:eastAsia="Times New Roman" w:hint="default"/>
          <w:spacing w:val="-1"/>
        </w:rPr>
        <w:t>25</w:t>
      </w:r>
      <w:r>
        <w:rPr>
          <w:spacing w:val="-1"/>
        </w:rPr>
        <w:t>项（其中发明专利</w:t>
      </w:r>
      <w:r>
        <w:rPr>
          <w:rFonts w:ascii="Times New Roman" w:hAnsi="Times New Roman" w:cs="Times New Roman" w:eastAsia="Times New Roman" w:hint="default"/>
          <w:spacing w:val="-1"/>
        </w:rPr>
        <w:t>4</w:t>
      </w:r>
      <w:r>
        <w:rPr>
          <w:spacing w:val="-1"/>
        </w:rPr>
        <w:t>项、</w:t>
      </w:r>
      <w:r>
        <w:rPr>
          <w:rFonts w:ascii="Times New Roman" w:hAnsi="Times New Roman" w:cs="Times New Roman" w:eastAsia="Times New Roman" w:hint="default"/>
          <w:spacing w:val="-1"/>
        </w:rPr>
        <w:t>PCT</w:t>
      </w:r>
      <w:r>
        <w:rPr>
          <w:spacing w:val="-1"/>
        </w:rPr>
        <w:t>国际专利</w:t>
      </w:r>
      <w:r>
        <w:rPr>
          <w:rFonts w:ascii="Times New Roman" w:hAnsi="Times New Roman" w:cs="Times New Roman" w:eastAsia="Times New Roman" w:hint="default"/>
          <w:spacing w:val="-1"/>
        </w:rPr>
        <w:t>2</w:t>
      </w:r>
      <w:r>
        <w:rPr>
          <w:spacing w:val="-1"/>
        </w:rPr>
        <w:t>项、实用新型专</w:t>
      </w:r>
      <w:r>
        <w:rPr>
          <w:spacing w:val="-87"/>
        </w:rPr>
        <w:t> </w:t>
      </w:r>
      <w:r>
        <w:rPr>
          <w:spacing w:val="-87"/>
        </w:rPr>
      </w:r>
      <w:r>
        <w:rPr>
          <w:spacing w:val="-2"/>
        </w:rPr>
        <w:t>利</w:t>
      </w:r>
      <w:r>
        <w:rPr>
          <w:rFonts w:ascii="Times New Roman" w:hAnsi="Times New Roman" w:cs="Times New Roman" w:eastAsia="Times New Roman" w:hint="default"/>
          <w:spacing w:val="-2"/>
        </w:rPr>
        <w:t>15</w:t>
      </w:r>
      <w:r>
        <w:rPr>
          <w:spacing w:val="-2"/>
        </w:rPr>
        <w:t>项、外观专利</w:t>
      </w:r>
      <w:r>
        <w:rPr>
          <w:rFonts w:ascii="Times New Roman" w:hAnsi="Times New Roman" w:cs="Times New Roman" w:eastAsia="Times New Roman" w:hint="default"/>
          <w:spacing w:val="-2"/>
        </w:rPr>
        <w:t>4</w:t>
      </w:r>
      <w:r>
        <w:rPr>
          <w:spacing w:val="-2"/>
        </w:rPr>
        <w:t>项），另有</w:t>
      </w:r>
      <w:r>
        <w:rPr>
          <w:rFonts w:ascii="Times New Roman" w:hAnsi="Times New Roman" w:cs="Times New Roman" w:eastAsia="Times New Roman" w:hint="default"/>
          <w:spacing w:val="-2"/>
        </w:rPr>
        <w:t>9</w:t>
      </w:r>
      <w:r>
        <w:rPr>
          <w:spacing w:val="-2"/>
        </w:rPr>
        <w:t>项专利正在申请并获得国家知识产权局受理。公司业务领域的扩大，新产品、新技术的开发</w:t>
      </w:r>
      <w:r>
        <w:rPr>
          <w:spacing w:val="-66"/>
        </w:rPr>
        <w:t> </w:t>
      </w:r>
      <w:r>
        <w:rPr>
          <w:spacing w:val="-66"/>
        </w:rPr>
      </w:r>
      <w:r>
        <w:rPr/>
        <w:t>成功，在行业的竞争力得到加强。</w:t>
      </w:r>
    </w:p>
    <w:p>
      <w:pPr>
        <w:pStyle w:val="BodyText"/>
        <w:spacing w:line="240" w:lineRule="auto" w:before="68"/>
        <w:ind w:left="514" w:right="0"/>
        <w:jc w:val="left"/>
      </w:pPr>
      <w:r>
        <w:rPr/>
        <w:t>（</w:t>
      </w:r>
      <w:r>
        <w:rPr>
          <w:rFonts w:ascii="Times New Roman" w:hAnsi="Times New Roman" w:cs="Times New Roman" w:eastAsia="Times New Roman" w:hint="default"/>
        </w:rPr>
        <w:t>2</w:t>
      </w:r>
      <w:r>
        <w:rPr/>
        <w:t>）市场开发优势</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49" w:firstLine="360"/>
        <w:jc w:val="both"/>
      </w:pPr>
      <w:r>
        <w:rPr>
          <w:spacing w:val="-2"/>
        </w:rPr>
        <w:t>公司产品和服务在金融业有广大、稳定的客户基础，在行业内有比较明显的客户资源优势。目前，公司客户包括中国工</w:t>
      </w:r>
      <w:r>
        <w:rPr/>
        <w:t> </w:t>
      </w:r>
      <w:r>
        <w:rPr>
          <w:spacing w:val="-2"/>
        </w:rPr>
        <w:t>商银行、中国农业银行、中国银行、中国建设银行、平安银行、上海浦东发展银行、广东发展银行、中国进出口银行、中国</w:t>
      </w:r>
      <w:r>
        <w:rPr>
          <w:spacing w:val="-67"/>
        </w:rPr>
        <w:t> </w:t>
      </w:r>
      <w:r>
        <w:rPr>
          <w:spacing w:val="-67"/>
        </w:rPr>
      </w:r>
      <w:r>
        <w:rPr/>
        <w:t>农业发展银行、各地城市商业银行、农村商业银行、农村信用社及部分外资银行，涵盖了</w:t>
      </w:r>
      <w:r>
        <w:rPr>
          <w:rFonts w:ascii="Times New Roman" w:hAnsi="Times New Roman" w:cs="Times New Roman" w:eastAsia="Times New Roman" w:hint="default"/>
        </w:rPr>
        <w:t>330</w:t>
      </w:r>
      <w:r>
        <w:rPr/>
        <w:t>家分行、数万个银行网点，遍 </w:t>
      </w:r>
      <w:r>
        <w:rPr>
          <w:spacing w:val="-2"/>
        </w:rPr>
        <w:t>布国内</w:t>
      </w:r>
      <w:r>
        <w:rPr>
          <w:rFonts w:ascii="Times New Roman" w:hAnsi="Times New Roman" w:cs="Times New Roman" w:eastAsia="Times New Roman" w:hint="default"/>
          <w:spacing w:val="-2"/>
        </w:rPr>
        <w:t>31</w:t>
      </w:r>
      <w:r>
        <w:rPr>
          <w:spacing w:val="-2"/>
        </w:rPr>
        <w:t>个省、直辖市、自治区。报告期内，公司在银行系统继续开拓了一批新的优质客户。这些宝贵的客户资源是公司今</w:t>
      </w:r>
      <w:r>
        <w:rPr>
          <w:spacing w:val="-63"/>
        </w:rPr>
        <w:t> </w:t>
      </w:r>
      <w:r>
        <w:rPr>
          <w:spacing w:val="-63"/>
        </w:rPr>
      </w:r>
      <w:r>
        <w:rPr/>
        <w:t>后业务持续发展的坚实基础。</w:t>
      </w:r>
    </w:p>
    <w:p>
      <w:pPr>
        <w:pStyle w:val="BodyText"/>
        <w:spacing w:line="451" w:lineRule="auto" w:before="65"/>
        <w:ind w:left="514" w:right="0"/>
        <w:jc w:val="left"/>
      </w:pPr>
      <w:r>
        <w:rPr/>
        <w:t>（</w:t>
      </w:r>
      <w:r>
        <w:rPr>
          <w:rFonts w:ascii="Times New Roman" w:hAnsi="Times New Roman" w:cs="Times New Roman" w:eastAsia="Times New Roman" w:hint="default"/>
        </w:rPr>
        <w:t>3</w:t>
      </w:r>
      <w:r>
        <w:rPr/>
        <w:t>）人才优势 </w:t>
      </w:r>
      <w:r>
        <w:rPr>
          <w:spacing w:val="-2"/>
        </w:rPr>
        <w:t>经过多年的发展，公司已拥有起一支适应金融信息化行业要求的技术精湛、经验丰富的复合型专业人才队伍。公司主要</w:t>
      </w:r>
    </w:p>
    <w:p>
      <w:pPr>
        <w:pStyle w:val="BodyText"/>
        <w:spacing w:line="477" w:lineRule="auto" w:before="74"/>
        <w:ind w:right="151"/>
        <w:jc w:val="both"/>
      </w:pPr>
      <w:r>
        <w:rPr>
          <w:spacing w:val="-2"/>
        </w:rPr>
        <w:t>研发、技术骨干大多具有多年银行软件系统开发经验，不仅精通模式识别、图像处理、计算机软件、大型数据库等领域的专</w:t>
      </w:r>
      <w:r>
        <w:rPr>
          <w:spacing w:val="-66"/>
        </w:rPr>
        <w:t> </w:t>
      </w:r>
      <w:r>
        <w:rPr>
          <w:spacing w:val="-66"/>
        </w:rPr>
      </w:r>
      <w:r>
        <w:rPr>
          <w:spacing w:val="-2"/>
        </w:rPr>
        <w:t>业技术，而且对我国银行业务流程、业务特点非常熟悉，对银行业务流程再造的发展趋势有前沿的认识。此外，公司营销队</w:t>
      </w:r>
      <w:r>
        <w:rPr>
          <w:spacing w:val="-66"/>
        </w:rPr>
        <w:t> </w:t>
      </w:r>
      <w:r>
        <w:rPr>
          <w:spacing w:val="-66"/>
        </w:rPr>
      </w:r>
      <w:r>
        <w:rPr/>
        <w:t>伍和管理团队也具有丰富的金融</w:t>
      </w:r>
      <w:r>
        <w:rPr>
          <w:rFonts w:ascii="Times New Roman" w:hAnsi="Times New Roman" w:cs="Times New Roman" w:eastAsia="Times New Roman" w:hint="default"/>
        </w:rPr>
        <w:t>IT</w:t>
      </w:r>
      <w:r>
        <w:rPr/>
        <w:t>市场和企业管理经验。</w:t>
      </w:r>
    </w:p>
    <w:p>
      <w:pPr>
        <w:pStyle w:val="BodyText"/>
        <w:spacing w:line="458" w:lineRule="auto" w:before="21"/>
        <w:ind w:right="0" w:firstLine="360"/>
        <w:jc w:val="left"/>
      </w:pPr>
      <w:r>
        <w:rPr>
          <w:spacing w:val="-2"/>
        </w:rPr>
        <w:t>报告期内，公司核心技术人员李芳洲、金一因个人原因向公司提出辞职申请，并将其所负责的相关工作已进行了良好交</w:t>
      </w:r>
      <w:r>
        <w:rPr/>
        <w:t> 接，其辞职不会影响公司相关工作的正常进行。截止报告期末，公司员工人数为</w:t>
      </w:r>
      <w:r>
        <w:rPr>
          <w:rFonts w:ascii="Times New Roman" w:hAnsi="Times New Roman" w:cs="Times New Roman" w:eastAsia="Times New Roman" w:hint="default"/>
        </w:rPr>
        <w:t>505</w:t>
      </w:r>
      <w:r>
        <w:rPr/>
        <w:t>人，较上年同期末增加</w:t>
      </w:r>
      <w:r>
        <w:rPr>
          <w:rFonts w:ascii="Times New Roman" w:hAnsi="Times New Roman" w:cs="Times New Roman" w:eastAsia="Times New Roman" w:hint="default"/>
        </w:rPr>
        <w:t>90</w:t>
      </w:r>
      <w:r>
        <w:rPr/>
        <w:t>人，增幅为 </w:t>
      </w:r>
      <w:r>
        <w:rPr>
          <w:rFonts w:ascii="Times New Roman" w:hAnsi="Times New Roman" w:cs="Times New Roman" w:eastAsia="Times New Roman" w:hint="default"/>
        </w:rPr>
        <w:t>21.69%</w:t>
      </w:r>
      <w:r>
        <w:rPr/>
        <w:t>，增加的人员主要是研发与技术人员。报告期内，公司已经加大了中高端人才的引进力度，大力培养优秀研发与技 术人员，不断扩大公司研发与技术人才储备。</w:t>
      </w:r>
    </w:p>
    <w:p>
      <w:pPr>
        <w:pStyle w:val="BodyText"/>
        <w:spacing w:line="240" w:lineRule="auto" w:before="68"/>
        <w:ind w:left="514" w:right="0"/>
        <w:jc w:val="left"/>
      </w:pPr>
      <w:r>
        <w:rPr/>
        <w:t>报告期公司核心竞争能力未发生重大变化。</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0"/>
        <w:gridCol w:w="546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38,895.07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6,126.72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14,671.43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2,332.42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2,332.42</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公司经中国证券监督管理委员会</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1"/>
                <w:sz w:val="18"/>
                <w:szCs w:val="18"/>
              </w:rPr>
              <w:t>核</w:t>
            </w:r>
            <w:r>
              <w:rPr>
                <w:rFonts w:ascii="宋体" w:hAnsi="宋体" w:cs="宋体" w:eastAsia="宋体" w:hint="default"/>
                <w:sz w:val="18"/>
                <w:szCs w:val="18"/>
              </w:rPr>
              <w:t>准</w:t>
            </w:r>
            <w:r>
              <w:rPr>
                <w:rFonts w:ascii="宋体" w:hAnsi="宋体" w:cs="宋体" w:eastAsia="宋体" w:hint="default"/>
                <w:spacing w:val="-83"/>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首次向社会公开发行人民币普</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万股，发行价格每股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元，募集资金总额为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元，扣除发行费用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31,049,260.04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388,950,739.96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元。其中，募集资金投资项目使用资金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137,251,000.00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251,699,739.96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元为用于其他与</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主营业务相关的营运资金（超募资金</w:t>
            </w:r>
            <w:r>
              <w:rPr>
                <w:rFonts w:ascii="宋体" w:hAnsi="宋体" w:cs="宋体" w:eastAsia="宋体" w:hint="default"/>
                <w:spacing w:val="-90"/>
                <w:sz w:val="18"/>
                <w:szCs w:val="18"/>
              </w:rPr>
              <w:t>）</w:t>
            </w:r>
            <w:r>
              <w:rPr>
                <w:rFonts w:ascii="宋体" w:hAnsi="宋体" w:cs="宋体" w:eastAsia="宋体" w:hint="default"/>
                <w:sz w:val="18"/>
                <w:szCs w:val="18"/>
              </w:rPr>
              <w:t>。上述资金已于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全部到位，资金到位情况业经深圳市鹏城会计师</w:t>
            </w:r>
            <w:r>
              <w:rPr>
                <w:rFonts w:ascii="宋体" w:hAnsi="宋体" w:cs="宋体" w:eastAsia="宋体" w:hint="default"/>
                <w:sz w:val="18"/>
                <w:szCs w:val="18"/>
              </w:rPr>
              <w:t> 事务所有限公司验证，并由其出具深鹏所验字</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184 </w:t>
            </w:r>
            <w:r>
              <w:rPr>
                <w:rFonts w:ascii="宋体" w:hAnsi="宋体" w:cs="宋体" w:eastAsia="宋体" w:hint="default"/>
                <w:sz w:val="18"/>
                <w:szCs w:val="18"/>
              </w:rPr>
              <w:t>号《验资报告</w:t>
            </w:r>
            <w:r>
              <w:rPr>
                <w:rFonts w:ascii="宋体" w:hAnsi="宋体" w:cs="宋体" w:eastAsia="宋体" w:hint="default"/>
                <w:spacing w:val="-90"/>
                <w:sz w:val="18"/>
                <w:szCs w:val="18"/>
              </w:rPr>
              <w:t>》</w:t>
            </w:r>
            <w:r>
              <w:rPr>
                <w:rFonts w:ascii="宋体" w:hAnsi="宋体" w:cs="宋体" w:eastAsia="宋体" w:hint="default"/>
                <w:sz w:val="18"/>
                <w:szCs w:val="18"/>
              </w:rPr>
              <w:t>。公司对募集资金采取了专户存储制度。</w:t>
            </w:r>
          </w:p>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日，经公司第一届董事会第十一次会议审议通过，公司使用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万元超募资金永久补充流动资金。</w:t>
            </w:r>
            <w:r>
              <w:rPr>
                <w:rFonts w:ascii="Times New Roman" w:hAnsi="Times New Roman" w:cs="Times New Roman" w:eastAsia="Times New Roman" w:hint="default"/>
                <w:spacing w:val="-4"/>
                <w:sz w:val="18"/>
                <w:szCs w:val="18"/>
              </w:rPr>
              <w:t>2012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1"/>
        <w:rPr>
          <w:rFonts w:ascii="宋体" w:hAnsi="宋体" w:cs="宋体" w:eastAsia="宋体" w:hint="default"/>
          <w:sz w:val="28"/>
          <w:szCs w:val="28"/>
        </w:rPr>
      </w:pPr>
    </w:p>
    <w:p>
      <w:pPr>
        <w:spacing w:line="1962" w:lineRule="exact"/>
        <w:ind w:left="154" w:right="0" w:firstLine="0"/>
        <w:rPr>
          <w:rFonts w:ascii="宋体" w:hAnsi="宋体" w:cs="宋体" w:eastAsia="宋体" w:hint="default"/>
          <w:sz w:val="20"/>
          <w:szCs w:val="20"/>
        </w:rPr>
      </w:pPr>
      <w:r>
        <w:rPr>
          <w:rFonts w:ascii="宋体" w:hAnsi="宋体" w:cs="宋体" w:eastAsia="宋体" w:hint="default"/>
          <w:position w:val="-38"/>
          <w:sz w:val="20"/>
          <w:szCs w:val="20"/>
        </w:rPr>
        <w:pict>
          <v:shape style="width:478.4pt;height:98.1pt;mso-position-horizontal-relative:char;mso-position-vertical-relative:line" type="#_x0000_t202" filled="false" stroked="true" strokeweight=".47998pt" strokecolor="#000000">
            <w10:anchorlock/>
            <v:textbox inset="0,0,0,0">
              <w:txbxContent>
                <w:p>
                  <w:pPr>
                    <w:pStyle w:val="BodyText"/>
                    <w:spacing w:line="240" w:lineRule="auto" w:before="10"/>
                    <w:ind w:left="22" w:right="0"/>
                    <w:jc w:val="left"/>
                  </w:pP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w:t>
                  </w:r>
                  <w:r>
                    <w:rPr>
                      <w:spacing w:val="1"/>
                    </w:rPr>
                    <w:t>，</w:t>
                  </w:r>
                  <w:r>
                    <w:rPr/>
                    <w:t>经公司第二届董事会第七次会议审议通过，公司与北京博世金信科技有限公司签订《资产收购合同</w:t>
                  </w:r>
                  <w:r>
                    <w:rPr>
                      <w:spacing w:val="-90"/>
                    </w:rPr>
                    <w:t>》</w:t>
                  </w:r>
                  <w:r>
                    <w:rPr/>
                    <w:t>，使用</w:t>
                  </w:r>
                </w:p>
                <w:p>
                  <w:pPr>
                    <w:pStyle w:val="BodyText"/>
                    <w:spacing w:line="240" w:lineRule="auto" w:before="63"/>
                    <w:ind w:left="22" w:right="0"/>
                    <w:jc w:val="left"/>
                  </w:pPr>
                  <w:r>
                    <w:rPr/>
                    <w:t>超募资金</w:t>
                  </w:r>
                  <w:r>
                    <w:rPr>
                      <w:spacing w:val="-41"/>
                    </w:rPr>
                    <w:t> </w:t>
                  </w:r>
                  <w:r>
                    <w:rPr>
                      <w:rFonts w:ascii="Times New Roman" w:hAnsi="Times New Roman" w:cs="Times New Roman" w:eastAsia="Times New Roman" w:hint="default"/>
                    </w:rPr>
                    <w:t>833.10</w:t>
                  </w:r>
                  <w:r>
                    <w:rPr>
                      <w:rFonts w:ascii="Times New Roman" w:hAnsi="Times New Roman" w:cs="Times New Roman" w:eastAsia="Times New Roman" w:hint="default"/>
                      <w:spacing w:val="4"/>
                    </w:rPr>
                    <w:t> </w:t>
                  </w:r>
                  <w:r>
                    <w:rPr/>
                    <w:t>万元收购其拥有的支票打码机的</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3"/>
                    </w:rPr>
                    <w:t>项专利技术、相关专有技术等无形资产，以及相关存货、固定资产等有</w:t>
                  </w:r>
                </w:p>
                <w:p>
                  <w:pPr>
                    <w:pStyle w:val="BodyText"/>
                    <w:spacing w:line="302" w:lineRule="auto" w:before="63"/>
                    <w:ind w:left="22" w:right="38"/>
                    <w:jc w:val="left"/>
                  </w:pPr>
                  <w:r>
                    <w:rPr/>
                    <w:t>形资产。截至报告期末，公司本项资产收购已使用超募资金</w:t>
                  </w:r>
                  <w:r>
                    <w:rPr>
                      <w:spacing w:val="-46"/>
                    </w:rPr>
                    <w:t> </w:t>
                  </w:r>
                  <w:r>
                    <w:rPr>
                      <w:rFonts w:ascii="Times New Roman" w:hAnsi="Times New Roman" w:cs="Times New Roman" w:eastAsia="Times New Roman" w:hint="default"/>
                    </w:rPr>
                    <w:t>633.10</w:t>
                  </w:r>
                  <w:r>
                    <w:rPr>
                      <w:rFonts w:ascii="Times New Roman" w:hAnsi="Times New Roman" w:cs="Times New Roman" w:eastAsia="Times New Roman" w:hint="default"/>
                      <w:spacing w:val="-1"/>
                    </w:rPr>
                    <w:t> </w:t>
                  </w:r>
                  <w:r>
                    <w:rPr/>
                    <w:t>万元。截至报告期末，公司其余超募资金</w:t>
                  </w:r>
                  <w:r>
                    <w:rPr>
                      <w:spacing w:val="-46"/>
                    </w:rPr>
                    <w:t> </w:t>
                  </w:r>
                  <w:r>
                    <w:rPr>
                      <w:rFonts w:ascii="Times New Roman" w:hAnsi="Times New Roman" w:cs="Times New Roman" w:eastAsia="Times New Roman" w:hint="default"/>
                    </w:rPr>
                    <w:t>20,036.87</w:t>
                  </w:r>
                  <w:r>
                    <w:rPr>
                      <w:rFonts w:ascii="Times New Roman" w:hAnsi="Times New Roman" w:cs="Times New Roman" w:eastAsia="Times New Roman" w:hint="default"/>
                      <w:spacing w:val="-1"/>
                    </w:rPr>
                    <w:t> </w:t>
                  </w:r>
                  <w:r>
                    <w:rPr/>
                    <w:t>万 元及衍生利息尚未使用。</w:t>
                  </w:r>
                </w:p>
                <w:p>
                  <w:pPr>
                    <w:pStyle w:val="BodyText"/>
                    <w:spacing w:line="240" w:lineRule="auto" w:before="69"/>
                    <w:ind w:left="382" w:right="0"/>
                    <w:jc w:val="left"/>
                  </w:pPr>
                  <w:r>
                    <w:rPr/>
                    <w:t>截至报告期末，公司首次公开发行股票募集资金净额</w:t>
                  </w:r>
                  <w:r>
                    <w:rPr>
                      <w:spacing w:val="-54"/>
                    </w:rPr>
                    <w:t> </w:t>
                  </w:r>
                  <w:r>
                    <w:rPr>
                      <w:rFonts w:ascii="Times New Roman" w:hAnsi="Times New Roman" w:cs="Times New Roman" w:eastAsia="Times New Roman" w:hint="default"/>
                    </w:rPr>
                    <w:t>38,895.07</w:t>
                  </w:r>
                  <w:r>
                    <w:rPr>
                      <w:rFonts w:ascii="Times New Roman" w:hAnsi="Times New Roman" w:cs="Times New Roman" w:eastAsia="Times New Roman" w:hint="default"/>
                      <w:spacing w:val="-9"/>
                    </w:rPr>
                    <w:t> </w:t>
                  </w:r>
                  <w:r>
                    <w:rPr/>
                    <w:t>万元，已投入募集资金投资项目</w:t>
                  </w:r>
                  <w:r>
                    <w:rPr>
                      <w:spacing w:val="-54"/>
                    </w:rPr>
                    <w:t> </w:t>
                  </w:r>
                  <w:r>
                    <w:rPr>
                      <w:rFonts w:ascii="Times New Roman" w:hAnsi="Times New Roman" w:cs="Times New Roman" w:eastAsia="Times New Roman" w:hint="default"/>
                    </w:rPr>
                    <w:t>14,671.43</w:t>
                  </w:r>
                  <w:r>
                    <w:rPr>
                      <w:rFonts w:ascii="Times New Roman" w:hAnsi="Times New Roman" w:cs="Times New Roman" w:eastAsia="Times New Roman" w:hint="default"/>
                      <w:spacing w:val="-9"/>
                    </w:rPr>
                    <w:t> </w:t>
                  </w:r>
                  <w:r>
                    <w:rPr/>
                    <w:t>万元，其中</w:t>
                  </w:r>
                </w:p>
                <w:p>
                  <w:pPr>
                    <w:pStyle w:val="BodyText"/>
                    <w:spacing w:line="240" w:lineRule="auto" w:before="64"/>
                    <w:ind w:left="22" w:right="0"/>
                    <w:jc w:val="left"/>
                  </w:pPr>
                  <w:r>
                    <w:rPr/>
                    <w:t>已使用超募资金</w:t>
                  </w:r>
                  <w:r>
                    <w:rPr>
                      <w:spacing w:val="-46"/>
                    </w:rPr>
                    <w:t> </w:t>
                  </w:r>
                  <w:r>
                    <w:rPr>
                      <w:rFonts w:ascii="Times New Roman" w:hAnsi="Times New Roman" w:cs="Times New Roman" w:eastAsia="Times New Roman" w:hint="default"/>
                    </w:rPr>
                    <w:t>5,133.10</w:t>
                  </w:r>
                  <w:r>
                    <w:rPr>
                      <w:rFonts w:ascii="Times New Roman" w:hAnsi="Times New Roman" w:cs="Times New Roman" w:eastAsia="Times New Roman" w:hint="default"/>
                      <w:spacing w:val="-1"/>
                    </w:rPr>
                    <w:t> </w:t>
                  </w:r>
                  <w:r>
                    <w:rPr/>
                    <w:t>万元。</w:t>
                  </w:r>
                </w:p>
              </w:txbxContent>
            </v:textbox>
          </v:shape>
        </w:pict>
      </w:r>
      <w:r>
        <w:rPr>
          <w:rFonts w:ascii="宋体" w:hAnsi="宋体" w:cs="宋体" w:eastAsia="宋体" w:hint="default"/>
          <w:position w:val="-38"/>
          <w:sz w:val="20"/>
          <w:szCs w:val="20"/>
        </w:rPr>
      </w:r>
    </w:p>
    <w:p>
      <w:pPr>
        <w:spacing w:line="240" w:lineRule="auto" w:before="7"/>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57"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商业银行全国票据影</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像交换业务处理系统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2,932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599.58</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23.4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599.58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3"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升级改造</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商业银行同城票据影 像交换业务处理系统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3,763.6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1,890.55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3,207.36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银企对账管理系统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3,144.9</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3,144.9</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1,147.17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2,265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72.02%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144.37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客户服务中心</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1,705.2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1,705.2</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1,146.63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1,401.68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82.20%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274.62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研究开发中心</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2,179.4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2,179.4</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1,033.51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1,812.35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83.16%</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商业银行集中运营作 业平台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2,212.6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15,937.7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13,605.28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5,493.62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9,538.33</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609.78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收购北京博世金信科 技有限公司部分资产</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5,133.1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212.47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1pt;height:678.4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16,770.8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14,438.38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6,126.72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14,671.43</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3" w:right="0"/>
                          <w:jc w:val="left"/>
                          <w:rPr>
                            <w:rFonts w:ascii="Times New Roman" w:hAnsi="Times New Roman" w:cs="Times New Roman" w:eastAsia="Times New Roman" w:hint="default"/>
                            <w:sz w:val="18"/>
                            <w:szCs w:val="18"/>
                          </w:rPr>
                        </w:pPr>
                        <w:r>
                          <w:rPr>
                            <w:rFonts w:ascii="Times New Roman"/>
                            <w:sz w:val="18"/>
                          </w:rPr>
                          <w:t>822.25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37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2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截至报告期末，商业银行同城票据影像交换业务处理系统、银企对账管理系统、客户服务中心、研 究开发中心等募集资金投资项目资金总体投入金额为预计投资总额的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81.51%</w:t>
                        </w:r>
                        <w:r>
                          <w:rPr>
                            <w:rFonts w:ascii="宋体" w:hAnsi="宋体" w:cs="宋体" w:eastAsia="宋体" w:hint="default"/>
                            <w:sz w:val="18"/>
                            <w:szCs w:val="18"/>
                          </w:rPr>
                          <w:t>。 银企对账管理系统低于原计划投资进度的主要原因是：银企对账系统项目在实际进行投资时，市场 技术功能要求发生变化，公司因调整项目的技术方案致使项目进度延缓。</w:t>
                        </w:r>
                      </w:p>
                    </w:tc>
                  </w:tr>
                  <w:tr>
                    <w:trPr>
                      <w:trHeight w:val="19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19"/>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商业银行全国票据影像交换业务处理系统升级改造</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项目变更原因的说明：</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月，为 </w:t>
                        </w:r>
                        <w:r>
                          <w:rPr>
                            <w:rFonts w:ascii="宋体" w:hAnsi="宋体" w:cs="宋体" w:eastAsia="宋体" w:hint="default"/>
                            <w:spacing w:val="-2"/>
                            <w:sz w:val="18"/>
                            <w:szCs w:val="18"/>
                          </w:rPr>
                          <w:t>了进一步丰富以大额支付系统、小额支付系统、支票影像交换系统为核心的现代支付体系（统称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第</w:t>
                        </w:r>
                        <w:r>
                          <w:rPr>
                            <w:rFonts w:ascii="宋体" w:hAnsi="宋体" w:cs="宋体" w:eastAsia="宋体" w:hint="default"/>
                            <w:spacing w:val="-83"/>
                            <w:sz w:val="18"/>
                            <w:szCs w:val="18"/>
                          </w:rPr>
                          <w:t> </w:t>
                        </w:r>
                        <w:r>
                          <w:rPr>
                            <w:rFonts w:ascii="宋体" w:hAnsi="宋体" w:cs="宋体" w:eastAsia="宋体" w:hint="default"/>
                            <w:spacing w:val="-2"/>
                            <w:sz w:val="18"/>
                            <w:szCs w:val="18"/>
                          </w:rPr>
                          <w:t>一代支付系统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）的功能，提升清算效率，中国人民银行开始规划适应新兴电子支付发展的，功能更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完善、架构更合理、技术更先进的第二代支付系统。由于人民银行关于第二代支付系统的有关技术 规范不明确的原因，影响了公司全国支票影像交换业务处理系统项目在接口模式、应用技术、部署 方式上与人民银行第二代支付系统技术规范相适合，致使该项目的市场环境发生了较大的变化。</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公司超募资金共计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25,169.97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日，经公司第一届董事会第十一次会议审议通过</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万元超募资金永久补充流动资金。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日，经公司第二届董事会第七次会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议审议通过，公司与北京博世金信科技有限公司签订《资产收购合同</w:t>
                        </w:r>
                        <w:r>
                          <w:rPr>
                            <w:rFonts w:ascii="宋体" w:hAnsi="宋体" w:cs="宋体" w:eastAsia="宋体" w:hint="default"/>
                            <w:spacing w:val="-90"/>
                            <w:sz w:val="18"/>
                            <w:szCs w:val="18"/>
                          </w:rPr>
                          <w:t>》</w:t>
                        </w:r>
                        <w:r>
                          <w:rPr>
                            <w:rFonts w:ascii="宋体" w:hAnsi="宋体" w:cs="宋体" w:eastAsia="宋体" w:hint="default"/>
                            <w:sz w:val="18"/>
                            <w:szCs w:val="18"/>
                          </w:rPr>
                          <w:t>，使用超募资金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收购其拥有的支票打码机的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项专利技术、相关专有技术等无形资产，以及相关存货、固定资产等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有形资产。截至报告期末，公司本项资产收购已使用超募资金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633.10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万元。截至报告期末，公司其</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余超募资金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20,036.87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万元及衍生利息尚未使用，董事会将根据公司发展需要尽快制订其余超募资金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的使用计划后按计划使用。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9"/>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日第二届董事会第八次会议审议通过，公司原五个募集资金投资项目的实施 地点从深圳市科技园科发路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号金融服务技术创新基地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变更至深圳市福田区天安数码城天 祥大厦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10A</w:t>
                        </w:r>
                        <w:r>
                          <w:rPr>
                            <w:rFonts w:ascii="宋体" w:hAnsi="宋体" w:cs="宋体" w:eastAsia="宋体" w:hint="default"/>
                            <w:sz w:val="18"/>
                            <w:szCs w:val="18"/>
                          </w:rPr>
                          <w:t>。独立董事和保荐机构均对本次变更发表了同意意见。</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日第一届董事会第十一次会议审议通过，公司以募集资金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8,793,875.86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元置换 预先已投入募投项目的自筹资金。本次置换业经深圳市鹏城会计师事务所有限公司核验并出具了深 鹏所股专字</w:t>
                        </w:r>
                        <w:r>
                          <w:rPr>
                            <w:rFonts w:ascii="Times New Roman" w:hAnsi="Times New Roman" w:cs="Times New Roman" w:eastAsia="Times New Roman" w:hint="default"/>
                            <w:sz w:val="18"/>
                            <w:szCs w:val="18"/>
                          </w:rPr>
                          <w:t>[2010]438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号鉴证报告。独立董事和保荐机构均对本次置换发表了同意意见。</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尚未使用的募集资金均存放在公司募集资金专项帐户。</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公司在上海浦东发展银行深圳泰然支行开设的募集资金专项账户，账号：</w:t>
                        </w:r>
                        <w:r>
                          <w:rPr>
                            <w:rFonts w:ascii="Times New Roman" w:hAnsi="Times New Roman" w:cs="Times New Roman" w:eastAsia="Times New Roman" w:hint="default"/>
                            <w:spacing w:val="-2"/>
                            <w:sz w:val="18"/>
                            <w:szCs w:val="18"/>
                          </w:rPr>
                          <w:t>79100155200000677</w:t>
                        </w:r>
                        <w:r>
                          <w:rPr>
                            <w:rFonts w:ascii="宋体" w:hAnsi="宋体" w:cs="宋体" w:eastAsia="宋体" w:hint="default"/>
                            <w:spacing w:val="-2"/>
                            <w:sz w:val="18"/>
                            <w:szCs w:val="18"/>
                          </w:rPr>
                          <w:t>，截至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日，上述专户资金余额为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日依法办理了销户手续。</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44"/>
        <w:ind w:left="0" w:right="158"/>
        <w:jc w:val="right"/>
      </w:pPr>
      <w:r>
        <w:rPr/>
        <w:t>，</w:t>
      </w:r>
    </w:p>
    <w:p>
      <w:pPr>
        <w:spacing w:after="0" w:line="240" w:lineRule="auto"/>
        <w:jc w:val="righ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6"/>
        <w:gridCol w:w="958"/>
        <w:gridCol w:w="956"/>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52"/>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w:t>
            </w:r>
          </w:p>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3"/>
              <w:jc w:val="both"/>
              <w:rPr>
                <w:rFonts w:ascii="宋体" w:hAnsi="宋体" w:cs="宋体" w:eastAsia="宋体" w:hint="default"/>
                <w:sz w:val="18"/>
                <w:szCs w:val="18"/>
              </w:rPr>
            </w:pPr>
            <w:r>
              <w:rPr>
                <w:rFonts w:ascii="宋体" w:hAnsi="宋体" w:cs="宋体" w:eastAsia="宋体" w:hint="default"/>
                <w:sz w:val="18"/>
                <w:szCs w:val="18"/>
              </w:rPr>
              <w:t>商业银行集 中运营作业 平台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商业银行全 国票据影像 交换业务处 理系统升级 改造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2,212.6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11.41%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2,212.6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252.36</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2586"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3"/>
              <w:jc w:val="both"/>
              <w:rPr>
                <w:rFonts w:ascii="宋体" w:hAnsi="宋体" w:cs="宋体" w:eastAsia="宋体" w:hint="default"/>
                <w:sz w:val="18"/>
                <w:szCs w:val="18"/>
              </w:rPr>
            </w:pPr>
            <w:r>
              <w:rPr>
                <w:rFonts w:ascii="宋体" w:hAnsi="宋体" w:cs="宋体" w:eastAsia="宋体" w:hint="default"/>
                <w:sz w:val="18"/>
                <w:szCs w:val="18"/>
              </w:rPr>
              <w:t>因原募集资金投资项目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商业银行全国票据影像交换业务处理系统升级改造项目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的市 场环境发生了较大的变化，</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日第二届董事会第十次会议、第二届监事</w:t>
            </w:r>
          </w:p>
          <w:p>
            <w:pPr>
              <w:pStyle w:val="TableParagraph"/>
              <w:spacing w:line="300" w:lineRule="auto" w:before="13"/>
              <w:ind w:left="23" w:right="19"/>
              <w:jc w:val="both"/>
              <w:rPr>
                <w:rFonts w:ascii="宋体" w:hAnsi="宋体" w:cs="宋体" w:eastAsia="宋体" w:hint="default"/>
                <w:sz w:val="18"/>
                <w:szCs w:val="18"/>
              </w:rPr>
            </w:pPr>
            <w:r>
              <w:rPr>
                <w:rFonts w:ascii="宋体" w:hAnsi="宋体" w:cs="宋体" w:eastAsia="宋体" w:hint="default"/>
                <w:spacing w:val="-3"/>
                <w:sz w:val="18"/>
                <w:szCs w:val="18"/>
              </w:rPr>
              <w:t>会第八次会议、</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年第一次临时股东大会审议通过了《关于变更 </w:t>
            </w:r>
            <w:r>
              <w:rPr>
                <w:rFonts w:ascii="宋体" w:hAnsi="宋体" w:cs="宋体" w:eastAsia="宋体" w:hint="default"/>
                <w:spacing w:val="-3"/>
                <w:sz w:val="18"/>
                <w:szCs w:val="18"/>
              </w:rPr>
              <w:t>部分募集资金投资项目的议案》，公司原募集资金投资项目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商业银行全国票据影像交</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换业务处理系统升级改造项目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，变更后为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商业银行集中运营作业平台项目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。本次募</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集资金用途变更涉及募集资金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2332.42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万元，占募集资金净额的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。变更后的投资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商业银行集中运营作业平台项目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拟投入资金额为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2212.60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万元，其余</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元用于永久补充流动资金。独立董事和保荐机构均对本次变更发表了同意意见。</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报告期内，公司未发生重大非募集资金投资情况。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）证券投资情况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报告期内，公司无证券投资情况。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）持有其他上市公司股权情况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报告期内，公司未持有其他上市公司股权情况。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）持有非上市金融企业股权情况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报告期内，公司未持有非上市金融企业股权情况。</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90"/>
        <w:jc w:val="left"/>
        <w:rPr>
          <w:b w:val="0"/>
          <w:bCs w:val="0"/>
        </w:rPr>
      </w:pPr>
      <w:r>
        <w:rPr/>
        <w:t>（</w:t>
      </w:r>
      <w:r>
        <w:rPr>
          <w:rFonts w:ascii="Times New Roman" w:hAnsi="Times New Roman" w:cs="Times New Roman" w:eastAsia="Times New Roman" w:hint="default"/>
        </w:rPr>
        <w:t>8</w:t>
      </w:r>
      <w:r>
        <w:rPr/>
        <w:t>）买卖其他上市公司股份的情况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90"/>
        <w:jc w:val="left"/>
      </w:pPr>
      <w:r>
        <w:rPr/>
        <w:t>报告期内，公司无买卖其他上市公司股份的情况。</w:t>
      </w:r>
    </w:p>
    <w:p>
      <w:pPr>
        <w:spacing w:line="240" w:lineRule="auto" w:before="10"/>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90"/>
        <w:jc w:val="left"/>
      </w:pPr>
      <w:r>
        <w:rPr/>
        <w:t>报告期内，公司无外币金融资产和外币金融负债。</w:t>
      </w:r>
    </w:p>
    <w:p>
      <w:pPr>
        <w:spacing w:line="240" w:lineRule="auto" w:before="10"/>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left="514" w:right="186"/>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深圳市银之杰金融设备有限公司 </w:t>
      </w:r>
      <w:r>
        <w:rPr>
          <w:spacing w:val="-1"/>
        </w:rPr>
        <w:t>深圳市银之杰金融设备有限公司（以下简称</w:t>
      </w:r>
      <w:r>
        <w:rPr>
          <w:rFonts w:ascii="Times New Roman" w:hAnsi="Times New Roman" w:cs="Times New Roman" w:eastAsia="Times New Roman" w:hint="default"/>
          <w:spacing w:val="-1"/>
        </w:rPr>
        <w:t>“</w:t>
      </w:r>
      <w:r>
        <w:rPr>
          <w:spacing w:val="-1"/>
        </w:rPr>
        <w:t>银之杰金融设备</w:t>
      </w:r>
      <w:r>
        <w:rPr>
          <w:rFonts w:ascii="Times New Roman" w:hAnsi="Times New Roman" w:cs="Times New Roman" w:eastAsia="Times New Roman" w:hint="default"/>
          <w:spacing w:val="-1"/>
        </w:rPr>
        <w:t>”</w:t>
      </w:r>
      <w:r>
        <w:rPr>
          <w:spacing w:val="-1"/>
        </w:rPr>
        <w:t>，原名为</w:t>
      </w:r>
      <w:r>
        <w:rPr>
          <w:rFonts w:ascii="Times New Roman" w:hAnsi="Times New Roman" w:cs="Times New Roman" w:eastAsia="Times New Roman" w:hint="default"/>
          <w:spacing w:val="-1"/>
        </w:rPr>
        <w:t>“</w:t>
      </w:r>
      <w:r>
        <w:rPr>
          <w:spacing w:val="-1"/>
        </w:rPr>
        <w:t>深圳市银之杰软件技术有限公司</w:t>
      </w:r>
      <w:r>
        <w:rPr>
          <w:rFonts w:ascii="Times New Roman" w:hAnsi="Times New Roman" w:cs="Times New Roman" w:eastAsia="Times New Roman" w:hint="default"/>
          <w:spacing w:val="-1"/>
        </w:rPr>
        <w:t>”</w:t>
      </w:r>
      <w:r>
        <w:rPr>
          <w:spacing w:val="-1"/>
        </w:rPr>
        <w:t>）成立于</w:t>
      </w:r>
      <w:r>
        <w:rPr>
          <w:rFonts w:ascii="Times New Roman" w:hAnsi="Times New Roman" w:cs="Times New Roman" w:eastAsia="Times New Roman" w:hint="default"/>
          <w:spacing w:val="-1"/>
        </w:rPr>
        <w:t>2008</w:t>
      </w:r>
    </w:p>
    <w:p>
      <w:pPr>
        <w:pStyle w:val="BodyText"/>
        <w:spacing w:line="458" w:lineRule="auto" w:before="43"/>
        <w:ind w:right="90"/>
        <w:jc w:val="left"/>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日，注册地为深圳市宝安区大浪街道大浪社区华宁路华联工业区</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2</w:t>
      </w:r>
      <w:r>
        <w:rPr/>
        <w:t>楼。注册资本人民币</w:t>
      </w:r>
      <w:r>
        <w:rPr>
          <w:rFonts w:ascii="Times New Roman" w:hAnsi="Times New Roman" w:cs="Times New Roman" w:eastAsia="Times New Roman" w:hint="default"/>
        </w:rPr>
        <w:t>100</w:t>
      </w:r>
      <w:r>
        <w:rPr/>
        <w:t>万元，法定代表人为 </w:t>
      </w:r>
      <w:r>
        <w:rPr>
          <w:spacing w:val="-2"/>
        </w:rPr>
        <w:t>陈向军，企业法人营业执照注册号为</w:t>
      </w:r>
      <w:r>
        <w:rPr>
          <w:rFonts w:ascii="Times New Roman" w:hAnsi="Times New Roman" w:cs="Times New Roman" w:eastAsia="Times New Roman" w:hint="default"/>
          <w:spacing w:val="-2"/>
        </w:rPr>
        <w:t>440301103717058</w:t>
      </w:r>
      <w:r>
        <w:rPr>
          <w:spacing w:val="-2"/>
        </w:rPr>
        <w:t>，是本公司的全资子公司。经营范围：计算机硬件、计算机外围设备、</w:t>
      </w:r>
      <w:r>
        <w:rPr>
          <w:spacing w:val="-50"/>
        </w:rPr>
        <w:t> </w:t>
      </w:r>
      <w:r>
        <w:rPr>
          <w:spacing w:val="-50"/>
        </w:rPr>
      </w:r>
      <w:r>
        <w:rPr>
          <w:spacing w:val="-2"/>
        </w:rPr>
        <w:t>金融自动化设备、图像采集设备、机具、自助服务设备、打印设备的技术开发、生产、销售、上门维修；计算机软硬件、金</w:t>
      </w:r>
      <w:r>
        <w:rPr>
          <w:spacing w:val="-69"/>
        </w:rPr>
        <w:t> </w:t>
      </w:r>
      <w:r>
        <w:rPr>
          <w:spacing w:val="-69"/>
        </w:rPr>
      </w:r>
      <w:r>
        <w:rPr/>
        <w:t>融专用设备的上门维修、技术开发与技术咨询；系统集成。</w:t>
      </w:r>
    </w:p>
    <w:p>
      <w:pPr>
        <w:pStyle w:val="BodyText"/>
        <w:spacing w:line="477" w:lineRule="auto" w:before="68"/>
        <w:ind w:right="90" w:firstLine="360"/>
        <w:jc w:val="left"/>
      </w:pPr>
      <w:r>
        <w:rPr>
          <w:spacing w:val="-2"/>
        </w:rPr>
        <w:t>银之杰金融设备主要为本公司提供金融专用设备的组装加工生产服务和部分核心技术的开发服务，其收入销售对象是本</w:t>
      </w:r>
      <w:r>
        <w:rPr/>
        <w:t> 公司，再由本公司对外销售。</w:t>
      </w:r>
    </w:p>
    <w:p>
      <w:pPr>
        <w:pStyle w:val="BodyText"/>
        <w:spacing w:line="451" w:lineRule="auto" w:before="54"/>
        <w:ind w:right="90" w:firstLine="360"/>
        <w:jc w:val="left"/>
      </w:pPr>
      <w:r>
        <w:rPr>
          <w:spacing w:val="-3"/>
        </w:rPr>
        <w:t>经国富浩华会计师事务所审计，报告期内，银之杰金融设备实现营业收入</w:t>
      </w:r>
      <w:r>
        <w:rPr>
          <w:rFonts w:ascii="Times New Roman" w:hAnsi="Times New Roman" w:cs="Times New Roman" w:eastAsia="Times New Roman" w:hint="default"/>
          <w:spacing w:val="-3"/>
        </w:rPr>
        <w:t>15,307,060.90 </w:t>
      </w:r>
      <w:r>
        <w:rPr>
          <w:spacing w:val="-3"/>
        </w:rPr>
        <w:t>元，实现净利润</w:t>
      </w:r>
      <w:r>
        <w:rPr>
          <w:rFonts w:ascii="Times New Roman" w:hAnsi="Times New Roman" w:cs="Times New Roman" w:eastAsia="Times New Roman" w:hint="default"/>
          <w:spacing w:val="-3"/>
        </w:rPr>
        <w:t>8,611,264.44</w:t>
      </w:r>
      <w:r>
        <w:rPr>
          <w:rFonts w:ascii="Times New Roman" w:hAnsi="Times New Roman" w:cs="Times New Roman" w:eastAsia="Times New Roman" w:hint="default"/>
          <w:spacing w:val="16"/>
        </w:rPr>
        <w:t> </w:t>
      </w:r>
      <w:r>
        <w:rPr/>
        <w:t>元，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日，银之杰金融设备总资产</w:t>
      </w:r>
      <w:r>
        <w:rPr>
          <w:rFonts w:ascii="Times New Roman" w:hAnsi="Times New Roman" w:cs="Times New Roman" w:eastAsia="Times New Roman" w:hint="default"/>
        </w:rPr>
        <w:t>20,568,610.92  </w:t>
      </w:r>
      <w:r>
        <w:rPr/>
        <w:t>元，净资产</w:t>
      </w:r>
      <w:r>
        <w:rPr>
          <w:rFonts w:ascii="Times New Roman" w:hAnsi="Times New Roman" w:cs="Times New Roman" w:eastAsia="Times New Roman" w:hint="default"/>
        </w:rPr>
        <w:t>3,363,375.81</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15"/>
          <w:szCs w:val="15"/>
        </w:rPr>
      </w:pPr>
    </w:p>
    <w:p>
      <w:pPr>
        <w:pStyle w:val="BodyText"/>
        <w:spacing w:line="451" w:lineRule="auto"/>
        <w:ind w:left="514" w:right="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深圳市银之杰技术开发有限公司 </w:t>
      </w:r>
      <w:r>
        <w:rPr>
          <w:spacing w:val="-2"/>
        </w:rPr>
        <w:t>深圳市银之杰技术开发有限公司（以下简称</w:t>
      </w:r>
      <w:r>
        <w:rPr>
          <w:rFonts w:ascii="Times New Roman" w:hAnsi="Times New Roman" w:cs="Times New Roman" w:eastAsia="Times New Roman" w:hint="default"/>
          <w:spacing w:val="-2"/>
        </w:rPr>
        <w:t>“</w:t>
      </w:r>
      <w:r>
        <w:rPr>
          <w:spacing w:val="-2"/>
        </w:rPr>
        <w:t>银之杰技术开发</w:t>
      </w:r>
      <w:r>
        <w:rPr>
          <w:rFonts w:ascii="Times New Roman" w:hAnsi="Times New Roman" w:cs="Times New Roman" w:eastAsia="Times New Roman" w:hint="default"/>
          <w:spacing w:val="-2"/>
        </w:rPr>
        <w:t>”</w:t>
      </w:r>
      <w:r>
        <w:rPr>
          <w:spacing w:val="-2"/>
        </w:rPr>
        <w:t>）成立于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日，注册地为深圳市福田区天安数码</w:t>
      </w:r>
    </w:p>
    <w:p>
      <w:pPr>
        <w:pStyle w:val="BodyText"/>
        <w:spacing w:line="451" w:lineRule="auto" w:before="43"/>
        <w:ind w:right="250"/>
        <w:jc w:val="left"/>
      </w:pPr>
      <w:r>
        <w:rPr/>
        <w:t>城天祥大厦</w:t>
      </w:r>
      <w:r>
        <w:rPr>
          <w:rFonts w:ascii="Times New Roman" w:hAnsi="Times New Roman" w:cs="Times New Roman" w:eastAsia="Times New Roman" w:hint="default"/>
        </w:rPr>
        <w:t>AB</w:t>
      </w:r>
      <w:r>
        <w:rPr/>
        <w:t>座</w:t>
      </w:r>
      <w:r>
        <w:rPr>
          <w:rFonts w:ascii="Times New Roman" w:hAnsi="Times New Roman" w:cs="Times New Roman" w:eastAsia="Times New Roman" w:hint="default"/>
        </w:rPr>
        <w:t>10A</w:t>
      </w:r>
      <w:r>
        <w:rPr/>
        <w:t>，注册资本人民币</w:t>
      </w:r>
      <w:r>
        <w:rPr>
          <w:rFonts w:ascii="Times New Roman" w:hAnsi="Times New Roman" w:cs="Times New Roman" w:eastAsia="Times New Roman" w:hint="default"/>
        </w:rPr>
        <w:t>300</w:t>
      </w:r>
      <w:r>
        <w:rPr/>
        <w:t>万元，法定代表人为陈向军，企业法人营业执照注册号为</w:t>
      </w:r>
      <w:r>
        <w:rPr>
          <w:rFonts w:ascii="Times New Roman" w:hAnsi="Times New Roman" w:cs="Times New Roman" w:eastAsia="Times New Roman" w:hint="default"/>
        </w:rPr>
        <w:t>440301105373052</w:t>
      </w:r>
      <w:r>
        <w:rPr/>
        <w:t>，是 本公司的全资子公司。经营范围：计算机软硬件的技术设计、技术开发、技术咨询与销售。</w:t>
      </w:r>
    </w:p>
    <w:p>
      <w:pPr>
        <w:pStyle w:val="BodyText"/>
        <w:spacing w:line="477" w:lineRule="auto" w:before="74"/>
        <w:ind w:right="90" w:firstLine="360"/>
        <w:jc w:val="left"/>
      </w:pPr>
      <w:r>
        <w:rPr>
          <w:spacing w:val="-2"/>
        </w:rPr>
        <w:t>银之杰技术开发主要为本公司提供金融专业设备产品的底层控制软件及终端应用软件技术的开发服务，其收入销售对象</w:t>
      </w:r>
      <w:r>
        <w:rPr/>
        <w:t> 是本公司，再由本公司组成产品对外销售。</w:t>
      </w:r>
    </w:p>
    <w:p>
      <w:pPr>
        <w:pStyle w:val="BodyText"/>
        <w:spacing w:line="451" w:lineRule="auto" w:before="54"/>
        <w:ind w:right="90" w:firstLine="360"/>
        <w:jc w:val="left"/>
      </w:pPr>
      <w:r>
        <w:rPr/>
        <w:t>经国富浩华会计师事务所审计，报告期内，银之杰技术开发实现营业收入</w:t>
      </w:r>
      <w:r>
        <w:rPr>
          <w:rFonts w:ascii="Times New Roman" w:hAnsi="Times New Roman" w:cs="Times New Roman" w:eastAsia="Times New Roman" w:hint="default"/>
        </w:rPr>
        <w:t>1,309,230.76 </w:t>
      </w:r>
      <w:r>
        <w:rPr/>
        <w:t>元，实现净利润</w:t>
      </w:r>
      <w:r>
        <w:rPr>
          <w:rFonts w:ascii="Times New Roman" w:hAnsi="Times New Roman" w:cs="Times New Roman" w:eastAsia="Times New Roman" w:hint="default"/>
        </w:rPr>
        <w:t>-381,166.54</w:t>
      </w:r>
      <w:r>
        <w:rPr>
          <w:rFonts w:ascii="Times New Roman" w:hAnsi="Times New Roman" w:cs="Times New Roman" w:eastAsia="Times New Roman" w:hint="default"/>
          <w:spacing w:val="3"/>
        </w:rPr>
        <w:t> </w:t>
      </w:r>
      <w:r>
        <w:rPr/>
        <w:t>元，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日，银之杰技术开发总资产</w:t>
      </w:r>
      <w:r>
        <w:rPr>
          <w:rFonts w:ascii="Times New Roman" w:hAnsi="Times New Roman" w:cs="Times New Roman" w:eastAsia="Times New Roman" w:hint="default"/>
        </w:rPr>
        <w:t>2,604,852.37</w:t>
      </w:r>
      <w:r>
        <w:rPr>
          <w:rFonts w:ascii="Times New Roman" w:hAnsi="Times New Roman" w:cs="Times New Roman" w:eastAsia="Times New Roman" w:hint="default"/>
          <w:spacing w:val="24"/>
        </w:rPr>
        <w:t> </w:t>
      </w:r>
      <w:r>
        <w:rPr/>
        <w:t>元，净资产</w:t>
      </w:r>
      <w:r>
        <w:rPr>
          <w:rFonts w:ascii="Times New Roman" w:hAnsi="Times New Roman" w:cs="Times New Roman" w:eastAsia="Times New Roman" w:hint="default"/>
        </w:rPr>
        <w:t>2,354,165.57</w:t>
      </w:r>
      <w:r>
        <w:rPr/>
        <w:t>元。</w:t>
      </w:r>
    </w:p>
    <w:p>
      <w:pPr>
        <w:spacing w:line="240" w:lineRule="auto" w:before="6"/>
        <w:rPr>
          <w:rFonts w:ascii="宋体" w:hAnsi="宋体" w:cs="宋体" w:eastAsia="宋体" w:hint="default"/>
          <w:sz w:val="18"/>
          <w:szCs w:val="18"/>
        </w:rPr>
      </w:pPr>
    </w:p>
    <w:p>
      <w:pPr>
        <w:pStyle w:val="Heading3"/>
        <w:spacing w:line="240" w:lineRule="auto"/>
        <w:ind w:right="90"/>
        <w:jc w:val="left"/>
        <w:rPr>
          <w:b w:val="0"/>
          <w:bCs w:val="0"/>
        </w:rPr>
      </w:pP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90"/>
        <w:jc w:val="left"/>
      </w:pPr>
      <w:r>
        <w:rPr/>
        <w:t>报告期内，公司不存在公司控制下的特殊目的主体。</w:t>
      </w:r>
    </w:p>
    <w:p>
      <w:pPr>
        <w:spacing w:after="0" w:line="240"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三、公司未来发展的展望</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13" w:right="4591"/>
        <w:jc w:val="left"/>
      </w:pPr>
      <w:r>
        <w:rPr/>
        <w:t>（一）外部经营环境发展现状和变化趋势 公司属于计算机应用服务业中的软件行业、金融信息化行业。</w:t>
      </w:r>
    </w:p>
    <w:p>
      <w:pPr>
        <w:pStyle w:val="BodyText"/>
        <w:spacing w:line="463" w:lineRule="auto" w:before="54"/>
        <w:ind w:left="153" w:right="90" w:firstLine="360"/>
        <w:jc w:val="left"/>
      </w:pPr>
      <w:r>
        <w:rPr/>
        <w:t>软件产业是国家战略性新兴产业，是国民经济和社会信息化的重要基础。</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日，国务院印发了《进一步鼓励 软件产业和集成电路产业发展的若干政策》的通知（国发</w:t>
      </w:r>
      <w:r>
        <w:rPr>
          <w:rFonts w:ascii="Times New Roman" w:hAnsi="Times New Roman" w:cs="Times New Roman" w:eastAsia="Times New Roman" w:hint="default"/>
        </w:rPr>
        <w:t>[2011]4</w:t>
      </w:r>
      <w:r>
        <w:rPr/>
        <w:t>号），进一步优化软件产业发展环境，提高产业发展质量 </w:t>
      </w:r>
      <w:r>
        <w:rPr>
          <w:spacing w:val="-1"/>
        </w:rPr>
        <w:t>和水平，培育一批有实力和影响力的行业领先企业。公司是国家高新技术企业、软件企业，随着国发</w:t>
      </w:r>
      <w:r>
        <w:rPr>
          <w:rFonts w:ascii="Times New Roman" w:hAnsi="Times New Roman" w:cs="Times New Roman" w:eastAsia="Times New Roman" w:hint="default"/>
          <w:spacing w:val="-1"/>
        </w:rPr>
        <w:t>[2011]4</w:t>
      </w:r>
      <w:r>
        <w:rPr>
          <w:spacing w:val="-1"/>
        </w:rPr>
        <w:t>号文件的执行，</w:t>
      </w:r>
      <w:r>
        <w:rPr>
          <w:spacing w:val="-57"/>
        </w:rPr>
        <w:t> </w:t>
      </w:r>
      <w:r>
        <w:rPr>
          <w:spacing w:val="-57"/>
        </w:rPr>
      </w:r>
      <w:r>
        <w:rPr>
          <w:spacing w:val="-4"/>
        </w:rPr>
        <w:t>公司将继续获得国家对于软件企业的扶持和优惠政策支持，包括继续享受软件增值税优惠政策，进一步享受营业税优惠政策，</w:t>
      </w:r>
      <w:r>
        <w:rPr>
          <w:spacing w:val="-44"/>
        </w:rPr>
        <w:t> </w:t>
      </w:r>
      <w:r>
        <w:rPr>
          <w:spacing w:val="-44"/>
        </w:rPr>
      </w:r>
      <w:r>
        <w:rPr>
          <w:spacing w:val="-2"/>
        </w:rPr>
        <w:t>继续享受企业所得税的优惠税率，在国家鼓励、支持软件企业通过资源整合做大做强的政策环境下，更加顺利地实施重组并</w:t>
      </w:r>
      <w:r>
        <w:rPr>
          <w:spacing w:val="-66"/>
        </w:rPr>
        <w:t> </w:t>
      </w:r>
      <w:r>
        <w:rPr>
          <w:spacing w:val="-66"/>
        </w:rPr>
      </w:r>
      <w:r>
        <w:rPr>
          <w:spacing w:val="-2"/>
        </w:rPr>
        <w:t>购，以及其他人才引进和知识产权保护等。这些政策的出台和执行，为公司创造了良好的经营环境，并将在较长时期内得到</w:t>
      </w:r>
      <w:r>
        <w:rPr>
          <w:spacing w:val="-66"/>
        </w:rPr>
        <w:t> </w:t>
      </w:r>
      <w:r>
        <w:rPr>
          <w:spacing w:val="-66"/>
        </w:rPr>
      </w:r>
      <w:r>
        <w:rPr/>
        <w:t>保持。</w:t>
      </w:r>
    </w:p>
    <w:p>
      <w:pPr>
        <w:pStyle w:val="BodyText"/>
        <w:spacing w:line="451" w:lineRule="auto" w:before="65"/>
        <w:ind w:right="191" w:firstLine="360"/>
        <w:jc w:val="both"/>
      </w:pPr>
      <w:r>
        <w:rPr>
          <w:spacing w:val="-2"/>
        </w:rPr>
        <w:t>另一方面，金融信息化行业有广阔的发展前景。金融行业是现代经济的支柱行业，而金融行业也一直以来是在</w:t>
      </w:r>
      <w:r>
        <w:rPr>
          <w:rFonts w:ascii="Times New Roman" w:hAnsi="Times New Roman" w:cs="Times New Roman" w:eastAsia="Times New Roman" w:hint="default"/>
          <w:spacing w:val="-2"/>
        </w:rPr>
        <w:t>IT</w:t>
      </w:r>
      <w:r>
        <w:rPr>
          <w:spacing w:val="-2"/>
        </w:rPr>
        <w:t>方面投</w:t>
      </w:r>
      <w:r>
        <w:rPr/>
        <w:t> </w:t>
      </w:r>
      <w:r>
        <w:rPr>
          <w:spacing w:val="-2"/>
        </w:rPr>
        <w:t>入最大的行业之一，信息化成为引领金融行业现代化建设的重要手段。金融行业层出不穷、日新月异的</w:t>
      </w:r>
      <w:r>
        <w:rPr>
          <w:rFonts w:ascii="Times New Roman" w:hAnsi="Times New Roman" w:cs="Times New Roman" w:eastAsia="Times New Roman" w:hint="default"/>
          <w:spacing w:val="-2"/>
        </w:rPr>
        <w:t>IT</w:t>
      </w:r>
      <w:r>
        <w:rPr>
          <w:spacing w:val="-2"/>
        </w:rPr>
        <w:t>应用需求，给公司</w:t>
      </w:r>
      <w:r>
        <w:rPr>
          <w:spacing w:val="-52"/>
        </w:rPr>
        <w:t> </w:t>
      </w:r>
      <w:r>
        <w:rPr>
          <w:spacing w:val="-52"/>
        </w:rPr>
      </w:r>
      <w:r>
        <w:rPr/>
        <w:t>发展提供了广阔的发展机会。</w:t>
      </w:r>
    </w:p>
    <w:p>
      <w:pPr>
        <w:spacing w:line="240" w:lineRule="auto" w:before="8"/>
        <w:rPr>
          <w:rFonts w:ascii="宋体" w:hAnsi="宋体" w:cs="宋体" w:eastAsia="宋体" w:hint="default"/>
          <w:sz w:val="17"/>
          <w:szCs w:val="17"/>
        </w:rPr>
      </w:pPr>
    </w:p>
    <w:p>
      <w:pPr>
        <w:pStyle w:val="BodyText"/>
        <w:spacing w:line="477" w:lineRule="auto"/>
        <w:ind w:left="514" w:right="90"/>
        <w:jc w:val="left"/>
      </w:pPr>
      <w:r>
        <w:rPr/>
        <w:t>（二）市场格局及变化趋势 </w:t>
      </w:r>
      <w:r>
        <w:rPr>
          <w:spacing w:val="-2"/>
        </w:rPr>
        <w:t>在本公司主营的银行业软件产品、软件开发、金融专用设备和技术服务领域，一方面，随着我国经济快速发展、银行经</w:t>
      </w:r>
    </w:p>
    <w:p>
      <w:pPr>
        <w:pStyle w:val="BodyText"/>
        <w:spacing w:line="477" w:lineRule="auto" w:before="54"/>
        <w:ind w:right="101"/>
        <w:jc w:val="both"/>
      </w:pPr>
      <w:r>
        <w:rPr>
          <w:spacing w:val="-4"/>
        </w:rPr>
        <w:t>营向好，银行业信息化投入呈现稳定增长的趋势，市场机会不断涌现；另一方面，银行用户的信息化产品采购越来越市场化、</w:t>
      </w:r>
      <w:r>
        <w:rPr>
          <w:spacing w:val="-46"/>
        </w:rPr>
        <w:t> </w:t>
      </w:r>
      <w:r>
        <w:rPr>
          <w:spacing w:val="-46"/>
        </w:rPr>
      </w:r>
      <w:r>
        <w:rPr/>
        <w:t>规范化，对产品性能、质量、服务的要求日益提高，行业竞争日趋激烈。</w:t>
      </w:r>
    </w:p>
    <w:p>
      <w:pPr>
        <w:pStyle w:val="BodyText"/>
        <w:spacing w:line="477" w:lineRule="auto" w:before="54"/>
        <w:ind w:right="189" w:firstLine="360"/>
        <w:jc w:val="both"/>
      </w:pPr>
      <w:r>
        <w:rPr>
          <w:spacing w:val="-2"/>
        </w:rPr>
        <w:t>在银行软件产品市场上，国外知名企业依靠强大的技术积累和品牌优势，在基础软件、通用软件、数据库产品领域占据</w:t>
      </w:r>
      <w:r>
        <w:rPr/>
        <w:t> </w:t>
      </w:r>
      <w:r>
        <w:rPr>
          <w:spacing w:val="-2"/>
        </w:rPr>
        <w:t>主导地位；国内企业则依靠对国内银行业务需求针对性强、融合性好，在应用软件产品领域更具竞争力。而在银行应用软件</w:t>
      </w:r>
      <w:r>
        <w:rPr>
          <w:spacing w:val="-66"/>
        </w:rPr>
        <w:t> </w:t>
      </w:r>
      <w:r>
        <w:rPr>
          <w:spacing w:val="-66"/>
        </w:rPr>
      </w:r>
      <w:r>
        <w:rPr>
          <w:spacing w:val="-2"/>
        </w:rPr>
        <w:t>产品市场上，国内银行软件企业呈现群雄逐鹿的行业竞争态势，尚未形成单一或少数垄断的市场格局。但随着行业发展，国</w:t>
      </w:r>
      <w:r>
        <w:rPr>
          <w:spacing w:val="-66"/>
        </w:rPr>
        <w:t> </w:t>
      </w:r>
      <w:r>
        <w:rPr>
          <w:spacing w:val="-66"/>
        </w:rPr>
      </w:r>
      <w:r>
        <w:rPr/>
        <w:t>内银行应用软件产品市场出现产业整合，市场资源向更具竞争力的企业集聚将是市场发展的必然趋势。</w:t>
      </w:r>
    </w:p>
    <w:p>
      <w:pPr>
        <w:spacing w:line="240" w:lineRule="auto" w:before="1"/>
        <w:rPr>
          <w:rFonts w:ascii="宋体" w:hAnsi="宋体" w:cs="宋体" w:eastAsia="宋体" w:hint="default"/>
          <w:sz w:val="16"/>
          <w:szCs w:val="16"/>
        </w:rPr>
      </w:pPr>
    </w:p>
    <w:p>
      <w:pPr>
        <w:pStyle w:val="BodyText"/>
        <w:spacing w:line="477" w:lineRule="auto"/>
        <w:ind w:left="514" w:right="90"/>
        <w:jc w:val="left"/>
      </w:pPr>
      <w:r>
        <w:rPr/>
        <w:t>（三）公司市场竞争优势 </w:t>
      </w:r>
      <w:r>
        <w:rPr>
          <w:spacing w:val="-2"/>
        </w:rPr>
        <w:t>经过上市以后近三年的发展，公司进一步巩固和发展了公司在行业内的竞争优势：一是客户资源优势，公司已经为全国</w:t>
      </w:r>
    </w:p>
    <w:p>
      <w:pPr>
        <w:pStyle w:val="BodyText"/>
        <w:spacing w:line="468" w:lineRule="auto" w:before="54"/>
        <w:ind w:right="108"/>
        <w:jc w:val="both"/>
      </w:pPr>
      <w:r>
        <w:rPr>
          <w:rFonts w:ascii="Times New Roman" w:hAnsi="Times New Roman" w:cs="Times New Roman" w:eastAsia="Times New Roman" w:hint="default"/>
        </w:rPr>
        <w:t>330</w:t>
      </w:r>
      <w:r>
        <w:rPr/>
        <w:t>多家银行提供了产品和服务，并保持了良好的客户关系，这些宝贵的客户资源是公司今后业务持续发展的坚实基础。二 </w:t>
      </w:r>
      <w:r>
        <w:rPr>
          <w:spacing w:val="-2"/>
        </w:rPr>
        <w:t>是核心技术优势，公司的一批核心技术如电脑验印技术、影像处理技术等在行业内具有领先地位，硬件产品和流程银行相关</w:t>
      </w:r>
      <w:r>
        <w:rPr>
          <w:spacing w:val="-66"/>
        </w:rPr>
        <w:t> </w:t>
      </w:r>
      <w:r>
        <w:rPr>
          <w:spacing w:val="-66"/>
        </w:rPr>
      </w:r>
      <w:r>
        <w:rPr>
          <w:spacing w:val="-2"/>
        </w:rPr>
        <w:t>领域的技术能力和优势也在逐步形成。三是资金优势，公司成功上市后为公司未来业务发展提供了有力的资金保障。四是品</w:t>
      </w:r>
      <w:r>
        <w:rPr>
          <w:spacing w:val="-66"/>
        </w:rPr>
        <w:t> </w:t>
      </w:r>
      <w:r>
        <w:rPr>
          <w:spacing w:val="-66"/>
        </w:rPr>
      </w:r>
      <w:r>
        <w:rPr/>
        <w:t>牌优势，经过多年的行业积累，尤其是公司成功上市以后，公司在行业内具备了良好的企业品牌形象和较高的市场认知度。</w:t>
      </w:r>
    </w:p>
    <w:p>
      <w:pPr>
        <w:spacing w:line="240" w:lineRule="auto" w:before="8"/>
        <w:rPr>
          <w:rFonts w:ascii="宋体" w:hAnsi="宋体" w:cs="宋体" w:eastAsia="宋体" w:hint="default"/>
          <w:sz w:val="16"/>
          <w:szCs w:val="16"/>
        </w:rPr>
      </w:pPr>
    </w:p>
    <w:p>
      <w:pPr>
        <w:pStyle w:val="BodyText"/>
        <w:spacing w:line="240" w:lineRule="auto"/>
        <w:ind w:left="514" w:right="90"/>
        <w:jc w:val="left"/>
      </w:pPr>
      <w:r>
        <w:rPr/>
        <w:t>（四）未来工作规划和发展展望</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51" w:firstLine="360"/>
        <w:jc w:val="both"/>
      </w:pPr>
      <w:r>
        <w:rPr>
          <w:spacing w:val="-2"/>
        </w:rPr>
        <w:t>基于对企业内外部环境的基本分析和判断，公司今后仍将专注金融信息化领域，走专业化发展道路，努力做金融信息化</w:t>
      </w:r>
      <w:r>
        <w:rPr/>
        <w:t> 行业的龙头企业。</w:t>
      </w:r>
    </w:p>
    <w:p>
      <w:pPr>
        <w:pStyle w:val="BodyText"/>
        <w:spacing w:line="468" w:lineRule="auto" w:before="54"/>
        <w:ind w:right="149" w:firstLine="360"/>
        <w:jc w:val="both"/>
      </w:pPr>
      <w:r>
        <w:rPr>
          <w:spacing w:val="-2"/>
        </w:rPr>
        <w:t>经过十四年的发展，公司规模和业务不断发展壮大，已经从银行影像应用软件细分市场的领先企业，成长为国内银行信</w:t>
      </w:r>
      <w:r>
        <w:rPr/>
        <w:t> </w:t>
      </w:r>
      <w:r>
        <w:rPr>
          <w:spacing w:val="-2"/>
        </w:rPr>
        <w:t>息化领域的主流企业。同时应该看到，从金融信息化行业整体的角度看，公司在产品服务覆盖范围、营业收入规模等方面还</w:t>
      </w:r>
      <w:r>
        <w:rPr>
          <w:spacing w:val="-66"/>
        </w:rPr>
        <w:t> </w:t>
      </w:r>
      <w:r>
        <w:rPr>
          <w:spacing w:val="-66"/>
        </w:rPr>
      </w:r>
      <w:r>
        <w:rPr>
          <w:spacing w:val="-2"/>
        </w:rPr>
        <w:t>有待更大的提升。为了实现公司</w:t>
      </w:r>
      <w:r>
        <w:rPr>
          <w:rFonts w:ascii="Times New Roman" w:hAnsi="Times New Roman" w:cs="Times New Roman" w:eastAsia="Times New Roman" w:hint="default"/>
          <w:spacing w:val="-2"/>
        </w:rPr>
        <w:t>“</w:t>
      </w:r>
      <w:r>
        <w:rPr>
          <w:spacing w:val="-2"/>
        </w:rPr>
        <w:t>做中国金融信息技术领域杰出的领导企业</w:t>
      </w:r>
      <w:r>
        <w:rPr>
          <w:rFonts w:ascii="Times New Roman" w:hAnsi="Times New Roman" w:cs="Times New Roman" w:eastAsia="Times New Roman" w:hint="default"/>
          <w:spacing w:val="-2"/>
        </w:rPr>
        <w:t>”</w:t>
      </w:r>
      <w:r>
        <w:rPr>
          <w:spacing w:val="-2"/>
        </w:rPr>
        <w:t>的发展愿景，公司近期的发展目标是首先使公司</w:t>
      </w:r>
      <w:r>
        <w:rPr>
          <w:spacing w:val="-44"/>
        </w:rPr>
        <w:t> </w:t>
      </w:r>
      <w:r>
        <w:rPr>
          <w:spacing w:val="-44"/>
        </w:rPr>
      </w:r>
      <w:r>
        <w:rPr/>
        <w:t>成为一个管理科学规范、人才充分汇集、产品和服务内容比较丰富、业务快速发展的行业内优秀的上市公司。</w:t>
      </w:r>
    </w:p>
    <w:p>
      <w:pPr>
        <w:pStyle w:val="BodyText"/>
        <w:spacing w:line="451" w:lineRule="auto" w:before="61"/>
        <w:ind w:right="151" w:firstLine="360"/>
        <w:jc w:val="both"/>
      </w:pPr>
      <w:r>
        <w:rPr>
          <w:spacing w:val="-2"/>
        </w:rPr>
        <w:t>围绕公司近期的发展目标，</w:t>
      </w:r>
      <w:r>
        <w:rPr>
          <w:rFonts w:ascii="Times New Roman" w:hAnsi="Times New Roman" w:cs="Times New Roman" w:eastAsia="Times New Roman" w:hint="default"/>
          <w:spacing w:val="-2"/>
        </w:rPr>
        <w:t>2013</w:t>
      </w:r>
      <w:r>
        <w:rPr>
          <w:spacing w:val="-2"/>
        </w:rPr>
        <w:t>年度公司将以做好新产品开发和市场推广工作为重点，以加强研发力量和研发体系的建</w:t>
      </w:r>
      <w:r>
        <w:rPr/>
        <w:t> 设为基础，以完善科学的管理体制为推动力，重点做好以下主要工作：</w:t>
      </w:r>
    </w:p>
    <w:p>
      <w:pPr>
        <w:pStyle w:val="BodyText"/>
        <w:spacing w:line="477" w:lineRule="auto" w:before="74"/>
        <w:ind w:right="151" w:firstLine="360"/>
        <w:jc w:val="both"/>
      </w:pPr>
      <w:r>
        <w:rPr>
          <w:spacing w:val="-2"/>
        </w:rPr>
        <w:t>一是着力发展流程银行软件业务，努力在国内流程银行信息化建设蓬勃发展的市场环境下，取得流程银行软件业务新的</w:t>
      </w:r>
      <w:r>
        <w:rPr/>
        <w:t> 突破；</w:t>
      </w:r>
    </w:p>
    <w:p>
      <w:pPr>
        <w:pStyle w:val="BodyText"/>
        <w:spacing w:line="477" w:lineRule="auto" w:before="54"/>
        <w:ind w:right="151" w:firstLine="360"/>
        <w:jc w:val="both"/>
      </w:pPr>
      <w:r>
        <w:rPr>
          <w:spacing w:val="-2"/>
        </w:rPr>
        <w:t>二是新产品市场推广工作，在金融专用设备新产品开发和市场推广初显成效的基础上，加大新产品市场推广力度，推动</w:t>
      </w:r>
      <w:r>
        <w:rPr/>
        <w:t> 公司经营业绩的提升；</w:t>
      </w:r>
    </w:p>
    <w:p>
      <w:pPr>
        <w:pStyle w:val="BodyText"/>
        <w:spacing w:line="477" w:lineRule="auto" w:before="54"/>
        <w:ind w:right="149" w:firstLine="360"/>
        <w:jc w:val="both"/>
      </w:pPr>
      <w:r>
        <w:rPr>
          <w:spacing w:val="-2"/>
        </w:rPr>
        <w:t>三是加强研发体系建设和新技术研究工作，借助募集资金投资项目的推进，加强模式识别、图像处理、流程银行相关技</w:t>
      </w:r>
      <w:r>
        <w:rPr/>
        <w:t> 术及基础框架平台技术的开发，同时研究和探索行业新兴技术，继续保持和增强公司在行业内的核心技术优势；</w:t>
      </w:r>
    </w:p>
    <w:p>
      <w:pPr>
        <w:pStyle w:val="BodyText"/>
        <w:spacing w:line="477" w:lineRule="auto" w:before="54"/>
        <w:ind w:right="151" w:firstLine="360"/>
        <w:jc w:val="both"/>
      </w:pPr>
      <w:r>
        <w:rPr>
          <w:spacing w:val="-2"/>
        </w:rPr>
        <w:t>四是充分利用超募资金，通过并购或投资与公司主营业务相关联或互补的优质企业或产品，开拓新的业务领域和业务模</w:t>
      </w:r>
      <w:r>
        <w:rPr/>
        <w:t> 式，促进公司做大做强。</w:t>
      </w:r>
    </w:p>
    <w:p>
      <w:pPr>
        <w:pStyle w:val="BodyText"/>
        <w:spacing w:line="477" w:lineRule="auto" w:before="54"/>
        <w:ind w:right="151" w:firstLine="360"/>
        <w:jc w:val="both"/>
      </w:pPr>
      <w:r>
        <w:rPr>
          <w:spacing w:val="-2"/>
        </w:rPr>
        <w:t>相信随着以上工作规划的逐步落实，将显著拓展公司在银行信息化领域的产品和服务范围，提高公司业务收入规模，推</w:t>
      </w:r>
      <w:r>
        <w:rPr/>
        <w:t> 动公司经营业绩进一步向好发展。</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514" w:right="0"/>
        <w:jc w:val="left"/>
      </w:pPr>
      <w:r>
        <w:rPr/>
        <w:t>报告期内，会计师事务所未出具非标准审计报告。</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五、董事会关于报告期会计政策、会计估计变更或重要前期差错更正的说明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报告期内，公司依据的会计政策、会计估计未发生变更，也不存在重要前期差错的更正。</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六、公司利润分配及分红派息情况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4" w:right="0"/>
        <w:jc w:val="left"/>
      </w:pPr>
      <w:r>
        <w:rPr/>
        <w:t>报告期内利润分配政策特别是现金分红政策的制定、执行或调整情况</w:t>
      </w:r>
    </w:p>
    <w:p>
      <w:pPr>
        <w:spacing w:line="240" w:lineRule="auto" w:before="0"/>
        <w:rPr>
          <w:rFonts w:ascii="宋体" w:hAnsi="宋体" w:cs="宋体" w:eastAsia="宋体" w:hint="default"/>
          <w:sz w:val="18"/>
          <w:szCs w:val="18"/>
        </w:rPr>
      </w:pPr>
    </w:p>
    <w:p>
      <w:pPr>
        <w:pStyle w:val="BodyText"/>
        <w:spacing w:line="451" w:lineRule="auto" w:before="151"/>
        <w:ind w:left="513" w:right="0"/>
        <w:jc w:val="left"/>
      </w:pPr>
      <w:r>
        <w:rPr>
          <w:rFonts w:ascii="Times New Roman" w:hAnsi="Times New Roman" w:cs="Times New Roman" w:eastAsia="Times New Roman" w:hint="default"/>
        </w:rPr>
        <w:t>1</w:t>
      </w:r>
      <w:r>
        <w:rPr/>
        <w:t>．公司的利润分配政策 </w:t>
      </w:r>
      <w:r>
        <w:rPr>
          <w:spacing w:val="-2"/>
        </w:rPr>
        <w:t>根据中国证监会及深圳证监局关于进一步落实上市公司现金分红有关事项的要求，上市公司应明确股东回报规划，完善</w:t>
      </w:r>
    </w:p>
    <w:p>
      <w:pPr>
        <w:pStyle w:val="BodyText"/>
        <w:spacing w:line="240" w:lineRule="auto" w:before="74"/>
        <w:ind w:left="153" w:right="0"/>
        <w:jc w:val="left"/>
        <w:rPr>
          <w:rFonts w:ascii="Times New Roman" w:hAnsi="Times New Roman" w:cs="Times New Roman" w:eastAsia="Times New Roman" w:hint="default"/>
        </w:rPr>
      </w:pPr>
      <w:r>
        <w:rPr>
          <w:spacing w:val="-4"/>
        </w:rPr>
        <w:t>股东大会、董事会对公司利润分配事项的决策程序和机制，提高现金分红信息披露透明度。</w:t>
      </w:r>
      <w:r>
        <w:rPr>
          <w:rFonts w:ascii="Times New Roman" w:hAnsi="Times New Roman" w:cs="Times New Roman" w:eastAsia="Times New Roman" w:hint="default"/>
          <w:spacing w:val="-4"/>
        </w:rPr>
        <w:t>2012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spacing w:val="-6"/>
        </w:rPr>
        <w:t>日，公司召开</w:t>
      </w:r>
      <w:r>
        <w:rPr>
          <w:rFonts w:ascii="Times New Roman" w:hAnsi="Times New Roman" w:cs="Times New Roman" w:eastAsia="Times New Roman" w:hint="default"/>
          <w:spacing w:val="-6"/>
        </w:rPr>
        <w:t>2012</w:t>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240" w:lineRule="auto" w:before="44"/>
        <w:ind w:right="90"/>
        <w:jc w:val="left"/>
      </w:pPr>
      <w:r>
        <w:rPr/>
        <w:t>年第一次临时股东大会，审议通过了《关于修订〈公司章程〉的议案》，公司现行利润分配政策为：</w:t>
      </w:r>
    </w:p>
    <w:p>
      <w:pPr>
        <w:spacing w:line="240" w:lineRule="auto" w:before="10"/>
        <w:rPr>
          <w:rFonts w:ascii="宋体" w:hAnsi="宋体" w:cs="宋体" w:eastAsia="宋体" w:hint="default"/>
          <w:sz w:val="17"/>
          <w:szCs w:val="17"/>
        </w:rPr>
      </w:pPr>
    </w:p>
    <w:p>
      <w:pPr>
        <w:pStyle w:val="BodyText"/>
        <w:spacing w:line="463" w:lineRule="auto"/>
        <w:ind w:right="87" w:firstLine="360"/>
        <w:jc w:val="left"/>
      </w:pPr>
      <w:r>
        <w:rPr>
          <w:rFonts w:ascii="Times New Roman" w:hAnsi="Times New Roman" w:cs="Times New Roman" w:eastAsia="Times New Roman" w:hint="default"/>
        </w:rPr>
        <w:t>“</w:t>
      </w:r>
      <w:r>
        <w:rPr/>
        <w:t>第一百五十五条</w:t>
      </w:r>
      <w:r>
        <w:rPr>
          <w:spacing w:val="13"/>
        </w:rPr>
        <w:t> </w:t>
      </w:r>
      <w:r>
        <w:rPr>
          <w:spacing w:val="-4"/>
        </w:rPr>
        <w:t>公司应当实行持续、稳定的利润分配政策，应重视对投资者的合理投资回报，兼顾公司的可持续发展，</w:t>
      </w:r>
      <w:r>
        <w:rPr/>
        <w:t> </w:t>
      </w:r>
      <w:r>
        <w:rPr>
          <w:spacing w:val="-2"/>
        </w:rPr>
        <w:t>保持利润分配政策的连续性和稳定性，并符合法律、法规的有关规定。公司利润分配不得超过累计可分配利润的范围，不得</w:t>
      </w:r>
      <w:r>
        <w:rPr>
          <w:spacing w:val="-66"/>
        </w:rPr>
        <w:t> </w:t>
      </w:r>
      <w:r>
        <w:rPr>
          <w:spacing w:val="-66"/>
        </w:rPr>
      </w:r>
      <w:r>
        <w:rPr/>
        <w:t>损害公司持续经营能力。</w:t>
      </w:r>
    </w:p>
    <w:p>
      <w:pPr>
        <w:pStyle w:val="BodyText"/>
        <w:spacing w:line="477" w:lineRule="auto" w:before="65"/>
        <w:ind w:left="514" w:right="1459"/>
        <w:jc w:val="left"/>
      </w:pPr>
      <w:r>
        <w:rPr/>
        <w:t>第一百五十六条</w:t>
      </w:r>
      <w:r>
        <w:rPr>
          <w:spacing w:val="-19"/>
        </w:rPr>
        <w:t> </w:t>
      </w:r>
      <w:r>
        <w:rPr/>
        <w:t>公司采取现金、股票、现金与股票相结合或者法律、法规允许的其他方式分配利润。</w:t>
      </w:r>
      <w:r>
        <w:rPr/>
        <w:t> 第一百五十七条</w:t>
      </w:r>
      <w:r>
        <w:rPr>
          <w:spacing w:val="-19"/>
        </w:rPr>
        <w:t> </w:t>
      </w:r>
      <w:r>
        <w:rPr/>
        <w:t>公司实施现金分红应同时满足以下条件：</w:t>
      </w:r>
    </w:p>
    <w:p>
      <w:pPr>
        <w:pStyle w:val="BodyText"/>
        <w:spacing w:line="240" w:lineRule="auto" w:before="54"/>
        <w:ind w:left="514" w:right="90"/>
        <w:jc w:val="left"/>
      </w:pPr>
      <w:r>
        <w:rPr>
          <w:spacing w:val="-4"/>
        </w:rPr>
        <w:t>（一）公司当年合并报表经营活动产生的现金流量净额为正，且现金流充裕，实施现金分红不会影响公司后续持续经营；</w:t>
      </w:r>
    </w:p>
    <w:p>
      <w:pPr>
        <w:spacing w:line="240" w:lineRule="auto" w:before="10"/>
        <w:rPr>
          <w:rFonts w:ascii="宋体" w:hAnsi="宋体" w:cs="宋体" w:eastAsia="宋体" w:hint="default"/>
          <w:sz w:val="17"/>
          <w:szCs w:val="17"/>
        </w:rPr>
      </w:pPr>
    </w:p>
    <w:p>
      <w:pPr>
        <w:pStyle w:val="BodyText"/>
        <w:spacing w:line="240" w:lineRule="auto"/>
        <w:ind w:left="514" w:right="90"/>
        <w:jc w:val="left"/>
      </w:pPr>
      <w:r>
        <w:rPr/>
        <w:t>（二）公司当年合并报表实现的净利润弥补以前年度亏损后的每股收益不低于</w:t>
      </w:r>
      <w:r>
        <w:rPr>
          <w:rFonts w:ascii="Times New Roman" w:hAnsi="Times New Roman" w:cs="Times New Roman" w:eastAsia="Times New Roman" w:hint="default"/>
        </w:rPr>
        <w:t>0.1</w:t>
      </w:r>
      <w:r>
        <w:rPr/>
        <w:t>元；</w:t>
      </w:r>
    </w:p>
    <w:p>
      <w:pPr>
        <w:spacing w:line="240" w:lineRule="auto" w:before="9"/>
        <w:rPr>
          <w:rFonts w:ascii="宋体" w:hAnsi="宋体" w:cs="宋体" w:eastAsia="宋体" w:hint="default"/>
          <w:sz w:val="16"/>
          <w:szCs w:val="16"/>
        </w:rPr>
      </w:pPr>
    </w:p>
    <w:p>
      <w:pPr>
        <w:pStyle w:val="BodyText"/>
        <w:spacing w:line="240" w:lineRule="auto"/>
        <w:ind w:left="513" w:right="90"/>
        <w:jc w:val="left"/>
      </w:pPr>
      <w:r>
        <w:rPr/>
        <w:t>（三）审计机构对公司的该年度财务报告出具标准无保留意见的审计报告；</w:t>
      </w:r>
    </w:p>
    <w:p>
      <w:pPr>
        <w:spacing w:line="240" w:lineRule="auto" w:before="10"/>
        <w:rPr>
          <w:rFonts w:ascii="宋体" w:hAnsi="宋体" w:cs="宋体" w:eastAsia="宋体" w:hint="default"/>
          <w:sz w:val="17"/>
          <w:szCs w:val="17"/>
        </w:rPr>
      </w:pPr>
    </w:p>
    <w:p>
      <w:pPr>
        <w:pStyle w:val="BodyText"/>
        <w:spacing w:line="477" w:lineRule="auto"/>
        <w:ind w:left="513" w:right="90"/>
        <w:jc w:val="left"/>
      </w:pPr>
      <w:r>
        <w:rPr/>
        <w:t>（四）公司无重大投资计划或重大现金支出等事项发生（募集资金项目除外）。 </w:t>
      </w:r>
      <w:r>
        <w:rPr>
          <w:spacing w:val="-2"/>
        </w:rPr>
        <w:t>重大投资计划或重大现金支出是指：公司未来十二个月内拟对外投资或者购买资产的累计支出达到或者超过公司最近一</w:t>
      </w:r>
    </w:p>
    <w:p>
      <w:pPr>
        <w:pStyle w:val="BodyText"/>
        <w:spacing w:line="240" w:lineRule="auto" w:before="54"/>
        <w:ind w:left="153" w:right="90"/>
        <w:jc w:val="left"/>
      </w:pPr>
      <w:r>
        <w:rPr/>
        <w:t>期经审计净资产的</w:t>
      </w:r>
      <w:r>
        <w:rPr>
          <w:rFonts w:ascii="Times New Roman" w:hAnsi="Times New Roman" w:cs="Times New Roman" w:eastAsia="Times New Roman" w:hint="default"/>
        </w:rPr>
        <w:t>10%</w:t>
      </w:r>
      <w:r>
        <w:rPr/>
        <w:t>，且达到或者超过人民币</w:t>
      </w:r>
      <w:r>
        <w:rPr>
          <w:rFonts w:ascii="Times New Roman" w:hAnsi="Times New Roman" w:cs="Times New Roman" w:eastAsia="Times New Roman" w:hint="default"/>
        </w:rPr>
        <w:t>3000</w:t>
      </w:r>
      <w:r>
        <w:rPr/>
        <w:t>万元。</w:t>
      </w:r>
    </w:p>
    <w:p>
      <w:pPr>
        <w:spacing w:line="240" w:lineRule="auto" w:before="9"/>
        <w:rPr>
          <w:rFonts w:ascii="宋体" w:hAnsi="宋体" w:cs="宋体" w:eastAsia="宋体" w:hint="default"/>
          <w:sz w:val="16"/>
          <w:szCs w:val="16"/>
        </w:rPr>
      </w:pPr>
    </w:p>
    <w:p>
      <w:pPr>
        <w:pStyle w:val="BodyText"/>
        <w:spacing w:line="477" w:lineRule="auto"/>
        <w:ind w:left="153" w:right="200" w:firstLine="360"/>
        <w:jc w:val="left"/>
      </w:pPr>
      <w:r>
        <w:rPr/>
        <w:t>第一百五十八条</w:t>
      </w:r>
      <w:r>
        <w:rPr>
          <w:spacing w:val="-19"/>
        </w:rPr>
        <w:t> </w:t>
      </w:r>
      <w:r>
        <w:rPr/>
        <w:t>在符合利润分配原则、满足现金分红条件的前提下，公司原则上每年度进行一次现金分红，公司董事</w:t>
      </w:r>
      <w:r>
        <w:rPr/>
        <w:t> 会可以根据公司的盈利状况及资金需求状况提议进行中期现金分红。</w:t>
      </w:r>
    </w:p>
    <w:p>
      <w:pPr>
        <w:pStyle w:val="BodyText"/>
        <w:spacing w:line="463" w:lineRule="auto" w:before="54"/>
        <w:ind w:left="153" w:right="190" w:firstLine="360"/>
        <w:jc w:val="both"/>
      </w:pPr>
      <w:r>
        <w:rPr/>
        <w:t>第一百五十九条</w:t>
      </w:r>
      <w:r>
        <w:rPr>
          <w:spacing w:val="-19"/>
        </w:rPr>
        <w:t> </w:t>
      </w:r>
      <w:r>
        <w:rPr/>
        <w:t>公司应保持利润分配政策的连续性和稳定性，在满足现金分红条件时，每年以现金方式分配的利润应</w:t>
      </w:r>
      <w:r>
        <w:rPr/>
        <w:t> </w:t>
      </w:r>
      <w:r>
        <w:rPr>
          <w:spacing w:val="-1"/>
        </w:rPr>
        <w:t>不低于当年实现的可分配利润的</w:t>
      </w:r>
      <w:r>
        <w:rPr>
          <w:rFonts w:ascii="Times New Roman" w:hAnsi="Times New Roman" w:cs="Times New Roman" w:eastAsia="Times New Roman" w:hint="default"/>
          <w:spacing w:val="-1"/>
        </w:rPr>
        <w:t>20%</w:t>
      </w:r>
      <w:r>
        <w:rPr>
          <w:spacing w:val="-1"/>
        </w:rPr>
        <w:t>；且公司现金分红应满足最近三年以现金方式累计分配的利润不少于最近三年实现的年</w:t>
      </w:r>
      <w:r>
        <w:rPr>
          <w:spacing w:val="-87"/>
        </w:rPr>
        <w:t> </w:t>
      </w:r>
      <w:r>
        <w:rPr>
          <w:spacing w:val="-87"/>
        </w:rPr>
      </w:r>
      <w:r>
        <w:rPr/>
        <w:t>均可分配利润的</w:t>
      </w:r>
      <w:r>
        <w:rPr>
          <w:rFonts w:ascii="Times New Roman" w:hAnsi="Times New Roman" w:cs="Times New Roman" w:eastAsia="Times New Roman" w:hint="default"/>
        </w:rPr>
        <w:t>30%</w:t>
      </w:r>
      <w:r>
        <w:rPr/>
        <w:t>。</w:t>
      </w:r>
    </w:p>
    <w:p>
      <w:pPr>
        <w:pStyle w:val="BodyText"/>
        <w:spacing w:line="477" w:lineRule="auto" w:before="33"/>
        <w:ind w:left="153" w:right="199" w:firstLine="360"/>
        <w:jc w:val="left"/>
      </w:pPr>
      <w:r>
        <w:rPr/>
        <w:t>第一百六十条</w:t>
      </w:r>
      <w:r>
        <w:rPr>
          <w:spacing w:val="-18"/>
        </w:rPr>
        <w:t> </w:t>
      </w:r>
      <w:r>
        <w:rPr/>
        <w:t>在满足现金股利分配的条件下，若公司营业收入和净利润增长快速，且董事会认为公司股本规模及股权</w:t>
      </w:r>
      <w:r>
        <w:rPr/>
        <w:t> 结构合理的前提下，可以在提出现金股利分配预案的同时，提出并实施股票股利分配预案。</w:t>
      </w:r>
    </w:p>
    <w:p>
      <w:pPr>
        <w:pStyle w:val="BodyText"/>
        <w:spacing w:line="477" w:lineRule="auto" w:before="54"/>
        <w:ind w:left="153" w:right="89" w:firstLine="360"/>
        <w:jc w:val="left"/>
      </w:pPr>
      <w:r>
        <w:rPr/>
        <w:t>第一百六十一条</w:t>
      </w:r>
      <w:r>
        <w:rPr>
          <w:spacing w:val="2"/>
        </w:rPr>
        <w:t> </w:t>
      </w:r>
      <w:r>
        <w:rPr>
          <w:spacing w:val="-2"/>
        </w:rPr>
        <w:t>公司的利润分配预案由公司董事会结合公司章程的规定、盈利情况、资金供给和需求情况提出、拟订，</w:t>
      </w:r>
      <w:r>
        <w:rPr/>
        <w:t> 经董事会审议通过后提交股东大会审议批准。</w:t>
      </w:r>
    </w:p>
    <w:p>
      <w:pPr>
        <w:pStyle w:val="BodyText"/>
        <w:spacing w:line="477" w:lineRule="auto" w:before="54"/>
        <w:ind w:left="153" w:right="200" w:firstLine="360"/>
        <w:jc w:val="left"/>
      </w:pPr>
      <w:r>
        <w:rPr/>
        <w:t>第一百六十二条</w:t>
      </w:r>
      <w:r>
        <w:rPr>
          <w:spacing w:val="-19"/>
        </w:rPr>
        <w:t> </w:t>
      </w:r>
      <w:r>
        <w:rPr/>
        <w:t>董事会审议现金分红具体方案时，应当认真研究和论证公司现金分红的时机、条件和最低比例、调整</w:t>
      </w:r>
      <w:r>
        <w:rPr/>
        <w:t> 的条件及其决策程序要求等事宜。独立董事应对利润分配预案发表明确的独立意见。</w:t>
      </w:r>
    </w:p>
    <w:p>
      <w:pPr>
        <w:pStyle w:val="BodyText"/>
        <w:spacing w:line="477" w:lineRule="auto" w:before="54"/>
        <w:ind w:left="153" w:right="191" w:firstLine="360"/>
        <w:jc w:val="both"/>
      </w:pPr>
      <w:r>
        <w:rPr/>
        <w:t>第一百六十三条</w:t>
      </w:r>
      <w:r>
        <w:rPr>
          <w:spacing w:val="-19"/>
        </w:rPr>
        <w:t> </w:t>
      </w:r>
      <w:r>
        <w:rPr/>
        <w:t>股东大会对现金分红具体方案进行审议时，应当通过多种渠道主动与股东特别是中小股东进行沟通和</w:t>
      </w:r>
      <w:r>
        <w:rPr/>
        <w:t> </w:t>
      </w:r>
      <w:r>
        <w:rPr>
          <w:spacing w:val="-2"/>
        </w:rPr>
        <w:t>交流，充分听取中小股东的意见和诉求，并及时答复中小股东关心的问题。分红预案应由出席股东大会的股东或股东代理人</w:t>
      </w:r>
      <w:r>
        <w:rPr>
          <w:spacing w:val="-66"/>
        </w:rPr>
        <w:t> </w:t>
      </w:r>
      <w:r>
        <w:rPr>
          <w:spacing w:val="-66"/>
        </w:rPr>
      </w:r>
      <w:r>
        <w:rPr/>
        <w:t>以所持二分之一以上的表决权通过。</w:t>
      </w:r>
    </w:p>
    <w:p>
      <w:pPr>
        <w:pStyle w:val="BodyText"/>
        <w:spacing w:line="477" w:lineRule="auto" w:before="54"/>
        <w:ind w:left="153" w:right="200" w:firstLine="360"/>
        <w:jc w:val="left"/>
      </w:pPr>
      <w:r>
        <w:rPr/>
        <w:t>第一百六十四条</w:t>
      </w:r>
      <w:r>
        <w:rPr>
          <w:spacing w:val="-19"/>
        </w:rPr>
        <w:t> </w:t>
      </w:r>
      <w:r>
        <w:rPr/>
        <w:t>公司当年盈利，董事会未作出现金利润分配预案的，应当在定期报告中披露未分红的原因、未用于分</w:t>
      </w:r>
      <w:r>
        <w:rPr/>
        <w:t> 红的资金留存公司的用途和使用计划，并由独立董事发表独立意见。</w:t>
      </w:r>
    </w:p>
    <w:p>
      <w:pPr>
        <w:pStyle w:val="BodyText"/>
        <w:spacing w:line="477" w:lineRule="auto" w:before="54"/>
        <w:ind w:left="153" w:right="190" w:firstLine="360"/>
        <w:jc w:val="both"/>
      </w:pPr>
      <w:r>
        <w:rPr/>
        <w:t>第一百六十五条</w:t>
      </w:r>
      <w:r>
        <w:rPr>
          <w:spacing w:val="-19"/>
        </w:rPr>
        <w:t> </w:t>
      </w:r>
      <w:r>
        <w:rPr/>
        <w:t>公司根据生产经营情况、投资规划和长期发展的需要，需调整利润分配政策的，应以股东权益保护为</w:t>
      </w:r>
      <w:r>
        <w:rPr/>
        <w:t> </w:t>
      </w:r>
      <w:r>
        <w:rPr>
          <w:spacing w:val="-2"/>
        </w:rPr>
        <w:t>出发点，调整后的利润分配政策不得违反相关法律法规、规范性文件及本章程的规定；有关调整利润分配政策的议案，由独</w:t>
      </w:r>
    </w:p>
    <w:p>
      <w:pPr>
        <w:spacing w:after="0" w:line="477"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220"/>
        <w:jc w:val="left"/>
      </w:pPr>
      <w:r>
        <w:rPr/>
        <w:t>立董事、监事会发表意见，经公司董事会审议后提交公司股东大会批准，并经出席股东大会的股东所持表决权的</w:t>
      </w:r>
      <w:r>
        <w:rPr>
          <w:rFonts w:ascii="Times New Roman" w:hAnsi="Times New Roman" w:cs="Times New Roman" w:eastAsia="Times New Roman" w:hint="default"/>
        </w:rPr>
        <w:t>2/3</w:t>
      </w:r>
      <w:r>
        <w:rPr/>
        <w:t>以上通 过；公司同时应当提供网络投票方式以方便中小股东参与股东大会表决。</w:t>
      </w:r>
    </w:p>
    <w:p>
      <w:pPr>
        <w:pStyle w:val="BodyText"/>
        <w:spacing w:line="477" w:lineRule="auto" w:before="74"/>
        <w:ind w:right="189" w:firstLine="360"/>
        <w:jc w:val="both"/>
      </w:pPr>
      <w:r>
        <w:rPr/>
        <w:t>第一百六十六条</w:t>
      </w:r>
      <w:r>
        <w:rPr>
          <w:spacing w:val="-19"/>
        </w:rPr>
        <w:t> </w:t>
      </w:r>
      <w:r>
        <w:rPr/>
        <w:t>监事会应对董事会和管理层执行公司利润分配政策和股东回报规划的情况及决策程序进行监督。监事</w:t>
      </w:r>
      <w:r>
        <w:rPr/>
        <w:t> </w:t>
      </w:r>
      <w:r>
        <w:rPr>
          <w:spacing w:val="-2"/>
        </w:rPr>
        <w:t>会应对利润分配政策、利润分配预案进行审议。对年度内盈利但未提出利润分配预案的，监事会应就相关政策、规划执行情</w:t>
      </w:r>
      <w:r>
        <w:rPr>
          <w:spacing w:val="-66"/>
        </w:rPr>
        <w:t> </w:t>
      </w:r>
      <w:r>
        <w:rPr>
          <w:spacing w:val="-66"/>
        </w:rPr>
      </w:r>
      <w:r>
        <w:rPr/>
        <w:t>况发表专项说明和意见。</w:t>
      </w:r>
    </w:p>
    <w:p>
      <w:pPr>
        <w:pStyle w:val="BodyText"/>
        <w:spacing w:line="451" w:lineRule="auto" w:before="54"/>
        <w:ind w:right="86" w:firstLine="360"/>
        <w:jc w:val="left"/>
      </w:pPr>
      <w:r>
        <w:rPr/>
        <w:t>第一百六十七条</w:t>
      </w:r>
      <w:r>
        <w:rPr>
          <w:spacing w:val="8"/>
        </w:rPr>
        <w:t> </w:t>
      </w:r>
      <w:r>
        <w:rPr>
          <w:spacing w:val="-4"/>
        </w:rPr>
        <w:t>公司股东大会对利润分配方案作出决议后，公司董事会须在股东大会召开后</w:t>
      </w:r>
      <w:r>
        <w:rPr>
          <w:rFonts w:ascii="Times New Roman" w:hAnsi="Times New Roman" w:cs="Times New Roman" w:eastAsia="Times New Roman" w:hint="default"/>
          <w:spacing w:val="-4"/>
        </w:rPr>
        <w:t>2</w:t>
      </w:r>
      <w:r>
        <w:rPr>
          <w:spacing w:val="-4"/>
        </w:rPr>
        <w:t>个月内完成股利（或股份）</w:t>
      </w:r>
      <w:r>
        <w:rPr/>
        <w:t> 的派发事项。</w:t>
      </w:r>
    </w:p>
    <w:p>
      <w:pPr>
        <w:pStyle w:val="BodyText"/>
        <w:spacing w:line="477" w:lineRule="auto" w:before="74"/>
        <w:ind w:right="199" w:firstLine="360"/>
        <w:jc w:val="left"/>
      </w:pPr>
      <w:r>
        <w:rPr/>
        <w:t>第一百六十八条</w:t>
      </w:r>
      <w:r>
        <w:rPr>
          <w:spacing w:val="-19"/>
        </w:rPr>
        <w:t> </w:t>
      </w:r>
      <w:r>
        <w:rPr/>
        <w:t>公司最近三年以现金方式累计分配的利润少于最近三年实现的年均可分配利润的百分之三十的，不得</w:t>
      </w:r>
      <w:r>
        <w:rPr/>
        <w:t> 向社会公众增发新股、发行可转换公司债券或向原有股东配售股份。</w:t>
      </w:r>
    </w:p>
    <w:p>
      <w:pPr>
        <w:pStyle w:val="BodyText"/>
        <w:spacing w:line="240" w:lineRule="auto" w:before="54"/>
        <w:ind w:left="514" w:right="90"/>
        <w:jc w:val="left"/>
        <w:rPr>
          <w:rFonts w:ascii="Times New Roman" w:hAnsi="Times New Roman" w:cs="Times New Roman" w:eastAsia="Times New Roman" w:hint="default"/>
        </w:rPr>
      </w:pPr>
      <w:r>
        <w:rPr/>
        <w:t>第一百六十九条</w:t>
      </w:r>
      <w:r>
        <w:rPr>
          <w:spacing w:val="17"/>
        </w:rPr>
        <w:t> </w:t>
      </w:r>
      <w:r>
        <w:rPr>
          <w:spacing w:val="-2"/>
        </w:rPr>
        <w:t>存在股东违规占用公司资金情况的，公司应当扣减该股东所分配的现金红利，以偿还其占用的资金。</w:t>
      </w:r>
      <w:r>
        <w:rPr>
          <w:rFonts w:ascii="Times New Roman" w:hAnsi="Times New Roman" w:cs="Times New Roman" w:eastAsia="Times New Roman" w:hint="default"/>
          <w:spacing w:val="-2"/>
        </w:rPr>
        <w:t>”</w:t>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spacing w:line="451" w:lineRule="auto"/>
        <w:ind w:left="514" w:right="175"/>
        <w:jc w:val="left"/>
      </w:pPr>
      <w:r>
        <w:rPr>
          <w:rFonts w:ascii="Times New Roman" w:hAnsi="Times New Roman" w:cs="Times New Roman" w:eastAsia="Times New Roman" w:hint="default"/>
        </w:rPr>
        <w:t>2</w:t>
      </w:r>
      <w:r>
        <w:rPr/>
        <w:t>．利润分配政策执行情况 报告期内，公司严格执行《公司章程》有关现金分红政策，《</w:t>
      </w:r>
      <w:r>
        <w:rPr>
          <w:rFonts w:ascii="Times New Roman" w:hAnsi="Times New Roman" w:cs="Times New Roman" w:eastAsia="Times New Roman" w:hint="default"/>
        </w:rPr>
        <w:t>2011</w:t>
      </w:r>
      <w:r>
        <w:rPr/>
        <w:t>年度利润分配预案》经公司</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16 </w:t>
      </w:r>
      <w:r>
        <w:rPr>
          <w:rFonts w:ascii="Times New Roman" w:hAnsi="Times New Roman" w:cs="Times New Roman" w:eastAsia="Times New Roman" w:hint="default"/>
          <w:spacing w:val="5"/>
        </w:rPr>
        <w:t> </w:t>
      </w:r>
      <w:r>
        <w:rPr/>
        <w:t>日第二届</w:t>
      </w:r>
    </w:p>
    <w:p>
      <w:pPr>
        <w:pStyle w:val="BodyText"/>
        <w:spacing w:line="451" w:lineRule="auto" w:before="43"/>
        <w:ind w:left="153" w:right="235"/>
        <w:jc w:val="both"/>
      </w:pPr>
      <w:r>
        <w:rPr/>
        <w:t>董事会第八次会议及</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2011 </w:t>
      </w:r>
      <w:r>
        <w:rPr/>
        <w:t>年度股东大会审议通过，以公司总股本</w:t>
      </w:r>
      <w:r>
        <w:rPr>
          <w:rFonts w:ascii="Times New Roman" w:hAnsi="Times New Roman" w:cs="Times New Roman" w:eastAsia="Times New Roman" w:hint="default"/>
        </w:rPr>
        <w:t>12,000 </w:t>
      </w:r>
      <w:r>
        <w:rPr/>
        <w:t>万股为基数，向全体股东每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41"/>
        </w:rPr>
        <w:t> </w:t>
      </w:r>
      <w:r>
        <w:rPr/>
        <w:t>股 派发现金红利</w:t>
      </w:r>
      <w:r>
        <w:rPr>
          <w:rFonts w:ascii="Times New Roman" w:hAnsi="Times New Roman" w:cs="Times New Roman" w:eastAsia="Times New Roman" w:hint="default"/>
        </w:rPr>
        <w:t>1.50 </w:t>
      </w:r>
      <w:r>
        <w:rPr/>
        <w:t>元（含税），合计派发现金股利</w:t>
      </w:r>
      <w:r>
        <w:rPr>
          <w:rFonts w:ascii="Times New Roman" w:hAnsi="Times New Roman" w:cs="Times New Roman" w:eastAsia="Times New Roman" w:hint="default"/>
        </w:rPr>
        <w:t>1,800</w:t>
      </w:r>
      <w:r>
        <w:rPr/>
        <w:t>万元（含税），根据</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年度股东大会决议，公司已于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16</w:t>
      </w:r>
      <w:r>
        <w:rPr/>
        <w:t>日实施了上述利润分配方案。</w:t>
      </w:r>
    </w:p>
    <w:p>
      <w:pPr>
        <w:spacing w:line="240" w:lineRule="auto" w:before="6"/>
        <w:rPr>
          <w:rFonts w:ascii="宋体" w:hAnsi="宋体" w:cs="宋体" w:eastAsia="宋体" w:hint="default"/>
          <w:sz w:val="12"/>
          <w:szCs w:val="12"/>
        </w:rPr>
      </w:pPr>
    </w:p>
    <w:p>
      <w:pPr>
        <w:pStyle w:val="Heading4"/>
        <w:spacing w:line="240" w:lineRule="auto"/>
        <w:ind w:left="153" w:right="0"/>
        <w:jc w:val="both"/>
        <w:rPr>
          <w:b w:val="0"/>
          <w:bCs w:val="0"/>
        </w:rPr>
      </w:pPr>
      <w:r>
        <w:rPr/>
        <w:t>公司报告期利润分配预案及资本公积金转增股本预案与公司章程和分红管理办法等的相关规定一致</w:t>
      </w:r>
      <w:r>
        <w:rPr>
          <w:b w:val="0"/>
          <w:bCs w:val="0"/>
        </w:rPr>
      </w:r>
    </w:p>
    <w:p>
      <w:pPr>
        <w:spacing w:line="240" w:lineRule="auto" w:before="1"/>
        <w:rPr>
          <w:rFonts w:ascii="宋体" w:hAnsi="宋体" w:cs="宋体" w:eastAsia="宋体" w:hint="default"/>
          <w:b/>
          <w:bCs/>
          <w:sz w:val="21"/>
          <w:szCs w:val="21"/>
        </w:rPr>
      </w:pPr>
    </w:p>
    <w:p>
      <w:pPr>
        <w:pStyle w:val="BodyText"/>
        <w:spacing w:line="338" w:lineRule="auto"/>
        <w:ind w:right="33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w:t>
      </w:r>
    </w:p>
    <w:p>
      <w:pPr>
        <w:spacing w:line="240" w:lineRule="auto" w:before="4"/>
        <w:rPr>
          <w:rFonts w:ascii="宋体" w:hAnsi="宋体" w:cs="宋体" w:eastAsia="宋体" w:hint="default"/>
          <w:sz w:val="15"/>
          <w:szCs w:val="15"/>
        </w:rPr>
      </w:pPr>
    </w:p>
    <w:p>
      <w:pPr>
        <w:pStyle w:val="Heading4"/>
        <w:spacing w:line="240" w:lineRule="auto"/>
        <w:ind w:right="0"/>
        <w:jc w:val="both"/>
        <w:rPr>
          <w:b w:val="0"/>
          <w:bCs w:val="0"/>
        </w:rPr>
      </w:pPr>
      <w:r>
        <w:rPr/>
        <w:t>本年度利润分配及资本公积金转增股本预案</w:t>
      </w:r>
      <w:r>
        <w:rPr>
          <w:b w:val="0"/>
          <w:bCs w:val="0"/>
        </w:rPr>
      </w:r>
    </w:p>
    <w:p>
      <w:pPr>
        <w:spacing w:line="240" w:lineRule="auto" w:before="1"/>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14,400,000.00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66,669,787.57</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6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65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经国富浩华会计师事务所审计，</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17,800,519.54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元，根据《公司法》和《公司章程》的有 关规定，按照实现净利润的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1,780,051.95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元后，加上年初未分配利润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68,649,967.54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元，减去</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年度现金分红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18,000,000.00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日，母公司可供股东分配的利润为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66,669,787.57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元。公司董事会拟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元人民币现金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，合计派发现金股利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，剩余未分配利润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52,269,787.57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结</w:t>
            </w:r>
            <w:r>
              <w:rPr>
                <w:rFonts w:ascii="宋体" w:hAnsi="宋体" w:cs="宋体" w:eastAsia="宋体" w:hint="default"/>
                <w:sz w:val="18"/>
                <w:szCs w:val="18"/>
              </w:rPr>
              <w:t>转以后年度。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Heading4"/>
        <w:spacing w:line="240" w:lineRule="auto"/>
        <w:ind w:left="515" w:right="90"/>
        <w:jc w:val="left"/>
        <w:rPr>
          <w:b w:val="0"/>
          <w:bCs w:val="0"/>
        </w:rPr>
      </w:pPr>
      <w:r>
        <w:rPr/>
        <w:t>公司近</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年（含报告期）的利润分配方案及资本公积金转增股本方案情况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514" w:right="9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年度利润分配情况</w:t>
      </w:r>
    </w:p>
    <w:p>
      <w:pPr>
        <w:spacing w:line="240" w:lineRule="auto" w:before="9"/>
        <w:rPr>
          <w:rFonts w:ascii="宋体" w:hAnsi="宋体" w:cs="宋体" w:eastAsia="宋体" w:hint="default"/>
          <w:sz w:val="16"/>
          <w:szCs w:val="16"/>
        </w:rPr>
      </w:pPr>
    </w:p>
    <w:p>
      <w:pPr>
        <w:pStyle w:val="BodyText"/>
        <w:spacing w:line="451" w:lineRule="auto"/>
        <w:ind w:right="189" w:firstLine="360"/>
        <w:jc w:val="both"/>
      </w:pPr>
      <w:r>
        <w:rPr>
          <w:rFonts w:ascii="Times New Roman" w:hAnsi="Times New Roman" w:cs="Times New Roman" w:eastAsia="Times New Roman" w:hint="default"/>
          <w:spacing w:val="-2"/>
        </w:rPr>
        <w:t>2010</w:t>
      </w:r>
      <w:r>
        <w:rPr>
          <w:spacing w:val="-2"/>
        </w:rPr>
        <w:t>年度，公司以经深圳市鹏城会计师事务所有限公司审计的母公司可供分配利润为基础，以</w:t>
      </w:r>
      <w:r>
        <w:rPr>
          <w:rFonts w:ascii="Times New Roman" w:hAnsi="Times New Roman" w:cs="Times New Roman" w:eastAsia="Times New Roman" w:hint="default"/>
          <w:spacing w:val="-2"/>
        </w:rPr>
        <w:t>2010</w:t>
      </w:r>
      <w:r>
        <w:rPr>
          <w:spacing w:val="-2"/>
        </w:rPr>
        <w:t>年末总股本</w:t>
      </w:r>
      <w:r>
        <w:rPr>
          <w:rFonts w:ascii="Times New Roman" w:hAnsi="Times New Roman" w:cs="Times New Roman" w:eastAsia="Times New Roman" w:hint="default"/>
          <w:spacing w:val="-2"/>
        </w:rPr>
        <w:t>6000</w:t>
      </w:r>
      <w:r>
        <w:rPr>
          <w:spacing w:val="-2"/>
        </w:rPr>
        <w:t>万股</w:t>
      </w:r>
      <w:r>
        <w:rPr/>
        <w:t> </w:t>
      </w:r>
      <w:r>
        <w:rPr>
          <w:spacing w:val="-1"/>
        </w:rPr>
        <w:t>为基数，向全体股东每</w:t>
      </w:r>
      <w:r>
        <w:rPr>
          <w:rFonts w:ascii="Times New Roman" w:hAnsi="Times New Roman" w:cs="Times New Roman" w:eastAsia="Times New Roman" w:hint="default"/>
          <w:spacing w:val="-1"/>
        </w:rPr>
        <w:t>10</w:t>
      </w:r>
      <w:r>
        <w:rPr>
          <w:spacing w:val="-1"/>
        </w:rPr>
        <w:t>股派发人民币</w:t>
      </w:r>
      <w:r>
        <w:rPr>
          <w:rFonts w:ascii="Times New Roman" w:hAnsi="Times New Roman" w:cs="Times New Roman" w:eastAsia="Times New Roman" w:hint="default"/>
          <w:spacing w:val="-1"/>
        </w:rPr>
        <w:t>6.00</w:t>
      </w:r>
      <w:r>
        <w:rPr>
          <w:spacing w:val="-1"/>
        </w:rPr>
        <w:t>元现金（含税），以资本公积金每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8</w:t>
      </w:r>
      <w:r>
        <w:rPr>
          <w:spacing w:val="-1"/>
        </w:rPr>
        <w:t>日，公司第二届董</w:t>
      </w:r>
      <w:r>
        <w:rPr>
          <w:spacing w:val="-66"/>
        </w:rPr>
        <w:t> </w:t>
      </w:r>
      <w:r>
        <w:rPr>
          <w:spacing w:val="-66"/>
        </w:rPr>
      </w:r>
      <w:r>
        <w:rPr/>
        <w:t>事会第二次会议审议通过了《</w:t>
      </w:r>
      <w:r>
        <w:rPr>
          <w:rFonts w:ascii="Times New Roman" w:hAnsi="Times New Roman" w:cs="Times New Roman" w:eastAsia="Times New Roman" w:hint="default"/>
        </w:rPr>
        <w:t>2010</w:t>
      </w:r>
      <w:r>
        <w:rPr/>
        <w:t>年度利润分配和资本公积金转增股本预案》；</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2010</w:t>
      </w:r>
      <w:r>
        <w:rPr/>
        <w:t>年年度股东大会审议通 过上述权益分派方案；</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日，上述方案实施完毕，实施后公司总股本变更为</w:t>
      </w:r>
      <w:r>
        <w:rPr>
          <w:rFonts w:ascii="Times New Roman" w:hAnsi="Times New Roman" w:cs="Times New Roman" w:eastAsia="Times New Roman" w:hint="default"/>
        </w:rPr>
        <w:t>12,000</w:t>
      </w:r>
      <w:r>
        <w:rPr/>
        <w:t>万股。</w:t>
      </w:r>
    </w:p>
    <w:p>
      <w:pPr>
        <w:pStyle w:val="BodyText"/>
        <w:spacing w:line="240" w:lineRule="auto" w:before="43"/>
        <w:ind w:left="514" w:right="9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年度利润分配情况</w:t>
      </w:r>
    </w:p>
    <w:p>
      <w:pPr>
        <w:spacing w:line="240" w:lineRule="auto" w:before="9"/>
        <w:rPr>
          <w:rFonts w:ascii="宋体" w:hAnsi="宋体" w:cs="宋体" w:eastAsia="宋体" w:hint="default"/>
          <w:sz w:val="16"/>
          <w:szCs w:val="16"/>
        </w:rPr>
      </w:pPr>
    </w:p>
    <w:p>
      <w:pPr>
        <w:pStyle w:val="BodyText"/>
        <w:spacing w:line="451" w:lineRule="auto"/>
        <w:ind w:right="90" w:firstLine="360"/>
        <w:jc w:val="left"/>
      </w:pPr>
      <w:r>
        <w:rPr>
          <w:rFonts w:ascii="Times New Roman" w:hAnsi="Times New Roman" w:cs="Times New Roman" w:eastAsia="Times New Roman" w:hint="default"/>
          <w:spacing w:val="-1"/>
        </w:rPr>
        <w:t>2011</w:t>
      </w:r>
      <w:r>
        <w:rPr>
          <w:spacing w:val="-1"/>
        </w:rPr>
        <w:t>年度，公司以经深圳市鹏城会计师事务所有限公司审计的母公司可供分配利润为基础，以</w:t>
      </w:r>
      <w:r>
        <w:rPr>
          <w:rFonts w:ascii="Times New Roman" w:hAnsi="Times New Roman" w:cs="Times New Roman" w:eastAsia="Times New Roman" w:hint="default"/>
          <w:spacing w:val="-1"/>
        </w:rPr>
        <w:t>2011</w:t>
      </w:r>
      <w:r>
        <w:rPr>
          <w:spacing w:val="-1"/>
        </w:rPr>
        <w:t>年末总股本</w:t>
      </w:r>
      <w:r>
        <w:rPr>
          <w:rFonts w:ascii="Times New Roman" w:hAnsi="Times New Roman" w:cs="Times New Roman" w:eastAsia="Times New Roman" w:hint="default"/>
          <w:spacing w:val="-1"/>
        </w:rPr>
        <w:t>12,000</w:t>
      </w:r>
      <w:r>
        <w:rPr>
          <w:spacing w:val="-1"/>
        </w:rPr>
        <w:t>万</w:t>
      </w:r>
      <w:r>
        <w:rPr/>
        <w:t> 股为基数，向全体股东每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1.50</w:t>
      </w:r>
      <w:r>
        <w:rPr/>
        <w:t>元现金（含税），合计派发现金股利</w:t>
      </w:r>
      <w:r>
        <w:rPr>
          <w:rFonts w:ascii="Times New Roman" w:hAnsi="Times New Roman" w:cs="Times New Roman" w:eastAsia="Times New Roman" w:hint="default"/>
        </w:rPr>
        <w:t>1,800</w:t>
      </w:r>
      <w:r>
        <w:rPr/>
        <w:t>万元（含税）。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t>日</w:t>
      </w:r>
      <w:r>
        <w:rPr>
          <w:rFonts w:ascii="Times New Roman" w:hAnsi="Times New Roman" w:cs="Times New Roman" w:eastAsia="Times New Roman" w:hint="default"/>
        </w:rPr>
        <w:t>, </w:t>
      </w:r>
      <w:r>
        <w:rPr>
          <w:spacing w:val="-2"/>
        </w:rPr>
        <w:t>公司第二届董事会第八次会议审议通过了《</w:t>
      </w:r>
      <w:r>
        <w:rPr>
          <w:rFonts w:ascii="Times New Roman" w:hAnsi="Times New Roman" w:cs="Times New Roman" w:eastAsia="Times New Roman" w:hint="default"/>
          <w:spacing w:val="-2"/>
        </w:rPr>
        <w:t>2011</w:t>
      </w:r>
      <w:r>
        <w:rPr>
          <w:spacing w:val="-2"/>
        </w:rPr>
        <w:t>年度利润分配预案》；</w:t>
      </w:r>
      <w:r>
        <w:rPr>
          <w:rFonts w:ascii="Times New Roman" w:hAnsi="Times New Roman" w:cs="Times New Roman" w:eastAsia="Times New Roman" w:hint="default"/>
          <w:spacing w:val="-2"/>
        </w:rPr>
        <w:t>4</w:t>
      </w:r>
      <w:r>
        <w:rPr>
          <w:rFonts w:ascii="Times New Roman" w:hAnsi="Times New Roman" w:cs="Times New Roman" w:eastAsia="Times New Roman" w:hint="default"/>
        </w:rPr>
        <w:t> </w:t>
      </w:r>
      <w:r>
        <w:rPr>
          <w:spacing w:val="-1"/>
        </w:rPr>
        <w:t>月</w:t>
      </w:r>
      <w:r>
        <w:rPr>
          <w:rFonts w:ascii="Times New Roman" w:hAnsi="Times New Roman" w:cs="Times New Roman" w:eastAsia="Times New Roman" w:hint="default"/>
          <w:spacing w:val="-1"/>
        </w:rPr>
        <w:t>10</w:t>
      </w:r>
      <w:r>
        <w:rPr>
          <w:spacing w:val="-1"/>
        </w:rPr>
        <w:t>日，</w:t>
      </w:r>
      <w:r>
        <w:rPr>
          <w:rFonts w:ascii="Times New Roman" w:hAnsi="Times New Roman" w:cs="Times New Roman" w:eastAsia="Times New Roman" w:hint="default"/>
          <w:spacing w:val="-1"/>
        </w:rPr>
        <w:t>2011</w:t>
      </w:r>
      <w:r>
        <w:rPr>
          <w:spacing w:val="-1"/>
        </w:rPr>
        <w:t>年度股东大会审议通过上述权益分派</w:t>
      </w:r>
      <w:r>
        <w:rPr>
          <w:spacing w:val="-81"/>
        </w:rPr>
        <w:t> </w:t>
      </w:r>
      <w:r>
        <w:rPr/>
        <w:t>方案；</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日，上述方案实施完毕。</w:t>
      </w:r>
    </w:p>
    <w:p>
      <w:pPr>
        <w:pStyle w:val="BodyText"/>
        <w:spacing w:line="451" w:lineRule="auto" w:before="43"/>
        <w:ind w:left="514" w:right="9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年度利润分配预案 </w:t>
      </w:r>
      <w:r>
        <w:rPr>
          <w:spacing w:val="-1"/>
        </w:rPr>
        <w:t>经国富浩华会计师事务所审计，本公司母公司</w:t>
      </w:r>
      <w:r>
        <w:rPr>
          <w:rFonts w:ascii="Times New Roman" w:hAnsi="Times New Roman" w:cs="Times New Roman" w:eastAsia="Times New Roman" w:hint="default"/>
          <w:spacing w:val="-1"/>
        </w:rPr>
        <w:t>2012</w:t>
      </w:r>
      <w:r>
        <w:rPr>
          <w:spacing w:val="-1"/>
        </w:rPr>
        <w:t>年度实现净利润</w:t>
      </w:r>
      <w:r>
        <w:rPr>
          <w:rFonts w:ascii="Times New Roman" w:hAnsi="Times New Roman" w:cs="Times New Roman" w:eastAsia="Times New Roman" w:hint="default"/>
          <w:spacing w:val="-1"/>
        </w:rPr>
        <w:t>17,800,519.54</w:t>
      </w:r>
      <w:r>
        <w:rPr>
          <w:spacing w:val="-1"/>
        </w:rPr>
        <w:t>元，截至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日可供股东分配</w:t>
      </w:r>
    </w:p>
    <w:p>
      <w:pPr>
        <w:pStyle w:val="BodyText"/>
        <w:spacing w:line="451" w:lineRule="auto" w:before="43"/>
        <w:ind w:left="153" w:right="90"/>
        <w:jc w:val="left"/>
      </w:pPr>
      <w:r>
        <w:rPr>
          <w:spacing w:val="-1"/>
        </w:rPr>
        <w:t>的利润为</w:t>
      </w:r>
      <w:r>
        <w:rPr>
          <w:rFonts w:ascii="Times New Roman" w:hAnsi="Times New Roman" w:cs="Times New Roman" w:eastAsia="Times New Roman" w:hint="default"/>
          <w:spacing w:val="-1"/>
        </w:rPr>
        <w:t>66,669,787.57</w:t>
      </w:r>
      <w:r>
        <w:rPr>
          <w:spacing w:val="-1"/>
        </w:rPr>
        <w:t>元。根据中国证监会关于企业分红的相关指导意见，综合考虑公司发展对流动资金的需求，并兼顾广</w:t>
      </w:r>
      <w:r>
        <w:rPr>
          <w:spacing w:val="-69"/>
        </w:rPr>
        <w:t> </w:t>
      </w:r>
      <w:r>
        <w:rPr>
          <w:spacing w:val="-69"/>
        </w:rPr>
      </w:r>
      <w:r>
        <w:rPr/>
        <w:t>大股东的利益，根据《公司法》及《公司章程》的相关规定，公司拟定</w:t>
      </w:r>
      <w:r>
        <w:rPr>
          <w:rFonts w:ascii="Times New Roman" w:hAnsi="Times New Roman" w:cs="Times New Roman" w:eastAsia="Times New Roman" w:hint="default"/>
        </w:rPr>
        <w:t>2012</w:t>
      </w:r>
      <w:r>
        <w:rPr/>
        <w:t>年度利润分配预案如下：</w:t>
      </w:r>
    </w:p>
    <w:p>
      <w:pPr>
        <w:pStyle w:val="BodyText"/>
        <w:spacing w:line="240" w:lineRule="auto" w:before="43"/>
        <w:ind w:left="513" w:right="0"/>
        <w:jc w:val="left"/>
      </w:pPr>
      <w:r>
        <w:rPr/>
        <w:t>公司拟以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12,000</w:t>
      </w:r>
      <w:r>
        <w:rPr/>
        <w:t>万股为基数，向全体股东每</w:t>
      </w:r>
      <w:r>
        <w:rPr>
          <w:rFonts w:ascii="Times New Roman" w:hAnsi="Times New Roman" w:cs="Times New Roman" w:eastAsia="Times New Roman" w:hint="default"/>
        </w:rPr>
        <w:t>10</w:t>
      </w:r>
      <w:r>
        <w:rPr/>
        <w:t>股派人民币</w:t>
      </w:r>
      <w:r>
        <w:rPr>
          <w:rFonts w:ascii="Times New Roman" w:hAnsi="Times New Roman" w:cs="Times New Roman" w:eastAsia="Times New Roman" w:hint="default"/>
        </w:rPr>
        <w:t>1.2</w:t>
      </w:r>
      <w:r>
        <w:rPr/>
        <w:t>元现金（含税），合计派发现金股利</w:t>
      </w:r>
    </w:p>
    <w:p>
      <w:pPr>
        <w:spacing w:line="240" w:lineRule="auto" w:before="9"/>
        <w:rPr>
          <w:rFonts w:ascii="宋体" w:hAnsi="宋体" w:cs="宋体" w:eastAsia="宋体" w:hint="default"/>
          <w:sz w:val="16"/>
          <w:szCs w:val="16"/>
        </w:rPr>
      </w:pPr>
    </w:p>
    <w:p>
      <w:pPr>
        <w:pStyle w:val="BodyText"/>
        <w:spacing w:line="451" w:lineRule="auto"/>
        <w:ind w:left="513" w:right="90" w:hanging="360"/>
        <w:jc w:val="left"/>
      </w:pPr>
      <w:r>
        <w:rPr>
          <w:rFonts w:ascii="Times New Roman" w:hAnsi="Times New Roman" w:cs="Times New Roman" w:eastAsia="Times New Roman" w:hint="default"/>
        </w:rPr>
        <w:t>14,400,000.00</w:t>
      </w:r>
      <w:r>
        <w:rPr/>
        <w:t>元（含税），剩余未分配利润</w:t>
      </w:r>
      <w:r>
        <w:rPr>
          <w:rFonts w:ascii="Times New Roman" w:hAnsi="Times New Roman" w:cs="Times New Roman" w:eastAsia="Times New Roman" w:hint="default"/>
        </w:rPr>
        <w:t>52,269,787.57</w:t>
      </w:r>
      <w:r>
        <w:rPr/>
        <w:t>元结转以后年度。 </w:t>
      </w:r>
      <w:r>
        <w:rPr>
          <w:spacing w:val="-4"/>
        </w:rPr>
        <w:t>公司独立董事认为：公司</w:t>
      </w:r>
      <w:r>
        <w:rPr>
          <w:rFonts w:ascii="Times New Roman" w:hAnsi="Times New Roman" w:cs="Times New Roman" w:eastAsia="Times New Roman" w:hint="default"/>
          <w:spacing w:val="-4"/>
        </w:rPr>
        <w:t>2012</w:t>
      </w:r>
      <w:r>
        <w:rPr>
          <w:spacing w:val="-4"/>
        </w:rPr>
        <w:t>年度利润分配议案符合《公司法》、《公司章程》等相关规定，符合公司当前的实际情况，</w:t>
      </w:r>
    </w:p>
    <w:p>
      <w:pPr>
        <w:pStyle w:val="BodyText"/>
        <w:spacing w:line="451" w:lineRule="auto" w:before="43"/>
        <w:ind w:left="513" w:right="2791" w:hanging="360"/>
        <w:jc w:val="left"/>
      </w:pPr>
      <w:r>
        <w:rPr/>
        <w:t>有利于公司的持续稳定健康发展，同意公司董事会提出的公司</w:t>
      </w:r>
      <w:r>
        <w:rPr>
          <w:rFonts w:ascii="Times New Roman" w:hAnsi="Times New Roman" w:cs="Times New Roman" w:eastAsia="Times New Roman" w:hint="default"/>
        </w:rPr>
        <w:t>2012</w:t>
      </w:r>
      <w:r>
        <w:rPr/>
        <w:t>年年度利润分配预案。 本利润分配预案尚需提交公司</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年度股东大会审议。</w:t>
      </w:r>
    </w:p>
    <w:p>
      <w:pPr>
        <w:spacing w:line="240" w:lineRule="auto" w:before="6"/>
        <w:rPr>
          <w:rFonts w:ascii="宋体" w:hAnsi="宋体" w:cs="宋体" w:eastAsia="宋体" w:hint="default"/>
          <w:sz w:val="12"/>
          <w:szCs w:val="12"/>
        </w:rPr>
      </w:pPr>
    </w:p>
    <w:p>
      <w:pPr>
        <w:pStyle w:val="Heading4"/>
        <w:spacing w:line="240" w:lineRule="auto"/>
        <w:ind w:left="153" w:right="90"/>
        <w:jc w:val="left"/>
        <w:rPr>
          <w:b w:val="0"/>
          <w:bCs w:val="0"/>
        </w:rPr>
      </w:pPr>
      <w:r>
        <w:rPr/>
        <w:t>公司近三年现金分红情况表</w:t>
      </w:r>
      <w:r>
        <w:rPr>
          <w:b w:val="0"/>
          <w:bCs w:val="0"/>
        </w:rPr>
      </w:r>
    </w:p>
    <w:p>
      <w:pPr>
        <w:spacing w:line="240" w:lineRule="auto" w:before="1"/>
        <w:rPr>
          <w:rFonts w:ascii="宋体" w:hAnsi="宋体" w:cs="宋体" w:eastAsia="宋体" w:hint="default"/>
          <w:b/>
          <w:bCs/>
          <w:sz w:val="21"/>
          <w:szCs w:val="21"/>
        </w:rPr>
      </w:pPr>
    </w:p>
    <w:p>
      <w:pPr>
        <w:pStyle w:val="BodyText"/>
        <w:spacing w:line="240" w:lineRule="auto"/>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162"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18,030,617.44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79.86%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20,830,897.90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86.41%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33,973,521.32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105.96%</w:t>
            </w:r>
          </w:p>
        </w:tc>
      </w:tr>
    </w:tbl>
    <w:p>
      <w:pPr>
        <w:spacing w:line="240" w:lineRule="auto" w:before="9"/>
        <w:rPr>
          <w:rFonts w:ascii="宋体" w:hAnsi="宋体" w:cs="宋体" w:eastAsia="宋体" w:hint="default"/>
          <w:sz w:val="6"/>
          <w:szCs w:val="6"/>
        </w:rPr>
      </w:pPr>
    </w:p>
    <w:p>
      <w:pPr>
        <w:pStyle w:val="BodyText"/>
        <w:spacing w:line="240" w:lineRule="auto" w:before="44"/>
        <w:ind w:right="90"/>
        <w:jc w:val="left"/>
      </w:pPr>
      <w:r>
        <w:rPr/>
        <w:t>公司报告期内盈利且母公司未分配利润为正但未提出现金红利分配预案</w:t>
      </w:r>
    </w:p>
    <w:p>
      <w:pPr>
        <w:pStyle w:val="BodyText"/>
        <w:spacing w:line="240" w:lineRule="auto" w:before="116"/>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七、内幕信息知情人管理制度的建立和执行情况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87" w:right="90" w:hanging="74"/>
        <w:jc w:val="left"/>
      </w:pPr>
      <w:r>
        <w:rPr/>
        <w:t>（一）内幕信息知情人管理制度的建设情况 </w:t>
      </w:r>
      <w:r>
        <w:rPr>
          <w:spacing w:val="-2"/>
        </w:rPr>
        <w:t>公司自</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26</w:t>
      </w:r>
      <w:r>
        <w:rPr>
          <w:spacing w:val="-2"/>
        </w:rPr>
        <w:t>日在深圳证券交易所创业板上市以来，十分注重公司治理水平的不断提升与完善，尤其是内幕交易</w:t>
      </w:r>
    </w:p>
    <w:p>
      <w:pPr>
        <w:pStyle w:val="BodyText"/>
        <w:spacing w:line="477" w:lineRule="auto" w:before="21"/>
        <w:ind w:left="153" w:right="191"/>
        <w:jc w:val="both"/>
      </w:pPr>
      <w:r>
        <w:rPr>
          <w:spacing w:val="-2"/>
        </w:rPr>
        <w:t>防控工作，现行与内幕交易防控相关的制度主要包括：《公司章程》、《内幕信息知情人登记制度》、《董事、监事和高级</w:t>
      </w:r>
      <w:r>
        <w:rPr>
          <w:spacing w:val="-68"/>
        </w:rPr>
        <w:t> </w:t>
      </w:r>
      <w:r>
        <w:rPr>
          <w:spacing w:val="-68"/>
        </w:rPr>
      </w:r>
      <w:r>
        <w:rPr>
          <w:spacing w:val="-2"/>
        </w:rPr>
        <w:t>管理人员所持本公司股份及其变动管理制度》、《信息披露管理制度》、《投资者关系管理制度》、《重大信息内部报告制</w:t>
      </w:r>
      <w:r>
        <w:rPr>
          <w:spacing w:val="-69"/>
        </w:rPr>
        <w:t> </w:t>
      </w:r>
      <w:r>
        <w:rPr>
          <w:spacing w:val="-69"/>
        </w:rPr>
      </w:r>
      <w:r>
        <w:rPr/>
        <w:t>度》、《年报信息披露重大差错责任追究制度》等公司治理、信息管理制度。</w:t>
      </w:r>
    </w:p>
    <w:p>
      <w:pPr>
        <w:pStyle w:val="BodyText"/>
        <w:spacing w:line="465" w:lineRule="auto" w:before="54"/>
        <w:ind w:left="153" w:right="90" w:firstLine="360"/>
        <w:jc w:val="left"/>
      </w:pPr>
      <w:r>
        <w:rPr>
          <w:spacing w:val="-2"/>
        </w:rPr>
        <w:t>为规范公司的内幕信息管理，加强内幕信息保密工作，以维护信息披露的公开、公平、公正原则，保护广大投资者的合</w:t>
      </w:r>
      <w:r>
        <w:rPr/>
        <w:t> </w:t>
      </w:r>
      <w:r>
        <w:rPr>
          <w:spacing w:val="-2"/>
        </w:rPr>
        <w:t>法权益，根据《公司法》、《证券法》、《上市公司信息披露管理办法》、《深圳证券交易所创业板股票上市规则》、《深</w:t>
      </w:r>
      <w:r>
        <w:rPr>
          <w:spacing w:val="-65"/>
        </w:rPr>
        <w:t> </w:t>
      </w:r>
      <w:r>
        <w:rPr>
          <w:spacing w:val="-65"/>
        </w:rPr>
      </w:r>
      <w:r>
        <w:rPr>
          <w:spacing w:val="-5"/>
        </w:rPr>
        <w:t>圳证券交易所创业板上市公司规范运作指引》及有关法律、法规和《公司章程》的相关规定，结合公司实际情况，公司于</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26"/>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w:t>
      </w:r>
      <w:r>
        <w:rPr>
          <w:spacing w:val="-2"/>
        </w:rPr>
        <w:t>日第一届董事会第十一次会议审议通过了《内幕信息知情人登记制度》，作为内幕交易防控的专项制度文件。该制度</w:t>
      </w:r>
      <w:r>
        <w:rPr>
          <w:spacing w:val="-64"/>
        </w:rPr>
        <w:t> </w:t>
      </w:r>
      <w:r>
        <w:rPr>
          <w:spacing w:val="-64"/>
        </w:rPr>
      </w:r>
      <w:r>
        <w:rPr>
          <w:spacing w:val="-4"/>
        </w:rPr>
        <w:t>明确界定了内幕信息和内幕信息知情人的范围，完善了内幕信息事项的研究、决策和审批程序，健全了内幕信息的保密措施，</w:t>
      </w:r>
      <w:r>
        <w:rPr>
          <w:spacing w:val="-44"/>
        </w:rPr>
        <w:t> </w:t>
      </w:r>
      <w:r>
        <w:rPr>
          <w:spacing w:val="-44"/>
        </w:rPr>
      </w:r>
      <w:r>
        <w:rPr/>
        <w:t>建立了内幕信息知情人登记管理措施等。</w:t>
      </w:r>
    </w:p>
    <w:p>
      <w:pPr>
        <w:spacing w:line="240" w:lineRule="auto" w:before="10"/>
        <w:rPr>
          <w:rFonts w:ascii="宋体" w:hAnsi="宋体" w:cs="宋体" w:eastAsia="宋体" w:hint="default"/>
          <w:sz w:val="16"/>
          <w:szCs w:val="16"/>
        </w:rPr>
      </w:pPr>
    </w:p>
    <w:p>
      <w:pPr>
        <w:pStyle w:val="BodyText"/>
        <w:spacing w:line="240" w:lineRule="auto"/>
        <w:ind w:left="587" w:right="90"/>
        <w:jc w:val="left"/>
      </w:pPr>
      <w:r>
        <w:rPr/>
        <w:t>（二）内幕信息知情人管理制度的执行情况</w:t>
      </w:r>
    </w:p>
    <w:p>
      <w:pPr>
        <w:spacing w:line="240" w:lineRule="auto" w:before="10"/>
        <w:rPr>
          <w:rFonts w:ascii="宋体" w:hAnsi="宋体" w:cs="宋体" w:eastAsia="宋体" w:hint="default"/>
          <w:sz w:val="17"/>
          <w:szCs w:val="17"/>
        </w:rPr>
      </w:pPr>
    </w:p>
    <w:p>
      <w:pPr>
        <w:pStyle w:val="BodyText"/>
        <w:spacing w:line="451" w:lineRule="auto"/>
        <w:ind w:left="513" w:right="90"/>
        <w:jc w:val="left"/>
      </w:pPr>
      <w:r>
        <w:rPr>
          <w:rFonts w:ascii="Times New Roman" w:hAnsi="Times New Roman" w:cs="Times New Roman" w:eastAsia="Times New Roman" w:hint="default"/>
        </w:rPr>
        <w:t>1</w:t>
      </w:r>
      <w:r>
        <w:rPr/>
        <w:t>．定期报告披露期间的信息保密工作 </w:t>
      </w:r>
      <w:r>
        <w:rPr>
          <w:spacing w:val="-2"/>
        </w:rPr>
        <w:t>报告期内，公司严格执行内幕信息保密制度，严格规范信息传递流程，在定期报告披露期间，对于未公开信息，公司董</w:t>
      </w:r>
    </w:p>
    <w:p>
      <w:pPr>
        <w:pStyle w:val="BodyText"/>
        <w:spacing w:line="477" w:lineRule="auto" w:before="74"/>
        <w:ind w:left="153" w:right="190"/>
        <w:jc w:val="both"/>
      </w:pPr>
      <w:r>
        <w:rPr>
          <w:spacing w:val="-2"/>
        </w:rPr>
        <w:t>事会办公室都会严格控制知情人范围并做好相关内幕信息知情人登记工作，如实、完整记录上述信息在公开前的所有内幕信</w:t>
      </w:r>
      <w:r>
        <w:rPr>
          <w:spacing w:val="-64"/>
        </w:rPr>
        <w:t> </w:t>
      </w:r>
      <w:r>
        <w:rPr>
          <w:spacing w:val="-64"/>
        </w:rPr>
      </w:r>
      <w:r>
        <w:rPr>
          <w:spacing w:val="-2"/>
        </w:rPr>
        <w:t>息知情人名单，以及知情人知悉内幕信息的时间。经公司董事会办公室核实无误后，按照相关法规规定在向深圳证券交易所</w:t>
      </w:r>
      <w:r>
        <w:rPr>
          <w:spacing w:val="-66"/>
        </w:rPr>
        <w:t> </w:t>
      </w:r>
      <w:r>
        <w:rPr>
          <w:spacing w:val="-66"/>
        </w:rPr>
      </w:r>
      <w:r>
        <w:rPr/>
        <w:t>和深圳证监局报送定期报告相关资料的同时报备内幕信息知情人登记表。</w:t>
      </w:r>
    </w:p>
    <w:p>
      <w:pPr>
        <w:pStyle w:val="BodyText"/>
        <w:spacing w:line="451" w:lineRule="auto" w:before="54"/>
        <w:ind w:left="513" w:right="90"/>
        <w:jc w:val="left"/>
      </w:pPr>
      <w:r>
        <w:rPr>
          <w:rFonts w:ascii="Times New Roman" w:hAnsi="Times New Roman" w:cs="Times New Roman" w:eastAsia="Times New Roman" w:hint="default"/>
        </w:rPr>
        <w:t>2</w:t>
      </w:r>
      <w:r>
        <w:rPr/>
        <w:t>．投资者调研期间的信息保密工作 </w:t>
      </w:r>
      <w:r>
        <w:rPr>
          <w:spacing w:val="-2"/>
        </w:rPr>
        <w:t>在定期报告及重大事项披露期间，公司尽量避免接待投资者的调研，努力做好定期报告及重大事项披露期间的信息保密</w:t>
      </w:r>
    </w:p>
    <w:p>
      <w:pPr>
        <w:pStyle w:val="BodyText"/>
        <w:spacing w:line="240" w:lineRule="auto" w:before="74"/>
        <w:ind w:left="153" w:right="0"/>
        <w:jc w:val="both"/>
      </w:pPr>
      <w:r>
        <w:rPr/>
        <w:t>工作。</w:t>
      </w:r>
    </w:p>
    <w:p>
      <w:pPr>
        <w:spacing w:line="240" w:lineRule="auto" w:before="10"/>
        <w:rPr>
          <w:rFonts w:ascii="宋体" w:hAnsi="宋体" w:cs="宋体" w:eastAsia="宋体" w:hint="default"/>
          <w:sz w:val="17"/>
          <w:szCs w:val="17"/>
        </w:rPr>
      </w:pPr>
    </w:p>
    <w:p>
      <w:pPr>
        <w:pStyle w:val="BodyText"/>
        <w:spacing w:line="477" w:lineRule="auto"/>
        <w:ind w:left="153" w:right="191" w:firstLine="360"/>
        <w:jc w:val="both"/>
      </w:pPr>
      <w:r>
        <w:rPr>
          <w:spacing w:val="-2"/>
        </w:rPr>
        <w:t>在日常接待投资者调研时，公司董事会办公室负责履行相关的信息保密工作程序。在进行调研前，公司先对调研人员的</w:t>
      </w:r>
      <w:r>
        <w:rPr/>
        <w:t> </w:t>
      </w:r>
      <w:r>
        <w:rPr>
          <w:spacing w:val="-2"/>
        </w:rPr>
        <w:t>个人信息进行备案，同时要求其签署投资者来访调研承诺书，其中要求承诺在调研公司后形成的投资价值分析报告、新闻稿</w:t>
      </w:r>
      <w:r>
        <w:rPr>
          <w:spacing w:val="-66"/>
        </w:rPr>
        <w:t> </w:t>
      </w:r>
      <w:r>
        <w:rPr>
          <w:spacing w:val="-66"/>
        </w:rPr>
      </w:r>
      <w:r>
        <w:rPr>
          <w:spacing w:val="-2"/>
        </w:rPr>
        <w:t>等文件在对外发布或使用前知会本公司。在调研过程中，公司董事会办公室相关人员认真做好会议记录，并按照相关法规规</w:t>
      </w:r>
      <w:r>
        <w:rPr>
          <w:spacing w:val="-66"/>
        </w:rPr>
        <w:t> </w:t>
      </w:r>
      <w:r>
        <w:rPr>
          <w:spacing w:val="-66"/>
        </w:rPr>
      </w:r>
      <w:r>
        <w:rPr/>
        <w:t>定向深交所报备。</w:t>
      </w:r>
    </w:p>
    <w:p>
      <w:pPr>
        <w:pStyle w:val="BodyText"/>
        <w:spacing w:line="451" w:lineRule="auto" w:before="54"/>
        <w:ind w:left="513" w:right="90" w:firstLine="73"/>
        <w:jc w:val="left"/>
      </w:pPr>
      <w:r>
        <w:rPr>
          <w:rFonts w:ascii="Times New Roman" w:hAnsi="Times New Roman" w:cs="Times New Roman" w:eastAsia="Times New Roman" w:hint="default"/>
        </w:rPr>
        <w:t>3</w:t>
      </w:r>
      <w:r>
        <w:rPr/>
        <w:t>．其他重大事件的信息保密工作 </w:t>
      </w:r>
      <w:r>
        <w:rPr>
          <w:spacing w:val="-2"/>
        </w:rPr>
        <w:t>在其他重大事项（如对外投资等）未披露前，公司及相关信息披露义务人采取保密措施，签订相关保密协议，以保证信</w:t>
      </w:r>
    </w:p>
    <w:p>
      <w:pPr>
        <w:pStyle w:val="BodyText"/>
        <w:spacing w:line="240" w:lineRule="auto" w:before="74"/>
        <w:ind w:left="153" w:right="0"/>
        <w:jc w:val="both"/>
      </w:pPr>
      <w:r>
        <w:rPr/>
        <w:t>息处于可控范围。</w:t>
      </w:r>
    </w:p>
    <w:p>
      <w:pPr>
        <w:spacing w:line="240" w:lineRule="auto" w:before="0"/>
        <w:rPr>
          <w:rFonts w:ascii="宋体" w:hAnsi="宋体" w:cs="宋体" w:eastAsia="宋体" w:hint="default"/>
          <w:sz w:val="18"/>
          <w:szCs w:val="18"/>
        </w:rPr>
      </w:pPr>
    </w:p>
    <w:p>
      <w:pPr>
        <w:pStyle w:val="BodyText"/>
        <w:spacing w:line="240" w:lineRule="auto" w:before="153"/>
        <w:ind w:left="587" w:right="90"/>
        <w:jc w:val="left"/>
      </w:pPr>
      <w:r>
        <w:rPr/>
        <w:t>（三）报告期内自查内幕信息知情人涉嫌内幕交易以及监管部门的查处和整改情况</w:t>
      </w:r>
    </w:p>
    <w:p>
      <w:pPr>
        <w:spacing w:after="0" w:line="240" w:lineRule="auto"/>
        <w:jc w:val="left"/>
        <w:sectPr>
          <w:footerReference w:type="default" r:id="rId13"/>
          <w:pgSz w:w="11910" w:h="16840"/>
          <w:pgMar w:footer="982" w:header="747" w:top="1060" w:bottom="1180" w:left="980" w:right="940"/>
          <w:pgNumType w:start="28"/>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firstLine="360"/>
        <w:jc w:val="left"/>
      </w:pPr>
      <w:r>
        <w:rPr>
          <w:spacing w:val="-2"/>
        </w:rPr>
        <w:t>报告期内，公司董事、监事及高级管理人员和其他相关知情人严格遵守了内幕信息知情人管理制度，未发现有内幕信息</w:t>
      </w:r>
      <w:r>
        <w:rPr/>
        <w:t> 知情人利用内幕信息买卖本公司股份的情况。报告期内公司也未发生受到监管部门查处和整改的情形。</w:t>
      </w:r>
    </w:p>
    <w:p>
      <w:pPr>
        <w:pStyle w:val="BodyText"/>
        <w:spacing w:line="477" w:lineRule="auto" w:before="54"/>
        <w:ind w:right="0" w:firstLine="360"/>
        <w:jc w:val="left"/>
      </w:pPr>
      <w:r>
        <w:rPr>
          <w:spacing w:val="-2"/>
        </w:rPr>
        <w:t>公司将继续遵守有关信息披露的法律规定并严格执行本公司《信息披露管理制度》，组织有关信息披露规定的专题培训</w:t>
      </w:r>
      <w:r>
        <w:rPr/>
        <w:t> 和深化学习，不断提高公司信息披露的质量和水平。</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八、报告期内接待调研、沟通、采访等活动登记表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招商证券、麦盛资 产</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基本经营情况、新产品开 发销售情况等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中证投资、华宝证 券、国海证券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基本经营情况、新产品开 发及销售情况等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普尔投资、日信证 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基本经营情况、新产品开 发情况等</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494"/>
        <w:jc w:val="center"/>
        <w:rPr>
          <w:b w:val="0"/>
          <w:bCs w:val="0"/>
        </w:rPr>
      </w:pPr>
      <w:bookmarkStart w:name="_TOC_250005"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报告期内，公司无破产重整相关事项。</w:t>
      </w:r>
    </w:p>
    <w:p>
      <w:pPr>
        <w:spacing w:line="240" w:lineRule="auto" w:before="2"/>
        <w:rPr>
          <w:rFonts w:ascii="宋体" w:hAnsi="宋体" w:cs="宋体" w:eastAsia="宋体" w:hint="default"/>
          <w:sz w:val="25"/>
          <w:szCs w:val="25"/>
        </w:rPr>
      </w:pPr>
    </w:p>
    <w:p>
      <w:pPr>
        <w:spacing w:line="506" w:lineRule="auto" w:before="0"/>
        <w:ind w:left="154" w:right="6530" w:firstLine="0"/>
        <w:jc w:val="left"/>
        <w:rPr>
          <w:rFonts w:ascii="宋体" w:hAnsi="宋体" w:cs="宋体" w:eastAsia="宋体" w:hint="default"/>
          <w:sz w:val="18"/>
          <w:szCs w:val="18"/>
        </w:rPr>
      </w:pPr>
      <w:r>
        <w:rPr>
          <w:rFonts w:ascii="宋体" w:hAnsi="宋体" w:cs="宋体" w:eastAsia="宋体" w:hint="default"/>
          <w:b/>
          <w:bCs/>
          <w:sz w:val="24"/>
          <w:szCs w:val="24"/>
        </w:rPr>
        <w:t>四、资产交易事项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b/>
          <w:bCs/>
          <w:spacing w:val="1"/>
          <w:w w:val="99"/>
          <w:sz w:val="21"/>
          <w:szCs w:val="21"/>
        </w:rPr>
        <w:t> </w:t>
      </w:r>
      <w:r>
        <w:rPr>
          <w:rFonts w:ascii="宋体" w:hAnsi="宋体" w:cs="宋体" w:eastAsia="宋体" w:hint="default"/>
          <w:sz w:val="18"/>
          <w:szCs w:val="18"/>
        </w:rPr>
        <w:t>报告期内，公司无收购股权资产的情况。</w:t>
      </w:r>
    </w:p>
    <w:p>
      <w:pPr>
        <w:pStyle w:val="Heading3"/>
        <w:spacing w:line="240" w:lineRule="auto" w:before="150"/>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报告期内，公司无出售资产情况。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报告期内，公司无企业合并情况。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报告期内，公司无股权激励情况。</w:t>
      </w:r>
    </w:p>
    <w:p>
      <w:pPr>
        <w:spacing w:line="240" w:lineRule="auto" w:before="2"/>
        <w:rPr>
          <w:rFonts w:ascii="宋体" w:hAnsi="宋体" w:cs="宋体" w:eastAsia="宋体" w:hint="default"/>
          <w:sz w:val="25"/>
          <w:szCs w:val="25"/>
        </w:rPr>
      </w:pPr>
    </w:p>
    <w:p>
      <w:pPr>
        <w:spacing w:line="506" w:lineRule="auto" w:before="0"/>
        <w:ind w:left="154" w:right="5990" w:firstLine="0"/>
        <w:jc w:val="left"/>
        <w:rPr>
          <w:rFonts w:ascii="宋体" w:hAnsi="宋体" w:cs="宋体" w:eastAsia="宋体" w:hint="default"/>
          <w:sz w:val="18"/>
          <w:szCs w:val="18"/>
        </w:rPr>
      </w:pPr>
      <w:r>
        <w:rPr>
          <w:rFonts w:ascii="宋体" w:hAnsi="宋体" w:cs="宋体" w:eastAsia="宋体" w:hint="default"/>
          <w:b/>
          <w:bCs/>
          <w:sz w:val="24"/>
          <w:szCs w:val="24"/>
        </w:rPr>
        <w:t>六、重大关联交易</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b/>
          <w:bCs/>
          <w:spacing w:val="1"/>
          <w:w w:val="99"/>
          <w:sz w:val="21"/>
          <w:szCs w:val="21"/>
        </w:rPr>
        <w:t> </w:t>
      </w:r>
      <w:r>
        <w:rPr>
          <w:rFonts w:ascii="宋体" w:hAnsi="宋体" w:cs="宋体" w:eastAsia="宋体" w:hint="default"/>
          <w:sz w:val="18"/>
          <w:szCs w:val="18"/>
        </w:rPr>
        <w:t>报告期内，公司无与日常经营相关的关联交易。</w:t>
      </w:r>
    </w:p>
    <w:p>
      <w:pPr>
        <w:pStyle w:val="Heading3"/>
        <w:spacing w:line="240" w:lineRule="auto" w:before="150"/>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报告期内，公司无资产收购、出售发生的关联交易。</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9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报告期内，公司无共同对外投资的重大关联交易。</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t>是否存在非经营性关联债权债务往来</w:t>
      </w:r>
    </w:p>
    <w:p>
      <w:pPr>
        <w:spacing w:line="547" w:lineRule="auto" w:before="116"/>
        <w:ind w:left="154" w:right="78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b/>
          <w:bCs/>
          <w:spacing w:val="1"/>
          <w:w w:val="99"/>
          <w:sz w:val="21"/>
          <w:szCs w:val="21"/>
        </w:rPr>
        <w:t> </w:t>
      </w:r>
      <w:r>
        <w:rPr>
          <w:rFonts w:ascii="宋体" w:hAnsi="宋体" w:cs="宋体" w:eastAsia="宋体" w:hint="default"/>
          <w:sz w:val="18"/>
          <w:szCs w:val="18"/>
        </w:rPr>
        <w:t>不适用。</w:t>
      </w:r>
    </w:p>
    <w:p>
      <w:pPr>
        <w:pStyle w:val="Heading2"/>
        <w:spacing w:line="240" w:lineRule="auto" w:before="98"/>
        <w:ind w:right="90"/>
        <w:jc w:val="left"/>
        <w:rPr>
          <w:b w:val="0"/>
          <w:bCs w:val="0"/>
        </w:rPr>
      </w:pPr>
      <w:r>
        <w:rPr/>
        <w:t>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、为公司带来的利润达到公司本期利润总额</w:t>
      </w:r>
      <w:r>
        <w:rPr>
          <w:spacing w:val="-58"/>
        </w:rPr>
        <w:t> </w:t>
      </w:r>
      <w:r>
        <w:rPr>
          <w:rFonts w:ascii="Times New Roman" w:hAnsi="Times New Roman" w:cs="Times New Roman" w:eastAsia="Times New Roman" w:hint="default"/>
        </w:rPr>
        <w:t>10</w:t>
      </w:r>
      <w:r>
        <w:rPr/>
        <w:t>％以上（含</w:t>
      </w:r>
      <w:r>
        <w:rPr>
          <w:spacing w:val="-57"/>
        </w:rPr>
        <w:t> </w:t>
      </w:r>
      <w:r>
        <w:rPr>
          <w:rFonts w:ascii="Times New Roman" w:hAnsi="Times New Roman" w:cs="Times New Roman" w:eastAsia="Times New Roman" w:hint="default"/>
        </w:rPr>
        <w:t>10</w:t>
      </w:r>
      <w:r>
        <w:rPr/>
        <w:t>％）的托管、承包、租赁事项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t>报告期内，公司没有发生托管情况。</w:t>
      </w:r>
    </w:p>
    <w:p>
      <w:pPr>
        <w:spacing w:line="240" w:lineRule="auto" w:before="10"/>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报告期内，公司没有发生承包情况。</w:t>
      </w:r>
    </w:p>
    <w:p>
      <w:pPr>
        <w:spacing w:line="240" w:lineRule="auto" w:before="10"/>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4" w:right="90"/>
        <w:jc w:val="left"/>
      </w:pPr>
      <w:r>
        <w:rPr/>
        <w:t>租赁情况说明</w:t>
      </w:r>
    </w:p>
    <w:p>
      <w:pPr>
        <w:spacing w:line="240" w:lineRule="auto" w:before="9"/>
        <w:rPr>
          <w:rFonts w:ascii="宋体" w:hAnsi="宋体" w:cs="宋体" w:eastAsia="宋体" w:hint="default"/>
          <w:sz w:val="20"/>
          <w:szCs w:val="20"/>
        </w:rPr>
      </w:pPr>
    </w:p>
    <w:p>
      <w:pPr>
        <w:pStyle w:val="BodyText"/>
        <w:spacing w:line="451" w:lineRule="auto"/>
        <w:ind w:left="153" w:right="91"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月，公司与咏传电子科技（上海）有限公司深圳分公司签署深（福）</w:t>
      </w:r>
      <w:r>
        <w:rPr>
          <w:rFonts w:ascii="Times New Roman" w:hAnsi="Times New Roman" w:cs="Times New Roman" w:eastAsia="Times New Roman" w:hint="default"/>
        </w:rPr>
        <w:t>0205343</w:t>
      </w:r>
      <w:r>
        <w:rPr/>
        <w:t>号《深圳市房地产租赁合同》， 约定将公司位于深圳市福田区深南中路的金运世纪大厦</w:t>
      </w:r>
      <w:r>
        <w:rPr>
          <w:rFonts w:ascii="Times New Roman" w:hAnsi="Times New Roman" w:cs="Times New Roman" w:eastAsia="Times New Roman" w:hint="default"/>
        </w:rPr>
        <w:t>10</w:t>
      </w:r>
      <w:r>
        <w:rPr/>
        <w:t>层</w:t>
      </w:r>
      <w:r>
        <w:rPr>
          <w:rFonts w:ascii="Times New Roman" w:hAnsi="Times New Roman" w:cs="Times New Roman" w:eastAsia="Times New Roman" w:hint="default"/>
        </w:rPr>
        <w:t>A—L</w:t>
      </w:r>
      <w:r>
        <w:rPr/>
        <w:t>号共</w:t>
      </w:r>
      <w:r>
        <w:rPr>
          <w:rFonts w:ascii="Times New Roman" w:hAnsi="Times New Roman" w:cs="Times New Roman" w:eastAsia="Times New Roman" w:hint="default"/>
        </w:rPr>
        <w:t>12</w:t>
      </w:r>
      <w:r>
        <w:rPr/>
        <w:t>套房产出租给咏传电子科技（上海）有限公司深圳 分公司，租赁面积为</w:t>
      </w:r>
      <w:r>
        <w:rPr>
          <w:rFonts w:ascii="Times New Roman" w:hAnsi="Times New Roman" w:cs="Times New Roman" w:eastAsia="Times New Roman" w:hint="default"/>
        </w:rPr>
        <w:t>1,722.60</w:t>
      </w:r>
      <w:r>
        <w:rPr/>
        <w:t>平方米，月租金为</w:t>
      </w:r>
      <w:r>
        <w:rPr>
          <w:rFonts w:ascii="Times New Roman" w:hAnsi="Times New Roman" w:cs="Times New Roman" w:eastAsia="Times New Roman" w:hint="default"/>
        </w:rPr>
        <w:t>163,647.00</w:t>
      </w:r>
      <w:r>
        <w:rPr/>
        <w:t>元，并约定第四年月租金调整为</w:t>
      </w:r>
      <w:r>
        <w:rPr>
          <w:rFonts w:ascii="Times New Roman" w:hAnsi="Times New Roman" w:cs="Times New Roman" w:eastAsia="Times New Roman" w:hint="default"/>
        </w:rPr>
        <w:t>180,011.70</w:t>
      </w:r>
      <w:r>
        <w:rPr/>
        <w:t>元，第五年月租金调整 为</w:t>
      </w:r>
      <w:r>
        <w:rPr>
          <w:rFonts w:ascii="Times New Roman" w:hAnsi="Times New Roman" w:cs="Times New Roman" w:eastAsia="Times New Roman" w:hint="default"/>
        </w:rPr>
        <w:t>198,099.00</w:t>
      </w:r>
      <w:r>
        <w:rPr/>
        <w:t>元，租赁期自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日起至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日止。该房屋租赁合同已经深圳市福田区房屋租赁管理局备案， 合同登记备案号为</w:t>
      </w:r>
      <w:r>
        <w:rPr>
          <w:rFonts w:ascii="Times New Roman" w:hAnsi="Times New Roman" w:cs="Times New Roman" w:eastAsia="Times New Roman" w:hint="default"/>
        </w:rPr>
        <w:t>“</w:t>
      </w:r>
      <w:r>
        <w:rPr/>
        <w:t>深（福）</w:t>
      </w:r>
      <w:r>
        <w:rPr>
          <w:rFonts w:ascii="Times New Roman" w:hAnsi="Times New Roman" w:cs="Times New Roman" w:eastAsia="Times New Roman" w:hint="default"/>
        </w:rPr>
        <w:t>0205343”</w:t>
      </w:r>
      <w:r>
        <w:rPr/>
        <w:t>。</w:t>
      </w:r>
    </w:p>
    <w:p>
      <w:pPr>
        <w:pStyle w:val="BodyText"/>
        <w:spacing w:line="451" w:lineRule="auto" w:before="43"/>
        <w:ind w:right="188"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月，公司与廖珮怡、廖珮雯签订了《房屋租赁合同》，约定将廖珮怡、廖珮雯位于深圳市福田区车公庙天安</w:t>
      </w:r>
      <w:r>
        <w:rPr/>
        <w:t> </w:t>
      </w:r>
      <w:r>
        <w:rPr>
          <w:spacing w:val="-1"/>
        </w:rPr>
        <w:t>数码城天祥大厦</w:t>
      </w:r>
      <w:r>
        <w:rPr>
          <w:rFonts w:ascii="Times New Roman" w:hAnsi="Times New Roman" w:cs="Times New Roman" w:eastAsia="Times New Roman" w:hint="default"/>
          <w:spacing w:val="-1"/>
        </w:rPr>
        <w:t>AB</w:t>
      </w:r>
      <w:r>
        <w:rPr>
          <w:spacing w:val="-1"/>
        </w:rPr>
        <w:t>座</w:t>
      </w:r>
      <w:r>
        <w:rPr>
          <w:rFonts w:ascii="Times New Roman" w:hAnsi="Times New Roman" w:cs="Times New Roman" w:eastAsia="Times New Roman" w:hint="default"/>
          <w:spacing w:val="-1"/>
        </w:rPr>
        <w:t>5B2</w:t>
      </w:r>
      <w:r>
        <w:rPr>
          <w:spacing w:val="-1"/>
        </w:rPr>
        <w:t>的房产出租给公司办公，租赁面积为</w:t>
      </w:r>
      <w:r>
        <w:rPr>
          <w:rFonts w:ascii="Times New Roman" w:hAnsi="Times New Roman" w:cs="Times New Roman" w:eastAsia="Times New Roman" w:hint="default"/>
          <w:spacing w:val="-1"/>
        </w:rPr>
        <w:t>588.82</w:t>
      </w:r>
      <w:r>
        <w:rPr>
          <w:spacing w:val="-1"/>
        </w:rPr>
        <w:t>平方米，月租金</w:t>
      </w:r>
      <w:r>
        <w:rPr>
          <w:rFonts w:ascii="Times New Roman" w:hAnsi="Times New Roman" w:cs="Times New Roman" w:eastAsia="Times New Roman" w:hint="default"/>
          <w:spacing w:val="-1"/>
        </w:rPr>
        <w:t>76,546.00</w:t>
      </w:r>
      <w:r>
        <w:rPr>
          <w:spacing w:val="-1"/>
        </w:rPr>
        <w:t>元，并约定第二年租金在原租</w:t>
      </w:r>
      <w:r>
        <w:rPr>
          <w:spacing w:val="-81"/>
        </w:rPr>
        <w:t> </w:t>
      </w:r>
      <w:r>
        <w:rPr>
          <w:spacing w:val="-81"/>
        </w:rPr>
      </w:r>
      <w:r>
        <w:rPr/>
        <w:t>金基础上递增</w:t>
      </w:r>
      <w:r>
        <w:rPr>
          <w:rFonts w:ascii="Times New Roman" w:hAnsi="Times New Roman" w:cs="Times New Roman" w:eastAsia="Times New Roman" w:hint="default"/>
        </w:rPr>
        <w:t>5%</w:t>
      </w:r>
      <w:r>
        <w:rPr/>
        <w:t>，租赁期自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日起至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日止。该房屋租赁合同已经深圳市福田区房屋租赁管理局备 案，合同登记备案号为</w:t>
      </w:r>
      <w:r>
        <w:rPr>
          <w:rFonts w:ascii="Times New Roman" w:hAnsi="Times New Roman" w:cs="Times New Roman" w:eastAsia="Times New Roman" w:hint="default"/>
        </w:rPr>
        <w:t>“</w:t>
      </w:r>
      <w:r>
        <w:rPr/>
        <w:t>福</w:t>
      </w:r>
      <w:r>
        <w:rPr>
          <w:rFonts w:ascii="Times New Roman" w:hAnsi="Times New Roman" w:cs="Times New Roman" w:eastAsia="Times New Roman" w:hint="default"/>
        </w:rPr>
        <w:t>EK046075”</w:t>
      </w:r>
      <w:r>
        <w:rPr/>
        <w:t>。</w:t>
      </w:r>
    </w:p>
    <w:p>
      <w:pPr>
        <w:pStyle w:val="BodyText"/>
        <w:spacing w:line="451" w:lineRule="auto" w:before="43"/>
        <w:ind w:right="198"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月，公司与杨春葵、冯苏军签订了《房屋租赁合同》，约定将杨春葵、冯苏军位于深圳市福田区车公庙天安 数码城天祥大厦</w:t>
      </w:r>
      <w:r>
        <w:rPr>
          <w:rFonts w:ascii="Times New Roman" w:hAnsi="Times New Roman" w:cs="Times New Roman" w:eastAsia="Times New Roman" w:hint="default"/>
        </w:rPr>
        <w:t>AB</w:t>
      </w:r>
      <w:r>
        <w:rPr/>
        <w:t>座</w:t>
      </w:r>
      <w:r>
        <w:rPr>
          <w:rFonts w:ascii="Times New Roman" w:hAnsi="Times New Roman" w:cs="Times New Roman" w:eastAsia="Times New Roman" w:hint="default"/>
        </w:rPr>
        <w:t>10A-1</w:t>
      </w:r>
      <w:r>
        <w:rPr/>
        <w:t>、</w:t>
      </w:r>
      <w:r>
        <w:rPr>
          <w:rFonts w:ascii="Times New Roman" w:hAnsi="Times New Roman" w:cs="Times New Roman" w:eastAsia="Times New Roman" w:hint="default"/>
        </w:rPr>
        <w:t>10A-2</w:t>
      </w:r>
      <w:r>
        <w:rPr/>
        <w:t>的房产出租给公司办公，租赁面积分别为</w:t>
      </w:r>
      <w:r>
        <w:rPr>
          <w:rFonts w:ascii="Times New Roman" w:hAnsi="Times New Roman" w:cs="Times New Roman" w:eastAsia="Times New Roman" w:hint="default"/>
        </w:rPr>
        <w:t>400</w:t>
      </w:r>
      <w:r>
        <w:rPr/>
        <w:t>平方米、</w:t>
      </w:r>
      <w:r>
        <w:rPr>
          <w:rFonts w:ascii="Times New Roman" w:hAnsi="Times New Roman" w:cs="Times New Roman" w:eastAsia="Times New Roman" w:hint="default"/>
        </w:rPr>
        <w:t>812.48</w:t>
      </w:r>
      <w:r>
        <w:rPr/>
        <w:t>平方米，月租金分别为</w:t>
      </w:r>
    </w:p>
    <w:p>
      <w:pPr>
        <w:spacing w:after="0" w:line="451"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90"/>
        <w:jc w:val="left"/>
      </w:pPr>
      <w:r>
        <w:rPr>
          <w:rFonts w:ascii="Times New Roman" w:hAnsi="Times New Roman" w:cs="Times New Roman" w:eastAsia="Times New Roman" w:hint="default"/>
          <w:spacing w:val="-1"/>
        </w:rPr>
        <w:t>50,000.00</w:t>
      </w:r>
      <w:r>
        <w:rPr>
          <w:spacing w:val="-1"/>
        </w:rPr>
        <w:t>元、</w:t>
      </w:r>
      <w:r>
        <w:rPr>
          <w:rFonts w:ascii="Times New Roman" w:hAnsi="Times New Roman" w:cs="Times New Roman" w:eastAsia="Times New Roman" w:hint="default"/>
          <w:spacing w:val="-1"/>
        </w:rPr>
        <w:t>101,560.00</w:t>
      </w:r>
      <w:r>
        <w:rPr>
          <w:spacing w:val="-1"/>
        </w:rPr>
        <w:t>元，并约定第二年租金在原租金基础上递增</w:t>
      </w:r>
      <w:r>
        <w:rPr>
          <w:rFonts w:ascii="Times New Roman" w:hAnsi="Times New Roman" w:cs="Times New Roman" w:eastAsia="Times New Roman" w:hint="default"/>
          <w:spacing w:val="-1"/>
        </w:rPr>
        <w:t>6%</w:t>
      </w:r>
      <w:r>
        <w:rPr>
          <w:spacing w:val="-1"/>
        </w:rPr>
        <w:t>，租赁期自</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31</w:t>
      </w:r>
      <w:r>
        <w:rPr>
          <w:spacing w:val="-1"/>
        </w:rPr>
        <w:t>日止</w:t>
      </w:r>
      <w:r>
        <w:rPr>
          <w:rFonts w:ascii="Times New Roman" w:hAnsi="Times New Roman" w:cs="Times New Roman" w:eastAsia="Times New Roman" w:hint="default"/>
          <w:spacing w:val="-1"/>
        </w:rPr>
        <w:t>,</w:t>
      </w:r>
      <w:r>
        <w:rPr>
          <w:spacing w:val="-1"/>
        </w:rPr>
        <w:t>。该房</w:t>
      </w:r>
      <w:r>
        <w:rPr>
          <w:spacing w:val="-30"/>
        </w:rPr>
        <w:t> </w:t>
      </w:r>
      <w:r>
        <w:rPr>
          <w:spacing w:val="-30"/>
        </w:rPr>
      </w:r>
      <w:r>
        <w:rPr/>
        <w:t>屋租赁合同已经深圳市福田区房屋租赁管理局备案，合同登记备案号分别为</w:t>
      </w:r>
      <w:r>
        <w:rPr>
          <w:rFonts w:ascii="Times New Roman" w:hAnsi="Times New Roman" w:cs="Times New Roman" w:eastAsia="Times New Roman" w:hint="default"/>
        </w:rPr>
        <w:t>“</w:t>
      </w:r>
      <w:r>
        <w:rPr/>
        <w:t>福</w:t>
      </w:r>
      <w:r>
        <w:rPr>
          <w:rFonts w:ascii="Times New Roman" w:hAnsi="Times New Roman" w:cs="Times New Roman" w:eastAsia="Times New Roman" w:hint="default"/>
        </w:rPr>
        <w:t>EK046544”</w:t>
      </w:r>
      <w:r>
        <w:rPr/>
        <w:t>、</w:t>
      </w:r>
      <w:r>
        <w:rPr>
          <w:rFonts w:ascii="Times New Roman" w:hAnsi="Times New Roman" w:cs="Times New Roman" w:eastAsia="Times New Roman" w:hint="default"/>
        </w:rPr>
        <w:t>“</w:t>
      </w:r>
      <w:r>
        <w:rPr/>
        <w:t>福</w:t>
      </w:r>
      <w:r>
        <w:rPr>
          <w:rFonts w:ascii="Times New Roman" w:hAnsi="Times New Roman" w:cs="Times New Roman" w:eastAsia="Times New Roman" w:hint="default"/>
        </w:rPr>
        <w:t>EK046545”</w:t>
      </w:r>
      <w:r>
        <w:rPr/>
        <w:t>。</w:t>
      </w:r>
    </w:p>
    <w:p>
      <w:pPr>
        <w:pStyle w:val="BodyText"/>
        <w:spacing w:line="458" w:lineRule="auto" w:before="43"/>
        <w:ind w:right="90" w:firstLine="3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月，公司全资子公司深圳市银之杰金融设备有限公司（原名为</w:t>
      </w:r>
      <w:r>
        <w:rPr>
          <w:rFonts w:ascii="Times New Roman" w:hAnsi="Times New Roman" w:cs="Times New Roman" w:eastAsia="Times New Roman" w:hint="default"/>
        </w:rPr>
        <w:t>“</w:t>
      </w:r>
      <w:r>
        <w:rPr/>
        <w:t>深圳市银之杰软件技术有限公司</w:t>
      </w:r>
      <w:r>
        <w:rPr>
          <w:rFonts w:ascii="Times New Roman" w:hAnsi="Times New Roman" w:cs="Times New Roman" w:eastAsia="Times New Roman" w:hint="default"/>
        </w:rPr>
        <w:t>”</w:t>
      </w:r>
      <w:r>
        <w:rPr/>
        <w:t>）与深圳市 </w:t>
      </w:r>
      <w:r>
        <w:rPr>
          <w:spacing w:val="-2"/>
        </w:rPr>
        <w:t>大浪颐丰华股份合作公司签订了《房屋租赁合同》，约定将深圳市大浪颐丰华股份合作公司位于深圳市宝安区大浪街道大浪</w:t>
      </w:r>
      <w:r>
        <w:rPr>
          <w:spacing w:val="-66"/>
        </w:rPr>
        <w:t> </w:t>
      </w:r>
      <w:r>
        <w:rPr>
          <w:spacing w:val="-66"/>
        </w:rPr>
      </w:r>
      <w:r>
        <w:rPr>
          <w:spacing w:val="-1"/>
        </w:rPr>
        <w:t>社区华宁路华联工业区</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2</w:t>
      </w:r>
      <w:r>
        <w:rPr>
          <w:spacing w:val="-1"/>
        </w:rPr>
        <w:t>楼的房产出租给公司全资子公司深圳市银之杰金融设备有限公司办公，租赁面积为</w:t>
      </w:r>
      <w:r>
        <w:rPr>
          <w:rFonts w:ascii="Times New Roman" w:hAnsi="Times New Roman" w:cs="Times New Roman" w:eastAsia="Times New Roman" w:hint="default"/>
          <w:spacing w:val="-1"/>
        </w:rPr>
        <w:t>1,800</w:t>
      </w:r>
      <w:r>
        <w:rPr>
          <w:spacing w:val="-1"/>
        </w:rPr>
        <w:t>平方米，</w:t>
      </w:r>
      <w:r>
        <w:rPr>
          <w:spacing w:val="-72"/>
        </w:rPr>
        <w:t> </w:t>
      </w:r>
      <w:r>
        <w:rPr>
          <w:spacing w:val="-2"/>
        </w:rPr>
        <w:t>月租金为</w:t>
      </w:r>
      <w:r>
        <w:rPr>
          <w:rFonts w:ascii="Times New Roman" w:hAnsi="Times New Roman" w:cs="Times New Roman" w:eastAsia="Times New Roman" w:hint="default"/>
          <w:spacing w:val="-2"/>
        </w:rPr>
        <w:t>18,000.00</w:t>
      </w:r>
      <w:r>
        <w:rPr>
          <w:spacing w:val="-2"/>
        </w:rPr>
        <w:t>元，租赁期自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日止。该房屋租赁合同已经深圳市宝安区房屋租赁管理办公室</w:t>
      </w:r>
      <w:r>
        <w:rPr>
          <w:spacing w:val="-44"/>
        </w:rPr>
        <w:t> </w:t>
      </w:r>
      <w:r>
        <w:rPr>
          <w:spacing w:val="-44"/>
        </w:rPr>
      </w:r>
      <w:r>
        <w:rPr/>
        <w:t>备案，合同登记备案号</w:t>
      </w:r>
      <w:r>
        <w:rPr>
          <w:rFonts w:ascii="Times New Roman" w:hAnsi="Times New Roman" w:cs="Times New Roman" w:eastAsia="Times New Roman" w:hint="default"/>
        </w:rPr>
        <w:t>“</w:t>
      </w:r>
      <w:r>
        <w:rPr/>
        <w:t>宝</w:t>
      </w:r>
      <w:r>
        <w:rPr>
          <w:rFonts w:ascii="Times New Roman" w:hAnsi="Times New Roman" w:cs="Times New Roman" w:eastAsia="Times New Roman" w:hint="default"/>
        </w:rPr>
        <w:t>LA014209</w:t>
      </w:r>
      <w:r>
        <w:rPr/>
        <w:t>（备）</w:t>
      </w:r>
      <w:r>
        <w:rPr>
          <w:rFonts w:ascii="Times New Roman" w:hAnsi="Times New Roman" w:cs="Times New Roman" w:eastAsia="Times New Roman" w:hint="default"/>
        </w:rPr>
        <w:t>”</w:t>
      </w:r>
      <w:r>
        <w:rPr/>
        <w:t>。</w:t>
      </w:r>
    </w:p>
    <w:p>
      <w:pPr>
        <w:pStyle w:val="BodyText"/>
        <w:spacing w:line="240" w:lineRule="auto" w:before="80"/>
        <w:ind w:right="9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t>报告期内，公司无对外担保情况。</w:t>
      </w:r>
    </w:p>
    <w:p>
      <w:pPr>
        <w:spacing w:line="240" w:lineRule="auto" w:before="11"/>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报告期内，公司无委托理财情况。</w:t>
      </w:r>
    </w:p>
    <w:p>
      <w:pPr>
        <w:spacing w:line="240" w:lineRule="auto" w:before="10"/>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报告期内，公司无衍生品投资情况。</w:t>
      </w:r>
    </w:p>
    <w:p>
      <w:pPr>
        <w:spacing w:line="240" w:lineRule="auto" w:before="10"/>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报告期内，公司无委托贷款情况。</w:t>
      </w:r>
    </w:p>
    <w:p>
      <w:pPr>
        <w:spacing w:line="240" w:lineRule="auto" w:before="10"/>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t>无。</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88" w:hRule="exact"/>
        </w:trPr>
        <w:tc>
          <w:tcPr>
            <w:tcW w:w="3194" w:type="dxa"/>
            <w:tcBorders>
              <w:top w:val="single" w:sz="4" w:space="0" w:color="000000"/>
              <w:left w:val="single" w:sz="4" w:space="0" w:color="000000"/>
              <w:bottom w:val="nil" w:sz="6" w:space="0" w:color="auto"/>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6"/>
                <w:sz w:val="18"/>
                <w:szCs w:val="18"/>
              </w:rPr>
              <w:t>（一）公司股票</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pacing w:val="-6"/>
                <w:sz w:val="18"/>
                <w:szCs w:val="18"/>
              </w:rPr>
              <w:t>（一）公司股票</w:t>
            </w: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2225" w:hRule="exact"/>
        </w:trPr>
        <w:tc>
          <w:tcPr>
            <w:tcW w:w="31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上市前股东、共</w:t>
            </w:r>
            <w:r>
              <w:rPr>
                <w:rFonts w:ascii="宋体" w:hAnsi="宋体" w:cs="宋体" w:eastAsia="宋体" w:hint="default"/>
                <w:sz w:val="18"/>
                <w:szCs w:val="18"/>
              </w:rPr>
              <w:t> 同实际控制人</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3" w:right="0"/>
              <w:jc w:val="both"/>
              <w:rPr>
                <w:rFonts w:ascii="宋体" w:hAnsi="宋体" w:cs="宋体" w:eastAsia="宋体" w:hint="default"/>
                <w:sz w:val="18"/>
                <w:szCs w:val="18"/>
              </w:rPr>
            </w:pPr>
            <w:r>
              <w:rPr>
                <w:rFonts w:ascii="宋体" w:hAnsi="宋体" w:cs="宋体" w:eastAsia="宋体" w:hint="default"/>
                <w:sz w:val="18"/>
                <w:szCs w:val="18"/>
              </w:rPr>
              <w:t>上市前股东所</w:t>
            </w:r>
          </w:p>
          <w:p>
            <w:pPr>
              <w:pStyle w:val="TableParagraph"/>
              <w:spacing w:line="319" w:lineRule="auto" w:before="76"/>
              <w:ind w:left="23" w:right="162"/>
              <w:jc w:val="both"/>
              <w:rPr>
                <w:rFonts w:ascii="宋体" w:hAnsi="宋体" w:cs="宋体" w:eastAsia="宋体" w:hint="default"/>
                <w:sz w:val="18"/>
                <w:szCs w:val="18"/>
              </w:rPr>
            </w:pPr>
            <w:r>
              <w:rPr>
                <w:rFonts w:ascii="宋体" w:hAnsi="宋体" w:cs="宋体" w:eastAsia="宋体" w:hint="default"/>
                <w:sz w:val="18"/>
                <w:szCs w:val="18"/>
              </w:rPr>
              <w:t>持股份的流通 限制和自愿锁 定股份的承诺</w:t>
            </w:r>
          </w:p>
          <w:p>
            <w:pPr>
              <w:pStyle w:val="TableParagraph"/>
              <w:spacing w:line="240" w:lineRule="auto" w:before="56"/>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19" w:lineRule="auto" w:before="101"/>
              <w:ind w:left="23" w:right="20"/>
              <w:jc w:val="left"/>
              <w:rPr>
                <w:rFonts w:ascii="宋体" w:hAnsi="宋体" w:cs="宋体" w:eastAsia="宋体" w:hint="default"/>
                <w:sz w:val="18"/>
                <w:szCs w:val="18"/>
              </w:rPr>
            </w:pPr>
            <w:r>
              <w:rPr>
                <w:rFonts w:ascii="宋体" w:hAnsi="宋体" w:cs="宋体" w:eastAsia="宋体" w:hint="default"/>
                <w:spacing w:val="-6"/>
                <w:sz w:val="18"/>
                <w:szCs w:val="18"/>
              </w:rPr>
              <w:t>（二）避免同业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竞争的承诺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40"/>
              <w:ind w:left="22" w:right="-16"/>
              <w:jc w:val="left"/>
              <w:rPr>
                <w:rFonts w:ascii="宋体" w:hAnsi="宋体" w:cs="宋体" w:eastAsia="宋体" w:hint="default"/>
                <w:sz w:val="18"/>
                <w:szCs w:val="18"/>
              </w:rPr>
            </w:pPr>
            <w:r>
              <w:rPr>
                <w:rFonts w:ascii="宋体" w:hAnsi="宋体" w:cs="宋体" w:eastAsia="宋体" w:hint="default"/>
                <w:sz w:val="18"/>
                <w:szCs w:val="18"/>
              </w:rPr>
              <w:t>上市前股东所 持股份的流通 限制和自愿锁 定股份的承诺： 三十六个月；</w:t>
            </w:r>
          </w:p>
          <w:p>
            <w:pPr>
              <w:pStyle w:val="TableParagraph"/>
              <w:spacing w:line="316" w:lineRule="auto" w:before="19"/>
              <w:ind w:left="22" w:right="20"/>
              <w:jc w:val="left"/>
              <w:rPr>
                <w:rFonts w:ascii="宋体" w:hAnsi="宋体" w:cs="宋体" w:eastAsia="宋体" w:hint="default"/>
                <w:sz w:val="18"/>
                <w:szCs w:val="18"/>
              </w:rPr>
            </w:pPr>
            <w:r>
              <w:rPr>
                <w:rFonts w:ascii="宋体" w:hAnsi="宋体" w:cs="宋体" w:eastAsia="宋体" w:hint="default"/>
                <w:spacing w:val="-6"/>
                <w:sz w:val="18"/>
                <w:szCs w:val="18"/>
              </w:rPr>
              <w:t>（二）避免同业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竞争的承诺：长</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319" w:lineRule="auto"/>
              <w:ind w:left="22" w:right="-25"/>
              <w:jc w:val="left"/>
              <w:rPr>
                <w:rFonts w:ascii="宋体" w:hAnsi="宋体" w:cs="宋体" w:eastAsia="宋体" w:hint="default"/>
                <w:sz w:val="18"/>
                <w:szCs w:val="18"/>
              </w:rPr>
            </w:pPr>
            <w:r>
              <w:rPr>
                <w:rFonts w:ascii="宋体" w:hAnsi="宋体" w:cs="宋体" w:eastAsia="宋体" w:hint="default"/>
                <w:sz w:val="18"/>
                <w:szCs w:val="18"/>
              </w:rPr>
              <w:t>截止报告期末， 公司上述股东 均遵守以上承 </w:t>
            </w:r>
            <w:r>
              <w:rPr>
                <w:rFonts w:ascii="宋体" w:hAnsi="宋体" w:cs="宋体" w:eastAsia="宋体" w:hint="default"/>
                <w:spacing w:val="-7"/>
                <w:sz w:val="18"/>
                <w:szCs w:val="18"/>
              </w:rPr>
              <w:t>诺，未发生违反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 况。</w:t>
            </w:r>
          </w:p>
        </w:tc>
      </w:tr>
      <w:tr>
        <w:trPr>
          <w:trHeight w:val="405" w:hRule="exact"/>
        </w:trPr>
        <w:tc>
          <w:tcPr>
            <w:tcW w:w="3194" w:type="dxa"/>
            <w:tcBorders>
              <w:top w:val="nil" w:sz="6" w:space="0" w:color="auto"/>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截止报告期末，公司上述股东均遵守以上承诺，未发生违反上述承诺的情况。</w:t>
            </w:r>
          </w:p>
        </w:tc>
      </w:tr>
    </w:tbl>
    <w:p>
      <w:pPr>
        <w:spacing w:line="240" w:lineRule="auto" w:before="9"/>
        <w:rPr>
          <w:rFonts w:ascii="宋体" w:hAnsi="宋体" w:cs="宋体" w:eastAsia="宋体" w:hint="default"/>
          <w:b/>
          <w:bCs/>
          <w:sz w:val="6"/>
          <w:szCs w:val="6"/>
        </w:rPr>
      </w:pPr>
    </w:p>
    <w:p>
      <w:pPr>
        <w:pStyle w:val="BodyText"/>
        <w:spacing w:line="240" w:lineRule="auto" w:before="44"/>
        <w:ind w:right="90"/>
        <w:jc w:val="left"/>
      </w:pPr>
      <w:r>
        <w:rPr/>
        <w:t>注</w:t>
      </w:r>
      <w:r>
        <w:rPr>
          <w:spacing w:val="-46"/>
        </w:rPr>
        <w:t> </w:t>
      </w:r>
      <w:r>
        <w:rPr>
          <w:rFonts w:ascii="Times New Roman" w:hAnsi="Times New Roman" w:cs="Times New Roman" w:eastAsia="Times New Roman" w:hint="default"/>
        </w:rPr>
        <w:t>1</w:t>
      </w:r>
      <w:r>
        <w:rPr/>
        <w:t>：</w:t>
      </w:r>
    </w:p>
    <w:p>
      <w:pPr>
        <w:spacing w:line="240" w:lineRule="auto" w:before="10"/>
        <w:rPr>
          <w:rFonts w:ascii="宋体" w:hAnsi="宋体" w:cs="宋体" w:eastAsia="宋体" w:hint="default"/>
          <w:sz w:val="13"/>
          <w:szCs w:val="13"/>
        </w:rPr>
      </w:pPr>
    </w:p>
    <w:p>
      <w:pPr>
        <w:pStyle w:val="BodyText"/>
        <w:spacing w:line="468" w:lineRule="auto"/>
        <w:ind w:right="100" w:firstLine="360"/>
        <w:jc w:val="both"/>
      </w:pPr>
      <w:r>
        <w:rPr>
          <w:rFonts w:ascii="Times New Roman" w:hAnsi="Times New Roman" w:cs="Times New Roman" w:eastAsia="Times New Roman" w:hint="default"/>
        </w:rPr>
        <w:t>1</w:t>
      </w:r>
      <w:r>
        <w:rPr/>
        <w:t>．本公司持有公司股份</w:t>
      </w:r>
      <w:r>
        <w:rPr>
          <w:spacing w:val="-54"/>
        </w:rPr>
        <w:t> </w:t>
      </w:r>
      <w:r>
        <w:rPr>
          <w:rFonts w:ascii="Times New Roman" w:hAnsi="Times New Roman" w:cs="Times New Roman" w:eastAsia="Times New Roman" w:hint="default"/>
        </w:rPr>
        <w:t>5%</w:t>
      </w:r>
      <w:r>
        <w:rPr/>
        <w:t>以上的股东的张学君、陈向军、李军、何晔均承诺：自公司股票上市之日起三十六个月内， 不转让或者委托他人管理其公司首次公开发行股票发行前所直接和间接持有的本公司股份，也不由公司回购其持有的股份。 同时，作为公司董事或高级管理人员，张学君、陈向军、李军、何晔还承诺：三十六个月的锁定期满后，在本人任职期间， 每年转让所持有的公司股份不超过本人所持公司股份数的百分之二十五；本人离职后半年内，不转让所持有的公司股份。</w:t>
      </w:r>
    </w:p>
    <w:p>
      <w:pPr>
        <w:pStyle w:val="BodyText"/>
        <w:spacing w:line="468" w:lineRule="auto" w:before="61"/>
        <w:ind w:right="190" w:firstLine="360"/>
        <w:jc w:val="both"/>
      </w:pPr>
      <w:r>
        <w:rPr>
          <w:rFonts w:ascii="Times New Roman" w:hAnsi="Times New Roman" w:cs="Times New Roman" w:eastAsia="Times New Roman" w:hint="default"/>
        </w:rPr>
        <w:t>2</w:t>
      </w:r>
      <w:r>
        <w:rPr/>
        <w:t>．本公司监事周峰、杨金敏和李玟臻，高级管理人员刘奕、许秋江、唐劲星、彭建文和金一承诺：自公司股票上市之 </w:t>
      </w:r>
      <w:r>
        <w:rPr>
          <w:spacing w:val="-2"/>
        </w:rPr>
        <w:t>日起十二个月内，不转让或者委托他人管理其公司首次公开发行股票发行前所直接和间接持有的公司股份，也不由公司回购</w:t>
      </w:r>
      <w:r>
        <w:rPr>
          <w:spacing w:val="-64"/>
        </w:rPr>
        <w:t> </w:t>
      </w:r>
      <w:r>
        <w:rPr>
          <w:spacing w:val="-64"/>
        </w:rPr>
      </w:r>
      <w:r>
        <w:rPr>
          <w:spacing w:val="-2"/>
        </w:rPr>
        <w:t>其持有的股份；在本人任职期间每年转让所持有的公司股份不超过本人所持公司股份总数的百分之二十五；本人离职后半年</w:t>
      </w:r>
      <w:r>
        <w:rPr>
          <w:spacing w:val="-64"/>
        </w:rPr>
        <w:t> </w:t>
      </w:r>
      <w:r>
        <w:rPr>
          <w:spacing w:val="-64"/>
        </w:rPr>
      </w:r>
      <w:r>
        <w:rPr/>
        <w:t>内，不转让所持有的公司股份。</w:t>
      </w:r>
    </w:p>
    <w:p>
      <w:pPr>
        <w:pStyle w:val="BodyText"/>
        <w:spacing w:line="240" w:lineRule="auto" w:before="104"/>
        <w:ind w:right="90"/>
        <w:jc w:val="left"/>
      </w:pPr>
      <w:r>
        <w:rPr/>
        <w:t>注</w:t>
      </w:r>
      <w:r>
        <w:rPr>
          <w:spacing w:val="-46"/>
        </w:rPr>
        <w:t> </w:t>
      </w:r>
      <w:r>
        <w:rPr>
          <w:rFonts w:ascii="Times New Roman" w:hAnsi="Times New Roman" w:cs="Times New Roman" w:eastAsia="Times New Roman" w:hint="default"/>
        </w:rPr>
        <w:t>2</w:t>
      </w:r>
      <w:r>
        <w:rPr/>
        <w:t>：</w:t>
      </w:r>
    </w:p>
    <w:p>
      <w:pPr>
        <w:spacing w:line="240" w:lineRule="auto" w:before="9"/>
        <w:rPr>
          <w:rFonts w:ascii="宋体" w:hAnsi="宋体" w:cs="宋体" w:eastAsia="宋体" w:hint="default"/>
          <w:sz w:val="13"/>
          <w:szCs w:val="13"/>
        </w:rPr>
      </w:pPr>
    </w:p>
    <w:p>
      <w:pPr>
        <w:pStyle w:val="BodyText"/>
        <w:spacing w:line="451" w:lineRule="auto"/>
        <w:ind w:left="514" w:right="180"/>
        <w:jc w:val="left"/>
      </w:pPr>
      <w:r>
        <w:rPr/>
        <w:t>公司共同控制人张学君、陈向军和李军，以及持有公司</w:t>
      </w:r>
      <w:r>
        <w:rPr>
          <w:spacing w:val="-46"/>
        </w:rPr>
        <w:t> </w:t>
      </w:r>
      <w:r>
        <w:rPr>
          <w:rFonts w:ascii="Times New Roman" w:hAnsi="Times New Roman" w:cs="Times New Roman" w:eastAsia="Times New Roman" w:hint="default"/>
        </w:rPr>
        <w:t>5%</w:t>
      </w:r>
      <w:r>
        <w:rPr/>
        <w:t>以上股份的股东何晔，就避免同业竞争作出了以下承诺： “</w:t>
      </w:r>
      <w:r>
        <w:rPr>
          <w:rFonts w:ascii="Times New Roman" w:hAnsi="Times New Roman" w:cs="Times New Roman" w:eastAsia="Times New Roman" w:hint="default"/>
        </w:rPr>
        <w:t>1</w:t>
      </w:r>
      <w:r>
        <w:rPr/>
        <w:t>、本人目前没有在中国境内任何地方或中国境外，直接或间接发展、经营或协助经营或参与与公司业务存在竞争的</w:t>
      </w:r>
    </w:p>
    <w:p>
      <w:pPr>
        <w:pStyle w:val="BodyText"/>
        <w:spacing w:line="240" w:lineRule="auto" w:before="43"/>
        <w:ind w:right="90"/>
        <w:jc w:val="left"/>
      </w:pPr>
      <w:r>
        <w:rPr/>
        <w:t>任何活动，亦没有在任何与公司业务有直接或间接竞争关系的公司或企业拥有任何直接或间接权益。</w:t>
      </w:r>
    </w:p>
    <w:p>
      <w:pPr>
        <w:spacing w:line="240" w:lineRule="auto" w:before="10"/>
        <w:rPr>
          <w:rFonts w:ascii="宋体" w:hAnsi="宋体" w:cs="宋体" w:eastAsia="宋体" w:hint="default"/>
          <w:sz w:val="17"/>
          <w:szCs w:val="17"/>
        </w:rPr>
      </w:pPr>
    </w:p>
    <w:p>
      <w:pPr>
        <w:pStyle w:val="BodyText"/>
        <w:spacing w:line="451" w:lineRule="auto"/>
        <w:ind w:right="198" w:firstLine="360"/>
        <w:jc w:val="both"/>
      </w:pPr>
      <w:r>
        <w:rPr>
          <w:rFonts w:ascii="Times New Roman" w:hAnsi="Times New Roman" w:cs="Times New Roman" w:eastAsia="Times New Roman" w:hint="default"/>
        </w:rPr>
        <w:t>2</w:t>
      </w:r>
      <w:r>
        <w:rPr/>
        <w:t>、自本承诺函签署之日起，本人将不直接或间接经营任何与股份公司经营的业务构成竞争或可能构成竞争的业务，也 不参与投资任何与股份公司生产的产品或经营的业务构成竞争或可能构成竞争的其他企业。</w:t>
      </w:r>
    </w:p>
    <w:p>
      <w:pPr>
        <w:pStyle w:val="BodyText"/>
        <w:spacing w:line="240" w:lineRule="auto" w:before="74"/>
        <w:ind w:left="514" w:right="90"/>
        <w:jc w:val="left"/>
      </w:pPr>
      <w:r>
        <w:rPr>
          <w:rFonts w:ascii="Times New Roman" w:hAnsi="Times New Roman" w:cs="Times New Roman" w:eastAsia="Times New Roman" w:hint="default"/>
        </w:rPr>
        <w:t>3</w:t>
      </w:r>
      <w:r>
        <w:rPr/>
        <w:t>、自本承诺函签署之日起，本人将不会利用公司股东的身份进行损害公司及其它股东利益的经营活动。</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4" w:right="0"/>
        <w:jc w:val="left"/>
      </w:pPr>
      <w:r>
        <w:rPr>
          <w:rFonts w:ascii="Times New Roman" w:hAnsi="Times New Roman" w:cs="Times New Roman" w:eastAsia="Times New Roman" w:hint="default"/>
        </w:rPr>
        <w:t>4</w:t>
      </w:r>
      <w:r>
        <w:rPr/>
        <w:t>、如上述承诺被证明是不真实的或未被遵守，本人将向公司赔偿一切直接或间接的损失，并承担相应法律责任</w:t>
      </w:r>
      <w:r>
        <w:rPr>
          <w:spacing w:val="-90"/>
        </w:rPr>
        <w:t>。</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59" w:lineRule="auto"/>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报告期内，公司不存在公司资产或项目盈利预测情况。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国富浩华会计师事务所</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杨春盛、刘仁芝</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是否改聘会计师事务所</w:t>
      </w:r>
    </w:p>
    <w:p>
      <w:pPr>
        <w:pStyle w:val="BodyText"/>
        <w:spacing w:line="338" w:lineRule="auto" w:before="117"/>
        <w:ind w:right="81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原聘任的会计事务所</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深圳市鹏城会计师事务所有限公司</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杨春盛、蒙世权</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是否在审计期间改聘会计师事务所</w:t>
      </w:r>
    </w:p>
    <w:p>
      <w:pPr>
        <w:pStyle w:val="BodyText"/>
        <w:spacing w:line="340" w:lineRule="auto" w:before="116"/>
        <w:ind w:right="68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415" w:lineRule="auto" w:before="40"/>
        <w:ind w:right="70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聘任、解聘会计师事务所情况说明</w:t>
      </w:r>
    </w:p>
    <w:p>
      <w:pPr>
        <w:pStyle w:val="BodyText"/>
        <w:spacing w:line="234" w:lineRule="exact"/>
        <w:ind w:left="514" w:right="0"/>
        <w:jc w:val="left"/>
      </w:pPr>
      <w:r>
        <w:rPr/>
        <w:t>公司原</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年度审计机构深圳市鹏城会计师事务所有限公司（以下简称</w:t>
      </w:r>
      <w:r>
        <w:rPr>
          <w:rFonts w:ascii="Times New Roman" w:hAnsi="Times New Roman" w:cs="Times New Roman" w:eastAsia="Times New Roman" w:hint="default"/>
        </w:rPr>
        <w:t>“</w:t>
      </w:r>
      <w:r>
        <w:rPr/>
        <w:t>深圳鹏城</w:t>
      </w:r>
      <w:r>
        <w:rPr>
          <w:rFonts w:ascii="Times New Roman" w:hAnsi="Times New Roman" w:cs="Times New Roman" w:eastAsia="Times New Roman" w:hint="default"/>
        </w:rPr>
        <w:t>”</w:t>
      </w:r>
      <w:r>
        <w:rPr/>
        <w:t>）已整体并入国富浩华会计师事务</w:t>
      </w:r>
    </w:p>
    <w:p>
      <w:pPr>
        <w:pStyle w:val="BodyText"/>
        <w:spacing w:line="240" w:lineRule="auto" w:before="63"/>
        <w:ind w:right="0"/>
        <w:jc w:val="left"/>
      </w:pPr>
      <w:r>
        <w:rPr>
          <w:spacing w:val="-3"/>
        </w:rPr>
        <w:t>所（以下简称</w:t>
      </w:r>
      <w:r>
        <w:rPr>
          <w:rFonts w:ascii="Times New Roman" w:hAnsi="Times New Roman" w:cs="Times New Roman" w:eastAsia="Times New Roman" w:hint="default"/>
          <w:spacing w:val="-3"/>
        </w:rPr>
        <w:t>“</w:t>
      </w:r>
      <w:r>
        <w:rPr>
          <w:spacing w:val="-3"/>
        </w:rPr>
        <w:t>国富浩华</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spacing w:val="-3"/>
        </w:rPr>
        <w:t>日，经公司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年第二次临时股东大会审议通过，公司将聘请的</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年度审</w:t>
      </w:r>
    </w:p>
    <w:p>
      <w:pPr>
        <w:pStyle w:val="BodyText"/>
        <w:spacing w:line="302" w:lineRule="auto" w:before="63"/>
        <w:ind w:right="169"/>
        <w:jc w:val="left"/>
      </w:pPr>
      <w:r>
        <w:rPr/>
        <w:t>计机构由深圳鹏城变更为国富浩华。具体内容详见</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日公司在中国证监会指定的创业板信息披露网站上公布 的公告。</w:t>
      </w:r>
    </w:p>
    <w:p>
      <w:pPr>
        <w:spacing w:after="0" w:line="302"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left="153" w:right="133"/>
        <w:jc w:val="left"/>
        <w:rPr>
          <w:b w:val="0"/>
          <w:bCs w:val="0"/>
        </w:rPr>
      </w:pPr>
      <w:r>
        <w:rPr/>
        <w:t>十、上市公司及其董事、监事、高级管理人员、公司股东、实际控制人和收购人处罚及整改</w:t>
      </w:r>
      <w:r>
        <w:rPr>
          <w:spacing w:val="1"/>
          <w:w w:val="99"/>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5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338" w:lineRule="auto" w:before="43"/>
        <w:ind w:right="56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上市公司及其子公司是否存在其他重大社会安全问题</w:t>
      </w:r>
    </w:p>
    <w:p>
      <w:pPr>
        <w:pStyle w:val="BodyText"/>
        <w:spacing w:line="340" w:lineRule="auto" w:before="42"/>
        <w:ind w:right="7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报告期内是否被行政处罚</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报告期内，公司股东及其一致行动人没有提出或实施股份增持计划的情况。</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6"/>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t>报告期内，公司董事、监事、高级管理人员、持股</w:t>
      </w:r>
      <w:r>
        <w:rPr>
          <w:spacing w:val="-46"/>
        </w:rPr>
        <w:t> </w:t>
      </w:r>
      <w:r>
        <w:rPr>
          <w:rFonts w:ascii="Times New Roman" w:hAnsi="Times New Roman" w:cs="Times New Roman" w:eastAsia="Times New Roman" w:hint="default"/>
        </w:rPr>
        <w:t>5%</w:t>
      </w:r>
      <w:r>
        <w:rPr/>
        <w:t>以上的股东没有违规买卖公司股票的情况。</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十三、违规对外担保情况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报告期内，公司没有发生违规对外担保的情况。</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十四、年度报告披露后面临暂停上市和终止上市情况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公司不存在年度报告披露后面临暂停上市和终止上市的情况。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十五、其他重大事项的说明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4"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32"/>
        <w:gridCol w:w="1087"/>
        <w:gridCol w:w="709"/>
        <w:gridCol w:w="850"/>
        <w:gridCol w:w="568"/>
        <w:gridCol w:w="851"/>
        <w:gridCol w:w="850"/>
        <w:gridCol w:w="852"/>
        <w:gridCol w:w="1134"/>
        <w:gridCol w:w="632"/>
      </w:tblGrid>
      <w:tr>
        <w:trPr>
          <w:trHeight w:val="562" w:hRule="exact"/>
        </w:trPr>
        <w:tc>
          <w:tcPr>
            <w:tcW w:w="2032" w:type="dxa"/>
            <w:vMerge w:val="restart"/>
            <w:tcBorders>
              <w:top w:val="single" w:sz="4" w:space="0" w:color="000000"/>
              <w:left w:val="single" w:sz="4" w:space="0" w:color="000000"/>
              <w:right w:val="single" w:sz="4" w:space="0" w:color="000000"/>
            </w:tcBorders>
            <w:shd w:val="clear" w:color="auto" w:fill="D3D3D3"/>
          </w:tcPr>
          <w:p>
            <w:pP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0"/>
              <w:ind w:left="44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0"/>
              <w:ind w:left="98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0"/>
              <w:ind w:left="42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874" w:hRule="exact"/>
        </w:trPr>
        <w:tc>
          <w:tcPr>
            <w:tcW w:w="2032" w:type="dxa"/>
            <w:vMerge/>
            <w:tcBorders>
              <w:left w:val="single" w:sz="4" w:space="0" w:color="000000"/>
              <w:bottom w:val="single" w:sz="4" w:space="0" w:color="000000"/>
              <w:right w:val="single" w:sz="4" w:space="0" w:color="000000"/>
            </w:tcBorders>
            <w:shd w:val="clear" w:color="auto" w:fill="D3D3D3"/>
          </w:tcPr>
          <w:p>
            <w:pPr/>
          </w:p>
        </w:tc>
        <w:tc>
          <w:tcPr>
            <w:tcW w:w="1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31"/>
              <w:ind w:left="329" w:right="5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1"/>
              <w:ind w:left="13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76" w:right="0"/>
              <w:jc w:val="left"/>
              <w:rPr>
                <w:rFonts w:ascii="Times New Roman" w:hAnsi="Times New Roman" w:cs="Times New Roman" w:eastAsia="Times New Roman" w:hint="default"/>
                <w:sz w:val="18"/>
                <w:szCs w:val="18"/>
              </w:rPr>
            </w:pPr>
            <w:r>
              <w:rPr>
                <w:rFonts w:ascii="Times New Roman"/>
                <w:sz w:val="18"/>
              </w:rPr>
              <w:t>(%)</w:t>
            </w:r>
          </w:p>
        </w:tc>
      </w:tr>
      <w:tr>
        <w:trPr>
          <w:trHeight w:val="56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82,129,500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68.44%</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-754,938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-754,938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81,374,562</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67.81%</w:t>
            </w:r>
          </w:p>
        </w:tc>
      </w:tr>
      <w:tr>
        <w:trPr>
          <w:trHeight w:val="56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79,740,000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79,740,000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66.45%</w:t>
            </w:r>
          </w:p>
        </w:tc>
      </w:tr>
      <w:tr>
        <w:trPr>
          <w:trHeight w:val="563"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1"/>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79,740,000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79,740,000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66.45%</w:t>
            </w:r>
          </w:p>
        </w:tc>
      </w:tr>
      <w:tr>
        <w:trPr>
          <w:trHeight w:val="56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2,389,500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-754,938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-754,938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1,634,562</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w:t>
            </w:r>
          </w:p>
        </w:tc>
      </w:tr>
      <w:tr>
        <w:trPr>
          <w:trHeight w:val="56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37,870,500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31.56%</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754,938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754,938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38,625,438</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32.19%</w:t>
            </w:r>
          </w:p>
        </w:tc>
      </w:tr>
      <w:tr>
        <w:trPr>
          <w:trHeight w:val="563"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37,870,500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31.56%</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754,938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754,938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38,625,438</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32.19%</w:t>
            </w:r>
          </w:p>
        </w:tc>
      </w:tr>
      <w:tr>
        <w:trPr>
          <w:trHeight w:val="56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股份变动的原因</w:t>
      </w:r>
    </w:p>
    <w:p>
      <w:pPr>
        <w:spacing w:line="240" w:lineRule="auto" w:before="11"/>
        <w:rPr>
          <w:rFonts w:ascii="宋体" w:hAnsi="宋体" w:cs="宋体" w:eastAsia="宋体" w:hint="default"/>
          <w:sz w:val="14"/>
          <w:szCs w:val="14"/>
        </w:rPr>
      </w:pPr>
    </w:p>
    <w:p>
      <w:pPr>
        <w:pStyle w:val="BodyText"/>
        <w:spacing w:line="415" w:lineRule="auto"/>
        <w:ind w:left="153" w:right="832" w:firstLine="434"/>
        <w:jc w:val="left"/>
      </w:pPr>
      <w:r>
        <w:rPr/>
        <w:t>报告期内，依照《深圳证券交易所创业板上市公司规范运作指引》的相关规定，解除高管锁定股</w:t>
      </w:r>
      <w:r>
        <w:rPr>
          <w:rFonts w:ascii="Times New Roman" w:hAnsi="Times New Roman" w:cs="Times New Roman" w:eastAsia="Times New Roman" w:hint="default"/>
        </w:rPr>
        <w:t>754,938</w:t>
      </w:r>
      <w:r>
        <w:rPr/>
        <w:t>股。</w:t>
      </w:r>
      <w:r>
        <w:rPr>
          <w:spacing w:val="-2"/>
        </w:rPr>
        <w:t> </w:t>
      </w:r>
      <w:r>
        <w:rPr/>
        <w:t>股份变动的批准情况</w:t>
      </w:r>
    </w:p>
    <w:p>
      <w:pPr>
        <w:pStyle w:val="BodyText"/>
        <w:spacing w:line="424" w:lineRule="auto" w:before="64"/>
        <w:ind w:left="153" w:right="81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股份变动的过户情况 无。</w:t>
      </w:r>
    </w:p>
    <w:p>
      <w:pPr>
        <w:pStyle w:val="BodyText"/>
        <w:spacing w:line="240" w:lineRule="auto" w:before="56"/>
        <w:ind w:left="153" w:right="0"/>
        <w:jc w:val="left"/>
      </w:pPr>
      <w:r>
        <w:rPr/>
        <w:t>股份变动对最近一年和最近一期基本每股收益和稀释每股收益、归属于公司普通股股东的每股净资产等财务指标的影响</w:t>
      </w:r>
    </w:p>
    <w:p>
      <w:pPr>
        <w:spacing w:line="240" w:lineRule="auto" w:before="12"/>
        <w:rPr>
          <w:rFonts w:ascii="宋体" w:hAnsi="宋体" w:cs="宋体" w:eastAsia="宋体" w:hint="default"/>
          <w:sz w:val="14"/>
          <w:szCs w:val="14"/>
        </w:rPr>
      </w:pPr>
    </w:p>
    <w:p>
      <w:pPr>
        <w:pStyle w:val="BodyText"/>
        <w:spacing w:line="424" w:lineRule="auto"/>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 无。</w:t>
      </w: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90"/>
        <w:jc w:val="right"/>
      </w:pPr>
      <w:r>
        <w:rPr/>
        <w:t>单位：股</w:t>
      </w:r>
    </w:p>
    <w:p>
      <w:pPr>
        <w:spacing w:line="240" w:lineRule="auto" w:before="0"/>
        <w:rPr>
          <w:rFonts w:ascii="宋体" w:hAnsi="宋体" w:cs="宋体" w:eastAsia="宋体" w:hint="default"/>
          <w:sz w:val="8"/>
          <w:szCs w:val="8"/>
        </w:rPr>
      </w:pPr>
    </w:p>
    <w:tbl>
      <w:tblPr>
        <w:tblW w:w="0" w:type="auto"/>
        <w:jc w:val="left"/>
        <w:tblInd w:w="218" w:type="dxa"/>
        <w:tblLayout w:type="fixed"/>
        <w:tblCellMar>
          <w:top w:w="0" w:type="dxa"/>
          <w:left w:w="0" w:type="dxa"/>
          <w:bottom w:w="0" w:type="dxa"/>
          <w:right w:w="0" w:type="dxa"/>
        </w:tblCellMar>
        <w:tblLook w:val="01E0"/>
      </w:tblPr>
      <w:tblGrid>
        <w:gridCol w:w="1086"/>
        <w:gridCol w:w="1367"/>
        <w:gridCol w:w="1367"/>
        <w:gridCol w:w="1367"/>
        <w:gridCol w:w="1367"/>
        <w:gridCol w:w="1367"/>
        <w:gridCol w:w="1578"/>
      </w:tblGrid>
      <w:tr>
        <w:trPr>
          <w:trHeight w:val="713" w:hRule="exact"/>
        </w:trPr>
        <w:tc>
          <w:tcPr>
            <w:tcW w:w="1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27,909,000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27,909,000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23,922,000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23,922,000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11,961,000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11,961,000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11,961,000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11,961,000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汪旻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3,987,000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3,987,000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唐劲星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598,400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日解</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彭建文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502,250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杨金敏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日解</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金一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82,129,500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1,032,651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81,374,562</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9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90"/>
        <w:jc w:val="left"/>
      </w:pPr>
      <w:r>
        <w:rPr/>
        <w:t>报告期内，公司没有证券发行情况。</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9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spacing w:val="-2"/>
        </w:rPr>
        <w:t>报告期内，公司未发生因送股、转增股本、配股、增发新股、非公开发行股票、权证行权、实施股权激励计划、企业合</w:t>
      </w:r>
      <w:r>
        <w:rPr/>
        <w:t> 并、可转换债券转股、减资、债券发行或其他原因引起公司股份总数及股东结构的变动、公司资产和负债结构的变动情况。</w:t>
      </w:r>
    </w:p>
    <w:p>
      <w:pPr>
        <w:spacing w:line="240" w:lineRule="auto" w:before="7"/>
        <w:rPr>
          <w:rFonts w:ascii="宋体" w:hAnsi="宋体" w:cs="宋体" w:eastAsia="宋体" w:hint="default"/>
          <w:sz w:val="17"/>
          <w:szCs w:val="17"/>
        </w:rPr>
      </w:pPr>
    </w:p>
    <w:p>
      <w:pPr>
        <w:pStyle w:val="Heading2"/>
        <w:spacing w:line="240" w:lineRule="auto"/>
        <w:ind w:right="90"/>
        <w:jc w:val="left"/>
        <w:rPr>
          <w:b w:val="0"/>
          <w:bCs w:val="0"/>
        </w:rPr>
      </w:pPr>
      <w:r>
        <w:rPr/>
        <w:t>三、股东和实际控制人情况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602"/>
        <w:gridCol w:w="814"/>
        <w:gridCol w:w="554"/>
        <w:gridCol w:w="864"/>
        <w:gridCol w:w="1276"/>
        <w:gridCol w:w="1276"/>
        <w:gridCol w:w="689"/>
        <w:gridCol w:w="1368"/>
      </w:tblGrid>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8,973</w:t>
            </w:r>
          </w:p>
        </w:tc>
        <w:tc>
          <w:tcPr>
            <w:tcW w:w="410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7,682</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2" w:right="0"/>
              <w:jc w:val="left"/>
              <w:rPr>
                <w:rFonts w:ascii="宋体" w:hAnsi="宋体" w:cs="宋体" w:eastAsia="宋体" w:hint="default"/>
                <w:sz w:val="18"/>
                <w:szCs w:val="18"/>
              </w:rPr>
            </w:pPr>
            <w:r>
              <w:rPr>
                <w:rFonts w:ascii="宋体" w:hAnsi="宋体" w:cs="宋体" w:eastAsia="宋体" w:hint="default"/>
                <w:sz w:val="18"/>
                <w:szCs w:val="18"/>
              </w:rPr>
              <w:t>持有有限售条</w:t>
            </w:r>
          </w:p>
        </w:tc>
        <w:tc>
          <w:tcPr>
            <w:tcW w:w="20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8"/>
        <w:gridCol w:w="850"/>
        <w:gridCol w:w="566"/>
        <w:gridCol w:w="1418"/>
        <w:gridCol w:w="1276"/>
        <w:gridCol w:w="596"/>
        <w:gridCol w:w="679"/>
        <w:gridCol w:w="689"/>
        <w:gridCol w:w="304"/>
        <w:gridCol w:w="1064"/>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件的股份数量</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27,909,000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27,909,000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23,922,000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23,922,000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11,961,000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0" w:right="0"/>
              <w:jc w:val="left"/>
              <w:rPr>
                <w:rFonts w:ascii="Times New Roman" w:hAnsi="Times New Roman" w:cs="Times New Roman" w:eastAsia="Times New Roman" w:hint="default"/>
                <w:sz w:val="18"/>
                <w:szCs w:val="18"/>
              </w:rPr>
            </w:pPr>
            <w:r>
              <w:rPr>
                <w:rFonts w:ascii="Times New Roman"/>
                <w:sz w:val="18"/>
              </w:rPr>
              <w:t>11,961,000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1,400,000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11,961,000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0" w:right="0"/>
              <w:jc w:val="left"/>
              <w:rPr>
                <w:rFonts w:ascii="Times New Roman" w:hAnsi="Times New Roman" w:cs="Times New Roman" w:eastAsia="Times New Roman" w:hint="default"/>
                <w:sz w:val="18"/>
                <w:szCs w:val="18"/>
              </w:rPr>
            </w:pPr>
            <w:r>
              <w:rPr>
                <w:rFonts w:ascii="Times New Roman"/>
                <w:sz w:val="18"/>
              </w:rPr>
              <w:t>11,961,000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2,400,000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汪旻</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3,987,000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3,987,000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8" w:right="0"/>
              <w:jc w:val="left"/>
              <w:rPr>
                <w:rFonts w:ascii="Times New Roman" w:hAnsi="Times New Roman" w:cs="Times New Roman" w:eastAsia="Times New Roman" w:hint="default"/>
                <w:sz w:val="18"/>
                <w:szCs w:val="18"/>
              </w:rPr>
            </w:pPr>
            <w:r>
              <w:rPr>
                <w:rFonts w:ascii="Times New Roman"/>
                <w:sz w:val="18"/>
              </w:rPr>
              <w:t>561,000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8" w:right="0"/>
              <w:jc w:val="left"/>
              <w:rPr>
                <w:rFonts w:ascii="Times New Roman" w:hAnsi="Times New Roman" w:cs="Times New Roman" w:eastAsia="Times New Roman" w:hint="default"/>
                <w:sz w:val="18"/>
                <w:szCs w:val="18"/>
              </w:rPr>
            </w:pPr>
            <w:r>
              <w:rPr>
                <w:rFonts w:ascii="Times New Roman"/>
                <w:sz w:val="18"/>
              </w:rPr>
              <w:t>486,000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唐劲星</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598,400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彭建文</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502,250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8" w:right="0"/>
              <w:jc w:val="left"/>
              <w:rPr>
                <w:rFonts w:ascii="Times New Roman" w:hAnsi="Times New Roman" w:cs="Times New Roman" w:eastAsia="Times New Roman" w:hint="default"/>
                <w:sz w:val="18"/>
                <w:szCs w:val="18"/>
              </w:rPr>
            </w:pPr>
            <w:r>
              <w:rPr>
                <w:rFonts w:ascii="Times New Roman"/>
                <w:sz w:val="18"/>
              </w:rPr>
              <w:t>502,250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中国建设银行－摩根士丹 利华鑫多因子精选策略股 票型证券投资基金</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369,258</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97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857"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3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977" w:type="dxa"/>
            <w:gridSpan w:val="2"/>
            <w:vMerge/>
            <w:tcBorders>
              <w:left w:val="single" w:sz="4" w:space="0" w:color="000000"/>
              <w:bottom w:val="single" w:sz="4" w:space="0" w:color="000000"/>
              <w:right w:val="single" w:sz="4" w:space="0" w:color="000000"/>
            </w:tcBorders>
            <w:shd w:val="clear" w:color="auto" w:fill="D3D3D3"/>
          </w:tcPr>
          <w:p>
            <w:pPr/>
          </w:p>
        </w:tc>
        <w:tc>
          <w:tcPr>
            <w:tcW w:w="3857" w:type="dxa"/>
            <w:gridSpan w:val="4"/>
            <w:vMerge/>
            <w:tcBorders>
              <w:left w:val="single" w:sz="4" w:space="0" w:color="000000"/>
              <w:bottom w:val="single" w:sz="4" w:space="0" w:color="000000"/>
              <w:right w:val="single" w:sz="4" w:space="0" w:color="000000"/>
            </w:tcBorders>
            <w:shd w:val="clear" w:color="auto" w:fill="D3D3D3"/>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唐劲星</w:t>
            </w:r>
          </w:p>
        </w:tc>
        <w:tc>
          <w:tcPr>
            <w:tcW w:w="38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598,400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0" w:right="0"/>
              <w:jc w:val="left"/>
              <w:rPr>
                <w:rFonts w:ascii="Times New Roman" w:hAnsi="Times New Roman" w:cs="Times New Roman" w:eastAsia="Times New Roman" w:hint="default"/>
                <w:sz w:val="18"/>
                <w:szCs w:val="18"/>
              </w:rPr>
            </w:pPr>
            <w:r>
              <w:rPr>
                <w:rFonts w:ascii="Times New Roman"/>
                <w:sz w:val="18"/>
              </w:rPr>
              <w:t>598,400</w:t>
            </w:r>
          </w:p>
        </w:tc>
      </w:tr>
      <w:tr>
        <w:trPr>
          <w:trHeight w:val="714"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中国建设银行－摩根士丹利华鑫多因 子精选策略股票型证券投资基金</w:t>
            </w:r>
          </w:p>
        </w:tc>
        <w:tc>
          <w:tcPr>
            <w:tcW w:w="38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369,258</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0" w:right="0"/>
              <w:jc w:val="left"/>
              <w:rPr>
                <w:rFonts w:ascii="Times New Roman" w:hAnsi="Times New Roman" w:cs="Times New Roman" w:eastAsia="Times New Roman" w:hint="default"/>
                <w:sz w:val="18"/>
                <w:szCs w:val="18"/>
              </w:rPr>
            </w:pPr>
            <w:r>
              <w:rPr>
                <w:rFonts w:ascii="Times New Roman"/>
                <w:sz w:val="18"/>
              </w:rPr>
              <w:t>369,258</w:t>
            </w:r>
          </w:p>
        </w:tc>
      </w:tr>
      <w:tr>
        <w:trPr>
          <w:trHeight w:val="402"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韩强</w:t>
            </w:r>
          </w:p>
        </w:tc>
        <w:tc>
          <w:tcPr>
            <w:tcW w:w="38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0" w:right="0"/>
              <w:jc w:val="left"/>
              <w:rPr>
                <w:rFonts w:ascii="Times New Roman" w:hAnsi="Times New Roman" w:cs="Times New Roman" w:eastAsia="Times New Roman" w:hint="default"/>
                <w:sz w:val="18"/>
                <w:szCs w:val="18"/>
              </w:rPr>
            </w:pPr>
            <w:r>
              <w:rPr>
                <w:rFonts w:ascii="Times New Roman"/>
                <w:sz w:val="18"/>
              </w:rPr>
              <w:t>333,000</w:t>
            </w:r>
          </w:p>
        </w:tc>
      </w:tr>
      <w:tr>
        <w:trPr>
          <w:trHeight w:val="402"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周力军</w:t>
            </w:r>
          </w:p>
        </w:tc>
        <w:tc>
          <w:tcPr>
            <w:tcW w:w="38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332,600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0" w:right="0"/>
              <w:jc w:val="left"/>
              <w:rPr>
                <w:rFonts w:ascii="Times New Roman" w:hAnsi="Times New Roman" w:cs="Times New Roman" w:eastAsia="Times New Roman" w:hint="default"/>
                <w:sz w:val="18"/>
                <w:szCs w:val="18"/>
              </w:rPr>
            </w:pPr>
            <w:r>
              <w:rPr>
                <w:rFonts w:ascii="Times New Roman"/>
                <w:sz w:val="18"/>
              </w:rPr>
              <w:t>332,600</w:t>
            </w:r>
          </w:p>
        </w:tc>
      </w:tr>
      <w:tr>
        <w:trPr>
          <w:trHeight w:val="402"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曾钰雯</w:t>
            </w:r>
          </w:p>
        </w:tc>
        <w:tc>
          <w:tcPr>
            <w:tcW w:w="38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278,363</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0" w:right="0"/>
              <w:jc w:val="left"/>
              <w:rPr>
                <w:rFonts w:ascii="Times New Roman" w:hAnsi="Times New Roman" w:cs="Times New Roman" w:eastAsia="Times New Roman" w:hint="default"/>
                <w:sz w:val="18"/>
                <w:szCs w:val="18"/>
              </w:rPr>
            </w:pPr>
            <w:r>
              <w:rPr>
                <w:rFonts w:ascii="Times New Roman"/>
                <w:sz w:val="18"/>
              </w:rPr>
              <w:t>278,363</w:t>
            </w:r>
          </w:p>
        </w:tc>
      </w:tr>
      <w:tr>
        <w:trPr>
          <w:trHeight w:val="402"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何迁</w:t>
            </w:r>
          </w:p>
        </w:tc>
        <w:tc>
          <w:tcPr>
            <w:tcW w:w="38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263,310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0" w:right="0"/>
              <w:jc w:val="left"/>
              <w:rPr>
                <w:rFonts w:ascii="Times New Roman" w:hAnsi="Times New Roman" w:cs="Times New Roman" w:eastAsia="Times New Roman" w:hint="default"/>
                <w:sz w:val="18"/>
                <w:szCs w:val="18"/>
              </w:rPr>
            </w:pPr>
            <w:r>
              <w:rPr>
                <w:rFonts w:ascii="Times New Roman"/>
                <w:sz w:val="18"/>
              </w:rPr>
              <w:t>263,310</w:t>
            </w:r>
          </w:p>
        </w:tc>
      </w:tr>
      <w:tr>
        <w:trPr>
          <w:trHeight w:val="402"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魏洁平</w:t>
            </w:r>
          </w:p>
        </w:tc>
        <w:tc>
          <w:tcPr>
            <w:tcW w:w="38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204,718</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0" w:right="0"/>
              <w:jc w:val="left"/>
              <w:rPr>
                <w:rFonts w:ascii="Times New Roman" w:hAnsi="Times New Roman" w:cs="Times New Roman" w:eastAsia="Times New Roman" w:hint="default"/>
                <w:sz w:val="18"/>
                <w:szCs w:val="18"/>
              </w:rPr>
            </w:pPr>
            <w:r>
              <w:rPr>
                <w:rFonts w:ascii="Times New Roman"/>
                <w:sz w:val="18"/>
              </w:rPr>
              <w:t>204,718</w:t>
            </w:r>
          </w:p>
        </w:tc>
      </w:tr>
      <w:tr>
        <w:trPr>
          <w:trHeight w:val="402"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牟名</w:t>
            </w:r>
          </w:p>
        </w:tc>
        <w:tc>
          <w:tcPr>
            <w:tcW w:w="38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200,100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0" w:right="0"/>
              <w:jc w:val="left"/>
              <w:rPr>
                <w:rFonts w:ascii="Times New Roman" w:hAnsi="Times New Roman" w:cs="Times New Roman" w:eastAsia="Times New Roman" w:hint="default"/>
                <w:sz w:val="18"/>
                <w:szCs w:val="18"/>
              </w:rPr>
            </w:pPr>
            <w:r>
              <w:rPr>
                <w:rFonts w:ascii="Times New Roman"/>
                <w:sz w:val="18"/>
              </w:rPr>
              <w:t>200,100</w:t>
            </w:r>
          </w:p>
        </w:tc>
      </w:tr>
      <w:tr>
        <w:trPr>
          <w:trHeight w:val="402"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8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0" w:right="0"/>
              <w:jc w:val="left"/>
              <w:rPr>
                <w:rFonts w:ascii="Times New Roman" w:hAnsi="Times New Roman" w:cs="Times New Roman" w:eastAsia="Times New Roman" w:hint="default"/>
                <w:sz w:val="18"/>
                <w:szCs w:val="18"/>
              </w:rPr>
            </w:pPr>
            <w:r>
              <w:rPr>
                <w:rFonts w:ascii="Times New Roman"/>
                <w:sz w:val="18"/>
              </w:rPr>
              <w:t>187,000</w:t>
            </w:r>
          </w:p>
        </w:tc>
      </w:tr>
      <w:tr>
        <w:trPr>
          <w:trHeight w:val="402"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聂丛丛</w:t>
            </w:r>
          </w:p>
        </w:tc>
        <w:tc>
          <w:tcPr>
            <w:tcW w:w="38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180,654</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0" w:right="0"/>
              <w:jc w:val="left"/>
              <w:rPr>
                <w:rFonts w:ascii="Times New Roman" w:hAnsi="Times New Roman" w:cs="Times New Roman" w:eastAsia="Times New Roman" w:hint="default"/>
                <w:sz w:val="18"/>
                <w:szCs w:val="18"/>
              </w:rPr>
            </w:pPr>
            <w:r>
              <w:rPr>
                <w:rFonts w:ascii="Times New Roman"/>
                <w:sz w:val="18"/>
              </w:rPr>
              <w:t>180,654</w:t>
            </w:r>
          </w:p>
        </w:tc>
      </w:tr>
      <w:tr>
        <w:trPr>
          <w:trHeight w:val="1026" w:hRule="exact"/>
        </w:trPr>
        <w:tc>
          <w:tcPr>
            <w:tcW w:w="29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593" w:type="dxa"/>
            <w:gridSpan w:val="8"/>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公司前十名股东之间，何晔和许秋江为配偶关系，张学君、陈向军、李军三人为公 司共同实际控制人、一致行动人。除此以外，公司未知前十名无限售条件股东之间 是否存在关联关系，也未知是否属于一致行动人。</w:t>
            </w: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6" w:right="88"/>
        <w:jc w:val="left"/>
      </w:pPr>
      <w:r>
        <w:rPr/>
        <w:t>本公司由张学君、陈向军、李军三人以一致行动的方式对公司实施共同控制。报告期内，公司实际控制人未发生变化。 张学君现任公司董事，报告期末持有本公司股份</w:t>
      </w:r>
      <w:r>
        <w:rPr>
          <w:rFonts w:ascii="Times New Roman" w:hAnsi="Times New Roman" w:cs="Times New Roman" w:eastAsia="Times New Roman" w:hint="default"/>
        </w:rPr>
        <w:t>27,909,000</w:t>
      </w:r>
      <w:r>
        <w:rPr/>
        <w:t>股，占公司总股本的</w:t>
      </w:r>
      <w:r>
        <w:rPr>
          <w:rFonts w:ascii="Times New Roman" w:hAnsi="Times New Roman" w:cs="Times New Roman" w:eastAsia="Times New Roman" w:hint="default"/>
        </w:rPr>
        <w:t>23.26%</w:t>
      </w:r>
      <w:r>
        <w:rPr/>
        <w:t>，为本公司第一大股东；陈向军</w:t>
      </w:r>
    </w:p>
    <w:p>
      <w:pPr>
        <w:pStyle w:val="BodyText"/>
        <w:spacing w:line="240" w:lineRule="auto" w:before="21"/>
        <w:ind w:left="153" w:right="90"/>
        <w:jc w:val="left"/>
      </w:pPr>
      <w:r>
        <w:rPr/>
        <w:t>现任公司董事长，报告期末持有公司股份</w:t>
      </w:r>
      <w:r>
        <w:rPr>
          <w:rFonts w:ascii="Times New Roman" w:hAnsi="Times New Roman" w:cs="Times New Roman" w:eastAsia="Times New Roman" w:hint="default"/>
        </w:rPr>
        <w:t>11,961,000</w:t>
      </w:r>
      <w:r>
        <w:rPr/>
        <w:t>股，占公司总股本的</w:t>
      </w:r>
      <w:r>
        <w:rPr>
          <w:rFonts w:ascii="Times New Roman" w:hAnsi="Times New Roman" w:cs="Times New Roman" w:eastAsia="Times New Roman" w:hint="default"/>
        </w:rPr>
        <w:t>9.97%</w:t>
      </w:r>
      <w:r>
        <w:rPr/>
        <w:t>；李军现任公司董事、总经理，报告期末持</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25"/>
        <w:jc w:val="left"/>
      </w:pPr>
      <w:r>
        <w:rPr/>
        <w:t>有公司股份</w:t>
      </w:r>
      <w:r>
        <w:rPr>
          <w:rFonts w:ascii="Times New Roman" w:hAnsi="Times New Roman" w:cs="Times New Roman" w:eastAsia="Times New Roman" w:hint="default"/>
        </w:rPr>
        <w:t>11,961,000</w:t>
      </w:r>
      <w:r>
        <w:rPr/>
        <w:t>股，占公司总股本的</w:t>
      </w:r>
      <w:r>
        <w:rPr>
          <w:rFonts w:ascii="Times New Roman" w:hAnsi="Times New Roman" w:cs="Times New Roman" w:eastAsia="Times New Roman" w:hint="default"/>
        </w:rPr>
        <w:t>9.97%</w:t>
      </w:r>
      <w:r>
        <w:rPr/>
        <w:t>。报告期末，张学君、陈向军、李军三人合计持有公司股份</w:t>
      </w:r>
      <w:r>
        <w:rPr>
          <w:rFonts w:ascii="Times New Roman" w:hAnsi="Times New Roman" w:cs="Times New Roman" w:eastAsia="Times New Roman" w:hint="default"/>
        </w:rPr>
        <w:t>51,831,000</w:t>
      </w:r>
      <w:r>
        <w:rPr/>
        <w:t>股，</w:t>
      </w:r>
      <w:r>
        <w:rPr>
          <w:spacing w:val="1"/>
        </w:rPr>
        <w:t> </w:t>
      </w:r>
      <w:r>
        <w:rPr/>
        <w:t>占公司总股本的</w:t>
      </w:r>
      <w:r>
        <w:rPr>
          <w:rFonts w:ascii="Times New Roman" w:hAnsi="Times New Roman" w:cs="Times New Roman" w:eastAsia="Times New Roman" w:hint="default"/>
        </w:rPr>
        <w:t>43.19%</w:t>
      </w:r>
      <w:r>
        <w:rPr/>
        <w:t>。</w:t>
      </w:r>
    </w:p>
    <w:p>
      <w:pPr>
        <w:pStyle w:val="BodyText"/>
        <w:spacing w:line="465" w:lineRule="auto" w:before="43"/>
        <w:ind w:left="153" w:right="151" w:firstLine="434"/>
        <w:jc w:val="both"/>
      </w:pPr>
      <w:r>
        <w:rPr/>
        <w:t>自</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月以来，张学君、陈向军、李军三人一直保持着对本公司的共同控制关系。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日，张学君、陈向 </w:t>
      </w:r>
      <w:r>
        <w:rPr>
          <w:spacing w:val="-2"/>
        </w:rPr>
        <w:t>军、李军三人签订《共同控制协议书》，确认三人继续采用对公司重大事务决策保持一致的方式对公司进行共同控制，在有</w:t>
      </w:r>
      <w:r>
        <w:rPr>
          <w:spacing w:val="-66"/>
        </w:rPr>
        <w:t> </w:t>
      </w:r>
      <w:r>
        <w:rPr>
          <w:spacing w:val="-66"/>
        </w:rPr>
      </w:r>
      <w:r>
        <w:rPr>
          <w:spacing w:val="-2"/>
        </w:rPr>
        <w:t>关股东会或董事会上，三人均应保持一致意见，如果出现意见不统一时，三人承诺无条件服从时任公司董事长的意见。该协</w:t>
      </w:r>
      <w:r>
        <w:rPr>
          <w:spacing w:val="-66"/>
        </w:rPr>
        <w:t> </w:t>
      </w:r>
      <w:r>
        <w:rPr>
          <w:spacing w:val="-66"/>
        </w:rPr>
      </w:r>
      <w:r>
        <w:rPr/>
        <w:t>议自签订之日起生效，至公司首次公开发行股票并上市满三年之日终止。本公司《公司章程》中明确：</w:t>
      </w:r>
      <w:r>
        <w:rPr>
          <w:rFonts w:ascii="Times New Roman" w:hAnsi="Times New Roman" w:cs="Times New Roman" w:eastAsia="Times New Roman" w:hint="default"/>
        </w:rPr>
        <w:t>“</w:t>
      </w:r>
      <w:r>
        <w:rPr/>
        <w:t>自公司股票发行上 </w:t>
      </w:r>
      <w:r>
        <w:rPr>
          <w:spacing w:val="-2"/>
        </w:rPr>
        <w:t>市后三年内，公司发起人股东张学君、李军、陈向军三人采用对公司重大事务决策发表统一意见的方式维持对公司的共同控</w:t>
      </w:r>
      <w:r>
        <w:rPr>
          <w:spacing w:val="-66"/>
        </w:rPr>
        <w:t> </w:t>
      </w:r>
      <w:r>
        <w:rPr>
          <w:spacing w:val="-66"/>
        </w:rPr>
      </w:r>
      <w:r>
        <w:rPr/>
        <w:t>制</w:t>
      </w:r>
      <w:r>
        <w:rPr>
          <w:rFonts w:ascii="Times New Roman" w:hAnsi="Times New Roman" w:cs="Times New Roman" w:eastAsia="Times New Roman" w:hint="default"/>
        </w:rPr>
        <w:t>”</w:t>
      </w:r>
      <w:r>
        <w:rPr/>
        <w:t>。</w:t>
      </w:r>
    </w:p>
    <w:p>
      <w:pPr>
        <w:pStyle w:val="BodyText"/>
        <w:spacing w:line="240" w:lineRule="auto" w:before="31"/>
        <w:ind w:left="588" w:right="0"/>
        <w:jc w:val="left"/>
      </w:pPr>
      <w:r>
        <w:rPr/>
        <w:t>除持有本公司股份外，张学君、陈向军、李军均没有控股、参股其他企业。</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宋体" w:hAnsi="宋体" w:cs="宋体" w:eastAsia="宋体" w:hint="default"/>
          <w:b/>
          <w:bCs/>
          <w:sz w:val="32"/>
          <w:szCs w:val="32"/>
        </w:rPr>
      </w:pPr>
    </w:p>
    <w:p>
      <w:pPr>
        <w:pStyle w:val="BodyText"/>
        <w:spacing w:line="489" w:lineRule="auto"/>
        <w:ind w:left="153" w:right="879" w:firstLine="362"/>
        <w:jc w:val="left"/>
      </w:pPr>
      <w:r>
        <w:rPr/>
        <w:t>本公司由张学君、陈向军、李军三人以一致行动的方式对公司实施共同控制，详见</w:t>
      </w:r>
      <w:r>
        <w:rPr>
          <w:rFonts w:ascii="Times New Roman" w:hAnsi="Times New Roman" w:cs="Times New Roman" w:eastAsia="Times New Roman" w:hint="default"/>
        </w:rPr>
        <w:t>“2</w:t>
      </w:r>
      <w:r>
        <w:rPr/>
        <w:t>、公司控股股东情况</w:t>
      </w:r>
      <w:r>
        <w:rPr>
          <w:rFonts w:ascii="Times New Roman" w:hAnsi="Times New Roman" w:cs="Times New Roman" w:eastAsia="Times New Roman" w:hint="default"/>
        </w:rPr>
        <w:t>”</w:t>
      </w:r>
      <w:r>
        <w:rPr/>
        <w:t>。 公司与实际控制人之间的产权及控制关系的方框图</w:t>
      </w:r>
    </w:p>
    <w:p>
      <w:pPr>
        <w:spacing w:line="240" w:lineRule="auto" w:before="3"/>
        <w:rPr>
          <w:rFonts w:ascii="宋体" w:hAnsi="宋体" w:cs="宋体" w:eastAsia="宋体" w:hint="default"/>
          <w:sz w:val="18"/>
          <w:szCs w:val="18"/>
        </w:rPr>
      </w:pPr>
    </w:p>
    <w:p>
      <w:pPr>
        <w:spacing w:line="2640" w:lineRule="exact"/>
        <w:ind w:left="1934"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3855491" cy="16764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3855491" cy="1676400"/>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3"/>
        <w:rPr>
          <w:rFonts w:ascii="宋体" w:hAnsi="宋体" w:cs="宋体" w:eastAsia="宋体" w:hint="default"/>
          <w:sz w:val="19"/>
          <w:szCs w:val="19"/>
        </w:rPr>
      </w:pPr>
    </w:p>
    <w:p>
      <w:pPr>
        <w:pStyle w:val="BodyText"/>
        <w:spacing w:line="240" w:lineRule="auto" w:before="44"/>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公司无其他持股在</w:t>
      </w:r>
      <w:r>
        <w:rPr>
          <w:spacing w:val="-46"/>
        </w:rPr>
        <w:t> </w:t>
      </w:r>
      <w:r>
        <w:rPr>
          <w:rFonts w:ascii="Times New Roman" w:hAnsi="Times New Roman" w:cs="Times New Roman" w:eastAsia="Times New Roman" w:hint="default"/>
        </w:rPr>
        <w:t>10%</w:t>
      </w:r>
      <w:r>
        <w:rPr/>
        <w:t>以上的法人股东。</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、前</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名有限售条件股东持股数量及限售条件</w:t>
      </w:r>
      <w:r>
        <w:rPr>
          <w:b w:val="0"/>
          <w:bCs w:val="0"/>
        </w:rPr>
      </w:r>
    </w:p>
    <w:p>
      <w:pPr>
        <w:spacing w:line="240" w:lineRule="auto" w:before="5"/>
        <w:rPr>
          <w:rFonts w:ascii="宋体" w:hAnsi="宋体" w:cs="宋体" w:eastAsia="宋体" w:hint="default"/>
          <w:b/>
          <w:bCs/>
          <w:sz w:val="9"/>
          <w:szCs w:val="9"/>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1" w:right="53" w:hanging="450"/>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1" w:right="0"/>
              <w:jc w:val="left"/>
              <w:rPr>
                <w:rFonts w:ascii="Times New Roman" w:hAnsi="Times New Roman" w:cs="Times New Roman" w:eastAsia="Times New Roman" w:hint="default"/>
                <w:sz w:val="18"/>
                <w:szCs w:val="18"/>
              </w:rPr>
            </w:pPr>
            <w:r>
              <w:rPr>
                <w:rFonts w:ascii="Times New Roman"/>
                <w:sz w:val="18"/>
              </w:rPr>
              <w:t>27,909,000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sz w:val="18"/>
              </w:rPr>
              <w:t>6,977,250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23,922,000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2,990,250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2,990,250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汪旻</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彭建文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680" w:right="0"/>
        <w:jc w:val="left"/>
        <w:rPr>
          <w:b w:val="0"/>
          <w:bCs w:val="0"/>
        </w:rPr>
      </w:pPr>
      <w:bookmarkStart w:name="_TOC_250003"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65.179688pt;margin-top:33.035938pt;width:59.1pt;height:66.4pt;mso-position-horizontal-relative:page;mso-position-vertical-relative:paragraph;z-index:-63635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3"/>
        <w:gridCol w:w="1019"/>
        <w:gridCol w:w="426"/>
        <w:gridCol w:w="425"/>
        <w:gridCol w:w="850"/>
        <w:gridCol w:w="851"/>
        <w:gridCol w:w="709"/>
        <w:gridCol w:w="708"/>
        <w:gridCol w:w="709"/>
        <w:gridCol w:w="709"/>
        <w:gridCol w:w="709"/>
        <w:gridCol w:w="850"/>
        <w:gridCol w:w="709"/>
        <w:gridCol w:w="709"/>
      </w:tblGrid>
      <w:tr>
        <w:trPr>
          <w:trHeight w:val="1337" w:hRule="exact"/>
        </w:trPr>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69" w:right="78"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7" w:right="78"/>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7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9" w:right="7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69" w:right="78"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44" w:hanging="68"/>
              <w:jc w:val="center"/>
              <w:rPr>
                <w:rFonts w:ascii="宋体" w:hAnsi="宋体" w:cs="宋体" w:eastAsia="宋体" w:hint="default"/>
                <w:sz w:val="18"/>
                <w:szCs w:val="18"/>
              </w:rPr>
            </w:pPr>
            <w:r>
              <w:rPr>
                <w:rFonts w:ascii="宋体" w:hAnsi="宋体" w:cs="宋体" w:eastAsia="宋体" w:hint="default"/>
                <w:sz w:val="18"/>
                <w:szCs w:val="18"/>
              </w:rPr>
              <w:t>期初持 有股票 期权数 量（股）</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9" w:firstLine="37"/>
              <w:jc w:val="both"/>
              <w:rPr>
                <w:rFonts w:ascii="宋体" w:hAnsi="宋体" w:cs="宋体" w:eastAsia="宋体" w:hint="default"/>
                <w:sz w:val="18"/>
                <w:szCs w:val="18"/>
              </w:rPr>
            </w:pPr>
            <w:r>
              <w:rPr>
                <w:rFonts w:ascii="宋体" w:hAnsi="宋体" w:cs="宋体" w:eastAsia="宋体" w:hint="default"/>
                <w:sz w:val="18"/>
                <w:szCs w:val="18"/>
              </w:rPr>
              <w:t>其中：被 授予的限 制性股票 数量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44" w:hanging="68"/>
              <w:jc w:val="center"/>
              <w:rPr>
                <w:rFonts w:ascii="宋体" w:hAnsi="宋体" w:cs="宋体" w:eastAsia="宋体" w:hint="default"/>
                <w:sz w:val="18"/>
                <w:szCs w:val="18"/>
              </w:rPr>
            </w:pPr>
            <w:r>
              <w:rPr>
                <w:rFonts w:ascii="宋体" w:hAnsi="宋体" w:cs="宋体" w:eastAsia="宋体" w:hint="default"/>
                <w:sz w:val="18"/>
                <w:szCs w:val="18"/>
              </w:rPr>
              <w:t>期末持 有股票 期权数 量（股）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59" w:right="78"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11,961,0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11,961,0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11,961,0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11,961,0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27,909,0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27,909,0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23,922,0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23,922,0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宋靖雁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朱厚佳</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杨金敏</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彭建文</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502,250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502,250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唐劲星</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598,400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5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1019"/>
        <w:gridCol w:w="426"/>
        <w:gridCol w:w="425"/>
        <w:gridCol w:w="850"/>
        <w:gridCol w:w="851"/>
        <w:gridCol w:w="709"/>
        <w:gridCol w:w="708"/>
        <w:gridCol w:w="709"/>
        <w:gridCol w:w="709"/>
        <w:gridCol w:w="709"/>
        <w:gridCol w:w="850"/>
        <w:gridCol w:w="709"/>
        <w:gridCol w:w="709"/>
      </w:tblGrid>
      <w:tr>
        <w:trPr>
          <w:trHeight w:val="362" w:hRule="exact"/>
        </w:trPr>
        <w:tc>
          <w:tcPr>
            <w:tcW w:w="683"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金一</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60,000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60,000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78,424,4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78,415,9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432" w:lineRule="auto"/>
        <w:ind w:left="514" w:right="5130" w:hanging="36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w:t>
      </w:r>
      <w:r>
        <w:rPr>
          <w:rFonts w:ascii="Times New Roman" w:hAnsi="Times New Roman" w:cs="Times New Roman" w:eastAsia="Times New Roman" w:hint="default"/>
        </w:rPr>
        <w:t>1</w:t>
      </w:r>
      <w:r>
        <w:rPr/>
        <w:t>．董事 公司董事会由</w:t>
      </w:r>
      <w:r>
        <w:rPr>
          <w:rFonts w:ascii="Times New Roman" w:hAnsi="Times New Roman" w:cs="Times New Roman" w:eastAsia="Times New Roman" w:hint="default"/>
        </w:rPr>
        <w:t>7</w:t>
      </w:r>
      <w:r>
        <w:rPr/>
        <w:t>名董事组成，其中独立董事</w:t>
      </w:r>
      <w:r>
        <w:rPr>
          <w:rFonts w:ascii="Times New Roman" w:hAnsi="Times New Roman" w:cs="Times New Roman" w:eastAsia="Times New Roman" w:hint="default"/>
        </w:rPr>
        <w:t>3</w:t>
      </w:r>
      <w:r>
        <w:rPr/>
        <w:t>名，具体如下：</w:t>
      </w:r>
    </w:p>
    <w:p>
      <w:pPr>
        <w:pStyle w:val="BodyText"/>
        <w:spacing w:line="451" w:lineRule="auto" w:before="59"/>
        <w:ind w:right="0" w:firstLine="360"/>
        <w:jc w:val="left"/>
      </w:pPr>
      <w:r>
        <w:rPr/>
        <w:t>陈向军先生，公司董事长，中国籍，</w:t>
      </w:r>
      <w:r>
        <w:rPr>
          <w:rFonts w:ascii="Times New Roman" w:hAnsi="Times New Roman" w:cs="Times New Roman" w:eastAsia="Times New Roman" w:hint="default"/>
        </w:rPr>
        <w:t>1964</w:t>
      </w:r>
      <w:r>
        <w:rPr/>
        <w:t>年出生，研究生学历。</w:t>
      </w:r>
      <w:r>
        <w:rPr>
          <w:rFonts w:ascii="Times New Roman" w:hAnsi="Times New Roman" w:cs="Times New Roman" w:eastAsia="Times New Roman" w:hint="default"/>
        </w:rPr>
        <w:t>1988</w:t>
      </w:r>
      <w:r>
        <w:rPr/>
        <w:t>年毕业于清华大学自动化系，获学士学位，</w:t>
      </w:r>
      <w:r>
        <w:rPr>
          <w:rFonts w:ascii="Times New Roman" w:hAnsi="Times New Roman" w:cs="Times New Roman" w:eastAsia="Times New Roman" w:hint="default"/>
        </w:rPr>
        <w:t>1993 </w:t>
      </w:r>
      <w:r>
        <w:rPr>
          <w:spacing w:val="-2"/>
        </w:rPr>
        <w:t>年毕业于清华大学自动化系，获硕士学位。</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1998</w:t>
      </w:r>
      <w:r>
        <w:rPr>
          <w:spacing w:val="-2"/>
        </w:rPr>
        <w:t>年任中国电子器件工业深圳公司技术经理。</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
        </w:rPr>
        <w:t> </w:t>
      </w:r>
      <w:r>
        <w:rPr/>
        <w:t>月任公司董事、技术总监；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月起任公司董事长。陈向军先生本届任期至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451" w:lineRule="auto" w:before="43"/>
        <w:ind w:left="153" w:right="551" w:firstLine="360"/>
        <w:jc w:val="both"/>
      </w:pPr>
      <w:r>
        <w:rPr>
          <w:spacing w:val="-9"/>
        </w:rPr>
        <w:t>李军先生，公司董事、总经理，中国籍，</w:t>
      </w:r>
      <w:r>
        <w:rPr>
          <w:rFonts w:ascii="Times New Roman" w:hAnsi="Times New Roman" w:cs="Times New Roman" w:eastAsia="Times New Roman" w:hint="default"/>
          <w:spacing w:val="-9"/>
        </w:rPr>
        <w:t>1970</w:t>
      </w:r>
      <w:r>
        <w:rPr>
          <w:spacing w:val="-9"/>
        </w:rPr>
        <w:t>年出生，研究生学历。</w:t>
      </w:r>
      <w:r>
        <w:rPr>
          <w:rFonts w:ascii="Times New Roman" w:hAnsi="Times New Roman" w:cs="Times New Roman" w:eastAsia="Times New Roman" w:hint="default"/>
          <w:spacing w:val="-9"/>
        </w:rPr>
        <w:t>1991-1993</w:t>
      </w:r>
      <w:r>
        <w:rPr>
          <w:spacing w:val="-9"/>
        </w:rPr>
        <w:t>年在南京理工大学电子工程系任教；</w:t>
      </w:r>
      <w:r>
        <w:rPr>
          <w:rFonts w:ascii="Times New Roman" w:hAnsi="Times New Roman" w:cs="Times New Roman" w:eastAsia="Times New Roman" w:hint="default"/>
          <w:spacing w:val="-9"/>
        </w:rPr>
        <w:t>1993-1998</w:t>
      </w:r>
      <w:r>
        <w:rPr>
          <w:rFonts w:ascii="Times New Roman" w:hAnsi="Times New Roman" w:cs="Times New Roman" w:eastAsia="Times New Roman" w:hint="default"/>
        </w:rPr>
        <w:t> </w:t>
      </w:r>
      <w:r>
        <w:rPr/>
        <w:t>年任中国电子器件工业深圳公司客户经理。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月起至今一直任公司董事、总经理，其中</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月任公 司董事长。李军先生本届任期至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451" w:lineRule="auto" w:before="43"/>
        <w:ind w:left="153" w:right="550" w:firstLine="360"/>
        <w:jc w:val="both"/>
      </w:pPr>
      <w:r>
        <w:rPr>
          <w:spacing w:val="-1"/>
        </w:rPr>
        <w:t>张学君女士，公司董事，中国籍，</w:t>
      </w:r>
      <w:r>
        <w:rPr>
          <w:rFonts w:ascii="Times New Roman" w:hAnsi="Times New Roman" w:cs="Times New Roman" w:eastAsia="Times New Roman" w:hint="default"/>
          <w:spacing w:val="-1"/>
        </w:rPr>
        <w:t>1940</w:t>
      </w:r>
      <w:r>
        <w:rPr>
          <w:spacing w:val="-1"/>
        </w:rPr>
        <w:t>年出生，大专学历。</w:t>
      </w:r>
      <w:r>
        <w:rPr>
          <w:rFonts w:ascii="Times New Roman" w:hAnsi="Times New Roman" w:cs="Times New Roman" w:eastAsia="Times New Roman" w:hint="default"/>
          <w:spacing w:val="-1"/>
        </w:rPr>
        <w:t>1963-1970</w:t>
      </w:r>
      <w:r>
        <w:rPr>
          <w:spacing w:val="-1"/>
        </w:rPr>
        <w:t>在天津强声无线电厂工作；</w:t>
      </w:r>
      <w:r>
        <w:rPr>
          <w:rFonts w:ascii="Times New Roman" w:hAnsi="Times New Roman" w:cs="Times New Roman" w:eastAsia="Times New Roman" w:hint="default"/>
          <w:spacing w:val="-1"/>
        </w:rPr>
        <w:t>1970-1976</w:t>
      </w:r>
      <w:r>
        <w:rPr>
          <w:spacing w:val="-1"/>
        </w:rPr>
        <w:t>年在天津红</w:t>
      </w:r>
      <w:r>
        <w:rPr/>
        <w:t> 光无线电厂工作；</w:t>
      </w:r>
      <w:r>
        <w:rPr>
          <w:rFonts w:ascii="Times New Roman" w:hAnsi="Times New Roman" w:cs="Times New Roman" w:eastAsia="Times New Roman" w:hint="default"/>
        </w:rPr>
        <w:t>1976-1995</w:t>
      </w:r>
      <w:r>
        <w:rPr/>
        <w:t>年北京无线电技术研究所工作。</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月任公司董事长；</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月至今任公司 董事。张学君女士本届任期至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451" w:lineRule="auto" w:before="43"/>
        <w:ind w:left="153" w:right="558" w:firstLine="360"/>
        <w:jc w:val="both"/>
      </w:pPr>
      <w:r>
        <w:rPr/>
        <w:t>何晔女士，公司董事，中国籍，</w:t>
      </w:r>
      <w:r>
        <w:rPr>
          <w:rFonts w:ascii="Times New Roman" w:hAnsi="Times New Roman" w:cs="Times New Roman" w:eastAsia="Times New Roman" w:hint="default"/>
        </w:rPr>
        <w:t>1970</w:t>
      </w:r>
      <w:r>
        <w:rPr/>
        <w:t>年出生，本科学历。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月起在联合证券有限责任公司（华泰联合证券有限责 任公司）工作，历任计划财务部职员、基金业务小组组长助理、销售交易部总经理助理、销售交易部副总经理，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 离职。</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月至今任本公司董事。何晔女士本届任期至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451" w:lineRule="auto" w:before="43"/>
        <w:ind w:left="153" w:right="548" w:firstLine="360"/>
        <w:jc w:val="both"/>
      </w:pPr>
      <w:r>
        <w:rPr>
          <w:spacing w:val="-2"/>
        </w:rPr>
        <w:t>单怀光先生，公司独立董事，中国籍，</w:t>
      </w:r>
      <w:r>
        <w:rPr>
          <w:rFonts w:ascii="Times New Roman" w:hAnsi="Times New Roman" w:cs="Times New Roman" w:eastAsia="Times New Roman" w:hint="default"/>
          <w:spacing w:val="-2"/>
        </w:rPr>
        <w:t>1941</w:t>
      </w:r>
      <w:r>
        <w:rPr>
          <w:spacing w:val="-2"/>
        </w:rPr>
        <w:t>年出生，本科学历。</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3</w:t>
      </w:r>
      <w:r>
        <w:rPr>
          <w:spacing w:val="-2"/>
        </w:rPr>
        <w:t>月，任中科院计算所第九研究室项</w:t>
      </w:r>
      <w:r>
        <w:rPr/>
        <w:t> </w:t>
      </w:r>
      <w:r>
        <w:rPr>
          <w:spacing w:val="-2"/>
        </w:rPr>
        <w:t>目负责人，</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1</w:t>
      </w:r>
      <w:r>
        <w:rPr>
          <w:spacing w:val="-2"/>
        </w:rPr>
        <w:t>月任香港中银集团电脑部系统开发部经理，</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1985</w:t>
      </w:r>
      <w:r>
        <w:rPr>
          <w:spacing w:val="-2"/>
        </w:rPr>
        <w:t>年</w:t>
      </w:r>
      <w:r>
        <w:rPr>
          <w:rFonts w:ascii="Times New Roman" w:hAnsi="Times New Roman" w:cs="Times New Roman" w:eastAsia="Times New Roman" w:hint="default"/>
          <w:spacing w:val="-2"/>
        </w:rPr>
        <w:t>1</w:t>
      </w:r>
      <w:r>
        <w:rPr>
          <w:spacing w:val="-2"/>
        </w:rPr>
        <w:t>月任中国银行南京分行电脑</w:t>
      </w:r>
      <w:r>
        <w:rPr>
          <w:spacing w:val="-44"/>
        </w:rPr>
        <w:t> </w:t>
      </w:r>
      <w:r>
        <w:rPr/>
        <w:t>部负责人，</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月历任中国工商银行科技部副主任、总工程师、总经理，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月任中国工 商银行海外数据中心总经理，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月任中国银联首席技术顾问，</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月任银联数据服务 </w:t>
      </w:r>
      <w:r>
        <w:rPr>
          <w:spacing w:val="-2"/>
        </w:rPr>
        <w:t>公司总裁，</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2012</w:t>
      </w:r>
      <w:r>
        <w:rPr>
          <w:spacing w:val="-2"/>
        </w:rPr>
        <w:t>年3月任通联支付网络服务股份有限公司常务副总裁。</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月至今任本公司独立董事。单怀</w:t>
      </w:r>
      <w:r>
        <w:rPr>
          <w:spacing w:val="-50"/>
        </w:rPr>
        <w:t> </w:t>
      </w:r>
      <w:r>
        <w:rPr>
          <w:spacing w:val="-50"/>
        </w:rPr>
      </w:r>
      <w:r>
        <w:rPr/>
        <w:t>光先生本届任期至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451" w:lineRule="auto" w:before="43"/>
        <w:ind w:left="153" w:right="0" w:firstLine="360"/>
        <w:jc w:val="left"/>
      </w:pPr>
      <w:r>
        <w:rPr/>
        <w:t>宋靖雁先生，公司独立董事，中国籍，</w:t>
      </w:r>
      <w:r>
        <w:rPr>
          <w:rFonts w:ascii="Times New Roman" w:hAnsi="Times New Roman" w:cs="Times New Roman" w:eastAsia="Times New Roman" w:hint="default"/>
        </w:rPr>
        <w:t>1964</w:t>
      </w:r>
      <w:r>
        <w:rPr/>
        <w:t>年出生，博士学历。</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7</w:t>
      </w:r>
      <w:r>
        <w:rPr/>
        <w:t>月至今在清华大学工作，历任清华大学自动化 </w:t>
      </w:r>
      <w:r>
        <w:rPr>
          <w:spacing w:val="-2"/>
        </w:rPr>
        <w:t>系助教、讲师、副教授、教授、副系主任，其间</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12</w:t>
      </w:r>
      <w:r>
        <w:rPr>
          <w:spacing w:val="-2"/>
        </w:rPr>
        <w:t>月任香港中文大学系统工程与工程管理学系研究助理，</w:t>
      </w:r>
      <w:r>
        <w:rPr>
          <w:spacing w:val="-53"/>
        </w:rPr>
        <w:t> </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月任美国加州大学伯克利分校</w:t>
      </w:r>
      <w:r>
        <w:rPr>
          <w:rFonts w:ascii="Times New Roman" w:hAnsi="Times New Roman" w:cs="Times New Roman" w:eastAsia="Times New Roman" w:hint="default"/>
        </w:rPr>
        <w:t>PATH</w:t>
      </w:r>
      <w:r>
        <w:rPr/>
        <w:t>研究中心访问学者，</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w:t>
      </w:r>
      <w:r>
        <w:rPr/>
        <w:t>月任香港中文大学自动</w:t>
      </w:r>
    </w:p>
    <w:p>
      <w:pPr>
        <w:spacing w:after="0" w:line="451" w:lineRule="auto"/>
        <w:jc w:val="left"/>
        <w:sectPr>
          <w:pgSz w:w="11910" w:h="16840"/>
          <w:pgMar w:header="747" w:footer="982" w:top="1060" w:bottom="1180" w:left="980" w:right="5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化与计算机辅助工程系副研究员，现任清华大学自动化系教授。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月至今任本公司独立董事。宋靖雁先生本届任期至</w:t>
      </w:r>
    </w:p>
    <w:p>
      <w:pPr>
        <w:spacing w:line="240" w:lineRule="auto" w:before="9"/>
        <w:rPr>
          <w:rFonts w:ascii="宋体" w:hAnsi="宋体" w:cs="宋体" w:eastAsia="宋体" w:hint="default"/>
          <w:sz w:val="16"/>
          <w:szCs w:val="16"/>
        </w:rPr>
      </w:pPr>
    </w:p>
    <w:p>
      <w:pPr>
        <w:pStyle w:val="BodyText"/>
        <w:spacing w:line="451" w:lineRule="auto"/>
        <w:ind w:left="514" w:right="180" w:hanging="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 朱厚佳先生，公司独立董事，中国籍，</w:t>
      </w:r>
      <w:r>
        <w:rPr>
          <w:rFonts w:ascii="Times New Roman" w:hAnsi="Times New Roman" w:cs="Times New Roman" w:eastAsia="Times New Roman" w:hint="default"/>
        </w:rPr>
        <w:t>1965</w:t>
      </w:r>
      <w:r>
        <w:rPr/>
        <w:t>年出生，研究生学历。</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10</w:t>
      </w:r>
      <w:r>
        <w:rPr/>
        <w:t>月任蛇口中华会计师事务所、</w:t>
      </w:r>
    </w:p>
    <w:p>
      <w:pPr>
        <w:pStyle w:val="BodyText"/>
        <w:spacing w:line="451" w:lineRule="auto" w:before="43"/>
        <w:ind w:left="153" w:right="90"/>
        <w:jc w:val="left"/>
      </w:pPr>
      <w:r>
        <w:rPr>
          <w:spacing w:val="-2"/>
        </w:rPr>
        <w:t>蛇口天健信德会计师事务所经理，</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3</w:t>
      </w:r>
      <w:r>
        <w:rPr>
          <w:spacing w:val="-2"/>
        </w:rPr>
        <w:t>月任深圳同人会计师事务所合伙人，</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3</w:t>
      </w:r>
      <w:r>
        <w:rPr>
          <w:spacing w:val="-2"/>
        </w:rPr>
        <w:t>月至今任天健会计师事</w:t>
      </w:r>
      <w:r>
        <w:rPr>
          <w:spacing w:val="-48"/>
        </w:rPr>
        <w:t> </w:t>
      </w:r>
      <w:r>
        <w:rPr/>
        <w:t>务所深圳分所副主任。</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月至今任本公司独立董事。朱厚佳先生本届任期至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451" w:lineRule="auto" w:before="43"/>
        <w:ind w:left="513" w:right="4591"/>
        <w:jc w:val="left"/>
      </w:pPr>
      <w:r>
        <w:rPr>
          <w:rFonts w:ascii="Times New Roman" w:hAnsi="Times New Roman" w:cs="Times New Roman" w:eastAsia="Times New Roman" w:hint="default"/>
        </w:rPr>
        <w:t>2</w:t>
      </w:r>
      <w:r>
        <w:rPr/>
        <w:t>．监事 公司监事会由三名监事组成，其中职工监事一人，具体如下：</w:t>
      </w:r>
    </w:p>
    <w:p>
      <w:pPr>
        <w:pStyle w:val="BodyText"/>
        <w:spacing w:line="451" w:lineRule="auto" w:before="74"/>
        <w:ind w:left="153" w:right="188" w:firstLine="360"/>
        <w:jc w:val="both"/>
      </w:pPr>
      <w:r>
        <w:rPr>
          <w:spacing w:val="-5"/>
        </w:rPr>
        <w:t>汪婉欣女士，公司监事会主席，中国籍，</w:t>
      </w:r>
      <w:r>
        <w:rPr>
          <w:rFonts w:ascii="Times New Roman" w:hAnsi="Times New Roman" w:cs="Times New Roman" w:eastAsia="Times New Roman" w:hint="default"/>
          <w:spacing w:val="-5"/>
        </w:rPr>
        <w:t>1975</w:t>
      </w:r>
      <w:r>
        <w:rPr>
          <w:spacing w:val="-5"/>
        </w:rPr>
        <w:t>年出生，研究生学历。</w:t>
      </w:r>
      <w:r>
        <w:rPr>
          <w:rFonts w:ascii="Times New Roman" w:hAnsi="Times New Roman" w:cs="Times New Roman" w:eastAsia="Times New Roman" w:hint="default"/>
          <w:spacing w:val="-5"/>
        </w:rPr>
        <w:t>1998</w:t>
      </w:r>
      <w:r>
        <w:rPr>
          <w:spacing w:val="-5"/>
        </w:rPr>
        <w:t>年</w:t>
      </w:r>
      <w:r>
        <w:rPr>
          <w:rFonts w:ascii="Times New Roman" w:hAnsi="Times New Roman" w:cs="Times New Roman" w:eastAsia="Times New Roman" w:hint="default"/>
          <w:spacing w:val="-5"/>
        </w:rPr>
        <w:t>7</w:t>
      </w:r>
      <w:r>
        <w:rPr>
          <w:spacing w:val="-5"/>
        </w:rPr>
        <w:t>月至</w:t>
      </w:r>
      <w:r>
        <w:rPr>
          <w:rFonts w:ascii="Times New Roman" w:hAnsi="Times New Roman" w:cs="Times New Roman" w:eastAsia="Times New Roman" w:hint="default"/>
          <w:spacing w:val="-5"/>
        </w:rPr>
        <w:t>2000</w:t>
      </w:r>
      <w:r>
        <w:rPr>
          <w:spacing w:val="-5"/>
        </w:rPr>
        <w:t>年</w:t>
      </w:r>
      <w:r>
        <w:rPr>
          <w:rFonts w:ascii="Times New Roman" w:hAnsi="Times New Roman" w:cs="Times New Roman" w:eastAsia="Times New Roman" w:hint="default"/>
          <w:spacing w:val="-5"/>
        </w:rPr>
        <w:t>9</w:t>
      </w:r>
      <w:r>
        <w:rPr>
          <w:spacing w:val="-5"/>
        </w:rPr>
        <w:t>月任普华永道初级审计师，</w:t>
      </w:r>
      <w:r>
        <w:rPr>
          <w:rFonts w:ascii="Times New Roman" w:hAnsi="Times New Roman" w:cs="Times New Roman" w:eastAsia="Times New Roman" w:hint="default"/>
          <w:spacing w:val="-5"/>
        </w:rPr>
        <w:t>2003</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月任普华永道高级审计师，</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2008</w:t>
      </w:r>
      <w:r>
        <w:rPr>
          <w:spacing w:val="-2"/>
        </w:rPr>
        <w:t>年1月任可口可乐有限公司（美国）主任内部审计师，2008年1</w:t>
      </w:r>
      <w:r>
        <w:rPr>
          <w:spacing w:val="-44"/>
        </w:rPr>
        <w:t> </w:t>
      </w:r>
      <w:r>
        <w:rPr>
          <w:spacing w:val="-44"/>
        </w:rPr>
      </w:r>
      <w:r>
        <w:rPr>
          <w:spacing w:val="-2"/>
        </w:rPr>
        <w:t>月至2011年3月任北京诺华制药有限公司业务流程控制副总监，</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月任施耐德电气(中国)有限公司财务经</w:t>
      </w:r>
      <w:r>
        <w:rPr>
          <w:spacing w:val="-46"/>
        </w:rPr>
        <w:t> </w:t>
      </w:r>
      <w:r>
        <w:rPr>
          <w:spacing w:val="-2"/>
        </w:rPr>
        <w:t>理，2012年12月至今任辉瑞制药有限公司中国合规经理。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月至今任本公司监事会主席。汪婉欣女士本届任期至2013</w:t>
      </w:r>
      <w:r>
        <w:rPr>
          <w:spacing w:val="-50"/>
        </w:rPr>
        <w:t> </w:t>
      </w:r>
      <w:r>
        <w:rPr>
          <w:spacing w:val="-50"/>
        </w:rPr>
      </w:r>
      <w:r>
        <w:rPr/>
        <w:t>年12月9日。</w:t>
      </w:r>
    </w:p>
    <w:p>
      <w:pPr>
        <w:pStyle w:val="BodyText"/>
        <w:spacing w:line="451" w:lineRule="auto" w:before="74"/>
        <w:ind w:left="153" w:right="198" w:firstLine="360"/>
        <w:jc w:val="both"/>
      </w:pPr>
      <w:r>
        <w:rPr/>
        <w:t>李玟臻女士，公司监事，中国籍，</w:t>
      </w:r>
      <w:r>
        <w:rPr>
          <w:rFonts w:ascii="Times New Roman" w:hAnsi="Times New Roman" w:cs="Times New Roman" w:eastAsia="Times New Roman" w:hint="default"/>
        </w:rPr>
        <w:t>1982</w:t>
      </w:r>
      <w:r>
        <w:rPr/>
        <w:t>年出生，本科学历。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4</w:t>
      </w:r>
      <w:r>
        <w:rPr/>
        <w:t>月至今在本公司任职，历任市场企划专员、市场部 经理、总经理办公室经理。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日起任本公司监事，任期至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451" w:lineRule="auto" w:before="43"/>
        <w:ind w:left="153" w:right="98" w:firstLine="360"/>
        <w:jc w:val="both"/>
      </w:pPr>
      <w:r>
        <w:rPr>
          <w:spacing w:val="-2"/>
        </w:rPr>
        <w:t>周峰先生，公司职工代表监事，中国籍，</w:t>
      </w:r>
      <w:r>
        <w:rPr>
          <w:rFonts w:ascii="Times New Roman" w:hAnsi="Times New Roman" w:cs="Times New Roman" w:eastAsia="Times New Roman" w:hint="default"/>
          <w:spacing w:val="-2"/>
        </w:rPr>
        <w:t>1976</w:t>
      </w:r>
      <w:r>
        <w:rPr>
          <w:spacing w:val="-2"/>
        </w:rPr>
        <w:t>年出生，本科学历。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6</w:t>
      </w:r>
      <w:r>
        <w:rPr>
          <w:spacing w:val="-2"/>
        </w:rPr>
        <w:t>月至今在本公司工作，历任行政人事部经理、</w:t>
      </w:r>
      <w:r>
        <w:rPr/>
        <w:t> 综合管理部经理。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月至今任本公司职工代表监事。周峰先生本届任期至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p>
    <w:p>
      <w:pPr>
        <w:pStyle w:val="BodyText"/>
        <w:spacing w:line="451" w:lineRule="auto" w:before="43"/>
        <w:ind w:left="513" w:right="9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．其他高级管理人员 </w:t>
      </w:r>
      <w:r>
        <w:rPr>
          <w:spacing w:val="-2"/>
        </w:rPr>
        <w:t>刘奕先生：中国籍，</w:t>
      </w:r>
      <w:r>
        <w:rPr>
          <w:rFonts w:ascii="Times New Roman" w:hAnsi="Times New Roman" w:cs="Times New Roman" w:eastAsia="Times New Roman" w:hint="default"/>
          <w:spacing w:val="-2"/>
        </w:rPr>
        <w:t>1971</w:t>
      </w:r>
      <w:r>
        <w:rPr>
          <w:spacing w:val="-2"/>
        </w:rPr>
        <w:t>年出生，研究生学历。</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10</w:t>
      </w:r>
      <w:r>
        <w:rPr>
          <w:spacing w:val="-2"/>
        </w:rPr>
        <w:t>月至今在本公司工作，历任总经理助理、副总经理。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rPr>
      </w:r>
    </w:p>
    <w:p>
      <w:pPr>
        <w:pStyle w:val="BodyText"/>
        <w:spacing w:line="477" w:lineRule="auto" w:before="43"/>
        <w:ind w:left="513" w:right="181" w:hanging="360"/>
        <w:jc w:val="left"/>
      </w:pPr>
      <w:r>
        <w:rPr/>
        <w:t>月至今任公司副总经理、董事会秘书。 许秋江先生：中国籍，</w:t>
      </w:r>
      <w:r>
        <w:rPr>
          <w:rFonts w:ascii="Times New Roman" w:hAnsi="Times New Roman" w:cs="Times New Roman" w:eastAsia="Times New Roman" w:hint="default"/>
        </w:rPr>
        <w:t>1973</w:t>
      </w:r>
      <w:r>
        <w:rPr/>
        <w:t>年出生，大专学历。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3</w:t>
      </w:r>
      <w:r>
        <w:rPr/>
        <w:t>月至今在本公司工作，历任公司财务经理、财务总监。现任公</w:t>
      </w:r>
    </w:p>
    <w:p>
      <w:pPr>
        <w:pStyle w:val="BodyText"/>
        <w:spacing w:line="439" w:lineRule="auto" w:before="21"/>
        <w:ind w:left="153" w:right="8191"/>
        <w:jc w:val="left"/>
      </w:pPr>
      <w:r>
        <w:rPr/>
        <w:t>司财务总监。 在股东单位任职情况</w:t>
      </w:r>
    </w:p>
    <w:p>
      <w:pPr>
        <w:pStyle w:val="BodyText"/>
        <w:spacing w:line="217" w:lineRule="exact"/>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right="90"/>
        <w:jc w:val="left"/>
      </w:pPr>
      <w:r>
        <w:rPr/>
        <w:t>在其他单位任职情况</w:t>
      </w:r>
    </w:p>
    <w:p>
      <w:pPr>
        <w:pStyle w:val="BodyText"/>
        <w:spacing w:line="240" w:lineRule="auto" w:before="116"/>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139"/>
        <w:gridCol w:w="1274"/>
        <w:gridCol w:w="1276"/>
        <w:gridCol w:w="14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3" w:right="23"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9" w:right="107"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宋靖雁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朱厚佳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天健会计师事务所深圳分所</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辉瑞制药有限公司</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中国合规经理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宋靖雁、朱厚佳为公司独立董事，汪婉欣为公司监事会主席。</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pStyle w:val="BodyText"/>
        <w:spacing w:line="240" w:lineRule="auto" w:before="44"/>
        <w:ind w:left="0" w:right="117"/>
        <w:jc w:val="right"/>
      </w:pPr>
      <w:r>
        <w:rPr/>
        <w:pict>
          <v:shape style="position:absolute;margin-left:56.459999pt;margin-top:-32.107998pt;width:482.7pt;height:107.6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4"/>
                    <w:gridCol w:w="6096"/>
                  </w:tblGrid>
                  <w:tr>
                    <w:trPr>
                      <w:trHeight w:val="1026"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3"/>
                            <w:sz w:val="18"/>
                            <w:szCs w:val="18"/>
                          </w:rPr>
                          <w:t>公司董事、监事报酬由股东大会决定，高级管理人员报酬由董事会决定；在公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司承担职务的董事、监事、高级管理人员报酬由公司支付，董事、监事不另外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支付津贴。独立董事津贴依据股东大会决议支付，独立董事会务费据实报销</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依据公司盈利水平及各董事、监事、高级管理人员的分工及履行情况确定。</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 情况</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公司现有董事、监事、高级管理人员共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人，</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0" w:right="117"/>
        <w:jc w:val="right"/>
      </w:pPr>
      <w:r>
        <w:rPr/>
        <w:t>。</w:t>
      </w:r>
    </w:p>
    <w:p>
      <w:pPr>
        <w:spacing w:line="240" w:lineRule="auto" w:before="4"/>
        <w:rPr>
          <w:rFonts w:ascii="宋体" w:hAnsi="宋体" w:cs="宋体" w:eastAsia="宋体" w:hint="default"/>
          <w:sz w:val="27"/>
          <w:szCs w:val="27"/>
        </w:rPr>
      </w:pPr>
    </w:p>
    <w:p>
      <w:pPr>
        <w:pStyle w:val="BodyText"/>
        <w:spacing w:line="240" w:lineRule="auto" w:before="44"/>
        <w:ind w:right="0"/>
        <w:jc w:val="left"/>
      </w:pPr>
      <w:r>
        <w:rPr/>
        <w:t>公司报告期内董事、监事和高级管理人员报酬情况</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994"/>
        <w:gridCol w:w="1416"/>
        <w:gridCol w:w="992"/>
        <w:gridCol w:w="994"/>
        <w:gridCol w:w="1274"/>
        <w:gridCol w:w="1276"/>
        <w:gridCol w:w="1418"/>
        <w:gridCol w:w="1204"/>
      </w:tblGrid>
      <w:tr>
        <w:trPr>
          <w:trHeight w:val="1025"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1"/>
              <w:jc w:val="right"/>
              <w:rPr>
                <w:rFonts w:ascii="宋体" w:hAnsi="宋体" w:cs="宋体" w:eastAsia="宋体" w:hint="default"/>
                <w:sz w:val="18"/>
                <w:szCs w:val="18"/>
              </w:rPr>
            </w:pPr>
            <w:r>
              <w:rPr>
                <w:rFonts w:ascii="宋体" w:hAnsi="宋体" w:cs="宋体" w:eastAsia="宋体" w:hint="default"/>
                <w:sz w:val="18"/>
                <w:szCs w:val="18"/>
              </w:rPr>
              <w:t>姓名</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从公司获得的 报酬总额（万 元）</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4" w:right="72"/>
              <w:jc w:val="center"/>
              <w:rPr>
                <w:rFonts w:ascii="宋体" w:hAnsi="宋体" w:cs="宋体" w:eastAsia="宋体" w:hint="default"/>
                <w:sz w:val="18"/>
                <w:szCs w:val="18"/>
              </w:rPr>
            </w:pPr>
            <w:r>
              <w:rPr>
                <w:rFonts w:ascii="宋体" w:hAnsi="宋体" w:cs="宋体" w:eastAsia="宋体" w:hint="default"/>
                <w:sz w:val="18"/>
                <w:szCs w:val="18"/>
              </w:rPr>
              <w:t>从股东单位获得 的报酬总额（万 元）</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6" w:right="55"/>
              <w:jc w:val="center"/>
              <w:rPr>
                <w:rFonts w:ascii="宋体" w:hAnsi="宋体" w:cs="宋体" w:eastAsia="宋体" w:hint="default"/>
                <w:sz w:val="18"/>
                <w:szCs w:val="18"/>
              </w:rPr>
            </w:pPr>
            <w:r>
              <w:rPr>
                <w:rFonts w:ascii="宋体" w:hAnsi="宋体" w:cs="宋体" w:eastAsia="宋体" w:hint="default"/>
                <w:sz w:val="18"/>
                <w:szCs w:val="18"/>
              </w:rPr>
              <w:t>报告期末实际 所得报酬（万 元）</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宋靖雁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朱厚佳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14.91</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杨金敏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11.32</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副总经理、董事会</w:t>
            </w:r>
            <w:r>
              <w:rPr>
                <w:rFonts w:ascii="宋体" w:hAnsi="宋体" w:cs="宋体" w:eastAsia="宋体" w:hint="default"/>
                <w:sz w:val="18"/>
                <w:szCs w:val="18"/>
              </w:rPr>
              <w:t> 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彭建文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唐劲星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4.24</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12.55</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11"/>
              <w:jc w:val="righ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165.47</w:t>
            </w:r>
          </w:p>
        </w:tc>
      </w:tr>
    </w:tbl>
    <w:p>
      <w:pPr>
        <w:spacing w:line="240" w:lineRule="auto" w:before="8"/>
        <w:rPr>
          <w:rFonts w:ascii="宋体" w:hAnsi="宋体" w:cs="宋体" w:eastAsia="宋体" w:hint="default"/>
          <w:sz w:val="12"/>
          <w:szCs w:val="12"/>
        </w:rPr>
      </w:pPr>
    </w:p>
    <w:p>
      <w:pPr>
        <w:pStyle w:val="BodyText"/>
        <w:spacing w:line="240" w:lineRule="auto" w:before="44"/>
        <w:ind w:right="0"/>
        <w:jc w:val="left"/>
      </w:pPr>
      <w:r>
        <w:rPr/>
        <w:t>公司董事、监事、高级管理人员报告期内被授予的股权激励情况</w:t>
      </w:r>
    </w:p>
    <w:p>
      <w:pPr>
        <w:spacing w:line="240" w:lineRule="auto" w:before="10"/>
        <w:rPr>
          <w:rFonts w:ascii="宋体" w:hAnsi="宋体" w:cs="宋体" w:eastAsia="宋体" w:hint="default"/>
          <w:sz w:val="20"/>
          <w:szCs w:val="20"/>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6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四、公司董事、监事、高级管理人员变动情况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823"/>
        <w:gridCol w:w="375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3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唐劲星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杨金敏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金一</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彭建文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32"/>
          <w:szCs w:val="32"/>
        </w:rPr>
      </w:pPr>
    </w:p>
    <w:p>
      <w:pPr>
        <w:pStyle w:val="BodyText"/>
        <w:spacing w:line="458" w:lineRule="auto"/>
        <w:ind w:left="153" w:right="141" w:firstLine="380"/>
        <w:jc w:val="left"/>
      </w:pPr>
      <w:r>
        <w:rPr/>
        <w:t>报告期内，公司核心技术人员李芳洲、金一因个人原因向公司提出辞职申请，并将其所负责的相关工作已进行了良好 交接，其辞职不会影响公司相关工作的正常进行。截止报告期末，公司员工人数为</w:t>
      </w:r>
      <w:r>
        <w:rPr>
          <w:rFonts w:ascii="Times New Roman" w:hAnsi="Times New Roman" w:cs="Times New Roman" w:eastAsia="Times New Roman" w:hint="default"/>
        </w:rPr>
        <w:t>505</w:t>
      </w:r>
      <w:r>
        <w:rPr/>
        <w:t>人，较上年同期末增加</w:t>
      </w:r>
      <w:r>
        <w:rPr>
          <w:rFonts w:ascii="Times New Roman" w:hAnsi="Times New Roman" w:cs="Times New Roman" w:eastAsia="Times New Roman" w:hint="default"/>
        </w:rPr>
        <w:t>90</w:t>
      </w:r>
      <w:r>
        <w:rPr/>
        <w:t>人，增幅为 </w:t>
      </w:r>
      <w:r>
        <w:rPr>
          <w:rFonts w:ascii="Times New Roman" w:hAnsi="Times New Roman" w:cs="Times New Roman" w:eastAsia="Times New Roman" w:hint="default"/>
        </w:rPr>
        <w:t>21.69%</w:t>
      </w:r>
      <w:r>
        <w:rPr/>
        <w:t>，增加的人员主要是研发与技术人员。报告期内，公司已经加大了中高端人才的引进力度，大力培养优秀研发与技 术人员，不断扩大公司研发与技术人才储备。</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1" w:right="0"/>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日，公司共有在册员工</w:t>
      </w:r>
      <w:r>
        <w:rPr>
          <w:rFonts w:ascii="Times New Roman" w:hAnsi="Times New Roman" w:cs="Times New Roman" w:eastAsia="Times New Roman" w:hint="default"/>
        </w:rPr>
        <w:t>505</w:t>
      </w:r>
      <w:r>
        <w:rPr/>
        <w:t>人，较上年末增加</w:t>
      </w:r>
      <w:r>
        <w:rPr>
          <w:rFonts w:ascii="Times New Roman" w:hAnsi="Times New Roman" w:cs="Times New Roman" w:eastAsia="Times New Roman" w:hint="default"/>
        </w:rPr>
        <w:t>90</w:t>
      </w:r>
      <w:r>
        <w:rPr/>
        <w:t>人，增幅</w:t>
      </w:r>
      <w:r>
        <w:rPr>
          <w:rFonts w:ascii="Times New Roman" w:hAnsi="Times New Roman" w:cs="Times New Roman" w:eastAsia="Times New Roman" w:hint="default"/>
        </w:rPr>
        <w:t>21.69%</w:t>
      </w:r>
      <w:r>
        <w:rPr/>
        <w:t>。员工具体构成情况如下：</w:t>
      </w:r>
    </w:p>
    <w:p>
      <w:pPr>
        <w:spacing w:line="240" w:lineRule="auto" w:before="12"/>
        <w:rPr>
          <w:rFonts w:ascii="宋体" w:hAnsi="宋体" w:cs="宋体" w:eastAsia="宋体" w:hint="default"/>
          <w:sz w:val="25"/>
          <w:szCs w:val="25"/>
        </w:rPr>
      </w:pPr>
    </w:p>
    <w:p>
      <w:pPr>
        <w:pStyle w:val="BodyText"/>
        <w:spacing w:line="240" w:lineRule="auto"/>
        <w:ind w:left="511" w:right="0"/>
        <w:jc w:val="left"/>
      </w:pPr>
      <w:r>
        <w:rPr>
          <w:rFonts w:ascii="Times New Roman" w:hAnsi="Times New Roman" w:cs="Times New Roman" w:eastAsia="Times New Roman" w:hint="default"/>
        </w:rPr>
        <w:t>1</w:t>
      </w:r>
      <w:r>
        <w:rPr/>
        <w:t>．专业结构</w:t>
      </w:r>
    </w:p>
    <w:p>
      <w:pPr>
        <w:spacing w:line="240" w:lineRule="auto" w:before="13"/>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2700"/>
        <w:gridCol w:w="2794"/>
        <w:gridCol w:w="2786"/>
      </w:tblGrid>
      <w:tr>
        <w:trPr>
          <w:trHeight w:val="427" w:hRule="exact"/>
        </w:trPr>
        <w:tc>
          <w:tcPr>
            <w:tcW w:w="270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专业</w:t>
            </w:r>
          </w:p>
        </w:tc>
        <w:tc>
          <w:tcPr>
            <w:tcW w:w="279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1208"/>
              <w:jc w:val="right"/>
              <w:rPr>
                <w:rFonts w:ascii="宋体" w:hAnsi="宋体" w:cs="宋体" w:eastAsia="宋体" w:hint="default"/>
                <w:sz w:val="18"/>
                <w:szCs w:val="18"/>
              </w:rPr>
            </w:pPr>
            <w:r>
              <w:rPr>
                <w:rFonts w:ascii="宋体" w:hAnsi="宋体" w:cs="宋体" w:eastAsia="宋体" w:hint="default"/>
                <w:sz w:val="18"/>
                <w:szCs w:val="18"/>
              </w:rPr>
              <w:t>人数</w:t>
            </w:r>
          </w:p>
        </w:tc>
        <w:tc>
          <w:tcPr>
            <w:tcW w:w="278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占员工总人数的比例</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研发与技术人员</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53"/>
              <w:jc w:val="right"/>
              <w:rPr>
                <w:rFonts w:ascii="Times New Roman" w:hAnsi="Times New Roman" w:cs="Times New Roman" w:eastAsia="Times New Roman" w:hint="default"/>
                <w:sz w:val="18"/>
                <w:szCs w:val="18"/>
              </w:rPr>
            </w:pPr>
            <w:r>
              <w:rPr>
                <w:rFonts w:ascii="Times New Roman"/>
                <w:sz w:val="18"/>
              </w:rPr>
              <w:t>420</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83.17%</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40</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7.92%</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45</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8.91%</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3"/>
              <w:jc w:val="right"/>
              <w:rPr>
                <w:rFonts w:ascii="Times New Roman" w:hAnsi="Times New Roman" w:cs="Times New Roman" w:eastAsia="Times New Roman" w:hint="default"/>
                <w:sz w:val="18"/>
                <w:szCs w:val="18"/>
              </w:rPr>
            </w:pPr>
            <w:r>
              <w:rPr>
                <w:rFonts w:ascii="Times New Roman"/>
                <w:sz w:val="18"/>
              </w:rPr>
              <w:t>505</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8"/>
        <w:rPr>
          <w:rFonts w:ascii="宋体" w:hAnsi="宋体" w:cs="宋体" w:eastAsia="宋体" w:hint="default"/>
          <w:sz w:val="12"/>
          <w:szCs w:val="12"/>
        </w:rPr>
      </w:pPr>
    </w:p>
    <w:p>
      <w:pPr>
        <w:pStyle w:val="BodyText"/>
        <w:spacing w:line="240" w:lineRule="auto" w:before="44"/>
        <w:ind w:left="511" w:right="0"/>
        <w:jc w:val="left"/>
      </w:pPr>
      <w:r>
        <w:rPr>
          <w:rFonts w:ascii="Times New Roman" w:hAnsi="Times New Roman" w:cs="Times New Roman" w:eastAsia="Times New Roman" w:hint="default"/>
        </w:rPr>
        <w:t>2</w:t>
      </w:r>
      <w:r>
        <w:rPr/>
        <w:t>．学历结构</w:t>
      </w:r>
    </w:p>
    <w:p>
      <w:pPr>
        <w:spacing w:line="240" w:lineRule="auto" w:before="13"/>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2700"/>
        <w:gridCol w:w="2794"/>
        <w:gridCol w:w="2786"/>
      </w:tblGrid>
      <w:tr>
        <w:trPr>
          <w:trHeight w:val="427" w:hRule="exact"/>
        </w:trPr>
        <w:tc>
          <w:tcPr>
            <w:tcW w:w="270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专业</w:t>
            </w:r>
          </w:p>
        </w:tc>
        <w:tc>
          <w:tcPr>
            <w:tcW w:w="279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1208"/>
              <w:jc w:val="right"/>
              <w:rPr>
                <w:rFonts w:ascii="宋体" w:hAnsi="宋体" w:cs="宋体" w:eastAsia="宋体" w:hint="default"/>
                <w:sz w:val="18"/>
                <w:szCs w:val="18"/>
              </w:rPr>
            </w:pPr>
            <w:r>
              <w:rPr>
                <w:rFonts w:ascii="宋体" w:hAnsi="宋体" w:cs="宋体" w:eastAsia="宋体" w:hint="default"/>
                <w:sz w:val="18"/>
                <w:szCs w:val="18"/>
              </w:rPr>
              <w:t>人数</w:t>
            </w:r>
          </w:p>
        </w:tc>
        <w:tc>
          <w:tcPr>
            <w:tcW w:w="278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占员工总人数的比例</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14</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2.77%</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3"/>
              <w:jc w:val="right"/>
              <w:rPr>
                <w:rFonts w:ascii="Times New Roman" w:hAnsi="Times New Roman" w:cs="Times New Roman" w:eastAsia="Times New Roman" w:hint="default"/>
                <w:sz w:val="18"/>
                <w:szCs w:val="18"/>
              </w:rPr>
            </w:pPr>
            <w:r>
              <w:rPr>
                <w:rFonts w:ascii="Times New Roman"/>
                <w:sz w:val="18"/>
              </w:rPr>
              <w:t>314</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62.18%</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3"/>
              <w:jc w:val="right"/>
              <w:rPr>
                <w:rFonts w:ascii="Times New Roman" w:hAnsi="Times New Roman" w:cs="Times New Roman" w:eastAsia="Times New Roman" w:hint="default"/>
                <w:sz w:val="18"/>
                <w:szCs w:val="18"/>
              </w:rPr>
            </w:pPr>
            <w:r>
              <w:rPr>
                <w:rFonts w:ascii="Times New Roman"/>
                <w:sz w:val="18"/>
              </w:rPr>
              <w:t>130</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25.74%</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47</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9.31%</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3"/>
              <w:jc w:val="right"/>
              <w:rPr>
                <w:rFonts w:ascii="Times New Roman" w:hAnsi="Times New Roman" w:cs="Times New Roman" w:eastAsia="Times New Roman" w:hint="default"/>
                <w:sz w:val="18"/>
                <w:szCs w:val="18"/>
              </w:rPr>
            </w:pPr>
            <w:r>
              <w:rPr>
                <w:rFonts w:ascii="Times New Roman"/>
                <w:sz w:val="18"/>
              </w:rPr>
              <w:t>505</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7"/>
        <w:rPr>
          <w:rFonts w:ascii="宋体" w:hAnsi="宋体" w:cs="宋体" w:eastAsia="宋体" w:hint="default"/>
          <w:sz w:val="12"/>
          <w:szCs w:val="12"/>
        </w:rPr>
      </w:pPr>
    </w:p>
    <w:p>
      <w:pPr>
        <w:pStyle w:val="BodyText"/>
        <w:spacing w:line="240" w:lineRule="auto" w:before="44"/>
        <w:ind w:left="511" w:right="0"/>
        <w:jc w:val="left"/>
      </w:pPr>
      <w:r>
        <w:rPr>
          <w:rFonts w:ascii="Times New Roman" w:hAnsi="Times New Roman" w:cs="Times New Roman" w:eastAsia="Times New Roman" w:hint="default"/>
        </w:rPr>
        <w:t>3</w:t>
      </w:r>
      <w:r>
        <w:rPr/>
        <w:t>．年龄结构</w:t>
      </w:r>
    </w:p>
    <w:p>
      <w:pPr>
        <w:spacing w:after="0" w:line="240" w:lineRule="auto"/>
        <w:jc w:val="lef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700"/>
        <w:gridCol w:w="2794"/>
        <w:gridCol w:w="2786"/>
      </w:tblGrid>
      <w:tr>
        <w:trPr>
          <w:trHeight w:val="427" w:hRule="exact"/>
        </w:trPr>
        <w:tc>
          <w:tcPr>
            <w:tcW w:w="270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专业</w:t>
            </w:r>
          </w:p>
        </w:tc>
        <w:tc>
          <w:tcPr>
            <w:tcW w:w="279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1208"/>
              <w:jc w:val="right"/>
              <w:rPr>
                <w:rFonts w:ascii="宋体" w:hAnsi="宋体" w:cs="宋体" w:eastAsia="宋体" w:hint="default"/>
                <w:sz w:val="18"/>
                <w:szCs w:val="18"/>
              </w:rPr>
            </w:pPr>
            <w:r>
              <w:rPr>
                <w:rFonts w:ascii="宋体" w:hAnsi="宋体" w:cs="宋体" w:eastAsia="宋体" w:hint="default"/>
                <w:sz w:val="18"/>
                <w:szCs w:val="18"/>
              </w:rPr>
              <w:t>人数</w:t>
            </w:r>
          </w:p>
        </w:tc>
        <w:tc>
          <w:tcPr>
            <w:tcW w:w="278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占员工总人数的比例</w:t>
            </w:r>
          </w:p>
        </w:tc>
      </w:tr>
      <w:tr>
        <w:trPr>
          <w:trHeight w:val="428" w:hRule="exact"/>
        </w:trPr>
        <w:tc>
          <w:tcPr>
            <w:tcW w:w="27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岁以上</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2.38%</w:t>
            </w:r>
          </w:p>
        </w:tc>
      </w:tr>
      <w:tr>
        <w:trPr>
          <w:trHeight w:val="426"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w:t>
            </w:r>
            <w:r>
              <w:rPr>
                <w:rFonts w:ascii="Times New Roman" w:hAnsi="Times New Roman" w:cs="Times New Roman" w:eastAsia="Times New Roman" w:hint="default"/>
                <w:sz w:val="18"/>
                <w:szCs w:val="18"/>
              </w:rPr>
              <w:t>-40</w:t>
            </w:r>
            <w:r>
              <w:rPr>
                <w:rFonts w:ascii="宋体" w:hAnsi="宋体" w:cs="宋体" w:eastAsia="宋体" w:hint="default"/>
                <w:sz w:val="18"/>
                <w:szCs w:val="18"/>
              </w:rPr>
              <w:t>岁</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75</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14.85%</w:t>
            </w:r>
          </w:p>
        </w:tc>
      </w:tr>
      <w:tr>
        <w:trPr>
          <w:trHeight w:val="427"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岁</w:t>
            </w:r>
            <w:r>
              <w:rPr>
                <w:rFonts w:ascii="Times New Roman" w:hAnsi="Times New Roman" w:cs="Times New Roman" w:eastAsia="Times New Roman" w:hint="default"/>
                <w:sz w:val="18"/>
                <w:szCs w:val="18"/>
              </w:rPr>
              <w:t>-30</w:t>
            </w:r>
            <w:r>
              <w:rPr>
                <w:rFonts w:ascii="宋体" w:hAnsi="宋体" w:cs="宋体" w:eastAsia="宋体" w:hint="default"/>
                <w:sz w:val="18"/>
                <w:szCs w:val="18"/>
              </w:rPr>
              <w:t>岁</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3"/>
              <w:jc w:val="right"/>
              <w:rPr>
                <w:rFonts w:ascii="Times New Roman" w:hAnsi="Times New Roman" w:cs="Times New Roman" w:eastAsia="Times New Roman" w:hint="default"/>
                <w:sz w:val="18"/>
                <w:szCs w:val="18"/>
              </w:rPr>
            </w:pPr>
            <w:r>
              <w:rPr>
                <w:rFonts w:ascii="Times New Roman"/>
                <w:sz w:val="18"/>
              </w:rPr>
              <w:t>418</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82.77%</w:t>
            </w:r>
          </w:p>
        </w:tc>
      </w:tr>
      <w:tr>
        <w:trPr>
          <w:trHeight w:val="428" w:hRule="exact"/>
        </w:trPr>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53"/>
              <w:jc w:val="right"/>
              <w:rPr>
                <w:rFonts w:ascii="Times New Roman" w:hAnsi="Times New Roman" w:cs="Times New Roman" w:eastAsia="Times New Roman" w:hint="default"/>
                <w:sz w:val="18"/>
                <w:szCs w:val="18"/>
              </w:rPr>
            </w:pPr>
            <w:r>
              <w:rPr>
                <w:rFonts w:ascii="Times New Roman"/>
                <w:sz w:val="18"/>
              </w:rPr>
              <w:t>505</w:t>
            </w:r>
          </w:p>
        </w:tc>
        <w:tc>
          <w:tcPr>
            <w:tcW w:w="2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8"/>
        <w:rPr>
          <w:rFonts w:ascii="宋体" w:hAnsi="宋体" w:cs="宋体" w:eastAsia="宋体" w:hint="default"/>
          <w:sz w:val="12"/>
          <w:szCs w:val="12"/>
        </w:rPr>
      </w:pPr>
    </w:p>
    <w:p>
      <w:pPr>
        <w:pStyle w:val="BodyText"/>
        <w:spacing w:line="240" w:lineRule="auto" w:before="44"/>
        <w:ind w:right="0"/>
        <w:jc w:val="left"/>
      </w:pPr>
      <w:r>
        <w:rPr>
          <w:rFonts w:ascii="Times New Roman" w:hAnsi="Times New Roman" w:cs="Times New Roman" w:eastAsia="Times New Roman" w:hint="default"/>
        </w:rPr>
        <w:t>4</w:t>
      </w:r>
      <w:r>
        <w:rPr/>
        <w:t>．截止报告期末，公司没有需要承担费用的离退休职工。</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7"/>
        <w:jc w:val="center"/>
        <w:rPr>
          <w:b w:val="0"/>
          <w:bCs w:val="0"/>
        </w:rPr>
      </w:pPr>
      <w:bookmarkStart w:name="_TOC_250002"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一、公司治理的基本状况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604" w:right="90"/>
        <w:jc w:val="left"/>
      </w:pPr>
      <w:r>
        <w:rPr>
          <w:spacing w:val="-6"/>
        </w:rPr>
        <w:t>报告期内，公司严格按照《公司法》、《证券法》、《上市公司治理准则》、《深圳证券交易所创业板股票上市规则》、</w:t>
      </w:r>
    </w:p>
    <w:p>
      <w:pPr>
        <w:spacing w:line="240" w:lineRule="auto" w:before="10"/>
        <w:rPr>
          <w:rFonts w:ascii="宋体" w:hAnsi="宋体" w:cs="宋体" w:eastAsia="宋体" w:hint="default"/>
          <w:sz w:val="17"/>
          <w:szCs w:val="17"/>
        </w:rPr>
      </w:pPr>
    </w:p>
    <w:p>
      <w:pPr>
        <w:pStyle w:val="BodyText"/>
        <w:spacing w:line="477" w:lineRule="auto"/>
        <w:ind w:right="90"/>
        <w:jc w:val="left"/>
      </w:pPr>
      <w:r>
        <w:rPr>
          <w:spacing w:val="-2"/>
        </w:rPr>
        <w:t>《深圳证券交易所创业板上市公司规范运作指引》等法律、法规和中国证监会有关法律法规等的要求，不断完善公司的法人</w:t>
      </w:r>
      <w:r>
        <w:rPr>
          <w:spacing w:val="-66"/>
        </w:rPr>
        <w:t> </w:t>
      </w:r>
      <w:r>
        <w:rPr>
          <w:spacing w:val="-66"/>
        </w:rPr>
      </w:r>
      <w:r>
        <w:rPr/>
        <w:t>治理结构，建立健全公司内部管理和控制制度，规范运作，严格进行信息披露工作，保护广大投资者利益。</w:t>
      </w:r>
    </w:p>
    <w:p>
      <w:pPr>
        <w:pStyle w:val="BodyText"/>
        <w:spacing w:line="477" w:lineRule="auto" w:before="54"/>
        <w:ind w:left="153" w:right="191" w:firstLine="360"/>
        <w:jc w:val="both"/>
      </w:pPr>
      <w:r>
        <w:rPr>
          <w:spacing w:val="-2"/>
        </w:rPr>
        <w:t>截至报告期末，公司治理的实际状况符合《上市公司治理准则》和《深圳证券交易所创业板上市公司规范运作指引》的</w:t>
      </w:r>
      <w:r>
        <w:rPr/>
        <w:t> 要求。</w:t>
      </w:r>
    </w:p>
    <w:p>
      <w:pPr>
        <w:pStyle w:val="BodyText"/>
        <w:spacing w:line="451" w:lineRule="auto" w:before="54"/>
        <w:ind w:left="513" w:right="91"/>
        <w:jc w:val="left"/>
      </w:pPr>
      <w:r>
        <w:rPr>
          <w:rFonts w:ascii="Times New Roman" w:hAnsi="Times New Roman" w:cs="Times New Roman" w:eastAsia="Times New Roman" w:hint="default"/>
        </w:rPr>
        <w:t>1</w:t>
      </w:r>
      <w:r>
        <w:rPr/>
        <w:t>．关于股东与股东大会 公司严格按照《上市公司股东大会规则》、《公司章程》、《股东大会议事规则》等规定和要求召集、召开股东大会，</w:t>
      </w:r>
    </w:p>
    <w:p>
      <w:pPr>
        <w:pStyle w:val="BodyText"/>
        <w:spacing w:line="240" w:lineRule="auto" w:before="74"/>
        <w:ind w:left="153" w:right="90"/>
        <w:jc w:val="left"/>
      </w:pPr>
      <w:r>
        <w:rPr/>
        <w:t>平等对待所有股东，并尽可能为股东参加股东大会提供便利，使其充分行使股东权利。</w:t>
      </w:r>
    </w:p>
    <w:p>
      <w:pPr>
        <w:spacing w:line="240" w:lineRule="auto" w:before="10"/>
        <w:rPr>
          <w:rFonts w:ascii="宋体" w:hAnsi="宋体" w:cs="宋体" w:eastAsia="宋体" w:hint="default"/>
          <w:sz w:val="17"/>
          <w:szCs w:val="17"/>
        </w:rPr>
      </w:pPr>
    </w:p>
    <w:p>
      <w:pPr>
        <w:pStyle w:val="BodyText"/>
        <w:spacing w:line="451" w:lineRule="auto"/>
        <w:ind w:left="513" w:right="90"/>
        <w:jc w:val="left"/>
      </w:pPr>
      <w:r>
        <w:rPr>
          <w:rFonts w:ascii="Times New Roman" w:hAnsi="Times New Roman" w:cs="Times New Roman" w:eastAsia="Times New Roman" w:hint="default"/>
        </w:rPr>
        <w:t>2</w:t>
      </w:r>
      <w:r>
        <w:rPr/>
        <w:t>．关于公司与控股股东 </w:t>
      </w:r>
      <w:r>
        <w:rPr>
          <w:spacing w:val="-2"/>
        </w:rPr>
        <w:t>公司控股股东严格规范自己的行为，没有超越股东大会直接或间接干预公司的决策和经营活动。公司拥有独立完整的业</w:t>
      </w:r>
    </w:p>
    <w:p>
      <w:pPr>
        <w:pStyle w:val="BodyText"/>
        <w:spacing w:line="240" w:lineRule="auto" w:before="74"/>
        <w:ind w:left="153" w:right="90"/>
        <w:jc w:val="left"/>
      </w:pPr>
      <w:r>
        <w:rPr/>
        <w:t>务和自主经营能力，在业务、人员、资产、机构、财务上独立于控股股东，公司董事会、监事会和内部机构独立运作。</w:t>
      </w:r>
    </w:p>
    <w:p>
      <w:pPr>
        <w:spacing w:line="240" w:lineRule="auto" w:before="10"/>
        <w:rPr>
          <w:rFonts w:ascii="宋体" w:hAnsi="宋体" w:cs="宋体" w:eastAsia="宋体" w:hint="default"/>
          <w:sz w:val="17"/>
          <w:szCs w:val="17"/>
        </w:rPr>
      </w:pPr>
    </w:p>
    <w:p>
      <w:pPr>
        <w:pStyle w:val="BodyText"/>
        <w:spacing w:line="240" w:lineRule="auto"/>
        <w:ind w:left="514" w:right="90"/>
        <w:jc w:val="left"/>
      </w:pPr>
      <w:r>
        <w:rPr>
          <w:rFonts w:ascii="Times New Roman" w:hAnsi="Times New Roman" w:cs="Times New Roman" w:eastAsia="Times New Roman" w:hint="default"/>
        </w:rPr>
        <w:t>3</w:t>
      </w:r>
      <w:r>
        <w:rPr/>
        <w:t>．关于董事和董事会</w:t>
      </w:r>
    </w:p>
    <w:p>
      <w:pPr>
        <w:spacing w:line="240" w:lineRule="auto" w:before="9"/>
        <w:rPr>
          <w:rFonts w:ascii="宋体" w:hAnsi="宋体" w:cs="宋体" w:eastAsia="宋体" w:hint="default"/>
          <w:sz w:val="16"/>
          <w:szCs w:val="16"/>
        </w:rPr>
      </w:pPr>
    </w:p>
    <w:p>
      <w:pPr>
        <w:pStyle w:val="BodyText"/>
        <w:spacing w:line="463" w:lineRule="auto"/>
        <w:ind w:right="191" w:firstLine="360"/>
        <w:jc w:val="both"/>
      </w:pPr>
      <w:r>
        <w:rPr/>
        <w:t>公司董事会设董事</w:t>
      </w:r>
      <w:r>
        <w:rPr>
          <w:rFonts w:ascii="Times New Roman" w:hAnsi="Times New Roman" w:cs="Times New Roman" w:eastAsia="Times New Roman" w:hint="default"/>
        </w:rPr>
        <w:t>7</w:t>
      </w:r>
      <w:r>
        <w:rPr/>
        <w:t>名，其中独立董事</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名，董事会的人数及人员构成符合法律、法规和《公司章程》的要求。公司董 </w:t>
      </w:r>
      <w:r>
        <w:rPr>
          <w:spacing w:val="-2"/>
        </w:rPr>
        <w:t>事能够依据《董事会议事规则》、《独立董事制度》、《深圳证券交易所创业板上市公司规范运作指引》等开展工作，出席</w:t>
      </w:r>
      <w:r>
        <w:rPr>
          <w:spacing w:val="-68"/>
        </w:rPr>
        <w:t> </w:t>
      </w:r>
      <w:r>
        <w:rPr>
          <w:spacing w:val="-68"/>
        </w:rPr>
      </w:r>
      <w:r>
        <w:rPr/>
        <w:t>董事会和股东大会，勤勉尽责地履行职责和义务，同时积极参加相关培训，熟悉相关法律法规。</w:t>
      </w:r>
    </w:p>
    <w:p>
      <w:pPr>
        <w:pStyle w:val="BodyText"/>
        <w:spacing w:line="451" w:lineRule="auto" w:before="65"/>
        <w:ind w:left="514" w:right="90"/>
        <w:jc w:val="left"/>
      </w:pPr>
      <w:r>
        <w:rPr>
          <w:rFonts w:ascii="Times New Roman" w:hAnsi="Times New Roman" w:cs="Times New Roman" w:eastAsia="Times New Roman" w:hint="default"/>
        </w:rPr>
        <w:t>4</w:t>
      </w:r>
      <w:r>
        <w:rPr/>
        <w:t>．关于监事和监事会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名，监事会的人数和构成符合法律、法规的要求。公司监事能够按照《监事会议</w:t>
      </w:r>
    </w:p>
    <w:p>
      <w:pPr>
        <w:pStyle w:val="BodyText"/>
        <w:spacing w:line="477" w:lineRule="auto" w:before="43"/>
        <w:ind w:right="90"/>
        <w:jc w:val="left"/>
      </w:pPr>
      <w:r>
        <w:rPr>
          <w:spacing w:val="-2"/>
        </w:rPr>
        <w:t>事规则》的要求，认真履行自己的职责，对公司重大事项、关联交易、财务状况以及董事、高管人员履行职责的合法合规性</w:t>
      </w:r>
      <w:r>
        <w:rPr>
          <w:spacing w:val="-68"/>
        </w:rPr>
        <w:t> </w:t>
      </w:r>
      <w:r>
        <w:rPr>
          <w:spacing w:val="-68"/>
        </w:rPr>
      </w:r>
      <w:r>
        <w:rPr/>
        <w:t>进行监督。</w:t>
      </w:r>
    </w:p>
    <w:p>
      <w:pPr>
        <w:pStyle w:val="BodyText"/>
        <w:spacing w:line="451" w:lineRule="auto" w:before="54"/>
        <w:ind w:left="514" w:right="90"/>
        <w:jc w:val="left"/>
      </w:pPr>
      <w:r>
        <w:rPr>
          <w:rFonts w:ascii="Times New Roman" w:hAnsi="Times New Roman" w:cs="Times New Roman" w:eastAsia="Times New Roman" w:hint="default"/>
        </w:rPr>
        <w:t>5</w:t>
      </w:r>
      <w:r>
        <w:rPr/>
        <w:t>．关于绩效评价与激励约束机制 </w:t>
      </w:r>
      <w:r>
        <w:rPr>
          <w:spacing w:val="-4"/>
        </w:rPr>
        <w:t>公司正逐步建立和完善公正、透明的董事、监事和经理人员的绩效评价标准和激励约束机制，高层管理人员的聘任公开、</w:t>
      </w:r>
    </w:p>
    <w:p>
      <w:pPr>
        <w:pStyle w:val="BodyText"/>
        <w:spacing w:line="240" w:lineRule="auto" w:before="74"/>
        <w:ind w:right="90"/>
        <w:jc w:val="left"/>
      </w:pPr>
      <w:r>
        <w:rPr/>
        <w:t>透明，符合法律法规的规定。</w:t>
      </w:r>
    </w:p>
    <w:p>
      <w:pPr>
        <w:spacing w:line="240" w:lineRule="auto" w:before="10"/>
        <w:rPr>
          <w:rFonts w:ascii="宋体" w:hAnsi="宋体" w:cs="宋体" w:eastAsia="宋体" w:hint="default"/>
          <w:sz w:val="17"/>
          <w:szCs w:val="17"/>
        </w:rPr>
      </w:pPr>
    </w:p>
    <w:p>
      <w:pPr>
        <w:pStyle w:val="BodyText"/>
        <w:spacing w:line="451" w:lineRule="auto"/>
        <w:ind w:left="514" w:right="90"/>
        <w:jc w:val="left"/>
      </w:pPr>
      <w:r>
        <w:rPr>
          <w:rFonts w:ascii="Times New Roman" w:hAnsi="Times New Roman" w:cs="Times New Roman" w:eastAsia="Times New Roman" w:hint="default"/>
        </w:rPr>
        <w:t>6</w:t>
      </w:r>
      <w:r>
        <w:rPr/>
        <w:t>．关于信息披露与透明度 </w:t>
      </w:r>
      <w:r>
        <w:rPr>
          <w:spacing w:val="-2"/>
        </w:rPr>
        <w:t>公司严格按照有关法律法规以及《信息披露制度》、《投资者关系管理制度》等的要求，真实、准确、及时、公平、完</w:t>
      </w:r>
    </w:p>
    <w:p>
      <w:pPr>
        <w:pStyle w:val="BodyText"/>
        <w:spacing w:line="240" w:lineRule="auto" w:before="74"/>
        <w:ind w:right="90"/>
        <w:jc w:val="left"/>
      </w:pPr>
      <w:r>
        <w:rPr>
          <w:spacing w:val="-4"/>
        </w:rPr>
        <w:t>整地披露有关信息；并指定公司董事会秘书负责信息披露工作，协调公司与投资者的关系，接待股东来访，回答投资者咨询；</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0"/>
        <w:jc w:val="left"/>
      </w:pPr>
      <w:r>
        <w:rPr>
          <w:spacing w:val="-1"/>
        </w:rPr>
        <w:t>并指定《证券时报》和巨潮资讯网（</w:t>
      </w:r>
      <w:hyperlink r:id="rId12">
        <w:r>
          <w:rPr>
            <w:rFonts w:ascii="Times New Roman" w:hAnsi="Times New Roman" w:cs="Times New Roman" w:eastAsia="Times New Roman" w:hint="default"/>
            <w:spacing w:val="-1"/>
          </w:rPr>
          <w:t>www.cninfo.com.cn</w:t>
        </w:r>
      </w:hyperlink>
      <w:r>
        <w:rPr>
          <w:spacing w:val="-1"/>
        </w:rPr>
        <w:t>）为公司信息披露的指定报纸和网站，确保公司所有股东能够以平</w:t>
      </w:r>
      <w:r>
        <w:rPr>
          <w:spacing w:val="-43"/>
        </w:rPr>
        <w:t> </w:t>
      </w:r>
      <w:r>
        <w:rPr>
          <w:spacing w:val="-43"/>
        </w:rPr>
      </w:r>
      <w:r>
        <w:rPr/>
        <w:t>等的机会获得信息。</w:t>
      </w:r>
    </w:p>
    <w:p>
      <w:pPr>
        <w:pStyle w:val="BodyText"/>
        <w:spacing w:line="451" w:lineRule="auto" w:before="74"/>
        <w:ind w:left="514" w:right="0"/>
        <w:jc w:val="left"/>
      </w:pPr>
      <w:r>
        <w:rPr>
          <w:rFonts w:ascii="Times New Roman" w:hAnsi="Times New Roman" w:cs="Times New Roman" w:eastAsia="Times New Roman" w:hint="default"/>
        </w:rPr>
        <w:t>7</w:t>
      </w:r>
      <w:r>
        <w:rPr/>
        <w:t>．关于相关利益者 </w:t>
      </w:r>
      <w:r>
        <w:rPr>
          <w:spacing w:val="-2"/>
        </w:rPr>
        <w:t>公司充分尊重和维护相关利益者的合法权益，实现社会、股东、公司、员工等各方面利益的协调平衡，诚信对待供应商</w:t>
      </w:r>
    </w:p>
    <w:p>
      <w:pPr>
        <w:pStyle w:val="BodyText"/>
        <w:spacing w:line="240" w:lineRule="auto" w:before="74"/>
        <w:ind w:right="0"/>
        <w:jc w:val="left"/>
      </w:pPr>
      <w:r>
        <w:rPr/>
        <w:t>和客户，坚持与相关利益者互利共赢的原则，共同推动公司持续、稳健发展。</w:t>
      </w:r>
    </w:p>
    <w:p>
      <w:pPr>
        <w:spacing w:line="240" w:lineRule="auto" w:before="12"/>
        <w:rPr>
          <w:rFonts w:ascii="宋体" w:hAnsi="宋体" w:cs="宋体" w:eastAsia="宋体" w:hint="default"/>
          <w:sz w:val="26"/>
          <w:szCs w:val="26"/>
        </w:rPr>
      </w:pPr>
    </w:p>
    <w:p>
      <w:pPr>
        <w:pStyle w:val="BodyText"/>
        <w:spacing w:line="240" w:lineRule="auto"/>
        <w:ind w:left="514" w:right="0"/>
        <w:jc w:val="left"/>
      </w:pPr>
      <w:r>
        <w:rPr/>
        <w:t>公司治理与《公司法》和中国证监会相关规定的要求是否存在差异</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18"/>
          <w:szCs w:val="18"/>
        </w:rPr>
      </w:pPr>
    </w:p>
    <w:p>
      <w:pPr>
        <w:pStyle w:val="Heading2"/>
        <w:spacing w:line="240" w:lineRule="auto" w:before="158"/>
        <w:ind w:right="0"/>
        <w:jc w:val="left"/>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78"/>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32"/>
          <w:szCs w:val="32"/>
        </w:rPr>
      </w:pPr>
    </w:p>
    <w:p>
      <w:pPr>
        <w:pStyle w:val="BodyText"/>
        <w:spacing w:line="470" w:lineRule="auto"/>
        <w:ind w:left="153" w:right="151" w:firstLine="360"/>
        <w:jc w:val="both"/>
      </w:pPr>
      <w:r>
        <w:rPr>
          <w:spacing w:val="-9"/>
        </w:rPr>
        <w:t>报告期内，公司严格按照《公司法》、《上市公司信息披露管理办法》、《深圳证券交易所创业板股票上市交易规则》等相</w:t>
      </w:r>
      <w:r>
        <w:rPr/>
        <w:t> 关法律法规的规定，规范运作。经</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日公司第一届董事会第十一次会议审议通过了《年报信息披露重大差错责 </w:t>
      </w:r>
      <w:r>
        <w:rPr>
          <w:spacing w:val="-2"/>
        </w:rPr>
        <w:t>任追究制度》。该制度的建立，完善了公司内部控制，加大了对年报信息披露责任人的问责力度，提高年报信息披露的质量</w:t>
      </w:r>
      <w:r>
        <w:rPr>
          <w:spacing w:val="-72"/>
        </w:rPr>
        <w:t> </w:t>
      </w:r>
      <w:r>
        <w:rPr>
          <w:spacing w:val="-72"/>
        </w:rPr>
      </w:r>
      <w:r>
        <w:rPr/>
        <w:t>和透明度，增强年报信息披露的真实性、准确性、完整性和及时性。 截至报告期末，公司未发生重大会计差错更正、重大 遗漏信息补充以及业绩预告修正的情形。</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38" w:lineRule="auto" w:before="117"/>
        <w:ind w:right="63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TOC_250001" w:id="9"/>
      <w:r>
        <w:rPr/>
        <w:t>第九节</w:t>
      </w:r>
      <w:r>
        <w:rPr>
          <w:spacing w:val="-5"/>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国富浩华会计师事务所</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国浩审字</w:t>
            </w:r>
            <w:r>
              <w:rPr>
                <w:rFonts w:ascii="Times New Roman" w:hAnsi="Times New Roman" w:cs="Times New Roman" w:eastAsia="Times New Roman" w:hint="default"/>
                <w:sz w:val="18"/>
                <w:szCs w:val="18"/>
              </w:rPr>
              <w:t>[2013]816A0003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BodyText"/>
        <w:spacing w:line="240" w:lineRule="auto" w:before="44"/>
        <w:ind w:left="3590" w:right="3627"/>
        <w:jc w:val="center"/>
      </w:pPr>
      <w:r>
        <w:rPr/>
        <w:t>审计报告正文</w:t>
      </w:r>
    </w:p>
    <w:p>
      <w:pPr>
        <w:spacing w:line="240" w:lineRule="auto" w:before="8"/>
        <w:rPr>
          <w:rFonts w:ascii="宋体" w:hAnsi="宋体" w:cs="宋体" w:eastAsia="宋体" w:hint="default"/>
          <w:sz w:val="17"/>
          <w:szCs w:val="17"/>
        </w:rPr>
      </w:pPr>
    </w:p>
    <w:p>
      <w:pPr>
        <w:pStyle w:val="BodyText"/>
        <w:spacing w:line="240" w:lineRule="auto" w:before="44"/>
        <w:ind w:right="90"/>
        <w:jc w:val="left"/>
      </w:pPr>
      <w:r>
        <w:rPr/>
        <w:t>深圳市银之杰科技股份有限公司全体股东：</w:t>
      </w:r>
    </w:p>
    <w:p>
      <w:pPr>
        <w:spacing w:line="240" w:lineRule="auto" w:before="0"/>
        <w:rPr>
          <w:rFonts w:ascii="宋体" w:hAnsi="宋体" w:cs="宋体" w:eastAsia="宋体" w:hint="default"/>
          <w:sz w:val="15"/>
          <w:szCs w:val="15"/>
        </w:rPr>
      </w:pPr>
    </w:p>
    <w:p>
      <w:pPr>
        <w:pStyle w:val="BodyText"/>
        <w:spacing w:line="300" w:lineRule="auto"/>
        <w:ind w:right="191" w:firstLine="360"/>
        <w:jc w:val="both"/>
      </w:pPr>
      <w:r>
        <w:rPr>
          <w:spacing w:val="-2"/>
        </w:rPr>
        <w:t>我们审计了后附的深圳市银之杰科技股份有限公司（以下简称银之杰公司）财务报表，包括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w:t>
      </w:r>
      <w:r>
        <w:rPr/>
        <w:t> </w:t>
      </w:r>
      <w:r>
        <w:rPr>
          <w:spacing w:val="-2"/>
        </w:rPr>
        <w:t>公司资产负债表，</w:t>
      </w:r>
      <w:r>
        <w:rPr>
          <w:rFonts w:ascii="Times New Roman" w:hAnsi="Times New Roman" w:cs="Times New Roman" w:eastAsia="Times New Roman" w:hint="default"/>
          <w:spacing w:val="-2"/>
        </w:rPr>
        <w:t>2012</w:t>
      </w:r>
      <w:r>
        <w:rPr>
          <w:spacing w:val="-2"/>
        </w:rPr>
        <w:t>年度的合并及母公司利润表、合并及母公司现金流量表、合并及母公司股东权益变动表以及财务报表</w:t>
      </w:r>
      <w:r>
        <w:rPr>
          <w:spacing w:val="-62"/>
        </w:rPr>
        <w:t> </w:t>
      </w:r>
      <w:r>
        <w:rPr>
          <w:spacing w:val="-62"/>
        </w:rPr>
      </w:r>
      <w:r>
        <w:rPr/>
        <w:t>附注。</w:t>
      </w:r>
    </w:p>
    <w:p>
      <w:pPr>
        <w:pStyle w:val="BodyText"/>
        <w:spacing w:line="432" w:lineRule="exact" w:before="16"/>
        <w:ind w:left="514" w:right="240"/>
        <w:jc w:val="left"/>
      </w:pPr>
      <w:r>
        <w:rPr/>
        <w:t>一、管理层对财务报表的责任 编制和公允列报财务报表是管理层的责任，这种责任包括：</w:t>
      </w:r>
      <w:r>
        <w:rPr>
          <w:rFonts w:ascii="Times New Roman" w:hAnsi="Times New Roman" w:cs="Times New Roman" w:eastAsia="Times New Roman" w:hint="default"/>
        </w:rPr>
        <w:t>(1)</w:t>
      </w:r>
      <w:r>
        <w:rPr/>
        <w:t>按照企业会计准则的规定编制财务报表，并使其实现公</w:t>
      </w:r>
    </w:p>
    <w:p>
      <w:pPr>
        <w:pStyle w:val="BodyText"/>
        <w:spacing w:line="415" w:lineRule="auto" w:before="15"/>
        <w:ind w:left="514" w:right="90" w:hanging="360"/>
        <w:jc w:val="left"/>
      </w:pPr>
      <w:r>
        <w:rPr/>
        <w:t>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w:t>
      </w:r>
    </w:p>
    <w:p>
      <w:pPr>
        <w:pStyle w:val="BodyText"/>
        <w:spacing w:line="316" w:lineRule="auto" w:before="65"/>
        <w:ind w:right="191"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39"/>
        <w:ind w:right="90"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439" w:lineRule="auto" w:before="139"/>
        <w:ind w:left="514" w:right="3150"/>
        <w:jc w:val="left"/>
      </w:pPr>
      <w:r>
        <w:rPr/>
        <w:t>我们相信，我们获取的审计证据是充分、适当的，为发表审计意见提供了基础。 三、审计意见</w:t>
      </w:r>
    </w:p>
    <w:p>
      <w:pPr>
        <w:pStyle w:val="BodyText"/>
        <w:spacing w:line="300" w:lineRule="auto" w:before="47"/>
        <w:ind w:right="191" w:firstLine="360"/>
        <w:jc w:val="both"/>
      </w:pPr>
      <w:r>
        <w:rPr>
          <w:spacing w:val="-2"/>
        </w:rPr>
        <w:t>我们认为，银之杰公司的财务报表在所有重大方面按照企业会计准则的规定编制，公允反映了银之杰公司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rPr>
        <w:t> </w:t>
      </w:r>
      <w:r>
        <w:rPr/>
        <w:t>日的合并及母公司财务状况以及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BodyText"/>
        <w:tabs>
          <w:tab w:pos="5485" w:val="left" w:leader="none"/>
          <w:tab w:pos="7221" w:val="left" w:leader="none"/>
        </w:tabs>
        <w:spacing w:line="439" w:lineRule="auto"/>
        <w:ind w:left="5456" w:right="2192" w:hanging="5303"/>
        <w:jc w:val="left"/>
      </w:pPr>
      <w:r>
        <w:rPr/>
        <w:t>国富浩华会计师事务所（特殊普通合伙）</w:t>
        <w:tab/>
        <w:tab/>
        <w:t> </w:t>
      </w:r>
      <w:r>
        <w:rPr>
          <w:spacing w:val="-1"/>
        </w:rPr>
        <w:t>中国注册会计师</w:t>
        <w:tab/>
        <w:t>刘仁芝</w:t>
      </w:r>
      <w:r>
        <w:rPr/>
        <w:t> </w:t>
      </w:r>
      <w:r>
        <w:rPr>
          <w:spacing w:val="-1"/>
        </w:rPr>
        <w:t>中国注册会计师</w:t>
        <w:tab/>
        <w:t>杨春盛</w:t>
      </w:r>
    </w:p>
    <w:p>
      <w:pPr>
        <w:spacing w:line="240" w:lineRule="auto" w:before="10"/>
        <w:rPr>
          <w:rFonts w:ascii="宋体" w:hAnsi="宋体" w:cs="宋体" w:eastAsia="宋体" w:hint="default"/>
          <w:sz w:val="12"/>
          <w:szCs w:val="12"/>
        </w:rPr>
      </w:pPr>
    </w:p>
    <w:p>
      <w:pPr>
        <w:pStyle w:val="BodyText"/>
        <w:spacing w:line="240" w:lineRule="auto"/>
        <w:ind w:left="0" w:right="190"/>
        <w:jc w:val="right"/>
      </w:pPr>
      <w:r>
        <w:rPr/>
        <w:t>二〇一三年三月十六日</w:t>
      </w:r>
    </w:p>
    <w:p>
      <w:pPr>
        <w:pStyle w:val="BodyText"/>
        <w:spacing w:line="240" w:lineRule="auto" w:before="75"/>
        <w:ind w:left="0" w:right="190"/>
        <w:jc w:val="right"/>
      </w:pPr>
      <w:r>
        <w:rPr>
          <w:spacing w:val="-1"/>
        </w:rPr>
        <w:t>中国</w:t>
      </w:r>
      <w:r>
        <w:rPr>
          <w:rFonts w:ascii="Times New Roman" w:hAnsi="Times New Roman" w:cs="Times New Roman" w:eastAsia="Times New Roman" w:hint="default"/>
          <w:spacing w:val="-1"/>
        </w:rPr>
        <w:t>•</w:t>
      </w:r>
      <w:r>
        <w:rPr>
          <w:spacing w:val="-1"/>
        </w:rPr>
        <w:t>北京</w:t>
      </w:r>
    </w:p>
    <w:p>
      <w:pPr>
        <w:spacing w:after="0" w:line="240" w:lineRule="auto"/>
        <w:jc w:val="righ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编制单位：深圳市银之杰科技股份有限公司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353,108,632.82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387,791,510.52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67,521,521.03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62,570,964.60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7,096,996.51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4,814,974.00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6,361,871.55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4,069,861.55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11,468,637.78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4,406,444.93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1,286,540.02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1,230,059.78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446,844,199.71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464,883,815.38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44,020,938.63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45,178,783.11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6,123,625.10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5,167,420.79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12,300,113.82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521,758.47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15,929,451.30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12,792,080.33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2,029,870.77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752,828.05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1,067,193.03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998,820.09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81,471,192.65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65,411,690.84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528,315,392.36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530,295,506.22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6,610,847.21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7,633,539.01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24,453.00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255,453.00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2,083.54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5,513,728.28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6,336,781.53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452,149.41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386,135.66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12,603,261.44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14,613,992.74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12,603,261.44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14,613,992.74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313,975,300.21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313,975,300.21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14,759,761.35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12,979,061.84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66,977,069.36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68,727,151.43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515,712,130.92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515,681,513.48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515,712,130.92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515,681,513.48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528,315,392.36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530,295,506.22</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0"/>
        <w:jc w:val="left"/>
      </w:pPr>
      <w:r>
        <w:rPr/>
        <w:t>法定代表人：陈向军</w:t>
        <w:tab/>
        <w:t>主管会计工作负责人：许秋江</w:t>
        <w:tab/>
        <w:t>会计机构负责人：张春雷</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编制单位：深圳市银之杰科技股份有限公司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337,491,332.43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380,047,228.75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67,521,521.03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62,570,964.60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10,094,466.42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4,814,974.00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5,986,331.05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4,002,060.73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6,021,365.37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4,406,444.93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1,286,540.02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1,230,059.78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436,401,556.32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457,071,732.79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44,020,938.63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45,178,783.11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5,784,227.20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5,164,831.84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12,289,585.64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509,620.25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15,987,703.73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12,850,332.76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1,744,338.75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752,828.05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1,066,078.62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910,388.23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84,892,872.57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69,366,784.24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521,294,428.89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526,438,517.03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2,536,226.34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7,633,539.01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24,453.00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255,453.00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2,083.54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4,228,571.19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3,911,353.24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450,252.85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383,765.81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7,241,586.92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12,186,194.60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7,241,586.92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12,186,194.60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313,975,300.21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313,975,300.21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13,407,754.19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11,627,054.68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66,669,787.57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68,649,967.54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514,052,841.97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514,252,322.43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521,294,428.89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526,438,517.03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36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0"/>
        <w:jc w:val="left"/>
      </w:pPr>
      <w:r>
        <w:rPr/>
        <w:t>法定代表人：陈向军</w:t>
        <w:tab/>
        <w:t>主管会计工作负责人：许秋江</w:t>
        <w:tab/>
        <w:t>会计机构负责人：张春雷</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编制单位：深圳市银之杰科技股份有限公司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100,527,997.61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96,394,485.33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100,527,997.61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96,394,485.33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89,377,192.38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79,659,406.73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47,136,736.37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42,994,497.52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1,146,151.23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1,442,412.57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20,466,965.97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21,680,265.51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29,848,601.36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21,642,753.51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-10,263,615.96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-9,118,083.48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1,042,353.41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1,017,561.10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11,150,805.23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16,735,078.60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9,119,311.08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6,452,934.04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20,140.26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140.26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20,267,993.45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23,167,872.38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2,237,376.01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2,336,974.48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18,030,617.44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20,830,897.90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18,030,617.44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20,830,897.90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18,030,617.44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20,830,897.90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18,030,617.44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20,830,897.90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pStyle w:val="BodyText"/>
        <w:tabs>
          <w:tab w:pos="3573" w:val="left" w:leader="none"/>
          <w:tab w:pos="7713" w:val="left" w:leader="none"/>
        </w:tabs>
        <w:spacing w:line="240" w:lineRule="auto" w:before="127"/>
        <w:ind w:left="153" w:right="0"/>
        <w:jc w:val="left"/>
      </w:pPr>
      <w:r>
        <w:rPr/>
        <w:t>法定代表人：陈向军</w:t>
        <w:tab/>
        <w:t>主管会计工作负责人：许秋江</w:t>
        <w:tab/>
        <w:t>会计机构负责人：张春雷</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编制单位：深圳市银之杰科技股份有限公司</w:t>
      </w:r>
    </w:p>
    <w:p>
      <w:pPr>
        <w:pStyle w:val="BodyText"/>
        <w:spacing w:line="240" w:lineRule="auto" w:before="116"/>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101,244,580.28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96,394,485.33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56,867,703.42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56,845,207.08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920,020.15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1,118,230.41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20,466,965.97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21,680,265.51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27,694,671.46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20,607,614.89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-10,229,612.09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-9,043,250.02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1,037,935.97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1,015,653.71</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36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12,486,895.40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17,670,763.75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6,594,746.96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4,512,841.10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20,140.26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140.26</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19,079,519.50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22,163,464.59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1,278,999.96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803,077.38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17,800,519.54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21,360,387.21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17,800,519.54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21,360,387.21</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0"/>
        <w:jc w:val="left"/>
      </w:pPr>
      <w:r>
        <w:rPr/>
        <w:t>法定代表人：陈向军</w:t>
        <w:tab/>
        <w:t>主管会计工作负责人：许秋江</w:t>
        <w:tab/>
        <w:t>会计机构负责人：张春雷</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编制单位：深圳市银之杰科技股份有限公司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104,908,766.17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91,054,952.81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4,045,976.93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4,101,406.64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19,330,924.84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17,043,601.11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128,285,667.94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112,199,960.56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29,241,873.54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33,259,505.45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37,386,928.06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27,020,053.80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13,608,225.20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11,719,663.41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42,499,613.67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35,216,320.25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122,736,640.47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107,215,542.91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5,549,027.47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4,984,417.65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21,591,259.16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14,200,076.60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21,591,259.16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14,200,076.60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-21,548,159.16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-14,199,806.60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6,094,268.41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6,094,268.41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35,999,916.00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6,778,011.91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24,778,014.42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35,999,916.00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-18,683,746.01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-35,999,916.00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-34,682,877.70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-45,215,304.95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387,791,510.52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433,006,815.47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353,108,632.82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387,791,510.52</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0"/>
        <w:jc w:val="left"/>
      </w:pPr>
      <w:r>
        <w:rPr/>
        <w:t>法定代表人：陈向军</w:t>
        <w:tab/>
        <w:t>主管会计工作负责人：许秋江</w:t>
        <w:tab/>
        <w:t>会计机构负责人：张春雷</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编制单位：深圳市银之杰科技股份有限公司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104,908,766.17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91,054,952.81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1,751,221.36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2,162,813.70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19,268,760.44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16,963,263.14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125,928,747.97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110,181,029.65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43,013,718.78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51,751,053.02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53"/>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35,236,465.76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25,198,789.44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10,093,120.66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9,261,299.85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41,176,196.92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34,109,287.75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129,519,502.12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120,320,430.06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-3,590,754.15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-10,139,400.41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36,500,270.00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20,324,496.16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14,258,329.03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20,324,496.16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17,258,329.03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-20,281,396.16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19,241,940.97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6,094,268.41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6,094,268.41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35,999,916.00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6,778,011.91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24,778,014.42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35,999,916.00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-18,683,746.01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-35,999,916.00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-42,555,896.32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-26,897,375.44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380,047,228.75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406,944,604.19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337,491,332.43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380,047,228.75</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0"/>
        <w:jc w:val="left"/>
      </w:pPr>
      <w:r>
        <w:rPr/>
        <w:t>法定代表人：陈向军</w:t>
        <w:tab/>
        <w:t>主管会计工作负责人：许秋江</w:t>
        <w:tab/>
        <w:t>会计机构负责人：张春雷</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60" w:lineRule="auto" w:before="44"/>
        <w:ind w:left="153" w:right="-19"/>
        <w:jc w:val="left"/>
      </w:pPr>
      <w:r>
        <w:rPr/>
        <w:t>编制单位：深圳市银之杰科技股份有限公司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280" w:left="980" w:right="980"/>
          <w:cols w:num="2" w:equalWidth="0">
            <w:col w:w="3575" w:space="534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49"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719"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313,975,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300.21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12,979,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061.84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68,727,1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51.43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515,681,51</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3.48</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313,975,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300.21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12,979,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061.84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68,727,1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51.43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515,681,51</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3.48</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1,780,6</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99.51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-1,750,0</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82.07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30,617.44</w:t>
            </w: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18,030,6</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17.44</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18,030,617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18,030,6</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17.44</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18,030,617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1,780,6</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99.51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-19,780,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699.51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0" w:right="0"/>
              <w:jc w:val="left"/>
              <w:rPr>
                <w:rFonts w:ascii="Times New Roman" w:hAnsi="Times New Roman" w:cs="Times New Roman" w:eastAsia="Times New Roman" w:hint="default"/>
                <w:sz w:val="18"/>
                <w:szCs w:val="18"/>
              </w:rPr>
            </w:pPr>
            <w:r>
              <w:rPr>
                <w:rFonts w:ascii="Times New Roman"/>
                <w:sz w:val="18"/>
              </w:rPr>
              <w:t>1,780,6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-1,780,6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5" w:right="0"/>
              <w:jc w:val="left"/>
              <w:rPr>
                <w:rFonts w:ascii="Times New Roman" w:hAnsi="Times New Roman" w:cs="Times New Roman" w:eastAsia="Times New Roman" w:hint="default"/>
                <w:sz w:val="18"/>
                <w:szCs w:val="18"/>
              </w:rPr>
            </w:pPr>
            <w:r>
              <w:rPr>
                <w:rFonts w:ascii="Times New Roman"/>
                <w:sz w:val="18"/>
              </w:rPr>
              <w:t>99.51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8" w:right="0"/>
              <w:jc w:val="left"/>
              <w:rPr>
                <w:rFonts w:ascii="Times New Roman" w:hAnsi="Times New Roman" w:cs="Times New Roman" w:eastAsia="Times New Roman" w:hint="default"/>
                <w:sz w:val="18"/>
                <w:szCs w:val="18"/>
              </w:rPr>
            </w:pPr>
            <w:r>
              <w:rPr>
                <w:rFonts w:ascii="Times New Roman"/>
                <w:sz w:val="18"/>
              </w:rPr>
              <w:t>99.51</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313,975,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300.21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14,759,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761.35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66,977,0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69.36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515,712,13</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0.92</w:t>
            </w:r>
          </w:p>
        </w:tc>
      </w:tr>
    </w:tbl>
    <w:p>
      <w:pPr>
        <w:pStyle w:val="BodyText"/>
        <w:spacing w:line="240" w:lineRule="auto" w:before="51"/>
        <w:ind w:right="0"/>
        <w:jc w:val="left"/>
      </w:pPr>
      <w:r>
        <w:rPr/>
        <w:t>上年金额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50"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719"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373,975,</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300.21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10,843,</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670.67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86,031,6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44.70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530,850,61</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5.58</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373,975,</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300.21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10,843,</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670.67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86,031,6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44.70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530,850,61</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5.58</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2,135,3</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91.17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-17,304,</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493.27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-15,169,10</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2.10</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20,830,8</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left"/>
              <w:rPr>
                <w:rFonts w:ascii="Times New Roman" w:hAnsi="Times New Roman" w:cs="Times New Roman" w:eastAsia="Times New Roman" w:hint="default"/>
                <w:sz w:val="18"/>
                <w:szCs w:val="18"/>
              </w:rPr>
            </w:pPr>
            <w:r>
              <w:rPr>
                <w:rFonts w:ascii="Times New Roman"/>
                <w:sz w:val="18"/>
              </w:rPr>
              <w:t>20,830,897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8" w:right="0"/>
              <w:jc w:val="left"/>
              <w:rPr>
                <w:rFonts w:ascii="Times New Roman" w:hAnsi="Times New Roman" w:cs="Times New Roman" w:eastAsia="Times New Roman" w:hint="default"/>
                <w:sz w:val="18"/>
                <w:szCs w:val="18"/>
              </w:rPr>
            </w:pPr>
            <w:r>
              <w:rPr>
                <w:rFonts w:ascii="Times New Roman"/>
                <w:sz w:val="18"/>
              </w:rPr>
              <w:t>97.90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20,830,8</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97.90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20,830,897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2,135,3</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91.17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-38,135,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391.17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2,135,3</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91.17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-2,135,3</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91.17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313,975,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300.21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12,979,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061.84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68,727,1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51.43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515,681,51</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3.48</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0"/>
        <w:jc w:val="left"/>
      </w:pPr>
      <w:r>
        <w:rPr/>
        <w:t>法定代表人：陈向军</w:t>
        <w:tab/>
        <w:t>主管会计工作负责人：许秋江</w:t>
        <w:tab/>
        <w:t>会计机构负责人：张春雷</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351"/>
        <w:jc w:val="left"/>
      </w:pPr>
      <w:r>
        <w:rPr/>
        <w:t>编制单位：深圳市银之杰科技股份有限公司 本期金额</w:t>
      </w:r>
    </w:p>
    <w:p>
      <w:pPr>
        <w:spacing w:after="0" w:line="357"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r>
        <w:rPr/>
        <w:pict>
          <v:shape style="position:absolute;margin-left:138.539993pt;margin-top:668.219971pt;width:86pt;height:19.6pt;mso-position-horizontal-relative:page;mso-position-vertical-relative:page;z-index:-636304" type="#_x0000_t202" filled="false" stroked="false">
            <v:textbox inset="0,0,0,0">
              <w:txbxContent>
                <w:p>
                  <w:pPr>
                    <w:pStyle w:val="BodyText"/>
                    <w:spacing w:line="240" w:lineRule="auto" w:before="51"/>
                    <w:ind w:left="0" w:right="0"/>
                    <w:jc w:val="left"/>
                  </w:pPr>
                  <w:r>
                    <w:rPr/>
                    <w:t>（或股本）</w:t>
                  </w:r>
                </w:p>
              </w:txbxContent>
            </v:textbox>
            <w10:wrap type="none"/>
          </v:shape>
        </w:pict>
      </w:r>
      <w:r>
        <w:rPr/>
        <w:pict>
          <v:shape style="position:absolute;margin-left:138.539993pt;margin-top:688.320007pt;width:86pt;height:19.6pt;mso-position-horizontal-relative:page;mso-position-vertical-relative:page;z-index:-636280" type="#_x0000_t202" filled="false" stroked="false">
            <v:textbox inset="0,0,0,0">
              <w:txbxContent>
                <w:p>
                  <w:pPr>
                    <w:pStyle w:val="BodyText"/>
                    <w:spacing w:line="240" w:lineRule="auto" w:before="51"/>
                    <w:ind w:left="0" w:right="0"/>
                    <w:jc w:val="left"/>
                  </w:pPr>
                  <w:r>
                    <w:rPr/>
                    <w:t>（或股本）</w:t>
                  </w:r>
                </w:p>
              </w:txbxContent>
            </v:textbox>
            <w10:wrap type="none"/>
          </v:shape>
        </w:pict>
      </w: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897"/>
        <w:gridCol w:w="884"/>
        <w:gridCol w:w="886"/>
        <w:gridCol w:w="886"/>
        <w:gridCol w:w="887"/>
        <w:gridCol w:w="886"/>
        <w:gridCol w:w="886"/>
        <w:gridCol w:w="893"/>
      </w:tblGrid>
      <w:tr>
        <w:trPr>
          <w:trHeight w:val="40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70"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7"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4" w:space="0" w:color="000000"/>
              <w:right w:val="single" w:sz="4" w:space="0" w:color="000000"/>
            </w:tcBorders>
          </w:tcPr>
          <w:p>
            <w:pPr>
              <w:pStyle w:val="TableParagraph"/>
              <w:spacing w:line="240" w:lineRule="auto" w:before="92"/>
              <w:ind w:left="54"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550"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313,975,30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0.21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11,627,054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68,649,967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514,252,32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2.43</w:t>
            </w:r>
          </w:p>
        </w:tc>
      </w:tr>
      <w:tr>
        <w:trPr>
          <w:trHeight w:val="391"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4" w:space="0" w:color="000000"/>
              <w:right w:val="single" w:sz="4" w:space="0" w:color="000000"/>
            </w:tcBorders>
          </w:tcPr>
          <w:p>
            <w:pPr>
              <w:pStyle w:val="TableParagraph"/>
              <w:spacing w:line="240" w:lineRule="auto" w:before="92"/>
              <w:ind w:left="54"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550"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313,975,30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0.21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11,627,054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68,649,967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514,252,32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2.43</w:t>
            </w:r>
          </w:p>
        </w:tc>
      </w:tr>
      <w:tr>
        <w:trPr>
          <w:trHeight w:val="391"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7"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1,780,699.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-1,980,179.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-199,480.4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17,800,519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17,800,519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r>
      <w:tr>
        <w:trPr>
          <w:trHeight w:val="391"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7"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17,800,519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17,800,519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r>
      <w:tr>
        <w:trPr>
          <w:trHeight w:val="391"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7"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1,780,699.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-19,780,69</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9.51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7"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1,780,699.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-1,780,699.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7"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7"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w:t>
            </w:r>
          </w:p>
        </w:tc>
        <w:tc>
          <w:tcPr>
            <w:tcW w:w="897" w:type="dxa"/>
            <w:tcBorders>
              <w:top w:val="single" w:sz="4" w:space="0" w:color="000000"/>
              <w:left w:val="single" w:sz="13"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w:t>
            </w:r>
          </w:p>
        </w:tc>
        <w:tc>
          <w:tcPr>
            <w:tcW w:w="897" w:type="dxa"/>
            <w:tcBorders>
              <w:top w:val="single" w:sz="4" w:space="0" w:color="000000"/>
              <w:left w:val="single" w:sz="13"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9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313,975,30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0.21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13,407,754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66,669,787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514,052,84</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1.97</w:t>
            </w:r>
          </w:p>
        </w:tc>
      </w:tr>
    </w:tbl>
    <w:p>
      <w:pPr>
        <w:pStyle w:val="BodyText"/>
        <w:spacing w:line="240" w:lineRule="auto" w:before="51"/>
        <w:ind w:right="0"/>
        <w:jc w:val="left"/>
      </w:pPr>
      <w:r>
        <w:rPr/>
        <w:t>上年金额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373,975,30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0.21</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9,491,663.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85,424,971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528,891,93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5.22</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373,975,30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0.21</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9,491,663.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85,424,971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528,891,93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5.22</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2,135,391.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-16,775,00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3.96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-14,639,61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2.79</w:t>
            </w: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21,360,387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21,360,387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21,360,387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21,360,387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2,135,391.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-38,135,39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1.17</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2,135,391.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-2,135,391.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882" w:type="dxa"/>
            <w:vMerge w:val="restart"/>
            <w:tcBorders>
              <w:top w:val="single" w:sz="4" w:space="0" w:color="000000"/>
              <w:left w:val="single" w:sz="4" w:space="0" w:color="000000"/>
              <w:right w:val="single" w:sz="4" w:space="0" w:color="000000"/>
            </w:tcBorders>
          </w:tcPr>
          <w:p>
            <w:pP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shape style="position:absolute;margin-left:139.499405pt;margin-top:108.18pt;width:85.95pt;height:35.25pt;mso-position-horizontal-relative:page;mso-position-vertical-relative:page;z-index:-636256" type="#_x0000_t202" filled="false" stroked="false">
            <v:textbox inset="0,0,0,0">
              <w:txbxContent>
                <w:p>
                  <w:pPr>
                    <w:spacing w:line="240" w:lineRule="auto" w:before="11"/>
                    <w:rPr>
                      <w:rFonts w:ascii="宋体" w:hAnsi="宋体" w:cs="宋体" w:eastAsia="宋体" w:hint="default"/>
                      <w:sz w:val="15"/>
                      <w:szCs w:val="15"/>
                    </w:rPr>
                  </w:pPr>
                </w:p>
                <w:p>
                  <w:pPr>
                    <w:pStyle w:val="BodyText"/>
                    <w:spacing w:line="240" w:lineRule="auto"/>
                    <w:ind w:left="0" w:right="0"/>
                    <w:jc w:val="left"/>
                  </w:pPr>
                  <w:r>
                    <w:rPr/>
                    <w:t>（或股本）</w:t>
                  </w:r>
                </w:p>
              </w:txbxContent>
            </v:textbox>
            <w10:wrap type="none"/>
          </v:shape>
        </w:pict>
      </w:r>
      <w:r>
        <w:rPr/>
        <w:pict>
          <v:shape style="position:absolute;margin-left:139.499405pt;margin-top:143.880005pt;width:85.95pt;height:19.650pt;mso-position-horizontal-relative:page;mso-position-vertical-relative:page;z-index:-636232" type="#_x0000_t202" filled="false" stroked="false">
            <v:textbox inset="0,0,0,0">
              <w:txbxContent>
                <w:p>
                  <w:pPr>
                    <w:pStyle w:val="BodyText"/>
                    <w:spacing w:line="240" w:lineRule="auto" w:before="51"/>
                    <w:ind w:left="0" w:right="0"/>
                    <w:jc w:val="left"/>
                  </w:pPr>
                  <w:r>
                    <w:rPr/>
                    <w:t>（或股本）</w:t>
                  </w:r>
                </w:p>
              </w:txbxContent>
            </v:textbox>
            <w10:wrap type="none"/>
          </v:shape>
        </w:pict>
      </w:r>
      <w:r>
        <w:rPr/>
        <w:pict>
          <v:group style="position:absolute;margin-left:181.679993pt;margin-top:108.18pt;width:43.75pt;height:35.25pt;mso-position-horizontal-relative:page;mso-position-vertical-relative:page;z-index:-636208" coordorigin="3634,2164" coordsize="875,705">
            <v:group style="position:absolute;left:3634;top:2164;width:875;height:705" coordorigin="3634,2164" coordsize="875,705">
              <v:shape style="position:absolute;left:3634;top:2164;width:875;height:705" coordorigin="3634,2164" coordsize="875,705" path="m3634,2868l4508,2868,4508,2164,3634,2164,3634,2868xe" filled="true" fillcolor="#ffffff" stroked="false">
                <v:path arrowok="t"/>
                <v:fill type="solid"/>
              </v:shape>
            </v:group>
            <v:group style="position:absolute;left:3656;top:2164;width:830;height:353" coordorigin="3656,2164" coordsize="830,353">
              <v:shape style="position:absolute;left:3656;top:2164;width:830;height:353" coordorigin="3656,2164" coordsize="830,353" path="m3656,2516l4486,2516,4486,2164,3656,2164,3656,2516xe" filled="true" fillcolor="#ffffff" stroked="false">
                <v:path arrowok="t"/>
                <v:fill type="solid"/>
              </v:shape>
            </v:group>
            <v:group style="position:absolute;left:3656;top:2516;width:830;height:352" coordorigin="3656,2516" coordsize="830,352">
              <v:shape style="position:absolute;left:3656;top:2516;width:830;height:352" coordorigin="3656,2516" coordsize="830,352" path="m3656,2868l4486,2868,4486,2516,3656,2516,3656,286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6" w:type="dxa"/>
            <w:tcBorders>
              <w:top w:val="single" w:sz="4" w:space="0" w:color="000000"/>
              <w:left w:val="single" w:sz="9"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313,975,30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0.21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11,627,054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68,649,967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514,252,32</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2.43</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0"/>
        <w:jc w:val="left"/>
      </w:pPr>
      <w:r>
        <w:rPr/>
        <w:t>法定代表人：陈向军</w:t>
        <w:tab/>
        <w:t>主管会计工作负责人：许秋江</w:t>
        <w:tab/>
        <w:t>会计机构负责人：张春雷</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32"/>
          <w:szCs w:val="32"/>
        </w:rPr>
      </w:pPr>
    </w:p>
    <w:p>
      <w:pPr>
        <w:pStyle w:val="BodyText"/>
        <w:spacing w:line="458" w:lineRule="auto"/>
        <w:ind w:left="513" w:right="3851"/>
        <w:jc w:val="left"/>
        <w:rPr>
          <w:rFonts w:ascii="Times New Roman" w:hAnsi="Times New Roman" w:cs="Times New Roman" w:eastAsia="Times New Roman" w:hint="default"/>
        </w:rPr>
      </w:pPr>
      <w:r>
        <w:rPr/>
        <w:t>（一）公司概况 公司名称：深圳市银之杰科技股份有限公司（以下简称</w:t>
      </w:r>
      <w:r>
        <w:rPr>
          <w:rFonts w:ascii="Times New Roman" w:hAnsi="Times New Roman" w:cs="Times New Roman" w:eastAsia="Times New Roman" w:hint="default"/>
        </w:rPr>
        <w:t>“</w:t>
      </w:r>
      <w:r>
        <w:rPr/>
        <w:t>银之杰公司</w:t>
      </w:r>
      <w:r>
        <w:rPr>
          <w:rFonts w:ascii="Times New Roman" w:hAnsi="Times New Roman" w:cs="Times New Roman" w:eastAsia="Times New Roman" w:hint="default"/>
        </w:rPr>
        <w:t>”</w:t>
      </w:r>
      <w:r>
        <w:rPr/>
        <w:t>） 注册地址：深圳市福田区车公庙天安数码城天祥大厦</w:t>
      </w:r>
      <w:r>
        <w:rPr>
          <w:rFonts w:ascii="Times New Roman" w:hAnsi="Times New Roman" w:cs="Times New Roman" w:eastAsia="Times New Roman" w:hint="default"/>
        </w:rPr>
        <w:t>AB</w:t>
      </w:r>
      <w:r>
        <w:rPr/>
        <w:t>座</w:t>
      </w:r>
      <w:r>
        <w:rPr>
          <w:rFonts w:ascii="Times New Roman" w:hAnsi="Times New Roman" w:cs="Times New Roman" w:eastAsia="Times New Roman" w:hint="default"/>
        </w:rPr>
        <w:t>5B2 </w:t>
      </w:r>
      <w:r>
        <w:rPr/>
        <w:t>注册资本：人民币</w:t>
      </w:r>
      <w:r>
        <w:rPr>
          <w:rFonts w:ascii="Times New Roman" w:hAnsi="Times New Roman" w:cs="Times New Roman" w:eastAsia="Times New Roman" w:hint="default"/>
        </w:rPr>
        <w:t>12000</w:t>
      </w:r>
      <w:r>
        <w:rPr/>
        <w:t>万元 企业法人营业执照注册号：</w:t>
      </w:r>
      <w:r>
        <w:rPr>
          <w:rFonts w:ascii="Times New Roman" w:hAnsi="Times New Roman" w:cs="Times New Roman" w:eastAsia="Times New Roman" w:hint="default"/>
        </w:rPr>
        <w:t>440301102955880</w:t>
      </w:r>
    </w:p>
    <w:p>
      <w:pPr>
        <w:pStyle w:val="BodyText"/>
        <w:spacing w:line="477" w:lineRule="auto" w:before="37"/>
        <w:ind w:left="514" w:right="7790"/>
        <w:jc w:val="left"/>
      </w:pPr>
      <w:r>
        <w:rPr/>
        <w:t>法定代表人：陈向军 经营期限：永续经营</w:t>
      </w:r>
    </w:p>
    <w:p>
      <w:pPr>
        <w:pStyle w:val="BodyText"/>
        <w:spacing w:line="477" w:lineRule="auto" w:before="54"/>
        <w:ind w:left="514" w:right="0"/>
        <w:jc w:val="left"/>
      </w:pPr>
      <w:r>
        <w:rPr/>
        <w:t>（二）经营范围及主营业务 </w:t>
      </w:r>
      <w:r>
        <w:rPr>
          <w:spacing w:val="-1"/>
        </w:rPr>
        <w:t>经营范围：兴办实业</w:t>
      </w:r>
      <w:r>
        <w:rPr>
          <w:rFonts w:ascii="Times New Roman" w:hAnsi="Times New Roman" w:cs="Times New Roman" w:eastAsia="Times New Roman" w:hint="default"/>
          <w:spacing w:val="-1"/>
        </w:rPr>
        <w:t>(</w:t>
      </w:r>
      <w:r>
        <w:rPr>
          <w:spacing w:val="-1"/>
        </w:rPr>
        <w:t>具体项目另行申报</w:t>
      </w:r>
      <w:r>
        <w:rPr>
          <w:rFonts w:ascii="Times New Roman" w:hAnsi="Times New Roman" w:cs="Times New Roman" w:eastAsia="Times New Roman" w:hint="default"/>
          <w:spacing w:val="-1"/>
        </w:rPr>
        <w:t>)</w:t>
      </w:r>
      <w:r>
        <w:rPr>
          <w:spacing w:val="-1"/>
        </w:rPr>
        <w:t>；银行验印系统，计算机软、硬件的技术开发；国内商业、物资供销业（不含</w:t>
      </w:r>
    </w:p>
    <w:p>
      <w:pPr>
        <w:pStyle w:val="BodyText"/>
        <w:spacing w:line="477" w:lineRule="auto" w:before="21"/>
        <w:ind w:left="514" w:right="0" w:hanging="360"/>
        <w:jc w:val="left"/>
      </w:pPr>
      <w:r>
        <w:rPr/>
        <w:t>专营、专控、专卖商品及限制项目）。 </w:t>
      </w:r>
      <w:r>
        <w:rPr>
          <w:spacing w:val="-2"/>
        </w:rPr>
        <w:t>主营业务：为银行等金融行业客户提供与支付结算、风险防控、业务流程再造、自助服务等业务相关的软件产品、软件</w:t>
      </w:r>
    </w:p>
    <w:p>
      <w:pPr>
        <w:pStyle w:val="BodyText"/>
        <w:spacing w:line="240" w:lineRule="auto" w:before="54"/>
        <w:ind w:right="0"/>
        <w:jc w:val="left"/>
      </w:pPr>
      <w:r>
        <w:rPr/>
        <w:t>开发、金融专用设备、技术服务并提供相应的系统集成。</w:t>
      </w:r>
    </w:p>
    <w:p>
      <w:pPr>
        <w:spacing w:line="240" w:lineRule="auto" w:before="10"/>
        <w:rPr>
          <w:rFonts w:ascii="宋体" w:hAnsi="宋体" w:cs="宋体" w:eastAsia="宋体" w:hint="default"/>
          <w:sz w:val="17"/>
          <w:szCs w:val="17"/>
        </w:rPr>
      </w:pPr>
    </w:p>
    <w:p>
      <w:pPr>
        <w:pStyle w:val="BodyText"/>
        <w:spacing w:line="477" w:lineRule="auto"/>
        <w:ind w:left="514" w:right="0"/>
        <w:jc w:val="left"/>
      </w:pPr>
      <w:r>
        <w:rPr/>
        <w:t>（三）公司历史沿革及设立情况 </w:t>
      </w:r>
      <w:r>
        <w:rPr>
          <w:spacing w:val="-2"/>
        </w:rPr>
        <w:t>公司前身为深圳市银之杰科技有限公司（以下简称</w:t>
      </w:r>
      <w:r>
        <w:rPr>
          <w:rFonts w:ascii="Times New Roman" w:hAnsi="Times New Roman" w:cs="Times New Roman" w:eastAsia="Times New Roman" w:hint="default"/>
          <w:spacing w:val="-2"/>
        </w:rPr>
        <w:t>“</w:t>
      </w:r>
      <w:r>
        <w:rPr>
          <w:spacing w:val="-2"/>
        </w:rPr>
        <w:t>银之杰有限</w:t>
      </w:r>
      <w:r>
        <w:rPr>
          <w:rFonts w:ascii="Times New Roman" w:hAnsi="Times New Roman" w:cs="Times New Roman" w:eastAsia="Times New Roman" w:hint="default"/>
          <w:spacing w:val="-2"/>
        </w:rPr>
        <w:t>”</w:t>
      </w:r>
      <w:r>
        <w:rPr>
          <w:spacing w:val="-2"/>
        </w:rPr>
        <w:t>），银之杰有限成立于</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日，系张学君、何</w:t>
      </w:r>
    </w:p>
    <w:p>
      <w:pPr>
        <w:pStyle w:val="BodyText"/>
        <w:spacing w:line="451" w:lineRule="auto" w:before="21"/>
        <w:ind w:left="153" w:right="141"/>
        <w:jc w:val="left"/>
      </w:pPr>
      <w:r>
        <w:rPr>
          <w:spacing w:val="-2"/>
        </w:rPr>
        <w:t>晔、李军、陈向军四人出资设立的有限责任公司，四人分别以货币资金</w:t>
      </w:r>
      <w:r>
        <w:rPr>
          <w:rFonts w:ascii="Times New Roman" w:hAnsi="Times New Roman" w:cs="Times New Roman" w:eastAsia="Times New Roman" w:hint="default"/>
          <w:spacing w:val="-2"/>
        </w:rPr>
        <w:t>50</w:t>
      </w:r>
      <w:r>
        <w:rPr>
          <w:spacing w:val="-2"/>
        </w:rPr>
        <w:t>万元、</w:t>
      </w:r>
      <w:r>
        <w:rPr>
          <w:rFonts w:ascii="Times New Roman" w:hAnsi="Times New Roman" w:cs="Times New Roman" w:eastAsia="Times New Roman" w:hint="default"/>
          <w:spacing w:val="-2"/>
        </w:rPr>
        <w:t>30</w:t>
      </w:r>
      <w:r>
        <w:rPr>
          <w:spacing w:val="-2"/>
        </w:rPr>
        <w:t>万元、</w:t>
      </w:r>
      <w:r>
        <w:rPr>
          <w:rFonts w:ascii="Times New Roman" w:hAnsi="Times New Roman" w:cs="Times New Roman" w:eastAsia="Times New Roman" w:hint="default"/>
          <w:spacing w:val="-2"/>
        </w:rPr>
        <w:t>10</w:t>
      </w:r>
      <w:r>
        <w:rPr>
          <w:spacing w:val="-2"/>
        </w:rPr>
        <w:t>万元、</w:t>
      </w:r>
      <w:r>
        <w:rPr>
          <w:rFonts w:ascii="Times New Roman" w:hAnsi="Times New Roman" w:cs="Times New Roman" w:eastAsia="Times New Roman" w:hint="default"/>
          <w:spacing w:val="-2"/>
        </w:rPr>
        <w:t>10</w:t>
      </w:r>
      <w:r>
        <w:rPr>
          <w:spacing w:val="-2"/>
        </w:rPr>
        <w:t>万元出资。深圳中法会</w:t>
      </w:r>
      <w:r>
        <w:rPr>
          <w:spacing w:val="-57"/>
        </w:rPr>
        <w:t> </w:t>
      </w:r>
      <w:r>
        <w:rPr>
          <w:spacing w:val="-57"/>
        </w:rPr>
      </w:r>
      <w:r>
        <w:rPr/>
        <w:t>计师事务所对上述出资进行了验证，并于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日出具的深中法验字（</w:t>
      </w:r>
      <w:r>
        <w:rPr>
          <w:rFonts w:ascii="Times New Roman" w:hAnsi="Times New Roman" w:cs="Times New Roman" w:eastAsia="Times New Roman" w:hint="default"/>
        </w:rPr>
        <w:t>1998</w:t>
      </w:r>
      <w:r>
        <w:rPr/>
        <w:t>）第</w:t>
      </w:r>
      <w:r>
        <w:rPr>
          <w:rFonts w:ascii="Times New Roman" w:hAnsi="Times New Roman" w:cs="Times New Roman" w:eastAsia="Times New Roman" w:hint="default"/>
        </w:rPr>
        <w:t>073</w:t>
      </w:r>
      <w:r>
        <w:rPr/>
        <w:t>号验资报告。</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w:t>
      </w:r>
    </w:p>
    <w:p>
      <w:pPr>
        <w:spacing w:after="0" w:line="451"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90"/>
        <w:jc w:val="left"/>
      </w:pPr>
      <w:r>
        <w:rPr/>
        <w:t>银之杰有限领取了深圳市工商行政管理局颁发的注册号为</w:t>
      </w:r>
      <w:r>
        <w:rPr>
          <w:rFonts w:ascii="Times New Roman" w:hAnsi="Times New Roman" w:cs="Times New Roman" w:eastAsia="Times New Roman" w:hint="default"/>
        </w:rPr>
        <w:t>4403012009512</w:t>
      </w:r>
      <w:r>
        <w:rPr/>
        <w:t>的企业法人营业执照，注册资本</w:t>
      </w:r>
      <w:r>
        <w:rPr>
          <w:rFonts w:ascii="Times New Roman" w:hAnsi="Times New Roman" w:cs="Times New Roman" w:eastAsia="Times New Roman" w:hint="default"/>
        </w:rPr>
        <w:t>100</w:t>
      </w:r>
      <w:r>
        <w:rPr/>
        <w:t>万元。</w:t>
      </w:r>
    </w:p>
    <w:p>
      <w:pPr>
        <w:spacing w:line="240" w:lineRule="auto" w:before="9"/>
        <w:rPr>
          <w:rFonts w:ascii="宋体" w:hAnsi="宋体" w:cs="宋体" w:eastAsia="宋体" w:hint="default"/>
          <w:sz w:val="16"/>
          <w:szCs w:val="16"/>
        </w:rPr>
      </w:pPr>
    </w:p>
    <w:p>
      <w:pPr>
        <w:pStyle w:val="BodyText"/>
        <w:spacing w:line="451" w:lineRule="auto"/>
        <w:ind w:right="90" w:firstLine="360"/>
        <w:jc w:val="left"/>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日，银之杰有限股东会通过了增加公司注册资本至人民币</w:t>
      </w:r>
      <w:r>
        <w:rPr>
          <w:rFonts w:ascii="Times New Roman" w:hAnsi="Times New Roman" w:cs="Times New Roman" w:eastAsia="Times New Roman" w:hint="default"/>
          <w:spacing w:val="-2"/>
        </w:rPr>
        <w:t>500</w:t>
      </w:r>
      <w:r>
        <w:rPr>
          <w:spacing w:val="-2"/>
        </w:rPr>
        <w:t>万元的决议，其中新增注册资本由张学君、何</w:t>
      </w:r>
      <w:r>
        <w:rPr/>
        <w:t> </w:t>
      </w:r>
      <w:r>
        <w:rPr>
          <w:spacing w:val="-3"/>
        </w:rPr>
        <w:t>晔、李军、陈向军分别以货币资金</w:t>
      </w:r>
      <w:r>
        <w:rPr>
          <w:rFonts w:ascii="Times New Roman" w:hAnsi="Times New Roman" w:cs="Times New Roman" w:eastAsia="Times New Roman" w:hint="default"/>
          <w:spacing w:val="-3"/>
        </w:rPr>
        <w:t>200</w:t>
      </w:r>
      <w:r>
        <w:rPr>
          <w:spacing w:val="-3"/>
        </w:rPr>
        <w:t>万元、</w:t>
      </w:r>
      <w:r>
        <w:rPr>
          <w:rFonts w:ascii="Times New Roman" w:hAnsi="Times New Roman" w:cs="Times New Roman" w:eastAsia="Times New Roman" w:hint="default"/>
          <w:spacing w:val="-3"/>
        </w:rPr>
        <w:t>120</w:t>
      </w:r>
      <w:r>
        <w:rPr>
          <w:spacing w:val="-3"/>
        </w:rPr>
        <w:t>万元、</w:t>
      </w:r>
      <w:r>
        <w:rPr>
          <w:rFonts w:ascii="Times New Roman" w:hAnsi="Times New Roman" w:cs="Times New Roman" w:eastAsia="Times New Roman" w:hint="default"/>
          <w:spacing w:val="-3"/>
        </w:rPr>
        <w:t>40</w:t>
      </w:r>
      <w:r>
        <w:rPr>
          <w:spacing w:val="-3"/>
        </w:rPr>
        <w:t>万元、</w:t>
      </w:r>
      <w:r>
        <w:rPr>
          <w:rFonts w:ascii="Times New Roman" w:hAnsi="Times New Roman" w:cs="Times New Roman" w:eastAsia="Times New Roman" w:hint="default"/>
          <w:spacing w:val="-3"/>
        </w:rPr>
        <w:t>40</w:t>
      </w:r>
      <w:r>
        <w:rPr>
          <w:spacing w:val="-3"/>
        </w:rPr>
        <w:t>万元出资。深圳中法会计师事务所对上述出资进行了验证，</w:t>
      </w:r>
      <w:r>
        <w:rPr>
          <w:spacing w:val="-84"/>
        </w:rPr>
        <w:t> </w:t>
      </w:r>
      <w:r>
        <w:rPr>
          <w:spacing w:val="-84"/>
        </w:rPr>
      </w:r>
      <w:r>
        <w:rPr/>
        <w:t>并于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日出具深中法验字</w:t>
      </w:r>
      <w:r>
        <w:rPr>
          <w:rFonts w:ascii="Times New Roman" w:hAnsi="Times New Roman" w:cs="Times New Roman" w:eastAsia="Times New Roman" w:hint="default"/>
        </w:rPr>
        <w:t>[2004]1509</w:t>
      </w:r>
      <w:r>
        <w:rPr/>
        <w:t>号验资报告。银之杰有限于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日办理了工商变更登记，领取了深圳市 工商行政管理局核发的注册号为</w:t>
      </w:r>
      <w:r>
        <w:rPr>
          <w:rFonts w:ascii="Times New Roman" w:hAnsi="Times New Roman" w:cs="Times New Roman" w:eastAsia="Times New Roman" w:hint="default"/>
        </w:rPr>
        <w:t>4403012009512</w:t>
      </w:r>
      <w:r>
        <w:rPr/>
        <w:t>的企业法人营业执照，注册资本为</w:t>
      </w:r>
      <w:r>
        <w:rPr>
          <w:rFonts w:ascii="Times New Roman" w:hAnsi="Times New Roman" w:cs="Times New Roman" w:eastAsia="Times New Roman" w:hint="default"/>
        </w:rPr>
        <w:t>500</w:t>
      </w:r>
      <w:r>
        <w:rPr/>
        <w:t>万元。</w:t>
      </w:r>
    </w:p>
    <w:p>
      <w:pPr>
        <w:pStyle w:val="BodyText"/>
        <w:spacing w:line="451" w:lineRule="auto" w:before="43"/>
        <w:ind w:left="153" w:right="178" w:firstLine="360"/>
        <w:jc w:val="left"/>
      </w:pP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15</w:t>
      </w:r>
      <w:r>
        <w:rPr>
          <w:spacing w:val="-1"/>
        </w:rPr>
        <w:t>日，银之杰有限股东会审议通过了股权转让的议案，张学君分别以人民币</w:t>
      </w:r>
      <w:r>
        <w:rPr>
          <w:rFonts w:ascii="Times New Roman" w:hAnsi="Times New Roman" w:cs="Times New Roman" w:eastAsia="Times New Roman" w:hint="default"/>
          <w:spacing w:val="-1"/>
        </w:rPr>
        <w:t>25</w:t>
      </w:r>
      <w:r>
        <w:rPr>
          <w:spacing w:val="-1"/>
        </w:rPr>
        <w:t>万元转让</w:t>
      </w:r>
      <w:r>
        <w:rPr>
          <w:rFonts w:ascii="Times New Roman" w:hAnsi="Times New Roman" w:cs="Times New Roman" w:eastAsia="Times New Roman" w:hint="default"/>
          <w:spacing w:val="-1"/>
        </w:rPr>
        <w:t>5%</w:t>
      </w:r>
      <w:r>
        <w:rPr>
          <w:spacing w:val="-1"/>
        </w:rPr>
        <w:t>的股权给李军，以</w:t>
      </w:r>
      <w:r>
        <w:rPr/>
        <w:t> 人民币</w:t>
      </w:r>
      <w:r>
        <w:rPr>
          <w:rFonts w:ascii="Times New Roman" w:hAnsi="Times New Roman" w:cs="Times New Roman" w:eastAsia="Times New Roman" w:hint="default"/>
        </w:rPr>
        <w:t>25</w:t>
      </w:r>
      <w:r>
        <w:rPr/>
        <w:t>万元转让</w:t>
      </w:r>
      <w:r>
        <w:rPr>
          <w:rFonts w:ascii="Times New Roman" w:hAnsi="Times New Roman" w:cs="Times New Roman" w:eastAsia="Times New Roman" w:hint="default"/>
        </w:rPr>
        <w:t>5%</w:t>
      </w:r>
      <w:r>
        <w:rPr/>
        <w:t>的股权给陈向军，以人民币</w:t>
      </w:r>
      <w:r>
        <w:rPr>
          <w:rFonts w:ascii="Times New Roman" w:hAnsi="Times New Roman" w:cs="Times New Roman" w:eastAsia="Times New Roman" w:hint="default"/>
        </w:rPr>
        <w:t>25</w:t>
      </w:r>
      <w:r>
        <w:rPr/>
        <w:t>万元转让</w:t>
      </w:r>
      <w:r>
        <w:rPr>
          <w:rFonts w:ascii="Times New Roman" w:hAnsi="Times New Roman" w:cs="Times New Roman" w:eastAsia="Times New Roman" w:hint="default"/>
        </w:rPr>
        <w:t>5%</w:t>
      </w:r>
      <w:r>
        <w:rPr/>
        <w:t>的股权给汪旻，其他股东放弃优先购买权。</w:t>
      </w:r>
    </w:p>
    <w:p>
      <w:pPr>
        <w:pStyle w:val="BodyText"/>
        <w:spacing w:line="451" w:lineRule="auto" w:before="43"/>
        <w:ind w:left="153" w:right="90" w:firstLine="360"/>
        <w:jc w:val="left"/>
      </w:pP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日，银之杰有限股东会通过决议，将注册资本从</w:t>
      </w:r>
      <w:r>
        <w:rPr>
          <w:rFonts w:ascii="Times New Roman" w:hAnsi="Times New Roman" w:cs="Times New Roman" w:eastAsia="Times New Roman" w:hint="default"/>
          <w:spacing w:val="-2"/>
        </w:rPr>
        <w:t>500</w:t>
      </w:r>
      <w:r>
        <w:rPr>
          <w:spacing w:val="-2"/>
        </w:rPr>
        <w:t>万元增至</w:t>
      </w:r>
      <w:r>
        <w:rPr>
          <w:rFonts w:ascii="Times New Roman" w:hAnsi="Times New Roman" w:cs="Times New Roman" w:eastAsia="Times New Roman" w:hint="default"/>
          <w:spacing w:val="-2"/>
        </w:rPr>
        <w:t>564.334</w:t>
      </w:r>
      <w:r>
        <w:rPr>
          <w:spacing w:val="-2"/>
        </w:rPr>
        <w:t>万元，新增注册资本</w:t>
      </w:r>
      <w:r>
        <w:rPr>
          <w:rFonts w:ascii="Times New Roman" w:hAnsi="Times New Roman" w:cs="Times New Roman" w:eastAsia="Times New Roman" w:hint="default"/>
          <w:spacing w:val="-2"/>
        </w:rPr>
        <w:t>64.334</w:t>
      </w:r>
      <w:r>
        <w:rPr>
          <w:spacing w:val="-2"/>
        </w:rPr>
        <w:t>万元由唐劲</w:t>
      </w:r>
      <w:r>
        <w:rPr/>
        <w:t> </w:t>
      </w:r>
      <w:r>
        <w:rPr>
          <w:spacing w:val="-1"/>
        </w:rPr>
        <w:t>星等</w:t>
      </w:r>
      <w:r>
        <w:rPr>
          <w:rFonts w:ascii="Times New Roman" w:hAnsi="Times New Roman" w:cs="Times New Roman" w:eastAsia="Times New Roman" w:hint="default"/>
          <w:spacing w:val="-1"/>
        </w:rPr>
        <w:t>40</w:t>
      </w:r>
      <w:r>
        <w:rPr>
          <w:spacing w:val="-1"/>
        </w:rPr>
        <w:t>名自然人以货币资金</w:t>
      </w:r>
      <w:r>
        <w:rPr>
          <w:rFonts w:ascii="Times New Roman" w:hAnsi="Times New Roman" w:cs="Times New Roman" w:eastAsia="Times New Roman" w:hint="default"/>
          <w:spacing w:val="-1"/>
        </w:rPr>
        <w:t>666.90</w:t>
      </w:r>
      <w:r>
        <w:rPr>
          <w:spacing w:val="-1"/>
        </w:rPr>
        <w:t>万元认缴，出资总额超过新增注册资本的部分计入银之杰有限资本公积。深圳市鹏城会计</w:t>
      </w:r>
      <w:r>
        <w:rPr>
          <w:spacing w:val="-70"/>
        </w:rPr>
        <w:t> </w:t>
      </w:r>
      <w:r>
        <w:rPr>
          <w:spacing w:val="-70"/>
        </w:rPr>
      </w:r>
      <w:r>
        <w:rPr>
          <w:spacing w:val="-2"/>
        </w:rPr>
        <w:t>师事务所有限公司对本次增资进行了验证，并于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日出具了深鹏所验字</w:t>
      </w:r>
      <w:r>
        <w:rPr>
          <w:rFonts w:ascii="Times New Roman" w:hAnsi="Times New Roman" w:cs="Times New Roman" w:eastAsia="Times New Roman" w:hint="default"/>
          <w:spacing w:val="-2"/>
        </w:rPr>
        <w:t>[2007]131</w:t>
      </w:r>
      <w:r>
        <w:rPr>
          <w:spacing w:val="-2"/>
        </w:rPr>
        <w:t>号验资报告。银之杰有限于</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日办理了前述股权转让及增资的工商变更登记手续，领取了深圳市工商行政管理局核发的注册号为 </w:t>
      </w:r>
      <w:r>
        <w:rPr>
          <w:rFonts w:ascii="Times New Roman" w:hAnsi="Times New Roman" w:cs="Times New Roman" w:eastAsia="Times New Roman" w:hint="default"/>
        </w:rPr>
        <w:t>440301102955880</w:t>
      </w:r>
      <w:r>
        <w:rPr/>
        <w:t>的企业法人营业执照，注册资本为</w:t>
      </w:r>
      <w:r>
        <w:rPr>
          <w:rFonts w:ascii="Times New Roman" w:hAnsi="Times New Roman" w:cs="Times New Roman" w:eastAsia="Times New Roman" w:hint="default"/>
        </w:rPr>
        <w:t>564.334</w:t>
      </w:r>
      <w:r>
        <w:rPr/>
        <w:t>万元。</w:t>
      </w:r>
    </w:p>
    <w:p>
      <w:pPr>
        <w:pStyle w:val="BodyText"/>
        <w:spacing w:line="240" w:lineRule="auto" w:before="43"/>
        <w:ind w:left="513" w:right="9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日，银之杰有限股东会通过决议，以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日经审计的净资产</w:t>
      </w:r>
      <w:r>
        <w:rPr>
          <w:rFonts w:ascii="Times New Roman" w:hAnsi="Times New Roman" w:cs="Times New Roman" w:eastAsia="Times New Roman" w:hint="default"/>
        </w:rPr>
        <w:t>45,024,560.25</w:t>
      </w:r>
      <w:r>
        <w:rPr/>
        <w:t>元为基础，将其中的</w:t>
      </w:r>
    </w:p>
    <w:p>
      <w:pPr>
        <w:spacing w:line="240" w:lineRule="auto" w:before="9"/>
        <w:rPr>
          <w:rFonts w:ascii="宋体" w:hAnsi="宋体" w:cs="宋体" w:eastAsia="宋体" w:hint="default"/>
          <w:sz w:val="16"/>
          <w:szCs w:val="16"/>
        </w:rPr>
      </w:pPr>
    </w:p>
    <w:p>
      <w:pPr>
        <w:pStyle w:val="BodyText"/>
        <w:spacing w:line="458" w:lineRule="auto"/>
        <w:ind w:left="153" w:right="90"/>
        <w:jc w:val="left"/>
      </w:pPr>
      <w:r>
        <w:rPr>
          <w:rFonts w:ascii="Times New Roman" w:hAnsi="Times New Roman" w:cs="Times New Roman" w:eastAsia="Times New Roman" w:hint="default"/>
        </w:rPr>
        <w:t>45,000,000</w:t>
      </w:r>
      <w:r>
        <w:rPr/>
        <w:t>元按照</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rFonts w:ascii="Times New Roman" w:hAnsi="Times New Roman" w:cs="Times New Roman" w:eastAsia="Times New Roman" w:hint="default"/>
        </w:rPr>
        <w:t>1</w:t>
      </w:r>
      <w:r>
        <w:rPr/>
        <w:t>的比例折为</w:t>
      </w:r>
      <w:r>
        <w:rPr>
          <w:rFonts w:ascii="Times New Roman" w:hAnsi="Times New Roman" w:cs="Times New Roman" w:eastAsia="Times New Roman" w:hint="default"/>
        </w:rPr>
        <w:t>4,500</w:t>
      </w:r>
      <w:r>
        <w:rPr/>
        <w:t>万股，每股面值人民币</w:t>
      </w:r>
      <w:r>
        <w:rPr>
          <w:rFonts w:ascii="Times New Roman" w:hAnsi="Times New Roman" w:cs="Times New Roman" w:eastAsia="Times New Roman" w:hint="default"/>
        </w:rPr>
        <w:t>1</w:t>
      </w:r>
      <w:r>
        <w:rPr/>
        <w:t>元，余额</w:t>
      </w:r>
      <w:r>
        <w:rPr>
          <w:rFonts w:ascii="Times New Roman" w:hAnsi="Times New Roman" w:cs="Times New Roman" w:eastAsia="Times New Roman" w:hint="default"/>
        </w:rPr>
        <w:t>24,560.25</w:t>
      </w:r>
      <w:r>
        <w:rPr/>
        <w:t>元计入资本公积，整体变更为深圳市银之杰 </w:t>
      </w:r>
      <w:r>
        <w:rPr>
          <w:spacing w:val="-4"/>
        </w:rPr>
        <w:t>科技股份有限公司，各发起人按原出资比例持有股份公司的股份。深圳市鹏城会计师事务所有限公司对本次出资进行了验证，</w:t>
      </w:r>
      <w:r>
        <w:rPr>
          <w:spacing w:val="-44"/>
        </w:rPr>
        <w:t> </w:t>
      </w:r>
      <w:r>
        <w:rPr>
          <w:spacing w:val="-44"/>
        </w:rPr>
      </w:r>
      <w:r>
        <w:rPr/>
        <w:t>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日出具了深鹏所验字</w:t>
      </w:r>
      <w:r>
        <w:rPr>
          <w:rFonts w:ascii="Times New Roman" w:hAnsi="Times New Roman" w:cs="Times New Roman" w:eastAsia="Times New Roman" w:hint="default"/>
        </w:rPr>
        <w:t>[2007]191</w:t>
      </w:r>
      <w:r>
        <w:rPr/>
        <w:t>号验资报告。</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24"/>
        </w:rPr>
        <w:t> </w:t>
      </w:r>
      <w:r>
        <w:rPr/>
        <w:t>日，经深圳市工商行政管理局核准，公司完成 整体变更登记，领取了注册号为</w:t>
      </w:r>
      <w:r>
        <w:rPr>
          <w:rFonts w:ascii="Times New Roman" w:hAnsi="Times New Roman" w:cs="Times New Roman" w:eastAsia="Times New Roman" w:hint="default"/>
        </w:rPr>
        <w:t>440301102955880</w:t>
      </w:r>
      <w:r>
        <w:rPr/>
        <w:t>的企业法人营业执照，注册资本为</w:t>
      </w:r>
      <w:r>
        <w:rPr>
          <w:rFonts w:ascii="Times New Roman" w:hAnsi="Times New Roman" w:cs="Times New Roman" w:eastAsia="Times New Roman" w:hint="default"/>
        </w:rPr>
        <w:t>4,500</w:t>
      </w:r>
      <w:r>
        <w:rPr/>
        <w:t>万元。</w:t>
      </w:r>
    </w:p>
    <w:p>
      <w:pPr>
        <w:pStyle w:val="BodyText"/>
        <w:spacing w:line="451" w:lineRule="auto" w:before="37"/>
        <w:ind w:left="153" w:right="181" w:firstLine="36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日，公司第一届董事会第七次会议审议通过了《关于公司申请发行股票并上市的议案》，该议案经</w:t>
      </w:r>
      <w:r>
        <w:rPr>
          <w:rFonts w:ascii="Times New Roman" w:hAnsi="Times New Roman" w:cs="Times New Roman" w:eastAsia="Times New Roman" w:hint="default"/>
        </w:rPr>
        <w:t>2009</w:t>
      </w:r>
      <w:r>
        <w:rPr/>
        <w:t>年 第二次临时股东大会审议通过。</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[2010]548</w:t>
      </w:r>
      <w:r>
        <w:rPr/>
        <w:t>号</w:t>
      </w:r>
      <w:r>
        <w:rPr>
          <w:rFonts w:ascii="Times New Roman" w:hAnsi="Times New Roman" w:cs="Times New Roman" w:eastAsia="Times New Roman" w:hint="default"/>
        </w:rPr>
        <w:t>”</w:t>
      </w:r>
      <w:r>
        <w:rPr/>
        <w:t>文核准，核准公司向社 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1500</w:t>
      </w:r>
      <w:r>
        <w:rPr/>
        <w:t>万股，每股面值</w:t>
      </w:r>
      <w:r>
        <w:rPr>
          <w:rFonts w:ascii="Times New Roman" w:hAnsi="Times New Roman" w:cs="Times New Roman" w:eastAsia="Times New Roman" w:hint="default"/>
        </w:rPr>
        <w:t>1.00</w:t>
      </w:r>
      <w:r>
        <w:rPr/>
        <w:t>元，发行价格为</w:t>
      </w:r>
      <w:r>
        <w:rPr>
          <w:rFonts w:ascii="Times New Roman" w:hAnsi="Times New Roman" w:cs="Times New Roman" w:eastAsia="Times New Roman" w:hint="default"/>
        </w:rPr>
        <w:t>28.00</w:t>
      </w:r>
      <w:r>
        <w:rPr/>
        <w:t>元</w:t>
      </w:r>
      <w:r>
        <w:rPr>
          <w:rFonts w:ascii="Times New Roman" w:hAnsi="Times New Roman" w:cs="Times New Roman" w:eastAsia="Times New Roman" w:hint="default"/>
        </w:rPr>
        <w:t>/</w:t>
      </w:r>
      <w:r>
        <w:rPr/>
        <w:t>股，发行后公司股本为</w:t>
      </w:r>
      <w:r>
        <w:rPr>
          <w:rFonts w:ascii="Times New Roman" w:hAnsi="Times New Roman" w:cs="Times New Roman" w:eastAsia="Times New Roman" w:hint="default"/>
        </w:rPr>
        <w:t>6,000</w:t>
      </w:r>
      <w:r>
        <w:rPr/>
        <w:t>万股。</w:t>
      </w:r>
    </w:p>
    <w:p>
      <w:pPr>
        <w:pStyle w:val="BodyText"/>
        <w:spacing w:line="451" w:lineRule="auto" w:before="43"/>
        <w:ind w:left="153" w:right="90" w:firstLine="360"/>
        <w:jc w:val="left"/>
      </w:pPr>
      <w:r>
        <w:rPr>
          <w:spacing w:val="-1"/>
        </w:rPr>
        <w:t>公司本次发行募集资金总额为</w:t>
      </w:r>
      <w:r>
        <w:rPr>
          <w:rFonts w:ascii="Times New Roman" w:hAnsi="Times New Roman" w:cs="Times New Roman" w:eastAsia="Times New Roman" w:hint="default"/>
          <w:spacing w:val="-1"/>
        </w:rPr>
        <w:t>420,000,000.00</w:t>
      </w:r>
      <w:r>
        <w:rPr>
          <w:spacing w:val="-1"/>
        </w:rPr>
        <w:t>元，扣除发行费用</w:t>
      </w:r>
      <w:r>
        <w:rPr>
          <w:rFonts w:ascii="Times New Roman" w:hAnsi="Times New Roman" w:cs="Times New Roman" w:eastAsia="Times New Roman" w:hint="default"/>
          <w:spacing w:val="-1"/>
        </w:rPr>
        <w:t>31,049,260.04</w:t>
      </w:r>
      <w:r>
        <w:rPr>
          <w:spacing w:val="-1"/>
        </w:rPr>
        <w:t>元，实际募集资金净额为</w:t>
      </w:r>
      <w:r>
        <w:rPr>
          <w:rFonts w:ascii="Times New Roman" w:hAnsi="Times New Roman" w:cs="Times New Roman" w:eastAsia="Times New Roman" w:hint="default"/>
          <w:spacing w:val="-1"/>
        </w:rPr>
        <w:t>388,950,739.96</w:t>
      </w:r>
      <w:r>
        <w:rPr>
          <w:spacing w:val="-1"/>
        </w:rPr>
        <w:t>元。</w:t>
      </w:r>
      <w:r>
        <w:rPr>
          <w:spacing w:val="-2"/>
        </w:rPr>
        <w:t> </w:t>
      </w:r>
      <w:r>
        <w:rPr/>
        <w:t>深圳市鹏城会计师事务有限公司已于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日对公司本次发行募集资金到位情况进行了审验，并出具了深鹏所验字 </w:t>
      </w:r>
      <w:r>
        <w:rPr>
          <w:rFonts w:ascii="Times New Roman" w:hAnsi="Times New Roman" w:cs="Times New Roman" w:eastAsia="Times New Roman" w:hint="default"/>
          <w:spacing w:val="-7"/>
        </w:rPr>
        <w:t>[2010]</w:t>
      </w:r>
      <w:r>
        <w:rPr>
          <w:spacing w:val="-7"/>
        </w:rPr>
        <w:t>第</w:t>
      </w:r>
      <w:r>
        <w:rPr>
          <w:rFonts w:ascii="Times New Roman" w:hAnsi="Times New Roman" w:cs="Times New Roman" w:eastAsia="Times New Roman" w:hint="default"/>
          <w:spacing w:val="-7"/>
        </w:rPr>
        <w:t>184</w:t>
      </w:r>
      <w:r>
        <w:rPr>
          <w:spacing w:val="-7"/>
        </w:rPr>
        <w:t>号《验资报告》。公司股票于</w:t>
      </w:r>
      <w:r>
        <w:rPr>
          <w:rFonts w:ascii="Times New Roman" w:hAnsi="Times New Roman" w:cs="Times New Roman" w:eastAsia="Times New Roman" w:hint="default"/>
          <w:spacing w:val="-7"/>
        </w:rPr>
        <w:t>2010</w:t>
      </w:r>
      <w:r>
        <w:rPr>
          <w:spacing w:val="-7"/>
        </w:rPr>
        <w:t>年</w:t>
      </w:r>
      <w:r>
        <w:rPr>
          <w:rFonts w:ascii="Times New Roman" w:hAnsi="Times New Roman" w:cs="Times New Roman" w:eastAsia="Times New Roman" w:hint="default"/>
          <w:spacing w:val="-7"/>
        </w:rPr>
        <w:t>5</w:t>
      </w:r>
      <w:r>
        <w:rPr>
          <w:spacing w:val="-7"/>
        </w:rPr>
        <w:t>月</w:t>
      </w:r>
      <w:r>
        <w:rPr>
          <w:rFonts w:ascii="Times New Roman" w:hAnsi="Times New Roman" w:cs="Times New Roman" w:eastAsia="Times New Roman" w:hint="default"/>
          <w:spacing w:val="-7"/>
        </w:rPr>
        <w:t>26</w:t>
      </w:r>
      <w:r>
        <w:rPr>
          <w:spacing w:val="-7"/>
        </w:rPr>
        <w:t>日在深圳证券交易所创业板上市，股票简称</w:t>
      </w:r>
      <w:r>
        <w:rPr>
          <w:rFonts w:ascii="Times New Roman" w:hAnsi="Times New Roman" w:cs="Times New Roman" w:eastAsia="Times New Roman" w:hint="default"/>
          <w:spacing w:val="-7"/>
        </w:rPr>
        <w:t>“</w:t>
      </w:r>
      <w:r>
        <w:rPr>
          <w:spacing w:val="-7"/>
        </w:rPr>
        <w:t>银之杰</w:t>
      </w:r>
      <w:r>
        <w:rPr>
          <w:rFonts w:ascii="Times New Roman" w:hAnsi="Times New Roman" w:cs="Times New Roman" w:eastAsia="Times New Roman" w:hint="default"/>
          <w:spacing w:val="-7"/>
        </w:rPr>
        <w:t>”</w:t>
      </w:r>
      <w:r>
        <w:rPr>
          <w:spacing w:val="-7"/>
        </w:rPr>
        <w:t>，股票代码</w:t>
      </w:r>
      <w:r>
        <w:rPr>
          <w:rFonts w:ascii="Times New Roman" w:hAnsi="Times New Roman" w:cs="Times New Roman" w:eastAsia="Times New Roman" w:hint="default"/>
          <w:spacing w:val="-7"/>
        </w:rPr>
        <w:t>“300085”</w:t>
      </w:r>
      <w:r>
        <w:rPr>
          <w:spacing w:val="-7"/>
        </w:rPr>
        <w:t>。</w:t>
      </w:r>
    </w:p>
    <w:p>
      <w:pPr>
        <w:pStyle w:val="BodyText"/>
        <w:spacing w:line="451" w:lineRule="auto" w:before="43"/>
        <w:ind w:right="90" w:firstLine="360"/>
        <w:jc w:val="left"/>
      </w:pP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11 </w:t>
      </w:r>
      <w:r>
        <w:rPr/>
        <w:t>日，公司召开了</w:t>
      </w:r>
      <w:r>
        <w:rPr>
          <w:rFonts w:ascii="Times New Roman" w:hAnsi="Times New Roman" w:cs="Times New Roman" w:eastAsia="Times New Roman" w:hint="default"/>
        </w:rPr>
        <w:t>2010 </w:t>
      </w:r>
      <w:r>
        <w:rPr>
          <w:spacing w:val="-3"/>
        </w:rPr>
        <w:t>年年度股东大会，审议通过了《</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9"/>
        </w:rPr>
        <w:t> </w:t>
      </w:r>
      <w:r>
        <w:rPr/>
        <w:t>年度利润分配及资本公积转增股本的预案》， 以</w:t>
      </w:r>
      <w:r>
        <w:rPr>
          <w:rFonts w:ascii="Times New Roman" w:hAnsi="Times New Roman" w:cs="Times New Roman" w:eastAsia="Times New Roman" w:hint="default"/>
        </w:rPr>
        <w:t>2010 </w:t>
      </w:r>
      <w:r>
        <w:rPr/>
        <w:t>年末总股本</w:t>
      </w:r>
      <w:r>
        <w:rPr>
          <w:rFonts w:ascii="Times New Roman" w:hAnsi="Times New Roman" w:cs="Times New Roman" w:eastAsia="Times New Roman" w:hint="default"/>
        </w:rPr>
        <w:t>60,000,000 </w:t>
      </w:r>
      <w:r>
        <w:rPr>
          <w:spacing w:val="-7"/>
        </w:rPr>
        <w:t>股为基数，按每</w:t>
      </w:r>
      <w:r>
        <w:rPr>
          <w:rFonts w:ascii="Times New Roman" w:hAnsi="Times New Roman" w:cs="Times New Roman" w:eastAsia="Times New Roman" w:hint="default"/>
          <w:spacing w:val="-7"/>
        </w:rPr>
        <w:t>10 </w:t>
      </w:r>
      <w:r>
        <w:rPr/>
        <w:t>股派发现金股利人民币</w:t>
      </w:r>
      <w:r>
        <w:rPr>
          <w:rFonts w:ascii="Times New Roman" w:hAnsi="Times New Roman" w:cs="Times New Roman" w:eastAsia="Times New Roman" w:hint="default"/>
        </w:rPr>
        <w:t>6.00 </w:t>
      </w:r>
      <w:r>
        <w:rPr>
          <w:spacing w:val="-13"/>
        </w:rPr>
        <w:t>元（含税），同时以</w:t>
      </w:r>
      <w:r>
        <w:rPr>
          <w:rFonts w:ascii="Times New Roman" w:hAnsi="Times New Roman" w:cs="Times New Roman" w:eastAsia="Times New Roman" w:hint="default"/>
          <w:spacing w:val="-13"/>
        </w:rPr>
        <w:t>2010</w:t>
      </w:r>
      <w:r>
        <w:rPr>
          <w:rFonts w:ascii="Times New Roman" w:hAnsi="Times New Roman" w:cs="Times New Roman" w:eastAsia="Times New Roman" w:hint="default"/>
          <w:spacing w:val="-3"/>
        </w:rPr>
        <w:t> </w:t>
      </w:r>
      <w:r>
        <w:rPr/>
        <w:t>年末总股本</w:t>
      </w:r>
      <w:r>
        <w:rPr>
          <w:rFonts w:ascii="Times New Roman" w:hAnsi="Times New Roman" w:cs="Times New Roman" w:eastAsia="Times New Roman" w:hint="default"/>
        </w:rPr>
        <w:t>60,000,000 </w:t>
      </w:r>
      <w:r>
        <w:rPr/>
        <w:t>股为基数，向全体股东每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 </w:t>
      </w:r>
      <w:r>
        <w:rPr/>
        <w:t>股。上述分配方案已于</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日实施完毕，公司注册资本由</w:t>
      </w:r>
      <w:r>
        <w:rPr>
          <w:rFonts w:ascii="Times New Roman" w:hAnsi="Times New Roman" w:cs="Times New Roman" w:eastAsia="Times New Roman" w:hint="default"/>
        </w:rPr>
        <w:t>6000</w:t>
      </w:r>
      <w:r>
        <w:rPr/>
        <w:t>万元变更至 </w:t>
      </w:r>
      <w:r>
        <w:rPr>
          <w:rFonts w:ascii="Times New Roman" w:hAnsi="Times New Roman" w:cs="Times New Roman" w:eastAsia="Times New Roman" w:hint="default"/>
        </w:rPr>
        <w:t>12000</w:t>
      </w:r>
      <w:r>
        <w:rPr>
          <w:rFonts w:ascii="Times New Roman" w:hAnsi="Times New Roman" w:cs="Times New Roman" w:eastAsia="Times New Roman" w:hint="default"/>
          <w:spacing w:val="25"/>
        </w:rPr>
        <w:t> </w:t>
      </w:r>
      <w:r>
        <w:rPr/>
        <w:t>万元，并于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日经深圳市鹏城会计师事务有限公司出具了深鹏所验字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0213</w:t>
      </w:r>
      <w:r>
        <w:rPr/>
        <w:t>号《验资报告》。</w:t>
      </w:r>
    </w:p>
    <w:p>
      <w:pPr>
        <w:spacing w:after="0" w:line="451"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53" w:right="151" w:firstLine="360"/>
        <w:jc w:val="both"/>
      </w:pPr>
      <w:r>
        <w:rPr>
          <w:spacing w:val="-2"/>
        </w:rPr>
        <w:t>本公司以持续经营为基础，根据实际发生的交易和事项，按照《企业会计准则</w:t>
      </w:r>
      <w:r>
        <w:rPr>
          <w:rFonts w:ascii="Times New Roman" w:hAnsi="Times New Roman" w:cs="Times New Roman" w:eastAsia="Times New Roman" w:hint="default"/>
          <w:spacing w:val="-2"/>
        </w:rPr>
        <w:t>—</w:t>
      </w:r>
      <w:r>
        <w:rPr>
          <w:spacing w:val="-2"/>
        </w:rPr>
        <w:t>基本准则》和其他各项会计准则的规定</w:t>
      </w:r>
      <w:r>
        <w:rPr/>
        <w:t> 进行确认和计量，在此基础上编制财务报表。</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51" w:firstLine="360"/>
        <w:jc w:val="both"/>
      </w:pPr>
      <w:r>
        <w:rPr>
          <w:spacing w:val="-2"/>
        </w:rPr>
        <w:t>本公司财务报表的编制符合企业会计准则的要求，真实、完整地反映了公司的财务状况、经营成果和现金流量等有关信</w:t>
      </w:r>
      <w:r>
        <w:rPr/>
        <w:t> 息。</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采用公历年度，即从每年1月1日至12月31日为一个会计年度。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以人民币为记账本位币。</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48" w:firstLine="360"/>
        <w:jc w:val="both"/>
      </w:pPr>
      <w:r>
        <w:rPr>
          <w:spacing w:val="-2"/>
        </w:rPr>
        <w:t>在企业合并中取得的资产和负债，按照合并日在被合并方的账面价值计量。取得的净资产账面价值与支付的合并对价账</w:t>
      </w:r>
      <w:r>
        <w:rPr/>
        <w:t> </w:t>
      </w:r>
      <w:r>
        <w:rPr>
          <w:spacing w:val="-2"/>
        </w:rPr>
        <w:t>面价值（或发行股份面值总额）的差额，调整资本公积；资本公积不足冲减的，调整留存收益。为进行企业合并发生的各项</w:t>
      </w:r>
      <w:r>
        <w:rPr>
          <w:spacing w:val="-67"/>
        </w:rPr>
        <w:t> </w:t>
      </w:r>
      <w:r>
        <w:rPr>
          <w:spacing w:val="-67"/>
        </w:rPr>
      </w:r>
      <w:r>
        <w:rPr>
          <w:spacing w:val="-2"/>
        </w:rPr>
        <w:t>直接相关费用，包括为进行企业合并而支付的审计费用、评估费用、法律服务费用等，于发生时计入当期损益。企业合并形</w:t>
      </w:r>
      <w:r>
        <w:rPr>
          <w:spacing w:val="-66"/>
        </w:rPr>
        <w:t> </w:t>
      </w:r>
      <w:r>
        <w:rPr>
          <w:spacing w:val="-66"/>
        </w:rPr>
      </w:r>
      <w:r>
        <w:rPr>
          <w:spacing w:val="-2"/>
        </w:rPr>
        <w:t>成母子公司关系的，母公司编制合并日的合并资产负债表、合并利润表和合并现金流量表。合并资产负债表中被合并方的各</w:t>
      </w:r>
      <w:r>
        <w:rPr>
          <w:spacing w:val="-66"/>
        </w:rPr>
        <w:t> </w:t>
      </w:r>
      <w:r>
        <w:rPr>
          <w:spacing w:val="-66"/>
        </w:rPr>
      </w:r>
      <w:r>
        <w:rPr>
          <w:spacing w:val="-2"/>
        </w:rPr>
        <w:t>项资产、负债，按其账面价值计量。因被合并方采用的会计政策与合并方不一致，按照本准则规定进行调整的，以调整后的</w:t>
      </w:r>
      <w:r>
        <w:rPr>
          <w:spacing w:val="-66"/>
        </w:rPr>
        <w:t> </w:t>
      </w:r>
      <w:r>
        <w:rPr>
          <w:spacing w:val="-66"/>
        </w:rPr>
      </w:r>
      <w:r>
        <w:rPr>
          <w:spacing w:val="-2"/>
        </w:rPr>
        <w:t>账面价值计量。合并利润表包括参与合并各方自合并当期期初至合并日所发生的收入、费用和利润。被合并方在合并前实现</w:t>
      </w:r>
      <w:r>
        <w:rPr>
          <w:spacing w:val="-66"/>
        </w:rPr>
        <w:t> </w:t>
      </w:r>
      <w:r>
        <w:rPr>
          <w:spacing w:val="-66"/>
        </w:rPr>
      </w:r>
      <w:r>
        <w:rPr/>
        <w:t>的净利润，在合并利润表中单列项目反映。合并现金流量表包括参与合并各方自合并当期期初至合并日的现金流量。</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53" w:right="149" w:firstLine="360"/>
        <w:jc w:val="both"/>
      </w:pPr>
      <w:r>
        <w:rPr>
          <w:spacing w:val="-2"/>
        </w:rPr>
        <w:t>在购买日为取得对被购买方的控制权而付出的资产、发生或承担的负债以及发行的权益性证券的公允价值加上各项直接</w:t>
      </w:r>
      <w:r>
        <w:rPr/>
        <w:t> </w:t>
      </w:r>
      <w:r>
        <w:rPr>
          <w:spacing w:val="-2"/>
        </w:rPr>
        <w:t>相关费用为合并成本。在购买日对作为企业合并对价付出的资产、发生或承担的负债按照公允价值计量，公允价值与其账面</w:t>
      </w:r>
      <w:r>
        <w:rPr>
          <w:spacing w:val="-66"/>
        </w:rPr>
        <w:t> </w:t>
      </w:r>
      <w:r>
        <w:rPr>
          <w:spacing w:val="-66"/>
        </w:rPr>
      </w:r>
      <w:r>
        <w:rPr>
          <w:spacing w:val="-2"/>
        </w:rPr>
        <w:t>价值的差额，计入当期损益。对合并成本大于合并中取得的被购买方可辨认净资产公允价值份额的差额，确认为商誉。对合</w:t>
      </w:r>
    </w:p>
    <w:p>
      <w:pPr>
        <w:spacing w:after="0" w:line="477"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2"/>
        </w:rPr>
        <w:t>并成本小于合并中取得的被购买方可辨认净资产公允价值份额的差额时，对取得的被购买方各项可辨认资产、负债及或有负</w:t>
      </w:r>
      <w:r>
        <w:rPr>
          <w:spacing w:val="-64"/>
        </w:rPr>
        <w:t> </w:t>
      </w:r>
      <w:r>
        <w:rPr>
          <w:spacing w:val="-64"/>
        </w:rPr>
      </w:r>
      <w:r>
        <w:rPr/>
        <w:t>债的公允价值以及合并成本的计量进行复核；经复核后合并成本仍小于合并中取得的被购买方可辨认净资产公允价值份额 </w:t>
      </w:r>
      <w:r>
        <w:rPr>
          <w:spacing w:val="-2"/>
        </w:rPr>
        <w:t>的，其差额计入当期损益。企业合并形成母子公司关系的，母公司编制购买日的合并资产负债表，因企业合并取得的被购买</w:t>
      </w:r>
      <w:r>
        <w:rPr>
          <w:spacing w:val="-66"/>
        </w:rPr>
        <w:t> </w:t>
      </w:r>
      <w:r>
        <w:rPr>
          <w:spacing w:val="-66"/>
        </w:rPr>
      </w:r>
      <w:r>
        <w:rPr/>
        <w:t>方各项可辨认资产、负债及或有负债以公允价值列示。</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51" w:firstLine="360"/>
        <w:jc w:val="both"/>
      </w:pPr>
      <w:r>
        <w:rPr/>
        <w:t>A、合并财务报表以本公司和纳入合并财务报表范围的各子公司的财务报表及其他有关资料为合并依据，按照权益法调 </w:t>
      </w:r>
      <w:r>
        <w:rPr>
          <w:spacing w:val="-2"/>
        </w:rPr>
        <w:t>整对子公司的长期股权投资，将本公司和纳入合并财务报表范围的各子公司之间的投资、交易及往来等全部抵销，并计算少</w:t>
      </w:r>
      <w:r>
        <w:rPr>
          <w:spacing w:val="-66"/>
        </w:rPr>
        <w:t> </w:t>
      </w:r>
      <w:r>
        <w:rPr>
          <w:spacing w:val="-66"/>
        </w:rPr>
      </w:r>
      <w:r>
        <w:rPr/>
        <w:t>数股东损益及少数股东权益后合并编制而成。</w:t>
      </w:r>
    </w:p>
    <w:p>
      <w:pPr>
        <w:pStyle w:val="BodyText"/>
        <w:spacing w:line="477" w:lineRule="auto" w:before="54"/>
        <w:ind w:left="514" w:right="140"/>
        <w:jc w:val="left"/>
      </w:pPr>
      <w:r>
        <w:rPr/>
        <w:t>B、合并时，如纳入合并范围的子公司与本公司会计政策不一致，按本公司执行的会计政策对其进行调整后合并。 C、对于同一控制下企业合并取得的子公司，视同该企业合并于合并当期的期初已经发生，从合并当期的期初起将其资</w:t>
      </w:r>
    </w:p>
    <w:p>
      <w:pPr>
        <w:pStyle w:val="BodyText"/>
        <w:spacing w:line="477" w:lineRule="auto" w:before="54"/>
        <w:ind w:left="514" w:right="140" w:hanging="360"/>
        <w:jc w:val="left"/>
      </w:pPr>
      <w:r>
        <w:rPr/>
        <w:t>产、负债、经营成果和现金流量纳入合并财务报表。 D、同一控制下的企业合并事项的，被重组方合并前的净损益应计入非经常性损益，并在申报财务报表中单独列示。 E、重组属于同一公司控制权人下的非企业合并事项，但被重组方重组前一个会计年度末的资产总额或前一个会计年度</w:t>
      </w:r>
    </w:p>
    <w:p>
      <w:pPr>
        <w:pStyle w:val="BodyText"/>
        <w:spacing w:line="477" w:lineRule="auto" w:before="54"/>
        <w:ind w:left="514" w:right="140" w:hanging="360"/>
        <w:jc w:val="left"/>
      </w:pPr>
      <w:r>
        <w:rPr/>
        <w:t>的营业收入或利润总额达到或超过重组前发行人相应项目20%的，从合并当期的期初起编制备考利润表。 F、对于因非同一控制下企业合并取得的子公司，在编制合并报表时，以购买日可辨认净资产公允价值为基础对个别财</w:t>
      </w:r>
    </w:p>
    <w:p>
      <w:pPr>
        <w:pStyle w:val="BodyText"/>
        <w:spacing w:line="240" w:lineRule="auto" w:before="54"/>
        <w:ind w:right="0"/>
        <w:jc w:val="left"/>
      </w:pPr>
      <w:r>
        <w:rPr/>
        <w:t>务报表进行调整。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0"/>
        <w:jc w:val="left"/>
      </w:pPr>
      <w:r>
        <w:rPr/>
        <w:t>现金是指本公司的库存现金以及随时用于支付的存款。 </w:t>
      </w:r>
      <w:r>
        <w:rPr>
          <w:spacing w:val="-2"/>
        </w:rPr>
        <w:t>现金等价物为本公司持有的期限短（一般是指从购买日起三个月内到期）、流动性强、易于转换为已知金额现金且价值</w:t>
      </w:r>
    </w:p>
    <w:p>
      <w:pPr>
        <w:pStyle w:val="BodyText"/>
        <w:spacing w:line="240" w:lineRule="auto" w:before="54"/>
        <w:ind w:right="0"/>
        <w:jc w:val="left"/>
      </w:pPr>
      <w:r>
        <w:rPr/>
        <w:t>变动风险很小的投资。</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140"/>
        <w:jc w:val="left"/>
      </w:pPr>
      <w:r>
        <w:rPr/>
        <w:t>本公司外币交易均按交易发生日的即期近似汇率折算为记账本位币。该即期近似汇率指交易发生日当月月初的汇率。 在资产负债表日，按照下列规定对外币货币性项目和外币非货币性项目进行处理： A、外币货币性项目，采用资产负债表日即期汇率折算。因资产负债表日即期汇率与初始确认时或前一资产负债表日即</w:t>
      </w:r>
    </w:p>
    <w:p>
      <w:pPr>
        <w:pStyle w:val="BodyText"/>
        <w:spacing w:line="477" w:lineRule="auto" w:before="54"/>
        <w:ind w:left="514" w:right="140" w:hanging="360"/>
        <w:jc w:val="left"/>
      </w:pPr>
      <w:r>
        <w:rPr/>
        <w:t>期汇率不同而产生的汇兑差额，计入当期损益。 B、以历史成本计量的外币非货币性项目，仍采用交易发生日的即期汇率折算，不改变其记账本位币金额。 C、以公允价值计量的外币非货币性项目，采用公允价值确定日的即期汇率折算，折算后的记账本位币金额与原记账本</w:t>
      </w:r>
    </w:p>
    <w:p>
      <w:pPr>
        <w:pStyle w:val="BodyText"/>
        <w:spacing w:line="240" w:lineRule="auto" w:before="54"/>
        <w:ind w:right="0"/>
        <w:jc w:val="left"/>
      </w:pPr>
      <w:r>
        <w:rPr/>
        <w:t>位币金额的差额，作为公允价值变动处理，计入当期损益。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140"/>
        <w:jc w:val="left"/>
      </w:pPr>
      <w:r>
        <w:rPr/>
        <w:t>公司对境外经营的财务报表进行折算时，遵循下列规定： A、资产负债表中的资产和负债项目，采用资产负债表日的即期汇率折算，所有者权益项目除“未分配利润”项目外，</w:t>
      </w:r>
    </w:p>
    <w:p>
      <w:pPr>
        <w:pStyle w:val="BodyText"/>
        <w:spacing w:line="477" w:lineRule="auto" w:before="54"/>
        <w:ind w:left="514" w:right="1850" w:hanging="360"/>
        <w:jc w:val="left"/>
      </w:pPr>
      <w:r>
        <w:rPr/>
        <w:t>其他项目采用发生时的即期近似汇率折算。 B、利润表中的收入和费用项目，采用交易发生日的即期近似汇率折算。 按照上述方法折算产生的外币财务报表折算差额，在资产负债表中所有者权益项目下单独列示。</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金融工具，是指形成一个企业的金融资产，并形成其他单位的金融负债或权益工具的合同。</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0"/>
        <w:jc w:val="left"/>
      </w:pPr>
      <w:r>
        <w:rPr/>
        <w:t>金融工具包括金融资产、金融负债和权益工具。 </w:t>
      </w:r>
      <w:r>
        <w:rPr>
          <w:spacing w:val="-2"/>
        </w:rPr>
        <w:t>金融资产分为：以公允价值计量且其变动计入当期损益的金融资产（包括交易性金融资产和指定为以公允价值计量且其</w:t>
      </w:r>
    </w:p>
    <w:p>
      <w:pPr>
        <w:pStyle w:val="BodyText"/>
        <w:spacing w:line="477" w:lineRule="auto" w:before="54"/>
        <w:ind w:right="0"/>
        <w:jc w:val="left"/>
      </w:pPr>
      <w:r>
        <w:rPr>
          <w:spacing w:val="-2"/>
        </w:rPr>
        <w:t>变动计入当期损益的金融资产）、持有至到期投资、贷款和应收款项、可供出售金融资产。除应收款项以外的金融资产的分</w:t>
      </w:r>
      <w:r>
        <w:rPr>
          <w:spacing w:val="-66"/>
        </w:rPr>
        <w:t> </w:t>
      </w:r>
      <w:r>
        <w:rPr>
          <w:spacing w:val="-66"/>
        </w:rPr>
      </w:r>
      <w:r>
        <w:rPr/>
        <w:t>类取决于本公司及其子公司对金融资产的持有意图和持有能力等。</w:t>
      </w:r>
    </w:p>
    <w:p>
      <w:pPr>
        <w:pStyle w:val="BodyText"/>
        <w:spacing w:line="477" w:lineRule="auto" w:before="54"/>
        <w:ind w:right="0" w:firstLine="360"/>
        <w:jc w:val="left"/>
      </w:pPr>
      <w:r>
        <w:rPr>
          <w:spacing w:val="-2"/>
        </w:rPr>
        <w:t>金融负债分为：以公允价值计量且其变动计入当期损益的金融负债（包括交易性金融负债和指定为以公允价值计量且其</w:t>
      </w:r>
      <w:r>
        <w:rPr/>
        <w:t> 变动计入当期损益的金融负债）以及其他金融负债。</w:t>
      </w:r>
    </w:p>
    <w:p>
      <w:pPr>
        <w:spacing w:after="0" w:line="477"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0"/>
        <w:jc w:val="left"/>
      </w:pPr>
      <w:r>
        <w:rPr/>
        <w:t>本公司成为金融工具合同的一方时，确认为一项金融资产或金融负债。 </w:t>
      </w:r>
      <w:r>
        <w:rPr>
          <w:spacing w:val="-2"/>
        </w:rPr>
        <w:t>本公司金融资产或金融负债初始确认按公允价值计量。后续计量则分类进行处理：以公允价值计量且其变动计入当期损</w:t>
      </w:r>
    </w:p>
    <w:p>
      <w:pPr>
        <w:pStyle w:val="BodyText"/>
        <w:spacing w:line="477" w:lineRule="auto" w:before="54"/>
        <w:ind w:right="0"/>
        <w:jc w:val="left"/>
      </w:pPr>
      <w:r>
        <w:rPr>
          <w:spacing w:val="-2"/>
        </w:rPr>
        <w:t>益的金融资产、可供出售金融资产及以公允价值计量且其变动计入当期损益的金融负债按公允价值计量；财务担保合同及以</w:t>
      </w:r>
      <w:r>
        <w:rPr>
          <w:spacing w:val="-64"/>
        </w:rPr>
        <w:t> </w:t>
      </w:r>
      <w:r>
        <w:rPr>
          <w:spacing w:val="-64"/>
        </w:rPr>
      </w:r>
      <w:r>
        <w:rPr>
          <w:spacing w:val="-2"/>
        </w:rPr>
        <w:t>低于市场利率贷款的贷款承诺，在初始确认后按照《企业会计准则第13号—或有事项》确定的金额和初始确认金额扣除按照</w:t>
      </w:r>
    </w:p>
    <w:p>
      <w:pPr>
        <w:pStyle w:val="BodyText"/>
        <w:spacing w:line="477" w:lineRule="auto" w:before="54"/>
        <w:ind w:right="0"/>
        <w:jc w:val="left"/>
      </w:pPr>
      <w:r>
        <w:rPr>
          <w:spacing w:val="-2"/>
        </w:rPr>
        <w:t>《企业会计准则第14号—收入》的原则确定的累计摊销额后的余额之中的较高者进行后续计量；持有到期投资、贷款和应收</w:t>
      </w:r>
      <w:r>
        <w:rPr>
          <w:spacing w:val="-64"/>
        </w:rPr>
        <w:t> </w:t>
      </w:r>
      <w:r>
        <w:rPr>
          <w:spacing w:val="-64"/>
        </w:rPr>
      </w:r>
      <w:r>
        <w:rPr/>
        <w:t>款项以及其他金融负债按摊余成本计量。</w:t>
      </w:r>
    </w:p>
    <w:p>
      <w:pPr>
        <w:pStyle w:val="BodyText"/>
        <w:spacing w:line="477" w:lineRule="auto" w:before="54"/>
        <w:ind w:right="150" w:firstLine="360"/>
        <w:jc w:val="both"/>
      </w:pPr>
      <w:r>
        <w:rPr>
          <w:spacing w:val="-2"/>
        </w:rPr>
        <w:t>本公司金融资产或金融负债后续计量中公允价值变动形成的利得或损失，除与套期保值有关外，按照如下方法处理：①</w:t>
      </w:r>
      <w:r>
        <w:rPr/>
        <w:t> </w:t>
      </w:r>
      <w:r>
        <w:rPr>
          <w:spacing w:val="-2"/>
        </w:rPr>
        <w:t>以公允价值计量且其变动计入当期损益的金融资产或金融负债公允价值变动形成的利得或损失，计入公允价值变动损益；在</w:t>
      </w:r>
      <w:r>
        <w:rPr>
          <w:spacing w:val="-64"/>
        </w:rPr>
        <w:t> </w:t>
      </w:r>
      <w:r>
        <w:rPr>
          <w:spacing w:val="-64"/>
        </w:rPr>
      </w:r>
      <w:r>
        <w:rPr>
          <w:spacing w:val="-2"/>
        </w:rPr>
        <w:t>资产持有期间所取得的利息或现金股利，确认为投资收益；处置时，将实际收到的金额与初始入账金额之间的差额确认为投</w:t>
      </w:r>
      <w:r>
        <w:rPr>
          <w:spacing w:val="-66"/>
        </w:rPr>
        <w:t> </w:t>
      </w:r>
      <w:r>
        <w:rPr>
          <w:spacing w:val="-66"/>
        </w:rPr>
      </w:r>
      <w:r>
        <w:rPr>
          <w:spacing w:val="-2"/>
        </w:rPr>
        <w:t>资收益，同时调整公允价值变动损益。②可供出售金融资产的公允价值变动计入资本公积；持有期间按实际利率法计算的利</w:t>
      </w:r>
      <w:r>
        <w:rPr>
          <w:spacing w:val="-66"/>
        </w:rPr>
        <w:t> </w:t>
      </w:r>
      <w:r>
        <w:rPr>
          <w:spacing w:val="-66"/>
        </w:rPr>
      </w:r>
      <w:r>
        <w:rPr>
          <w:spacing w:val="-2"/>
        </w:rPr>
        <w:t>息，计入投资收益；可供出售权益工具投资的现金股利，于被投资单位宣告发放股利时计入投资收益；处置时，将实际收到</w:t>
      </w:r>
      <w:r>
        <w:rPr>
          <w:spacing w:val="-66"/>
        </w:rPr>
        <w:t> </w:t>
      </w:r>
      <w:r>
        <w:rPr>
          <w:spacing w:val="-66"/>
        </w:rPr>
      </w:r>
      <w:r>
        <w:rPr/>
        <w:t>的金额与账面价值扣除原直接计入资本公积的公允价值变动累计额之后的差额确认为投资收益。</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3" w:right="151" w:firstLine="360"/>
        <w:jc w:val="both"/>
      </w:pPr>
      <w:r>
        <w:rPr/>
        <w:t>金融资产于本公司成为金融工具合同的一方时,按公允价值在资产负债表内确认。以公允价值计量且其变动计入当期损 </w:t>
      </w:r>
      <w:r>
        <w:rPr>
          <w:spacing w:val="-2"/>
        </w:rPr>
        <w:t>益的金融资产,取得时发生的相关交易费用直接计入当期损益;其他金融资产的相关交易费用计入初始确认金额。当收取某项</w:t>
      </w:r>
      <w:r>
        <w:rPr>
          <w:spacing w:val="-62"/>
        </w:rPr>
        <w:t> </w:t>
      </w:r>
      <w:r>
        <w:rPr>
          <w:spacing w:val="-62"/>
        </w:rPr>
      </w:r>
      <w:r>
        <w:rPr/>
        <w:t>金融资产现金流量的合同权利已终止或该金融资产所有权上几乎所有的风险和报酬已转移时,终止确认该金融资产。</w:t>
      </w:r>
    </w:p>
    <w:p>
      <w:pPr>
        <w:pStyle w:val="BodyText"/>
        <w:spacing w:line="477" w:lineRule="auto" w:before="54"/>
        <w:ind w:left="153" w:right="158" w:firstLine="360"/>
        <w:jc w:val="both"/>
      </w:pPr>
      <w:r>
        <w:rPr/>
        <w:t>以公允价值计量且其变动计入当期损益的金融资产按照公允价值进行后续计量,但在活跃市场中没有报价且其公允价值 不能可靠计量的权益工具投资,按照成本计量。</w:t>
      </w:r>
    </w:p>
    <w:p>
      <w:pPr>
        <w:pStyle w:val="BodyText"/>
        <w:spacing w:line="477" w:lineRule="auto" w:before="54"/>
        <w:ind w:left="153" w:right="158" w:firstLine="360"/>
        <w:jc w:val="both"/>
      </w:pPr>
      <w:r>
        <w:rPr/>
        <w:t>以公允价值计量且其变动计入当期损益的金融资产的公允价值变动作为公允价值变动损益计入当期损益;在资产持有期 间所取得的利息或现金股利以及在处置时产生的处置损益,计入当期损益。</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51" w:firstLine="360"/>
        <w:jc w:val="both"/>
      </w:pPr>
      <w:r>
        <w:rPr>
          <w:spacing w:val="-2"/>
        </w:rPr>
        <w:t>金融负债终止确认，是指将金融负债从企业的账户和资产负债表内予以转销。金融工具确认和计量准则规定，金融负债</w:t>
      </w:r>
      <w:r>
        <w:rPr/>
        <w:t> 的现时义务全部或部分已经解除的，才能终止确认该金融负债或其一部分。</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存在活跃市场的金融工具,以活跃市场中的报价确定其公允价值</w:t>
      </w:r>
      <w:r>
        <w:rPr>
          <w:spacing w:val="-82"/>
        </w:rPr>
        <w:t>。</w:t>
      </w:r>
      <w:r>
        <w:rPr/>
        <w:t>不存在活跃市场的金融工具,采用估值技术确定其公允</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90"/>
        <w:jc w:val="both"/>
      </w:pPr>
      <w:r>
        <w:rPr>
          <w:spacing w:val="-2"/>
        </w:rPr>
        <w:t>价值。估值技术包括参考熟悉情况并自愿交易的各方最近进行的市场交易中使用的价格、参照实质上相同的其他金融资产的</w:t>
      </w:r>
      <w:r>
        <w:rPr>
          <w:spacing w:val="-64"/>
        </w:rPr>
        <w:t> </w:t>
      </w:r>
      <w:r>
        <w:rPr>
          <w:spacing w:val="-64"/>
        </w:rPr>
      </w:r>
      <w:r>
        <w:rPr>
          <w:spacing w:val="-2"/>
        </w:rPr>
        <w:t>当前公允价值、现金流量折现法等。采用估值技术时,尽可能最大程度使用可观察到的市场参数,减少使用与本公司特定相关</w:t>
      </w:r>
      <w:r>
        <w:rPr>
          <w:spacing w:val="-62"/>
        </w:rPr>
        <w:t> </w:t>
      </w:r>
      <w:r>
        <w:rPr>
          <w:spacing w:val="-62"/>
        </w:rPr>
      </w:r>
      <w:r>
        <w:rPr/>
        <w:t>的参数。</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spacing w:val="-2"/>
        </w:rPr>
        <w:t>本公司在资产负债日对除以公允价值计量且变动计入当期损益的金融资产以外的金融资产的账面价值进行减值检查，当</w:t>
      </w:r>
      <w:r>
        <w:rPr/>
        <w:t> 客观证据表明金融资产发生减值，则应当对该金融资产进行减值测试，以根据测试结果计提减值准备。</w:t>
      </w:r>
    </w:p>
    <w:p>
      <w:pPr>
        <w:pStyle w:val="BodyText"/>
        <w:spacing w:line="477" w:lineRule="auto" w:before="54"/>
        <w:ind w:right="190" w:firstLine="360"/>
        <w:jc w:val="both"/>
      </w:pPr>
      <w:r>
        <w:rPr>
          <w:spacing w:val="-2"/>
        </w:rPr>
        <w:t>本公司对单项金额重大的金融资产单独进行减值测试；对单项金额不重大的金融资产，单独进行减值测试或包括在具有</w:t>
      </w:r>
      <w:r>
        <w:rPr/>
        <w:t>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BodyText"/>
        <w:spacing w:line="477" w:lineRule="auto" w:before="54"/>
        <w:ind w:right="90" w:firstLine="360"/>
        <w:jc w:val="left"/>
      </w:pPr>
      <w:r>
        <w:rPr>
          <w:spacing w:val="-4"/>
        </w:rPr>
        <w:t>持有至到期投资、贷款和应收款项发生减值时，将其账面价值减记至预计未来现金流量现值，减记金额确认为减值损失，</w:t>
      </w:r>
      <w:r>
        <w:rPr/>
        <w:t> </w:t>
      </w:r>
      <w:r>
        <w:rPr>
          <w:spacing w:val="-2"/>
        </w:rPr>
        <w:t>计入当期损益。可供出售金融资产发生减值时，将原直接计入资本公积的因公允价值下降形成的累计损失予以转出并计入当</w:t>
      </w:r>
      <w:r>
        <w:rPr>
          <w:spacing w:val="-64"/>
        </w:rPr>
        <w:t> </w:t>
      </w:r>
      <w:r>
        <w:rPr>
          <w:spacing w:val="-64"/>
        </w:rPr>
      </w:r>
      <w:r>
        <w:rPr>
          <w:spacing w:val="-2"/>
        </w:rPr>
        <w:t>期损益，该转出的累计损失为该资产初始取得成本扣除已收回本金和已摊销金额、当前公允价值和原已计入损益的减值损失</w:t>
      </w:r>
      <w:r>
        <w:rPr>
          <w:spacing w:val="-64"/>
        </w:rPr>
        <w:t> </w:t>
      </w:r>
      <w:r>
        <w:rPr>
          <w:spacing w:val="-64"/>
        </w:rPr>
      </w:r>
      <w:r>
        <w:rPr/>
        <w:t>后的余额。</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9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spacing w:val="-2"/>
        </w:rPr>
        <w:t>本公司应收款项主要包括应收账款、长期应收款和其他应收款。在资产负债表日有客观证据表明其发生了减值的，应当</w:t>
      </w:r>
      <w:r>
        <w:rPr/>
        <w:t> 根据其账面价值与预计未来现金流量现值之间差额确认减值损失。</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1026"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本公司将在资产负债表日单个客户欠款余额在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z w:val="18"/>
                <w:szCs w:val="18"/>
              </w:rPr>
              <w:t>（含）以上的应收账款和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万元（含）以上其他应收款确</w:t>
            </w:r>
            <w:r>
              <w:rPr>
                <w:rFonts w:ascii="宋体" w:hAnsi="宋体" w:cs="宋体" w:eastAsia="宋体" w:hint="default"/>
                <w:sz w:val="18"/>
                <w:szCs w:val="18"/>
              </w:rPr>
              <w:t> 定为单项金额重大的应收款项。</w:t>
            </w:r>
          </w:p>
        </w:tc>
      </w:tr>
      <w:tr>
        <w:trPr>
          <w:trHeight w:val="1027"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 </w:t>
            </w:r>
            <w:r>
              <w:rPr>
                <w:rFonts w:ascii="宋体" w:hAnsi="宋体" w:cs="宋体" w:eastAsia="宋体" w:hint="default"/>
                <w:spacing w:val="-2"/>
                <w:sz w:val="18"/>
                <w:szCs w:val="18"/>
              </w:rPr>
              <w:t>根据其未来现金流量现值低于其账面价值的差额，确认减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值损失，计提坏账准备。</w:t>
            </w:r>
          </w:p>
        </w:tc>
      </w:tr>
    </w:tbl>
    <w:p>
      <w:pPr>
        <w:spacing w:after="0" w:line="316" w:lineRule="auto"/>
        <w:jc w:val="both"/>
        <w:rPr>
          <w:rFonts w:ascii="宋体" w:hAnsi="宋体" w:cs="宋体" w:eastAsia="宋体" w:hint="default"/>
          <w:sz w:val="18"/>
          <w:szCs w:val="18"/>
        </w:rPr>
        <w:sectPr>
          <w:pgSz w:w="11910" w:h="16840"/>
          <w:pgMar w:header="747" w:footer="982" w:top="1060" w:bottom="1180" w:left="980" w:right="94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58" w:hRule="exact"/>
        </w:trPr>
        <w:tc>
          <w:tcPr>
            <w:tcW w:w="2599" w:type="dxa"/>
            <w:tcBorders>
              <w:top w:val="single" w:sz="4" w:space="0" w:color="000000"/>
              <w:left w:val="single" w:sz="4" w:space="0" w:color="000000"/>
              <w:bottom w:val="nil" w:sz="6" w:space="0" w:color="auto"/>
              <w:right w:val="single" w:sz="4" w:space="0" w:color="000000"/>
            </w:tcBorders>
          </w:tcPr>
          <w:p>
            <w:pPr/>
          </w:p>
        </w:tc>
        <w:tc>
          <w:tcPr>
            <w:tcW w:w="2186" w:type="dxa"/>
            <w:tcBorders>
              <w:top w:val="single" w:sz="4" w:space="0" w:color="000000"/>
              <w:left w:val="single" w:sz="4" w:space="0" w:color="000000"/>
              <w:bottom w:val="nil" w:sz="6" w:space="0" w:color="auto"/>
              <w:right w:val="single" w:sz="4" w:space="0" w:color="000000"/>
            </w:tcBorders>
          </w:tcPr>
          <w:p>
            <w:pPr/>
          </w:p>
        </w:tc>
        <w:tc>
          <w:tcPr>
            <w:tcW w:w="47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单项金额不重大的应收款项，与经单独测试后未减值的单项</w:t>
            </w:r>
          </w:p>
        </w:tc>
      </w:tr>
      <w:tr>
        <w:trPr>
          <w:trHeight w:val="313" w:hRule="exact"/>
        </w:trPr>
        <w:tc>
          <w:tcPr>
            <w:tcW w:w="25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4"/>
              <w:jc w:val="center"/>
              <w:rPr>
                <w:rFonts w:ascii="宋体" w:hAnsi="宋体" w:cs="宋体" w:eastAsia="宋体" w:hint="default"/>
                <w:sz w:val="18"/>
                <w:szCs w:val="18"/>
              </w:rPr>
            </w:pPr>
            <w:r>
              <w:rPr>
                <w:rFonts w:ascii="宋体" w:hAnsi="宋体" w:cs="宋体" w:eastAsia="宋体" w:hint="default"/>
                <w:sz w:val="18"/>
                <w:szCs w:val="18"/>
              </w:rPr>
              <w:t>金额重大的应收款项，以账龄为信用风险特征进行组合并结</w:t>
            </w:r>
          </w:p>
        </w:tc>
      </w:tr>
      <w:tr>
        <w:trPr>
          <w:trHeight w:val="356" w:hRule="exact"/>
        </w:trPr>
        <w:tc>
          <w:tcPr>
            <w:tcW w:w="2599" w:type="dxa"/>
            <w:tcBorders>
              <w:top w:val="nil" w:sz="6" w:space="0" w:color="auto"/>
              <w:left w:val="single" w:sz="4" w:space="0" w:color="000000"/>
              <w:bottom w:val="single" w:sz="4" w:space="0" w:color="000000"/>
              <w:right w:val="single" w:sz="4" w:space="0" w:color="000000"/>
            </w:tcBorders>
          </w:tcPr>
          <w:p>
            <w:pPr/>
          </w:p>
        </w:tc>
        <w:tc>
          <w:tcPr>
            <w:tcW w:w="2186" w:type="dxa"/>
            <w:tcBorders>
              <w:top w:val="nil" w:sz="6" w:space="0" w:color="auto"/>
              <w:left w:val="single" w:sz="4" w:space="0" w:color="000000"/>
              <w:bottom w:val="single" w:sz="4" w:space="0" w:color="000000"/>
              <w:right w:val="single" w:sz="4" w:space="0" w:color="000000"/>
            </w:tcBorders>
          </w:tcPr>
          <w:p>
            <w:pPr/>
          </w:p>
        </w:tc>
        <w:tc>
          <w:tcPr>
            <w:tcW w:w="4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44"/>
              <w:jc w:val="center"/>
              <w:rPr>
                <w:rFonts w:ascii="宋体" w:hAnsi="宋体" w:cs="宋体" w:eastAsia="宋体" w:hint="default"/>
                <w:sz w:val="18"/>
                <w:szCs w:val="18"/>
              </w:rPr>
            </w:pPr>
            <w:r>
              <w:rPr>
                <w:rFonts w:ascii="宋体" w:hAnsi="宋体" w:cs="宋体" w:eastAsia="宋体" w:hint="default"/>
                <w:sz w:val="18"/>
                <w:szCs w:val="18"/>
              </w:rPr>
              <w:t>合现实的实际损失率确定不同账龄应计提坏账准备的比例。</w:t>
            </w:r>
          </w:p>
        </w:tc>
      </w:tr>
    </w:tbl>
    <w:p>
      <w:pPr>
        <w:pStyle w:val="BodyText"/>
        <w:spacing w:line="240" w:lineRule="auto" w:before="51"/>
        <w:ind w:right="0"/>
        <w:jc w:val="left"/>
      </w:pPr>
      <w:r>
        <w:rPr/>
        <w:t>组合中，采用账龄分析法计提坏账准备的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99"/>
        <w:gridCol w:w="2975"/>
        <w:gridCol w:w="3994"/>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bl>
    <w:p>
      <w:pPr>
        <w:pStyle w:val="BodyText"/>
        <w:spacing w:line="240" w:lineRule="auto" w:before="51"/>
        <w:ind w:right="0"/>
        <w:jc w:val="left"/>
      </w:pPr>
      <w:r>
        <w:rPr/>
        <w:t>组合中，采用余额百分比法计提坏账准备的</w:t>
      </w:r>
    </w:p>
    <w:p>
      <w:pPr>
        <w:pStyle w:val="BodyText"/>
        <w:spacing w:line="340" w:lineRule="auto" w:before="116"/>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如有客观证据表明年末单项金额不重大的应收款项发生了减值的，根据其未来 现金流量现值低于其账面价值的差额，确认减值损失，计提坏账准备。</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根据应收款项未来现金流量现值低于其账面价值的差额计提坏账准备。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存货分为库存商品、原材料、低值易耗品、包装物等四大类。</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6350"/>
        <w:jc w:val="left"/>
      </w:pPr>
      <w:r>
        <w:rPr/>
        <w:t>计价方法：加权平均法 存货发出时的成本按加权平均法核算。</w:t>
      </w:r>
    </w:p>
    <w:p>
      <w:pPr>
        <w:spacing w:after="0" w:line="477"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89" w:firstLine="360"/>
        <w:jc w:val="both"/>
      </w:pPr>
      <w:r>
        <w:rPr>
          <w:spacing w:val="-2"/>
        </w:rPr>
        <w:t>资产负债表日，存货按照成本与可变现净值孰低计量，并按单个存货项目计提存货跌价准备，但对于数量繁多、单价较</w:t>
      </w:r>
      <w:r>
        <w:rPr/>
        <w:t> 低的存货，按照存货类别计提存货跌价准备。</w:t>
      </w:r>
    </w:p>
    <w:p>
      <w:pPr>
        <w:pStyle w:val="BodyText"/>
        <w:spacing w:line="477" w:lineRule="auto" w:before="54"/>
        <w:ind w:right="108" w:firstLine="360"/>
        <w:jc w:val="both"/>
      </w:pPr>
      <w:r>
        <w:rPr>
          <w:spacing w:val="-2"/>
        </w:rPr>
        <w:t>存货可变现净值的确定依据：①库存商品（产成品）可变现净值为估计售价减去估计的销售费用和相关税费后金额；②</w:t>
      </w:r>
      <w:r>
        <w:rPr/>
        <w:t> </w:t>
      </w:r>
      <w:r>
        <w:rPr>
          <w:spacing w:val="-2"/>
        </w:rPr>
        <w:t>为生产而持有的材料等，当用其生产的产成品的可变现净值高于成本时按照成本计量；当材料价格下降表明产成品的可变现</w:t>
      </w:r>
      <w:r>
        <w:rPr>
          <w:spacing w:val="-64"/>
        </w:rPr>
        <w:t> </w:t>
      </w:r>
      <w:r>
        <w:rPr>
          <w:spacing w:val="-64"/>
        </w:rPr>
      </w:r>
      <w:r>
        <w:rPr/>
        <w:t>净值低于成本时，可变现净值为估计售价减去至完工时估计将要发生的成本、估计的销售费用以及相关税费后的金额确定。</w:t>
      </w:r>
    </w:p>
    <w:p>
      <w:pPr>
        <w:pStyle w:val="BodyText"/>
        <w:spacing w:line="240" w:lineRule="auto" w:before="54"/>
        <w:ind w:right="0"/>
        <w:jc w:val="both"/>
      </w:pPr>
      <w:r>
        <w:rPr/>
        <w:t>③持有待售的材料等，可变现净值为市场售价减去估计的销售费用和相关税费后金额。</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6210"/>
        <w:jc w:val="left"/>
      </w:pPr>
      <w:r>
        <w:rPr/>
        <w:t>盘存制度：永续盘存制 本公司存货的盘存制度采用永续盘存法。</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7650"/>
        <w:jc w:val="left"/>
      </w:pPr>
      <w:r>
        <w:rPr/>
        <w:t>低值易耗品 摊销方法：一次摊销法</w:t>
      </w:r>
    </w:p>
    <w:p>
      <w:pPr>
        <w:pStyle w:val="BodyText"/>
        <w:spacing w:line="477" w:lineRule="auto" w:before="54"/>
        <w:ind w:left="514" w:right="5670"/>
        <w:jc w:val="left"/>
      </w:pPr>
      <w:r>
        <w:rPr/>
        <w:t>低值易耗品于其领用时采用一次性摊销法摊销。 包装物</w:t>
      </w:r>
    </w:p>
    <w:p>
      <w:pPr>
        <w:pStyle w:val="BodyText"/>
        <w:spacing w:line="477" w:lineRule="auto" w:before="54"/>
        <w:ind w:left="514" w:right="6030"/>
        <w:jc w:val="left"/>
      </w:pPr>
      <w:r>
        <w:rPr/>
        <w:t>摊销方法：一次摊销法 包装物于其领用时采用一次性摊销法摊销。</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180"/>
        <w:jc w:val="left"/>
      </w:pPr>
      <w:r>
        <w:rPr/>
        <w:t>A、企业合并形成的长期股权投资，按照下列规定确定其投资成本： a、同一控制下的企业合并，合并方以支付现金、转让非现金资产或承担债务方式作为合并对价的，在合并日按照取得</w:t>
      </w:r>
    </w:p>
    <w:p>
      <w:pPr>
        <w:pStyle w:val="BodyText"/>
        <w:spacing w:line="477" w:lineRule="auto" w:before="54"/>
        <w:ind w:right="189"/>
        <w:jc w:val="both"/>
      </w:pPr>
      <w:r>
        <w:rPr>
          <w:spacing w:val="-2"/>
        </w:rPr>
        <w:t>被合并方所有者权益账面价值的份额作为长期股权投资的投资成本。长期股权投资投资成本与支付的现金、转让的非现金资</w:t>
      </w:r>
      <w:r>
        <w:rPr>
          <w:spacing w:val="-64"/>
        </w:rPr>
        <w:t> </w:t>
      </w:r>
      <w:r>
        <w:rPr>
          <w:spacing w:val="-64"/>
        </w:rPr>
      </w:r>
      <w:r>
        <w:rPr>
          <w:spacing w:val="-2"/>
        </w:rPr>
        <w:t>产以及所承担债务账面价值之间的差额，调整资本公积；资本公积不足冲减的，调整留存收益。合并方以发行权益性证券作</w:t>
      </w:r>
      <w:r>
        <w:rPr>
          <w:spacing w:val="-66"/>
        </w:rPr>
        <w:t> </w:t>
      </w:r>
      <w:r>
        <w:rPr>
          <w:spacing w:val="-66"/>
        </w:rPr>
      </w:r>
      <w:r>
        <w:rPr>
          <w:spacing w:val="-2"/>
        </w:rPr>
        <w:t>为合并对价的，在合并日按照取得被合并方所有者权益账面价值的份额作为长期股权投资的投资成本。按照发行股份的面值</w:t>
      </w:r>
      <w:r>
        <w:rPr>
          <w:spacing w:val="-64"/>
        </w:rPr>
        <w:t> </w:t>
      </w:r>
      <w:r>
        <w:rPr>
          <w:spacing w:val="-64"/>
        </w:rPr>
      </w:r>
      <w:r>
        <w:rPr>
          <w:spacing w:val="-2"/>
        </w:rPr>
        <w:t>总额作为股本，长期股权投资投资成本与所发行股份面值总额之间的差额，调整资本公积；资本公积不足冲减的，调整留存</w:t>
      </w:r>
      <w:r>
        <w:rPr>
          <w:spacing w:val="-66"/>
        </w:rPr>
        <w:t> </w:t>
      </w:r>
      <w:r>
        <w:rPr>
          <w:spacing w:val="-66"/>
        </w:rPr>
      </w:r>
      <w:r>
        <w:rPr/>
        <w:t>收益。</w:t>
      </w:r>
    </w:p>
    <w:p>
      <w:pPr>
        <w:spacing w:after="0" w:line="477"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4" w:right="90"/>
        <w:jc w:val="left"/>
      </w:pPr>
      <w:r>
        <w:rPr/>
        <w:t>b、非同一控制下的企业合并，按照下列规定确定的合并成本作为长期股权投资的投资成本：</w:t>
      </w:r>
    </w:p>
    <w:p>
      <w:pPr>
        <w:spacing w:line="240" w:lineRule="auto" w:before="10"/>
        <w:rPr>
          <w:rFonts w:ascii="宋体" w:hAnsi="宋体" w:cs="宋体" w:eastAsia="宋体" w:hint="default"/>
          <w:sz w:val="17"/>
          <w:szCs w:val="17"/>
        </w:rPr>
      </w:pPr>
    </w:p>
    <w:p>
      <w:pPr>
        <w:pStyle w:val="BodyText"/>
        <w:spacing w:line="477" w:lineRule="auto"/>
        <w:ind w:right="190" w:firstLine="360"/>
        <w:jc w:val="both"/>
      </w:pPr>
      <w:r>
        <w:rPr>
          <w:spacing w:val="-2"/>
        </w:rPr>
        <w:t>①一次交换交易实现的企业合并，合并成本为购买方在购买日为取得对被购买方的控制权而付出的资产、发生或承担的</w:t>
      </w:r>
      <w:r>
        <w:rPr/>
        <w:t> 负债以及发行的权益性证券的公允价值。</w:t>
      </w:r>
    </w:p>
    <w:p>
      <w:pPr>
        <w:pStyle w:val="BodyText"/>
        <w:spacing w:line="240" w:lineRule="auto" w:before="54"/>
        <w:ind w:left="514" w:right="90"/>
        <w:jc w:val="left"/>
      </w:pPr>
      <w:r>
        <w:rPr/>
        <w:t>②通过多次交换交易分步实现的企业合并，合并成本为每一单项交易成本之和。</w:t>
      </w:r>
    </w:p>
    <w:p>
      <w:pPr>
        <w:spacing w:line="240" w:lineRule="auto" w:before="10"/>
        <w:rPr>
          <w:rFonts w:ascii="宋体" w:hAnsi="宋体" w:cs="宋体" w:eastAsia="宋体" w:hint="default"/>
          <w:sz w:val="17"/>
          <w:szCs w:val="17"/>
        </w:rPr>
      </w:pPr>
    </w:p>
    <w:p>
      <w:pPr>
        <w:pStyle w:val="BodyText"/>
        <w:spacing w:line="477" w:lineRule="auto"/>
        <w:ind w:right="190" w:firstLine="360"/>
        <w:jc w:val="both"/>
      </w:pPr>
      <w:r>
        <w:rPr/>
        <w:t>③购买方为进行企业合并发生的各项直接相关费用也计入企业合并成本。 ④在合并合同或协议中对可能影响合并成本 </w:t>
      </w:r>
      <w:r>
        <w:rPr>
          <w:spacing w:val="-2"/>
        </w:rPr>
        <w:t>的未来事项作出约定的，购买日如果估计未来事项很可能发生并且对合并成本的影响金额能够可靠计量的，购买方将其计入</w:t>
      </w:r>
      <w:r>
        <w:rPr>
          <w:spacing w:val="-64"/>
        </w:rPr>
        <w:t> </w:t>
      </w:r>
      <w:r>
        <w:rPr>
          <w:spacing w:val="-64"/>
        </w:rPr>
      </w:r>
      <w:r>
        <w:rPr/>
        <w:t>合并成本。</w:t>
      </w:r>
    </w:p>
    <w:p>
      <w:pPr>
        <w:spacing w:line="240" w:lineRule="auto" w:before="4"/>
        <w:rPr>
          <w:rFonts w:ascii="宋体" w:hAnsi="宋体" w:cs="宋体" w:eastAsia="宋体" w:hint="default"/>
          <w:sz w:val="13"/>
          <w:szCs w:val="13"/>
        </w:rPr>
      </w:pPr>
    </w:p>
    <w:p>
      <w:pPr>
        <w:pStyle w:val="BodyText"/>
        <w:spacing w:line="477" w:lineRule="auto"/>
        <w:ind w:left="514" w:right="180"/>
        <w:jc w:val="left"/>
      </w:pPr>
      <w:r>
        <w:rPr/>
        <w:t>B、除企业合并形成的长期股权投资以外，其它方式取得的长期股权投资，按照下列规定确定其投资成本： a、以支付现金取得的长期股权投资，按照实际支付的购买价款作为投资成本。投资成本包括与取得长期股权投资直接</w:t>
      </w:r>
    </w:p>
    <w:p>
      <w:pPr>
        <w:pStyle w:val="BodyText"/>
        <w:spacing w:line="477" w:lineRule="auto" w:before="54"/>
        <w:ind w:left="514" w:right="90" w:hanging="360"/>
        <w:jc w:val="left"/>
      </w:pPr>
      <w:r>
        <w:rPr/>
        <w:t>相关的费用、税金及其它必要支出。 b、以发行权益性证券取得的长期股权投资，按照发行权益性证券的公允价值作为投资成本。 </w:t>
      </w:r>
      <w:r>
        <w:rPr>
          <w:spacing w:val="-2"/>
        </w:rPr>
        <w:t>c、投资者投入的长期股权投资，按照投资合同或协议约定的价值作为投资成本，但合同或协议约定价值不公允的除外。</w:t>
      </w:r>
      <w:r>
        <w:rPr/>
        <w:t> d、通过非货币性资产交换取得的长期股权投资，如非货币性资产交换具有商业实质，换入的长期股权投资按照公允价</w:t>
      </w:r>
    </w:p>
    <w:p>
      <w:pPr>
        <w:pStyle w:val="BodyText"/>
        <w:spacing w:line="477" w:lineRule="auto" w:before="54"/>
        <w:ind w:right="90"/>
        <w:jc w:val="left"/>
      </w:pPr>
      <w:r>
        <w:rPr>
          <w:spacing w:val="-2"/>
        </w:rPr>
        <w:t>值和应支付的相关税费作为投资成本；如非货币资产交易不具有商业实质，换入的长期股权投资以换出资产的账面价值和应</w:t>
      </w:r>
      <w:r>
        <w:rPr>
          <w:spacing w:val="-64"/>
        </w:rPr>
        <w:t> </w:t>
      </w:r>
      <w:r>
        <w:rPr>
          <w:spacing w:val="-64"/>
        </w:rPr>
      </w:r>
      <w:r>
        <w:rPr/>
        <w:t>支付的相关税费作为投资成本。</w:t>
      </w:r>
    </w:p>
    <w:p>
      <w:pPr>
        <w:pStyle w:val="BodyText"/>
        <w:spacing w:line="240" w:lineRule="auto" w:before="54"/>
        <w:ind w:left="514" w:right="90"/>
        <w:jc w:val="left"/>
      </w:pPr>
      <w:r>
        <w:rPr/>
        <w:t>e、通过债务重组取得的长期股权投资，其投资成本按照公允价值和应付的相关税费确定。</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8" w:firstLine="360"/>
        <w:jc w:val="both"/>
      </w:pPr>
      <w:r>
        <w:rPr/>
        <w:t>A、本公司能够对被投资单位实施控制的长期股权投资或本公司对被投资单位不具有共同控制或重大影响，并且在活跃 市场中没有报价、公允价值不能可靠计量的长期股权投资采用成本法核算。</w:t>
      </w:r>
    </w:p>
    <w:p>
      <w:pPr>
        <w:pStyle w:val="BodyText"/>
        <w:spacing w:line="477" w:lineRule="auto" w:before="54"/>
        <w:ind w:right="190" w:firstLine="360"/>
        <w:jc w:val="both"/>
      </w:pPr>
      <w:r>
        <w:rPr>
          <w:spacing w:val="-2"/>
        </w:rPr>
        <w:t>采用成本法核算的长期股权投资按照投资成本计价。追加或收回投资时调整长期股权投资的成本。被投资单位宣告分派</w:t>
      </w:r>
      <w:r>
        <w:rPr/>
        <w:t> </w:t>
      </w:r>
      <w:r>
        <w:rPr>
          <w:spacing w:val="-2"/>
        </w:rPr>
        <w:t>的现金股利或利润，除取得投资时实际支付的价款或对价中包含的已宣告但尚未发放的现金股利或利润外，本公司按照享有</w:t>
      </w:r>
      <w:r>
        <w:rPr>
          <w:spacing w:val="-64"/>
        </w:rPr>
        <w:t> </w:t>
      </w:r>
      <w:r>
        <w:rPr>
          <w:spacing w:val="-64"/>
        </w:rPr>
      </w:r>
      <w:r>
        <w:rPr/>
        <w:t>被投资单位宣告发放的现金股利或利润确认当期投资收益。</w:t>
      </w:r>
    </w:p>
    <w:p>
      <w:pPr>
        <w:pStyle w:val="BodyText"/>
        <w:spacing w:line="477" w:lineRule="auto" w:before="54"/>
        <w:ind w:right="190" w:firstLine="360"/>
        <w:jc w:val="both"/>
      </w:pPr>
      <w:r>
        <w:rPr/>
        <w:t>B、本公司对被投资单位具有共同控制或重大影响的长期股权投资，采用权益法核算。长期股权投资的投资成本大于投 </w:t>
      </w:r>
      <w:r>
        <w:rPr>
          <w:spacing w:val="-2"/>
        </w:rPr>
        <w:t>资时应享有被投资单位可辨认净资产公允价值份额的，不调整长期股权投资的投资成本；长期股权投资的投资成本本小于投</w:t>
      </w:r>
      <w:r>
        <w:rPr>
          <w:spacing w:val="-64"/>
        </w:rPr>
        <w:t> </w:t>
      </w:r>
      <w:r>
        <w:rPr>
          <w:spacing w:val="-64"/>
        </w:rPr>
      </w:r>
      <w:r>
        <w:rPr/>
        <w:t>资时应享有被投资单位可辨认净资产公允价值份额的，其差额应当计入当期损益，同时调整长期股权投资的成本。</w:t>
      </w:r>
    </w:p>
    <w:p>
      <w:pPr>
        <w:pStyle w:val="BodyText"/>
        <w:spacing w:line="477" w:lineRule="auto" w:before="54"/>
        <w:ind w:right="108" w:firstLine="360"/>
        <w:jc w:val="both"/>
      </w:pPr>
      <w:r>
        <w:rPr>
          <w:spacing w:val="-2"/>
        </w:rPr>
        <w:t>公司取得长期股权投资后，按照应享有或应分担的被投资单位实现的净损益的份额，确认投资损益并调整长期股权投资</w:t>
      </w:r>
      <w:r>
        <w:rPr/>
        <w:t> </w:t>
      </w:r>
      <w:r>
        <w:rPr>
          <w:spacing w:val="-2"/>
        </w:rPr>
        <w:t>的账面价值；按照被投资单位宣告分派的利润或现金股利计算应分得的部分，相应减少长期股权投资的账面价值。公司确认</w:t>
      </w:r>
      <w:r>
        <w:rPr>
          <w:spacing w:val="-66"/>
        </w:rPr>
        <w:t> </w:t>
      </w:r>
      <w:r>
        <w:rPr>
          <w:spacing w:val="-66"/>
        </w:rPr>
      </w:r>
      <w:r>
        <w:rPr/>
        <w:t>被投资单位发生的净亏损，以长期股权投资的账面价值以及其他实质上构成对被投资单位净投资的长期权益减记至零为限，</w:t>
      </w:r>
    </w:p>
    <w:p>
      <w:pPr>
        <w:spacing w:after="0" w:line="477"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90"/>
        <w:jc w:val="left"/>
      </w:pPr>
      <w:r>
        <w:rPr/>
        <w:t>公司负有承担额外损失义务的除外。被投资单位以后实现净利润的，投资企业在其收益分享额弥补未确认的亏损分担额后， 恢复确认收益分享额。</w:t>
      </w:r>
    </w:p>
    <w:p>
      <w:pPr>
        <w:pStyle w:val="BodyText"/>
        <w:spacing w:line="477" w:lineRule="auto" w:before="54"/>
        <w:ind w:right="190" w:firstLine="360"/>
        <w:jc w:val="both"/>
      </w:pPr>
      <w:r>
        <w:rPr>
          <w:spacing w:val="-2"/>
        </w:rPr>
        <w:t>在确认应享有被投资单位净损益的份额时，以取得投资时被投资单位各项可辨认资产等的公允价值为基础，对被投资单</w:t>
      </w:r>
      <w:r>
        <w:rPr/>
        <w:t> </w:t>
      </w:r>
      <w:r>
        <w:rPr>
          <w:spacing w:val="-2"/>
        </w:rPr>
        <w:t>位的净利润进行调整后确认。被投资单位采用的会计政策及会计期间与投资企业不一致的，应当按照投资企业的会计政策及</w:t>
      </w:r>
      <w:r>
        <w:rPr>
          <w:spacing w:val="-64"/>
        </w:rPr>
        <w:t> </w:t>
      </w:r>
      <w:r>
        <w:rPr>
          <w:spacing w:val="-64"/>
        </w:rPr>
      </w:r>
      <w:r>
        <w:rPr/>
        <w:t>会计期间对被投资单位的财务报表进行调整，并据以确认投资损益。</w:t>
      </w:r>
    </w:p>
    <w:p>
      <w:pPr>
        <w:pStyle w:val="BodyText"/>
        <w:spacing w:line="240" w:lineRule="auto" w:before="54"/>
        <w:ind w:left="514" w:right="90"/>
        <w:jc w:val="left"/>
      </w:pPr>
      <w:r>
        <w:rPr/>
        <w:t>C、处置长期股权投资，其账面价值与实际取得价款的差额，应当计入当期损益。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9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0" w:firstLine="360"/>
        <w:jc w:val="both"/>
      </w:pPr>
      <w:r>
        <w:rPr>
          <w:spacing w:val="-2"/>
        </w:rPr>
        <w:t>共同控制，是指按照合同约定对某项经济活动所共有的控制，仅在与该项经济活动相关的重要财务和经营决策需要分享</w:t>
      </w:r>
      <w:r>
        <w:rPr/>
        <w:t> 控制权的投资方一致同意时存在。</w:t>
      </w:r>
    </w:p>
    <w:p>
      <w:pPr>
        <w:pStyle w:val="BodyText"/>
        <w:spacing w:line="477" w:lineRule="auto" w:before="54"/>
        <w:ind w:right="190" w:firstLine="360"/>
        <w:jc w:val="both"/>
      </w:pPr>
      <w:r>
        <w:rPr>
          <w:spacing w:val="-2"/>
        </w:rPr>
        <w:t>重大影响，是指对一个企业的财务和经营政策有参与决策的权力，但并不能够控制或者与其他方一起共同控制这些政策</w:t>
      </w:r>
      <w:r>
        <w:rPr/>
        <w:t> 的制定。</w:t>
      </w:r>
    </w:p>
    <w:p>
      <w:pPr>
        <w:spacing w:line="240" w:lineRule="auto" w:before="3"/>
        <w:rPr>
          <w:rFonts w:ascii="宋体" w:hAnsi="宋体" w:cs="宋体" w:eastAsia="宋体" w:hint="default"/>
          <w:sz w:val="19"/>
          <w:szCs w:val="19"/>
        </w:rPr>
      </w:pPr>
    </w:p>
    <w:p>
      <w:pPr>
        <w:pStyle w:val="Heading3"/>
        <w:spacing w:line="240" w:lineRule="auto"/>
        <w:ind w:right="9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89" w:firstLine="360"/>
        <w:jc w:val="both"/>
      </w:pPr>
      <w:r>
        <w:rPr>
          <w:spacing w:val="-2"/>
        </w:rPr>
        <w:t>资产负债表日对长期股权投资逐项进行检查，判断长期股权投资是否存在可能发生减值的迹象。如果存在被投资单位经</w:t>
      </w:r>
      <w:r>
        <w:rPr/>
        <w:t> 营状况恶化等减值迹象的，则估计其可收回金额。可收回金额的计量结果表明，长期股权投资的可收回金额低于其 账面价 </w:t>
      </w:r>
      <w:r>
        <w:rPr>
          <w:spacing w:val="-2"/>
        </w:rPr>
        <w:t>值的，将长期股权投资的账面价值减记至可收回金额，减记的金额确认为资产减值损失，计入当期损益，同时计提相应的长</w:t>
      </w:r>
      <w:r>
        <w:rPr>
          <w:spacing w:val="-66"/>
        </w:rPr>
        <w:t> </w:t>
      </w:r>
      <w:r>
        <w:rPr>
          <w:spacing w:val="-66"/>
        </w:rPr>
      </w:r>
      <w:r>
        <w:rPr/>
        <w:t>期投资减值准备。长期投资减值损失一经确认，在以后会计期间不再转回。</w:t>
      </w:r>
    </w:p>
    <w:p>
      <w:pPr>
        <w:spacing w:line="240" w:lineRule="auto" w:before="3"/>
        <w:rPr>
          <w:rFonts w:ascii="宋体" w:hAnsi="宋体" w:cs="宋体" w:eastAsia="宋体" w:hint="default"/>
          <w:sz w:val="19"/>
          <w:szCs w:val="19"/>
        </w:rPr>
      </w:pPr>
    </w:p>
    <w:p>
      <w:pPr>
        <w:pStyle w:val="Heading3"/>
        <w:spacing w:line="240" w:lineRule="auto"/>
        <w:ind w:right="9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90"/>
        <w:jc w:val="left"/>
      </w:pPr>
      <w:r>
        <w:rPr/>
        <w:t>（1）投资性房地产，是指为赚取租金或资本增值，或两者兼有而持有的房地产。</w:t>
      </w:r>
    </w:p>
    <w:p>
      <w:pPr>
        <w:spacing w:line="240" w:lineRule="auto" w:before="10"/>
        <w:rPr>
          <w:rFonts w:ascii="宋体" w:hAnsi="宋体" w:cs="宋体" w:eastAsia="宋体" w:hint="default"/>
          <w:sz w:val="17"/>
          <w:szCs w:val="17"/>
        </w:rPr>
      </w:pPr>
    </w:p>
    <w:p>
      <w:pPr>
        <w:pStyle w:val="BodyText"/>
        <w:spacing w:line="477" w:lineRule="auto"/>
        <w:ind w:left="514" w:right="1620"/>
        <w:jc w:val="left"/>
      </w:pPr>
      <w:r>
        <w:rPr/>
        <w:t>（2）投资性房地产按照成本进行初始计量： A、外购投资性房地产的成本，包括购买价款、相关税费和可直接归属于该资产的其他支出。 B、自行建造投资性房地产的成本，由建造该项资产达到预定可使用状态前所发生的必要支出构成。 C、以其他方式取得的投资性房地产的成本，按照相关会计准则的规定确定。</w:t>
      </w:r>
    </w:p>
    <w:p>
      <w:pPr>
        <w:pStyle w:val="BodyText"/>
        <w:spacing w:line="477" w:lineRule="auto" w:before="54"/>
        <w:ind w:left="514" w:right="90"/>
        <w:jc w:val="left"/>
      </w:pPr>
      <w:r>
        <w:rPr/>
        <w:t>（3）后续计量 </w:t>
      </w:r>
      <w:r>
        <w:rPr>
          <w:spacing w:val="-2"/>
        </w:rPr>
        <w:t>与投资性房地产有关的后续支出，如与该投资性房地产有关的经济利益很可能流入企业且该投资性房地产的成本能够可</w:t>
      </w:r>
    </w:p>
    <w:p>
      <w:pPr>
        <w:pStyle w:val="BodyText"/>
        <w:spacing w:line="477" w:lineRule="auto" w:before="54"/>
        <w:ind w:left="513" w:right="4231" w:hanging="360"/>
        <w:jc w:val="left"/>
      </w:pPr>
      <w:r>
        <w:rPr/>
        <w:t>靠地计量，则计入投资性房地产成本；否则在发生时计入当期损益。 公司在资产负债表日采用成本模式对投资性房地产进行后续计量。</w:t>
      </w:r>
    </w:p>
    <w:p>
      <w:pPr>
        <w:pStyle w:val="BodyText"/>
        <w:spacing w:line="240" w:lineRule="auto" w:before="54"/>
        <w:ind w:left="513" w:right="90"/>
        <w:jc w:val="left"/>
      </w:pPr>
      <w:r>
        <w:rPr/>
        <w:t>（4）折旧及减值准备</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4" w:right="0"/>
        <w:jc w:val="left"/>
      </w:pPr>
      <w:r>
        <w:rPr/>
        <w:t>比照固定资产的折旧和减值准备执行。</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49" w:firstLine="360"/>
        <w:jc w:val="both"/>
      </w:pPr>
      <w:r>
        <w:rPr>
          <w:spacing w:val="-2"/>
        </w:rPr>
        <w:t>固定资产指为生产商品、提供劳务、出租或经营管理而持有的，使用寿命超过一个会计年度的有形资产。固定资产以实</w:t>
      </w:r>
      <w:r>
        <w:rPr/>
        <w:t> </w:t>
      </w:r>
      <w:r>
        <w:rPr>
          <w:spacing w:val="-2"/>
        </w:rPr>
        <w:t>际成本进行初始计量。当与该固定资产有关的经济利益很可能流入企业，且该固定资产资产的成本能够可靠地计量时，确认</w:t>
      </w:r>
      <w:r>
        <w:rPr>
          <w:spacing w:val="-66"/>
        </w:rPr>
        <w:t> </w:t>
      </w:r>
      <w:r>
        <w:rPr>
          <w:spacing w:val="-66"/>
        </w:rPr>
      </w:r>
      <w:r>
        <w:rPr/>
        <w:t>固定资产。</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50" w:firstLine="360"/>
        <w:jc w:val="both"/>
      </w:pPr>
      <w:r>
        <w:rPr>
          <w:spacing w:val="-2"/>
        </w:rPr>
        <w:t>如果与某项租入固定资产有关的全部风险和报酬实质上已经转移，本公司认定为融资租赁。融资租入固定资产需按租赁</w:t>
      </w:r>
      <w:r>
        <w:rPr/>
        <w:t> </w:t>
      </w:r>
      <w:r>
        <w:rPr>
          <w:spacing w:val="-2"/>
        </w:rPr>
        <w:t>开始日租赁资产的公允价值与最低租赁付款额现值两者中的较低者，加上可直接归属于租赁项目的初始直接费用，作为租入</w:t>
      </w:r>
      <w:r>
        <w:rPr>
          <w:spacing w:val="-64"/>
        </w:rPr>
        <w:t> </w:t>
      </w:r>
      <w:r>
        <w:rPr>
          <w:spacing w:val="-64"/>
        </w:rPr>
      </w:r>
      <w:r>
        <w:rPr>
          <w:spacing w:val="-2"/>
        </w:rPr>
        <w:t>资产的入账价值，将最低租赁付款额作为长期应付款的入账价值，其差额作为未确认融资费用。未确认融资费用采用实际利</w:t>
      </w:r>
      <w:r>
        <w:rPr>
          <w:spacing w:val="-66"/>
        </w:rPr>
        <w:t> </w:t>
      </w:r>
      <w:r>
        <w:rPr>
          <w:spacing w:val="-66"/>
        </w:rPr>
      </w:r>
      <w:r>
        <w:rPr/>
        <w:t>率法在租赁期内分摊。融资租入固定资产采用与自有固定资产相一致的折旧政策计提租赁资产折旧。</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固定资产折旧采用年限平均法分类计提，根据固定资产类别、预计使用寿命和预计净残值率确定折旧率。</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49" w:firstLine="360"/>
        <w:jc w:val="both"/>
      </w:pPr>
      <w:r>
        <w:rPr>
          <w:spacing w:val="-2"/>
        </w:rPr>
        <w:t>资产负债表日判断固定资产是否存在可能发生减值的迹象。如果存在资产市价持续下跌，或技术陈旧、损坏、长期闲置</w:t>
      </w:r>
      <w:r>
        <w:rPr/>
        <w:t> </w:t>
      </w:r>
      <w:r>
        <w:rPr>
          <w:spacing w:val="-2"/>
        </w:rPr>
        <w:t>等减值迹象的，则估计其可收回金额。可收回金额的计量结果表明，固定资产的可收回金额低于其账面价值的，将固定资产</w:t>
      </w:r>
      <w:r>
        <w:rPr>
          <w:spacing w:val="-66"/>
        </w:rPr>
        <w:t> </w:t>
      </w:r>
      <w:r>
        <w:rPr>
          <w:spacing w:val="-66"/>
        </w:rPr>
      </w:r>
      <w:r>
        <w:rPr>
          <w:spacing w:val="-2"/>
        </w:rPr>
        <w:t>的账面价值减记至可收回金额，减记的金额确认为资产减值损失，计入当期损益，同时计提相应的固定资产减值准备。固定</w:t>
      </w:r>
      <w:r>
        <w:rPr>
          <w:spacing w:val="-66"/>
        </w:rPr>
        <w:t> </w:t>
      </w:r>
      <w:r>
        <w:rPr>
          <w:spacing w:val="-66"/>
        </w:rPr>
      </w:r>
      <w:r>
        <w:rPr/>
        <w:t>资产减值损失一经确认，在以后会计期间不再转回。</w:t>
      </w:r>
    </w:p>
    <w:p>
      <w:pPr>
        <w:spacing w:after="0" w:line="477"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spacing w:val="-2"/>
        </w:rPr>
        <w:t>①每年年度终了，本公司对固定资产的使用寿命、预计净残值和折旧方法进行复核。使用寿命预计数与原先估计数有差</w:t>
      </w:r>
      <w:r>
        <w:rPr/>
        <w:t> 异的，调整固定资产使用寿命；预计净残值预计数与原先估计数有差异的，调整预计净残值。</w:t>
      </w:r>
    </w:p>
    <w:p>
      <w:pPr>
        <w:pStyle w:val="BodyText"/>
        <w:spacing w:line="477" w:lineRule="auto" w:before="54"/>
        <w:ind w:right="90" w:firstLine="360"/>
        <w:jc w:val="left"/>
      </w:pPr>
      <w:r>
        <w:rPr>
          <w:spacing w:val="-2"/>
        </w:rPr>
        <w:t>②固定资产发生的修理费用，符合固定资产确认条件的计入固定资产成本，不符合规定的固定资产确认条件的在发生时</w:t>
      </w:r>
      <w:r>
        <w:rPr/>
        <w:t> 直接计入当期成本、费用。</w:t>
      </w:r>
    </w:p>
    <w:p>
      <w:pPr>
        <w:pStyle w:val="BodyText"/>
        <w:spacing w:line="477" w:lineRule="auto" w:before="54"/>
        <w:ind w:left="153" w:right="90" w:firstLine="360"/>
        <w:jc w:val="left"/>
      </w:pPr>
      <w:r>
        <w:rPr>
          <w:spacing w:val="-2"/>
        </w:rPr>
        <w:t>③符合资本化条件的固定资产装修费用：在两次装修期间与固定资产尚可使用年限两者中较短的期间内，采用年限平均</w:t>
      </w:r>
      <w:r>
        <w:rPr/>
        <w:t> 法单独计提折旧。</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90"/>
        <w:jc w:val="left"/>
      </w:pPr>
      <w:r>
        <w:rPr/>
        <w:t>本公司在建工程分为自营方式建造和出包方式建造两种。</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90"/>
        <w:jc w:val="left"/>
      </w:pPr>
      <w:r>
        <w:rPr>
          <w:spacing w:val="-4"/>
        </w:rPr>
        <w:t>本公司在建工程在工程完工达到预定可使用状态时，结转固定资产。预定可使用状态的判断标准，应符合下列情况之一：</w:t>
      </w:r>
    </w:p>
    <w:p>
      <w:pPr>
        <w:spacing w:line="240" w:lineRule="auto" w:before="10"/>
        <w:rPr>
          <w:rFonts w:ascii="宋体" w:hAnsi="宋体" w:cs="宋体" w:eastAsia="宋体" w:hint="default"/>
          <w:sz w:val="17"/>
          <w:szCs w:val="17"/>
        </w:rPr>
      </w:pPr>
    </w:p>
    <w:p>
      <w:pPr>
        <w:pStyle w:val="BodyText"/>
        <w:spacing w:line="477" w:lineRule="auto"/>
        <w:ind w:left="153" w:right="189"/>
        <w:jc w:val="both"/>
      </w:pPr>
      <w:r>
        <w:rPr>
          <w:spacing w:val="-2"/>
        </w:rPr>
        <w:t>①固定资产的实体建造（包括安装）工作已经全部完成或实质上已经全部完成；②已经试生产或试运行，并且其结果表明资</w:t>
      </w:r>
      <w:r>
        <w:rPr>
          <w:spacing w:val="-66"/>
        </w:rPr>
        <w:t> </w:t>
      </w:r>
      <w:r>
        <w:rPr>
          <w:spacing w:val="-66"/>
        </w:rPr>
      </w:r>
      <w:r>
        <w:rPr>
          <w:spacing w:val="-2"/>
        </w:rPr>
        <w:t>产能够正常运行或能够稳定地生产出合格产品，或者试运行结果表明其能够正常运转或营业；③该项建造的固定资产上的支</w:t>
      </w:r>
      <w:r>
        <w:rPr>
          <w:spacing w:val="-64"/>
        </w:rPr>
        <w:t> </w:t>
      </w:r>
      <w:r>
        <w:rPr>
          <w:spacing w:val="-64"/>
        </w:rPr>
      </w:r>
      <w:r>
        <w:rPr/>
        <w:t>出金额很少或者几乎不再发生；④所购建的固定资产已经达到设计或合同要求，或与设计或合同要求基本相符。</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t>资产负债表日对在建工程进行全面检查，判断在建工程是否存在可能发生减值的迹象。如果存在：（1）在建工程长期 </w:t>
      </w:r>
      <w:r>
        <w:rPr>
          <w:spacing w:val="-2"/>
        </w:rPr>
        <w:t>停建并且预计在未来3年内不会重新开工，（2）所建项目在性能上、技术上已经落后并且所带来的经济效益具有很大的不确</w:t>
      </w:r>
      <w:r>
        <w:rPr>
          <w:spacing w:val="-63"/>
        </w:rPr>
        <w:t> </w:t>
      </w:r>
      <w:r>
        <w:rPr>
          <w:spacing w:val="-63"/>
        </w:rPr>
      </w:r>
      <w:r>
        <w:rPr>
          <w:spacing w:val="-2"/>
        </w:rPr>
        <w:t>定性等减值迹象的，则估计其可收回金额。可收回金额的计量结果表明，在建工程的可收回金额低于其账面价值的，将在建</w:t>
      </w:r>
      <w:r>
        <w:rPr>
          <w:spacing w:val="-66"/>
        </w:rPr>
        <w:t> </w:t>
      </w:r>
      <w:r>
        <w:rPr>
          <w:spacing w:val="-66"/>
        </w:rPr>
      </w:r>
      <w:r>
        <w:rPr/>
        <w:t>工程的账面价值减记至可收回金额，减记的金额确认为资产减值损失，计入当期损益，同时计提相应的在建工程减值准备。 在建工程减值损失一经确认，在以后会计期间不再转回。</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90" w:firstLine="360"/>
        <w:jc w:val="left"/>
      </w:pPr>
      <w:r>
        <w:rPr>
          <w:spacing w:val="-2"/>
        </w:rPr>
        <w:t>本公司发生的借款费用，可直接归属于符合资本化条件的资产的购建或者生产的，予以资本化，计入相关资产成本；其</w:t>
      </w:r>
      <w:r>
        <w:rPr/>
        <w:t> </w:t>
      </w:r>
      <w:r>
        <w:rPr>
          <w:spacing w:val="-2"/>
        </w:rPr>
        <w:t>他借款费用，在发生时根据其发生额确认为费用，计入当期损益。符合资本化条件的资产，是指需要经过相当长时间的购建</w:t>
      </w:r>
    </w:p>
    <w:p>
      <w:pPr>
        <w:spacing w:after="0" w:line="477"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或者生产活动才能达到预定可使用或者可销售状态的固定资产、投资性房地产和存货等资产。</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87" w:right="0"/>
        <w:jc w:val="left"/>
      </w:pPr>
      <w:r>
        <w:rPr/>
        <w:t>资本化期间：指从借款费用开始资本化时点到停止资本化时点的期间。借款费用暂停资本化的期间不包括在内。</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59" w:firstLine="433"/>
        <w:jc w:val="left"/>
      </w:pPr>
      <w:r>
        <w:rPr/>
        <w:t>如果资产的购建活动发生非正常中断,并且中断时间连续超过 3</w:t>
      </w:r>
      <w:r>
        <w:rPr>
          <w:spacing w:val="-2"/>
        </w:rPr>
        <w:t> </w:t>
      </w:r>
      <w:r>
        <w:rPr/>
        <w:t>个月,暂停借款费用的资本化,直至资产的购建活动重</w:t>
      </w:r>
      <w:r>
        <w:rPr/>
        <w:t> 新开始。</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13"/>
        <w:rPr>
          <w:rFonts w:ascii="宋体" w:hAnsi="宋体" w:cs="宋体" w:eastAsia="宋体" w:hint="default"/>
          <w:b/>
          <w:bCs/>
          <w:sz w:val="31"/>
          <w:szCs w:val="31"/>
        </w:rPr>
      </w:pPr>
    </w:p>
    <w:p>
      <w:pPr>
        <w:pStyle w:val="BodyText"/>
        <w:spacing w:line="477" w:lineRule="auto"/>
        <w:ind w:right="248" w:firstLine="360"/>
        <w:jc w:val="both"/>
      </w:pPr>
      <w:r>
        <w:rPr/>
        <w:t>资本化金额计算：①借入专门借款，按照专门借款当期实际发生的利息费用，减去将尚未动用的借款资金存入银行取 得的利息收入或进行暂时性投资取得的投资收益后的金额确定；②占用一般借款按照累计资产支出超过专门借款部分的资 产支出加权平均数乘以所占用一般借款的资本化率计算确定，资本化率为一般借款的加权平均利率；③借款存在折价或溢 价的，按照实际利率法确定每一会计期间应摊销的折价或溢价金额，调整每期利息金额。</w:t>
      </w:r>
    </w:p>
    <w:p>
      <w:pPr>
        <w:pStyle w:val="BodyText"/>
        <w:spacing w:line="477" w:lineRule="auto" w:before="54"/>
        <w:ind w:left="153" w:right="231" w:firstLine="360"/>
        <w:jc w:val="left"/>
      </w:pPr>
      <w:r>
        <w:rPr/>
        <w:t>实际利率法是根据借款实际利率计算其摊余折价或溢价或利息费用的方法。其中实际利率是借款在预期存续期间的未 来现金流量，折现为该借款当前账面价值所使用的利率。</w:t>
      </w: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13"/>
        <w:rPr>
          <w:rFonts w:ascii="宋体" w:hAnsi="宋体" w:cs="宋体" w:eastAsia="宋体" w:hint="default"/>
          <w:b/>
          <w:bCs/>
          <w:sz w:val="31"/>
          <w:szCs w:val="31"/>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13"/>
        <w:rPr>
          <w:rFonts w:ascii="宋体" w:hAnsi="宋体" w:cs="宋体" w:eastAsia="宋体" w:hint="default"/>
          <w:b/>
          <w:bCs/>
          <w:sz w:val="31"/>
          <w:szCs w:val="31"/>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13"/>
        <w:rPr>
          <w:rFonts w:ascii="宋体" w:hAnsi="宋体" w:cs="宋体" w:eastAsia="宋体" w:hint="default"/>
          <w:b/>
          <w:bCs/>
          <w:sz w:val="31"/>
          <w:szCs w:val="31"/>
        </w:rPr>
      </w:pPr>
    </w:p>
    <w:p>
      <w:pPr>
        <w:pStyle w:val="BodyText"/>
        <w:spacing w:line="477" w:lineRule="auto"/>
        <w:ind w:left="513" w:right="231"/>
        <w:jc w:val="left"/>
      </w:pPr>
      <w:r>
        <w:rPr/>
        <w:t>无形资产指企业拥有或控制的没有实物形态的可辨认非货币性资产，包括专有技术、土地使用权等。 本公司无形资产按照成本进行初始计量。购入的无形资产，按实际支付的价款和相关支出作为实际成本。投资者投入</w:t>
      </w:r>
    </w:p>
    <w:p>
      <w:pPr>
        <w:pStyle w:val="BodyText"/>
        <w:spacing w:line="477" w:lineRule="auto" w:before="54"/>
        <w:ind w:left="153" w:right="231"/>
        <w:jc w:val="left"/>
      </w:pPr>
      <w:r>
        <w:rPr/>
        <w:t>的无形资产，按投资合同或协议约定的价值确定实际成本，但合同或协议约定价值不公允的，按公允价值确定实际成本。 自行开发的无形资产，其成本为达到预定用途前所发生的支出总额。</w:t>
      </w:r>
    </w:p>
    <w:p>
      <w:pPr>
        <w:pStyle w:val="BodyText"/>
        <w:spacing w:line="240" w:lineRule="auto" w:before="54"/>
        <w:ind w:left="513" w:right="0"/>
        <w:jc w:val="left"/>
      </w:pPr>
      <w:r>
        <w:rPr/>
        <w:t>本公司无形资产后续计量，分别为①使用寿命有限无形资产采用直线法摊销，并在年度终了，对无形资产的使用寿命</w:t>
      </w:r>
    </w:p>
    <w:p>
      <w:pPr>
        <w:spacing w:after="0" w:line="240" w:lineRule="auto"/>
        <w:jc w:val="left"/>
        <w:sectPr>
          <w:footerReference w:type="default" r:id="rId15"/>
          <w:pgSz w:w="11910" w:h="16840"/>
          <w:pgMar w:footer="982" w:header="747" w:top="1060" w:bottom="1180" w:left="980" w:right="980"/>
          <w:pgNumType w:start="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477" w:lineRule="auto"/>
        <w:ind w:right="230"/>
        <w:jc w:val="left"/>
      </w:pPr>
      <w:r>
        <w:rPr/>
        <w:t>和摊销方法进行复核，如与原先估计数存在差异的，进行相应的调整。②使用寿命不确定的无形资产不摊销，但在年度终 了，对使用寿命进行复核，当有确凿证据表明其使用寿命是有限的，则估计其使用寿命，按直线法进行摊销。</w:t>
      </w: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3"/>
        <w:rPr>
          <w:rFonts w:ascii="宋体" w:hAnsi="宋体" w:cs="宋体" w:eastAsia="宋体" w:hint="default"/>
          <w:b/>
          <w:bCs/>
          <w:sz w:val="31"/>
          <w:szCs w:val="31"/>
        </w:rPr>
      </w:pPr>
    </w:p>
    <w:p>
      <w:pPr>
        <w:pStyle w:val="BodyText"/>
        <w:spacing w:line="240" w:lineRule="auto"/>
        <w:ind w:left="514" w:right="0"/>
        <w:jc w:val="left"/>
      </w:pPr>
      <w:r>
        <w:rPr/>
        <w:t>对使用寿命有限的无形资产，估计其使用寿命时通常考虑以下因素：</w:t>
      </w:r>
    </w:p>
    <w:p>
      <w:pPr>
        <w:spacing w:line="240" w:lineRule="auto" w:before="1"/>
        <w:rPr>
          <w:rFonts w:ascii="宋体" w:hAnsi="宋体" w:cs="宋体" w:eastAsia="宋体" w:hint="default"/>
          <w:sz w:val="18"/>
          <w:szCs w:val="18"/>
        </w:rPr>
      </w:pPr>
    </w:p>
    <w:p>
      <w:pPr>
        <w:pStyle w:val="BodyText"/>
        <w:spacing w:line="240" w:lineRule="auto"/>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运用该资产生产的产品通常的寿命周期、可获得的类似资产使用寿命的信息；</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技术、工艺等方面的现阶段情况及对未来发展趋势的估计；</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以该资产生产的产品或提供劳务的市场需求情况；</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现在或潜在的竞争者预期采取的行动；</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为维持该资产带来经济利益能力的预期维护支出，以及公司预计支付有关支出的能力；</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对该资产控制期限的相关法律规定或类似限制，如特许使用期、租赁期等；</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与公司持有其他资产使用寿命的关联性等。</w:t>
      </w:r>
    </w:p>
    <w:p>
      <w:pPr>
        <w:spacing w:line="240" w:lineRule="auto" w:before="2"/>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预计使用寿命</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3" w:right="176" w:firstLine="433"/>
        <w:jc w:val="both"/>
      </w:pPr>
      <w:r>
        <w:rPr/>
        <w:t>公司在每个会计期间对使用寿命不确定的无形资产的使用寿命进行复核，如果有证据表明无形资产的使用寿命是有限 的，估计其使用寿命，按照使用寿命有限的无形资产处理。</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6"/>
        <w:rPr>
          <w:rFonts w:ascii="宋体" w:hAnsi="宋体" w:cs="宋体" w:eastAsia="宋体" w:hint="default"/>
          <w:b/>
          <w:bCs/>
          <w:sz w:val="32"/>
          <w:szCs w:val="32"/>
        </w:rPr>
      </w:pPr>
    </w:p>
    <w:p>
      <w:pPr>
        <w:pStyle w:val="BodyText"/>
        <w:spacing w:line="458" w:lineRule="auto"/>
        <w:ind w:left="153" w:right="150" w:firstLine="360"/>
        <w:jc w:val="both"/>
      </w:pPr>
      <w:r>
        <w:rPr/>
        <w:t>期末检查各项无形资产预计给本公司带来未来经济利益的能力，当存在以下情形之一时：（</w:t>
      </w:r>
      <w:r>
        <w:rPr>
          <w:rFonts w:ascii="Times New Roman" w:hAnsi="Times New Roman" w:cs="Times New Roman" w:eastAsia="Times New Roman" w:hint="default"/>
        </w:rPr>
        <w:t>1</w:t>
      </w:r>
      <w:r>
        <w:rPr/>
        <w:t>）某项无形资产已被其他 新技术等所替代，使其为企业创造经济利益的能力受到重大不利影响；（</w:t>
      </w:r>
      <w:r>
        <w:rPr>
          <w:rFonts w:ascii="Times New Roman" w:hAnsi="Times New Roman" w:cs="Times New Roman" w:eastAsia="Times New Roman" w:hint="default"/>
        </w:rPr>
        <w:t>2</w:t>
      </w:r>
      <w:r>
        <w:rPr/>
        <w:t>）某项无形资产的市价在当期大幅下跌，在剩余 摊销年限内预期不会恢复；（</w:t>
      </w:r>
      <w:r>
        <w:rPr>
          <w:rFonts w:ascii="Times New Roman" w:hAnsi="Times New Roman" w:cs="Times New Roman" w:eastAsia="Times New Roman" w:hint="default"/>
        </w:rPr>
        <w:t>3</w:t>
      </w:r>
      <w:r>
        <w:rPr/>
        <w:t>）某项无形资产已超过法律保护期限，但仍然具有部分使用价值等减值迹象的，则估计其可 </w:t>
      </w:r>
      <w:r>
        <w:rPr>
          <w:spacing w:val="-2"/>
        </w:rPr>
        <w:t>收回金额。可收回金额的计量结果表明，无形资产的可收回金额低于其账面价值的，将无形资产的账面价值减记至可收回金</w:t>
      </w:r>
      <w:r>
        <w:rPr>
          <w:spacing w:val="-66"/>
        </w:rPr>
        <w:t> </w:t>
      </w:r>
      <w:r>
        <w:rPr>
          <w:spacing w:val="-66"/>
        </w:rPr>
      </w:r>
      <w:r>
        <w:rPr/>
        <w:t>额，减记的金额确认为资产减值损失，计入当期损益，同时计提相应的无形资产减值准备；（</w:t>
      </w:r>
      <w:r>
        <w:rPr>
          <w:rFonts w:ascii="Times New Roman" w:hAnsi="Times New Roman" w:cs="Times New Roman" w:eastAsia="Times New Roman" w:hint="default"/>
        </w:rPr>
        <w:t>4</w:t>
      </w:r>
      <w:r>
        <w:rPr/>
        <w:t>）其他足以证明某项无形资 </w:t>
      </w:r>
      <w:r>
        <w:rPr>
          <w:spacing w:val="-2"/>
        </w:rPr>
        <w:t>产实质上已发生了减值准备情形的情况，按预计可收回金额低于账面价值的差额计提无形资产减值准备。无形资产减值损失</w:t>
      </w:r>
      <w:r>
        <w:rPr>
          <w:spacing w:val="-64"/>
        </w:rPr>
        <w:t> </w:t>
      </w:r>
      <w:r>
        <w:rPr>
          <w:spacing w:val="-64"/>
        </w:rPr>
      </w:r>
      <w:r>
        <w:rPr/>
        <w:t>一经确认，在以后会计期间不再转回。</w:t>
      </w:r>
    </w:p>
    <w:p>
      <w:pPr>
        <w:spacing w:after="0" w:line="458"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公司内部研究开发项目开发阶段的支出，同时满足下列条件的，才能确认为无形资产：</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①完成该无形资产以使其能够使用或出售在技术上具有可行性；</w:t>
      </w:r>
    </w:p>
    <w:p>
      <w:pPr>
        <w:spacing w:line="240" w:lineRule="auto" w:before="10"/>
        <w:rPr>
          <w:rFonts w:ascii="宋体" w:hAnsi="宋体" w:cs="宋体" w:eastAsia="宋体" w:hint="default"/>
          <w:sz w:val="17"/>
          <w:szCs w:val="17"/>
        </w:rPr>
      </w:pPr>
    </w:p>
    <w:p>
      <w:pPr>
        <w:pStyle w:val="BodyText"/>
        <w:spacing w:line="240" w:lineRule="auto"/>
        <w:ind w:left="514" w:right="0"/>
        <w:jc w:val="left"/>
      </w:pPr>
      <w:r>
        <w:rPr/>
        <w:t>②具有完成该无形资产并使用或出售的意图；</w:t>
      </w:r>
    </w:p>
    <w:p>
      <w:pPr>
        <w:spacing w:line="240" w:lineRule="auto" w:before="10"/>
        <w:rPr>
          <w:rFonts w:ascii="宋体" w:hAnsi="宋体" w:cs="宋体" w:eastAsia="宋体" w:hint="default"/>
          <w:sz w:val="17"/>
          <w:szCs w:val="17"/>
        </w:rPr>
      </w:pPr>
    </w:p>
    <w:p>
      <w:pPr>
        <w:pStyle w:val="BodyText"/>
        <w:spacing w:line="477" w:lineRule="auto"/>
        <w:ind w:left="514" w:right="0"/>
        <w:jc w:val="left"/>
      </w:pPr>
      <w:r>
        <w:rPr>
          <w:spacing w:val="-2"/>
        </w:rPr>
        <w:t>③无形资产产生经济利益的方式，包括能够证明运用该无形资产生产的产品存在市场或无形资产自身存在市场，无形资</w:t>
      </w:r>
      <w:r>
        <w:rPr>
          <w:spacing w:val="-68"/>
        </w:rPr>
        <w:t> </w:t>
      </w:r>
      <w:r>
        <w:rPr>
          <w:spacing w:val="-68"/>
        </w:rPr>
      </w:r>
      <w:r>
        <w:rPr/>
        <w:t>产将在内部使用的，应当证明其有用性；</w:t>
      </w:r>
    </w:p>
    <w:p>
      <w:pPr>
        <w:pStyle w:val="BodyText"/>
        <w:spacing w:line="240" w:lineRule="auto" w:before="54"/>
        <w:ind w:left="514" w:right="0"/>
        <w:jc w:val="left"/>
      </w:pPr>
      <w:r>
        <w:rPr/>
        <w:t>④有足够的技术、财务资源和其他资源支持，以完成该无形资产的开发，并有能力使用或出售该无形资产；</w:t>
      </w:r>
    </w:p>
    <w:p>
      <w:pPr>
        <w:spacing w:line="240" w:lineRule="auto" w:before="10"/>
        <w:rPr>
          <w:rFonts w:ascii="宋体" w:hAnsi="宋体" w:cs="宋体" w:eastAsia="宋体" w:hint="default"/>
          <w:sz w:val="17"/>
          <w:szCs w:val="17"/>
        </w:rPr>
      </w:pPr>
    </w:p>
    <w:p>
      <w:pPr>
        <w:pStyle w:val="BodyText"/>
        <w:spacing w:line="477" w:lineRule="auto"/>
        <w:ind w:left="514" w:right="2570"/>
        <w:jc w:val="left"/>
      </w:pPr>
      <w:r>
        <w:rPr/>
        <w:t>⑤归属于该无形资产开发阶段的支出能够可靠地计量。 除满足上述条件的开发阶段的支出外，其他研究、开发支出均于发生时计入当期损益。</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内部研究开发项目研究阶段的支出，在发生时计入当期损益。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（1）长期待摊费用指应由本期和以后各期负担的分摊期限在一年以上的各项费用。</w:t>
      </w:r>
    </w:p>
    <w:p>
      <w:pPr>
        <w:spacing w:line="240" w:lineRule="auto" w:before="10"/>
        <w:rPr>
          <w:rFonts w:ascii="宋体" w:hAnsi="宋体" w:cs="宋体" w:eastAsia="宋体" w:hint="default"/>
          <w:sz w:val="17"/>
          <w:szCs w:val="17"/>
        </w:rPr>
      </w:pPr>
    </w:p>
    <w:p>
      <w:pPr>
        <w:pStyle w:val="BodyText"/>
        <w:spacing w:line="477" w:lineRule="auto"/>
        <w:ind w:right="158" w:firstLine="360"/>
        <w:jc w:val="both"/>
      </w:pPr>
      <w:r>
        <w:rPr/>
        <w:t>（2）长期待摊费用在取得时按照实际成本计价，开办费在发生时计入当期损益；经营性租赁固定资产的装修费用在自 生产经营之日起5年内平均摊销，其他长期待摊费用按项目的受益期平均摊销。对于在以后会计期间已无法带来预期经济利 益的长期待摊费用，本公司对其尚未摊销的摊余价值全部转入当期损益。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360"/>
        <w:jc w:val="left"/>
      </w:pPr>
      <w:r>
        <w:rPr>
          <w:spacing w:val="-2"/>
        </w:rPr>
        <w:t>因产品质量保证、对外提供担保、未决诉讼等事项形成的现时义务，其履行很可能导致经济利益的流出，在该义务的金</w:t>
      </w:r>
      <w:r>
        <w:rPr/>
        <w:t> 额能够可靠计量时，确认为预计负债。对于未来经营亏损，不确认预计负债。</w:t>
      </w:r>
    </w:p>
    <w:p>
      <w:pPr>
        <w:pStyle w:val="BodyText"/>
        <w:spacing w:line="477" w:lineRule="auto" w:before="54"/>
        <w:ind w:right="150"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6"/>
        </w:rPr>
        <w:t> </w:t>
      </w:r>
      <w:r>
        <w:rPr>
          <w:spacing w:val="-66"/>
        </w:rPr>
      </w:r>
      <w:r>
        <w:rPr/>
        <w:t>进行的折现还原而导致的预计负债账面价值的增加金额，确认为利息费用。</w:t>
      </w:r>
    </w:p>
    <w:p>
      <w:pPr>
        <w:pStyle w:val="BodyText"/>
        <w:spacing w:line="240" w:lineRule="auto" w:before="54"/>
        <w:ind w:left="514" w:right="0"/>
        <w:jc w:val="left"/>
      </w:pPr>
      <w:r>
        <w:rPr/>
        <w:t>于资产负债表日，对预计负债的账面价值进行复核并作适当调整，以反映当前的最佳估计数。</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360"/>
        <w:jc w:val="left"/>
      </w:pPr>
      <w:r>
        <w:rPr>
          <w:spacing w:val="-2"/>
        </w:rPr>
        <w:t>与或有事项相关的义务同时符合以下条件，本公司将其确认为预计负债：该义务是本公司承担的现时义务；该义务的履</w:t>
      </w:r>
      <w:r>
        <w:rPr/>
        <w:t> 行很可能导致经济利益流出企业；该义务的金额能够可靠的计量。</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360"/>
        <w:jc w:val="left"/>
      </w:pPr>
      <w:r>
        <w:rPr>
          <w:spacing w:val="-2"/>
        </w:rPr>
        <w:t>预计负债按照履行现时义务所需支出的最佳估计数进行初始计量。所需支出存在一个连续范围，且该范围内各种结果发</w:t>
      </w:r>
      <w:r>
        <w:rPr/>
        <w:t> 生的可能性相同的最佳估计数按该范围的中间值确定；在其他情况下，最佳估计数按如下方法确定：</w:t>
      </w:r>
    </w:p>
    <w:p>
      <w:pPr>
        <w:pStyle w:val="BodyText"/>
        <w:spacing w:line="240" w:lineRule="auto" w:before="54"/>
        <w:ind w:left="514" w:right="0"/>
        <w:jc w:val="left"/>
      </w:pPr>
      <w:r>
        <w:rPr/>
        <w:t>(1) 或有事项涉及单个项目时，最佳估计数按最可能发生金额确定；</w:t>
      </w:r>
    </w:p>
    <w:p>
      <w:pPr>
        <w:spacing w:line="240" w:lineRule="auto" w:before="10"/>
        <w:rPr>
          <w:rFonts w:ascii="宋体" w:hAnsi="宋体" w:cs="宋体" w:eastAsia="宋体" w:hint="default"/>
          <w:sz w:val="17"/>
          <w:szCs w:val="17"/>
        </w:rPr>
      </w:pPr>
    </w:p>
    <w:p>
      <w:pPr>
        <w:pStyle w:val="BodyText"/>
        <w:spacing w:line="477" w:lineRule="auto"/>
        <w:ind w:right="150" w:firstLine="360"/>
        <w:jc w:val="both"/>
      </w:pPr>
      <w:r>
        <w:rPr/>
        <w:t>(2)</w:t>
      </w:r>
      <w:r>
        <w:rPr>
          <w:spacing w:val="16"/>
        </w:rPr>
        <w:t> </w:t>
      </w:r>
      <w:r>
        <w:rPr>
          <w:spacing w:val="-2"/>
        </w:rPr>
        <w:t>或有事项涉及多个项目时，最佳估计数按各种可能发生额及其发生概率计算确定。公司清偿预计负债所需支出全部</w:t>
      </w:r>
      <w:r>
        <w:rPr/>
        <w:t> </w:t>
      </w:r>
      <w:r>
        <w:rPr>
          <w:spacing w:val="-2"/>
        </w:rPr>
        <w:t>或部分预期由第三方或其他方补偿的，则补偿金额在基本确定能收到时，作为资产单独确认。确认的补偿金额不超过所确认</w:t>
      </w:r>
      <w:r>
        <w:rPr>
          <w:spacing w:val="-66"/>
        </w:rPr>
        <w:t> </w:t>
      </w:r>
      <w:r>
        <w:rPr>
          <w:spacing w:val="-66"/>
        </w:rPr>
      </w:r>
      <w:r>
        <w:rPr/>
        <w:t>预计负债的账面价值。</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3" w:right="0" w:firstLine="360"/>
        <w:jc w:val="left"/>
      </w:pPr>
      <w:r>
        <w:rPr>
          <w:spacing w:val="-2"/>
        </w:rPr>
        <w:t>股份支付是公司为了获取职工提供服务而授予权益工具或者承担以权益工具为基础确定的负债的交易。股份支付分为以</w:t>
      </w:r>
      <w:r>
        <w:rPr/>
        <w:t> 权益结算的股份支付和以现金结算的股份支付。</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4"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9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0" w:firstLine="360"/>
        <w:jc w:val="both"/>
      </w:pPr>
      <w:r>
        <w:rPr>
          <w:spacing w:val="-2"/>
        </w:rPr>
        <w:t>企业已将商品所有权上的主要风险和报酬转移给购货方；企业既没有保留通常与所有权相联系的继续管理权，也没有对</w:t>
      </w:r>
      <w:r>
        <w:rPr/>
        <w:t> </w:t>
      </w:r>
      <w:r>
        <w:rPr>
          <w:spacing w:val="-2"/>
        </w:rPr>
        <w:t>已售出的商品实施有效控制；收入的金额能够可靠地计量；相关的经济利益很可能流入企业；相关的已发生或将发生的成本</w:t>
      </w:r>
      <w:r>
        <w:rPr>
          <w:spacing w:val="-66"/>
        </w:rPr>
        <w:t> </w:t>
      </w:r>
      <w:r>
        <w:rPr>
          <w:spacing w:val="-66"/>
        </w:rPr>
      </w:r>
      <w:r>
        <w:rPr/>
        <w:t>能够可靠地计量。</w:t>
      </w:r>
    </w:p>
    <w:p>
      <w:pPr>
        <w:pStyle w:val="BodyText"/>
        <w:spacing w:line="477" w:lineRule="auto" w:before="54"/>
        <w:ind w:left="514" w:right="180"/>
        <w:jc w:val="left"/>
      </w:pPr>
      <w:r>
        <w:rPr/>
        <w:t>本公司商品销售主要有软件产品和系统集成收入，其收入的具体确认原则： A、软件产品：是指本公司自主开发的，取得了软件产品登记认证，购买方个性化差异很小，基本具有行业通用性，因</w:t>
      </w:r>
    </w:p>
    <w:p>
      <w:pPr>
        <w:pStyle w:val="BodyText"/>
        <w:spacing w:line="477" w:lineRule="auto" w:before="54"/>
        <w:ind w:right="90"/>
        <w:jc w:val="left"/>
      </w:pPr>
      <w:r>
        <w:rPr>
          <w:spacing w:val="-2"/>
        </w:rPr>
        <w:t>而可以批量复制销售的应用软件。对于软件产品本公司在按照合同约定内容向购买方移交，并完成安装、调试工作，取得了</w:t>
      </w:r>
      <w:r>
        <w:rPr>
          <w:spacing w:val="-66"/>
        </w:rPr>
        <w:t> </w:t>
      </w:r>
      <w:r>
        <w:rPr>
          <w:spacing w:val="-66"/>
        </w:rPr>
      </w:r>
      <w:r>
        <w:rPr/>
        <w:t>购买方安装确认单据后确认收入。</w:t>
      </w:r>
    </w:p>
    <w:p>
      <w:pPr>
        <w:pStyle w:val="BodyText"/>
        <w:spacing w:line="477" w:lineRule="auto" w:before="54"/>
        <w:ind w:right="101" w:firstLine="360"/>
        <w:jc w:val="both"/>
      </w:pPr>
      <w:r>
        <w:rPr>
          <w:spacing w:val="-2"/>
        </w:rPr>
        <w:t>B、系统集成：是指与本公司为客户提供的软件产品和软件开发相关的，应客户要求代客户购买硬件设备或第三方软件，</w:t>
      </w:r>
      <w:r>
        <w:rPr/>
        <w:t> 并提供相应的集成服务。</w:t>
      </w:r>
    </w:p>
    <w:p>
      <w:pPr>
        <w:pStyle w:val="BodyText"/>
        <w:spacing w:line="477" w:lineRule="auto" w:before="54"/>
        <w:ind w:left="153" w:right="191" w:firstLine="360"/>
        <w:jc w:val="both"/>
      </w:pPr>
      <w:r>
        <w:rPr>
          <w:spacing w:val="-2"/>
        </w:rPr>
        <w:t>系统集成在按照合同约定内容向购买方移交了所提供的硬件设备或第三方软件的所有权，并取得了购买方的验收单据后</w:t>
      </w:r>
      <w:r>
        <w:rPr/>
        <w:t> 确认收入。</w:t>
      </w:r>
    </w:p>
    <w:p>
      <w:pPr>
        <w:spacing w:line="240" w:lineRule="auto" w:before="3"/>
        <w:rPr>
          <w:rFonts w:ascii="宋体" w:hAnsi="宋体" w:cs="宋体" w:eastAsia="宋体" w:hint="default"/>
          <w:sz w:val="19"/>
          <w:szCs w:val="19"/>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0" w:firstLine="360"/>
        <w:jc w:val="both"/>
      </w:pPr>
      <w:r>
        <w:rPr>
          <w:spacing w:val="-2"/>
        </w:rPr>
        <w:t>让渡资产使用权收入包括利息收入和使用费收入等；利息收入金额，按照他人使用本公司货币资金的时间和实际利率计</w:t>
      </w:r>
      <w:r>
        <w:rPr/>
        <w:t> 算确定；使用费收入金额，按照有关合同或协议约定的收费时间和方法计算确定。</w:t>
      </w:r>
    </w:p>
    <w:p>
      <w:pPr>
        <w:pStyle w:val="BodyText"/>
        <w:spacing w:line="477" w:lineRule="auto" w:before="54"/>
        <w:ind w:left="514" w:right="180"/>
        <w:jc w:val="left"/>
      </w:pPr>
      <w:r>
        <w:rPr/>
        <w:t>本公司让渡资产使用权主要有为房屋租赁收入，其收入的具体确认原则： A、房屋租赁按照《企业会计准则第21号——租赁》第22条的规定确认收入，即对于经营租赁的租金，按照租赁期内合</w:t>
      </w:r>
    </w:p>
    <w:p>
      <w:pPr>
        <w:pStyle w:val="BodyText"/>
        <w:spacing w:line="240" w:lineRule="auto" w:before="54"/>
        <w:ind w:right="90"/>
        <w:jc w:val="left"/>
      </w:pPr>
      <w:r>
        <w:rPr/>
        <w:t>同总金额在租赁期内各个期间按照直线法确认为当期损益。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9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180"/>
        <w:jc w:val="left"/>
      </w:pPr>
      <w:r>
        <w:rPr/>
        <w:t>本公司提供劳务主要有软件开发和服务类收入，其收入的具体确认原则： A、软件开发：是指本公司在自主研发的各种底层开发平台或技术的基础上，按照客户的个性化需求进行定制性开发而</w:t>
      </w:r>
    </w:p>
    <w:p>
      <w:pPr>
        <w:pStyle w:val="BodyText"/>
        <w:spacing w:line="477" w:lineRule="auto" w:before="54"/>
        <w:ind w:left="514" w:right="90" w:hanging="360"/>
        <w:jc w:val="left"/>
      </w:pPr>
      <w:r>
        <w:rPr/>
        <w:t>形成的应用软件。 </w:t>
      </w:r>
      <w:r>
        <w:rPr>
          <w:spacing w:val="-2"/>
        </w:rPr>
        <w:t>对于软件开发本公司在按照合同约定内容实施了开发工作，并为购买方完成了安装、调试工作，且至少具备以下条件之</w:t>
      </w:r>
    </w:p>
    <w:p>
      <w:pPr>
        <w:pStyle w:val="BodyText"/>
        <w:spacing w:line="477" w:lineRule="auto" w:before="54"/>
        <w:ind w:right="90"/>
        <w:jc w:val="left"/>
      </w:pPr>
      <w:r>
        <w:rPr>
          <w:spacing w:val="-2"/>
        </w:rPr>
        <w:t>一时确认收入：①已取得购买方的验收文件；②取得购买方对软件已正式投入使用的确认文件；③已符合合同约定的验收条</w:t>
      </w:r>
      <w:r>
        <w:rPr>
          <w:spacing w:val="-66"/>
        </w:rPr>
        <w:t> </w:t>
      </w:r>
      <w:r>
        <w:rPr>
          <w:spacing w:val="-66"/>
        </w:rPr>
      </w:r>
      <w:r>
        <w:rPr/>
        <w:t>件。</w:t>
      </w:r>
    </w:p>
    <w:p>
      <w:pPr>
        <w:pStyle w:val="BodyText"/>
        <w:spacing w:line="240" w:lineRule="auto" w:before="54"/>
        <w:ind w:left="514" w:right="90"/>
        <w:jc w:val="left"/>
      </w:pPr>
      <w:r>
        <w:rPr/>
        <w:t>B、技术服务：是指本公司对已销售的软件产品、软件开发、系统集成等，为客户提供的后续技术支持或维护服务。</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91" w:firstLine="360"/>
        <w:jc w:val="both"/>
      </w:pPr>
      <w:r>
        <w:rPr>
          <w:spacing w:val="-2"/>
        </w:rPr>
        <w:t>对于按期提供劳务并计价收费的技术服务，本公司在按照合同约定内容提供了劳务后，分期确认收入；对于按次提供劳</w:t>
      </w:r>
      <w:r>
        <w:rPr/>
        <w:t> 务并计价收费的技术服务，本公司在劳务已经提供，并取得购买方的服务确认单据后确认收入。</w:t>
      </w:r>
    </w:p>
    <w:p>
      <w:pPr>
        <w:spacing w:line="240" w:lineRule="auto" w:before="3"/>
        <w:rPr>
          <w:rFonts w:ascii="宋体" w:hAnsi="宋体" w:cs="宋体" w:eastAsia="宋体" w:hint="default"/>
          <w:sz w:val="19"/>
          <w:szCs w:val="19"/>
        </w:rPr>
      </w:pPr>
    </w:p>
    <w:p>
      <w:pPr>
        <w:pStyle w:val="Heading3"/>
        <w:spacing w:line="240" w:lineRule="auto"/>
        <w:ind w:right="9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90"/>
        <w:jc w:val="left"/>
      </w:pPr>
      <w:r>
        <w:rPr/>
        <w:t>在同一会计年度内开始并完成的劳务，在完成劳务时确认收入； </w:t>
      </w:r>
      <w:r>
        <w:rPr>
          <w:spacing w:val="-2"/>
        </w:rPr>
        <w:t>如劳务的开始和完成超过一个完整会计年度，在提供劳务交易的结果能够可靠地估计（即劳务总收入及总成本能够可靠</w:t>
      </w:r>
    </w:p>
    <w:p>
      <w:pPr>
        <w:pStyle w:val="BodyText"/>
        <w:spacing w:line="477" w:lineRule="auto" w:before="54"/>
        <w:ind w:left="514" w:right="90" w:hanging="360"/>
        <w:jc w:val="left"/>
      </w:pPr>
      <w:r>
        <w:rPr>
          <w:spacing w:val="-4"/>
        </w:rPr>
        <w:t>地计量，劳务的完成程度能够可靠地确定，相关的价款能够流入）时，于资产负债表日按完工百分比法确认相关的劳务收入。</w:t>
      </w:r>
      <w:r>
        <w:rPr>
          <w:spacing w:val="-46"/>
        </w:rPr>
        <w:t> </w:t>
      </w:r>
      <w:r>
        <w:rPr>
          <w:spacing w:val="-46"/>
        </w:rPr>
      </w:r>
      <w:r>
        <w:rPr/>
        <w:t>在资产负债表日提供劳务交易结果不能够可靠估计的，分别下列情况处理：（1）已经发生的劳务成本预计能够得到补</w:t>
      </w:r>
    </w:p>
    <w:p>
      <w:pPr>
        <w:pStyle w:val="BodyText"/>
        <w:spacing w:line="477" w:lineRule="auto" w:before="54"/>
        <w:ind w:right="180"/>
        <w:jc w:val="left"/>
      </w:pPr>
      <w:r>
        <w:rPr/>
        <w:t>偿的，按照已经发生的劳务成本金额确认提供劳务收入，并按相同金额结转劳务成本；（2）已经发生的劳务成本预计不能 够得到补偿的，应当将已经发生的劳务成本计入当期损益，不确认提供劳务收入。</w:t>
      </w:r>
    </w:p>
    <w:p>
      <w:pPr>
        <w:spacing w:line="240" w:lineRule="auto" w:before="3"/>
        <w:rPr>
          <w:rFonts w:ascii="宋体" w:hAnsi="宋体" w:cs="宋体" w:eastAsia="宋体" w:hint="default"/>
          <w:sz w:val="19"/>
          <w:szCs w:val="19"/>
        </w:rPr>
      </w:pPr>
    </w:p>
    <w:p>
      <w:pPr>
        <w:pStyle w:val="Heading3"/>
        <w:spacing w:line="240" w:lineRule="auto"/>
        <w:ind w:right="9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90"/>
        <w:jc w:val="left"/>
      </w:pPr>
      <w:r>
        <w:rPr/>
        <w:t>政府补助包括财政拨款、财政贴息、税收返还和无偿划拨非货币性资产。</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89" w:firstLine="360"/>
        <w:jc w:val="both"/>
      </w:pPr>
      <w:r>
        <w:rPr>
          <w:spacing w:val="-2"/>
        </w:rPr>
        <w:t>本公司收到的与资产相关的政府补助，确认为递延收益，自相关资产达到预定可使用状态时起，在该资产使用寿命内平</w:t>
      </w:r>
      <w:r>
        <w:rPr/>
        <w:t> </w:t>
      </w:r>
      <w:r>
        <w:rPr>
          <w:spacing w:val="-2"/>
        </w:rPr>
        <w:t>均计入各期损益。相关资产在使用寿命结束前被出售、转让、报废或发生毁损的，将递延收益余额一次性转入资产处置当期</w:t>
      </w:r>
      <w:r>
        <w:rPr>
          <w:spacing w:val="-66"/>
        </w:rPr>
        <w:t> </w:t>
      </w:r>
      <w:r>
        <w:rPr>
          <w:spacing w:val="-66"/>
        </w:rPr>
      </w:r>
      <w:r>
        <w:rPr>
          <w:spacing w:val="-2"/>
        </w:rPr>
        <w:t>的损益。收到的与收益相关的政府补助，用于补偿以后期间的相关费用或损失的，确认为递延收益，在确认相关费用的期间</w:t>
      </w:r>
      <w:r>
        <w:rPr>
          <w:spacing w:val="-66"/>
        </w:rPr>
        <w:t> </w:t>
      </w:r>
      <w:r>
        <w:rPr>
          <w:spacing w:val="-66"/>
        </w:rPr>
      </w:r>
      <w:r>
        <w:rPr/>
        <w:t>计入当期损益；用于补偿已经发生的相关费用或损失的，取得时直接计入当期损益。</w:t>
      </w:r>
    </w:p>
    <w:p>
      <w:pPr>
        <w:spacing w:line="240" w:lineRule="auto" w:before="3"/>
        <w:rPr>
          <w:rFonts w:ascii="宋体" w:hAnsi="宋体" w:cs="宋体" w:eastAsia="宋体" w:hint="default"/>
          <w:sz w:val="19"/>
          <w:szCs w:val="19"/>
        </w:rPr>
      </w:pPr>
    </w:p>
    <w:p>
      <w:pPr>
        <w:pStyle w:val="Heading3"/>
        <w:spacing w:line="240" w:lineRule="auto"/>
        <w:ind w:right="90"/>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98" w:firstLine="360"/>
        <w:jc w:val="both"/>
      </w:pPr>
      <w:r>
        <w:rPr/>
        <w:t>A、本公司以很可能取得用来抵扣可抵扣暂时性差异的应纳税所得额为限，确认由可抵扣暂时性差异产生的递延所得税 资产。但是同时具有下列特征的交易中因资产或负债的初始确认所产生的递延所得税资产不予确认：</w:t>
      </w:r>
    </w:p>
    <w:p>
      <w:pPr>
        <w:pStyle w:val="BodyText"/>
        <w:spacing w:line="477" w:lineRule="auto" w:before="54"/>
        <w:ind w:left="514" w:right="180"/>
        <w:jc w:val="left"/>
      </w:pPr>
      <w:r>
        <w:rPr/>
        <w:t>a、该项交易不是企业合并；b、交易发生时既不影响会计利润也不影响应纳税所得额（或可抵扣亏损）。 B、本公司对与子公司、联营公司及合营企业投资相关的可抵扣暂时性差异，同时满足下列条件的，确认相应的递延所</w:t>
      </w:r>
    </w:p>
    <w:p>
      <w:pPr>
        <w:pStyle w:val="BodyText"/>
        <w:spacing w:line="240" w:lineRule="auto" w:before="54"/>
        <w:ind w:right="90"/>
        <w:jc w:val="left"/>
      </w:pPr>
      <w:r>
        <w:rPr/>
        <w:t>得税资产：</w:t>
      </w:r>
    </w:p>
    <w:p>
      <w:pPr>
        <w:spacing w:line="240" w:lineRule="auto" w:before="10"/>
        <w:rPr>
          <w:rFonts w:ascii="宋体" w:hAnsi="宋体" w:cs="宋体" w:eastAsia="宋体" w:hint="default"/>
          <w:sz w:val="17"/>
          <w:szCs w:val="17"/>
        </w:rPr>
      </w:pPr>
    </w:p>
    <w:p>
      <w:pPr>
        <w:pStyle w:val="BodyText"/>
        <w:spacing w:line="240" w:lineRule="auto"/>
        <w:ind w:left="514" w:right="90"/>
        <w:jc w:val="left"/>
      </w:pPr>
      <w:r>
        <w:rPr/>
        <w:t>a、暂时性差异在可预见的未来很可能转回；b、未来很可能获得用来抵扣暂时性差异的应纳税所得额。</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40" w:firstLine="360"/>
        <w:jc w:val="left"/>
      </w:pPr>
      <w:r>
        <w:rPr/>
        <w:t>C、本公司对于能够结转以后年度的可抵扣亏损和税款抵减，以很可能获得用来抵扣可抵扣亏损和税款抵减的未来应纳 税所得额为限，确认相应的递延所得税资产。</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1490"/>
        <w:jc w:val="left"/>
      </w:pPr>
      <w:r>
        <w:rPr/>
        <w:t>除下列情况产生的递延所得税负债以外，本公司确认所有应纳税暂时性差异产生的递延所得税负债： A、商誉的初始确认；</w:t>
      </w:r>
    </w:p>
    <w:p>
      <w:pPr>
        <w:pStyle w:val="BodyText"/>
        <w:spacing w:line="477" w:lineRule="auto" w:before="54"/>
        <w:ind w:left="514" w:right="3380"/>
        <w:jc w:val="left"/>
      </w:pPr>
      <w:r>
        <w:rPr/>
        <w:t>B、同时满足具有下列特征的交易中产生的资产或负债的初始确认： a、该项交易不是企业合并； b、交易发生时既不影响会计利润也不影响应纳税所得额（或可抵扣亏损）。</w:t>
      </w:r>
    </w:p>
    <w:p>
      <w:pPr>
        <w:pStyle w:val="BodyText"/>
        <w:spacing w:line="477" w:lineRule="auto" w:before="54"/>
        <w:ind w:left="514" w:right="1220"/>
        <w:jc w:val="left"/>
      </w:pPr>
      <w:r>
        <w:rPr/>
        <w:t>C、本公司对与子公司、联营公司及合营企业投资产生相关的应纳税暂时性差异，同时满足下列条件的： a、投资企业能够控制暂时性差异的转回的时间；</w:t>
      </w:r>
    </w:p>
    <w:p>
      <w:pPr>
        <w:pStyle w:val="BodyText"/>
        <w:spacing w:line="240" w:lineRule="auto" w:before="54"/>
        <w:ind w:left="514" w:right="0"/>
        <w:jc w:val="left"/>
      </w:pPr>
      <w:r>
        <w:rPr/>
        <w:t>b、暂时性差异在可预见的未来很可能不会转回。</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4"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495" w:right="9049"/>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495" w:right="9049"/>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495" w:right="9049"/>
        <w:jc w:val="center"/>
      </w:pPr>
      <w:r>
        <w:rPr/>
        <w:t>无。</w:t>
      </w:r>
    </w:p>
    <w:p>
      <w:pPr>
        <w:spacing w:after="0" w:line="240" w:lineRule="auto"/>
        <w:jc w:val="cente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90"/>
        <w:jc w:val="left"/>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产品销售收入、服务收入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服务收入、租赁收入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应纳增值税额、应纳营业税额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应纳增值税额、应纳营业税额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应纳增值税额、应纳营业税额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应纳增值税额、应纳营业税额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14" w:right="4320"/>
        <w:jc w:val="left"/>
      </w:pPr>
      <w:r>
        <w:rPr/>
        <w:t>（一）增值税及享受的税收优惠政策 本公司及控股子公司为增值税一般纳税人，适用17%的基本税率。</w:t>
      </w:r>
    </w:p>
    <w:p>
      <w:pPr>
        <w:pStyle w:val="BodyText"/>
        <w:spacing w:line="477" w:lineRule="auto" w:before="54"/>
        <w:ind w:right="180" w:firstLine="360"/>
        <w:jc w:val="left"/>
      </w:pPr>
      <w:r>
        <w:rPr/>
        <w:t>根据财政部、国家税务总局2011年10月13日发布的《财政部、国家税务总局关于软件产品增值税政策的通知》（财税 [2011]100号文）的有关规定，自2011年1月1日起对增值税一般纳税人销售其自行开发生产的软件产品，按17％的法定税率 征收增值税后，对其增值税实际税负超过3％的部分实行即征即退政策。</w:t>
      </w:r>
    </w:p>
    <w:p>
      <w:pPr>
        <w:pStyle w:val="BodyText"/>
        <w:spacing w:line="477" w:lineRule="auto" w:before="54"/>
        <w:ind w:left="514" w:right="5850"/>
        <w:jc w:val="left"/>
      </w:pPr>
      <w:r>
        <w:rPr/>
        <w:t>（二）营业税及享受的税收优惠政策 本公司及控股子公司按应税劳务收入5%计征。</w:t>
      </w:r>
    </w:p>
    <w:p>
      <w:pPr>
        <w:pStyle w:val="BodyText"/>
        <w:spacing w:line="477" w:lineRule="auto" w:before="54"/>
        <w:ind w:right="87" w:firstLine="360"/>
        <w:jc w:val="left"/>
      </w:pPr>
      <w:r>
        <w:rPr>
          <w:spacing w:val="-2"/>
        </w:rPr>
        <w:t>根据《财政部、国家税务总局关于贯彻落实&lt;中共中央国务院关于加强技术创新，发展高科技，实现产业化的决定&gt;有关</w:t>
      </w:r>
      <w:r>
        <w:rPr/>
        <w:t> 税收问题的通知》(财税字[1999]第273号)</w:t>
      </w:r>
      <w:r>
        <w:rPr>
          <w:spacing w:val="-40"/>
        </w:rPr>
        <w:t> </w:t>
      </w:r>
      <w:r>
        <w:rPr/>
        <w:t>及《深圳市技术转让技术开发及相关服务性收入免征营业税审批管理办法》（深</w:t>
      </w:r>
      <w:r>
        <w:rPr/>
        <w:t> </w:t>
      </w:r>
      <w:r>
        <w:rPr>
          <w:spacing w:val="-3"/>
        </w:rPr>
        <w:t>地税发〔2003〕348号)规定：对单位和个人从事技术转让、技术开发业务和与之相关的技术咨询、技术服务业务取得的收入，</w:t>
      </w:r>
      <w:r>
        <w:rPr>
          <w:spacing w:val="-87"/>
        </w:rPr>
        <w:t> </w:t>
      </w:r>
      <w:r>
        <w:rPr>
          <w:spacing w:val="-87"/>
        </w:rPr>
      </w:r>
      <w:r>
        <w:rPr/>
        <w:t>免征营业税。</w:t>
      </w:r>
    </w:p>
    <w:p>
      <w:pPr>
        <w:pStyle w:val="BodyText"/>
        <w:spacing w:line="477" w:lineRule="auto" w:before="54"/>
        <w:ind w:left="153" w:right="174" w:firstLine="360"/>
        <w:jc w:val="left"/>
      </w:pPr>
      <w:r>
        <w:rPr>
          <w:spacing w:val="-5"/>
        </w:rPr>
        <w:t>根据财税[2012]71号《财政部</w:t>
      </w:r>
      <w:r>
        <w:rPr>
          <w:spacing w:val="2"/>
        </w:rPr>
        <w:t> </w:t>
      </w:r>
      <w:r>
        <w:rPr/>
        <w:t>国家税务总局关于在北京等8省市开展交通运输业和部分现代服务业营业税改征增值税试</w:t>
      </w:r>
      <w:r>
        <w:rPr/>
        <w:t> 点的通知》，本公司于2012年11月，原服务收入缴纳营业税改为缴纳增值税，税率为6%。</w:t>
      </w:r>
    </w:p>
    <w:p>
      <w:pPr>
        <w:pStyle w:val="BodyText"/>
        <w:spacing w:line="240" w:lineRule="auto" w:before="54"/>
        <w:ind w:left="513" w:right="90"/>
        <w:jc w:val="left"/>
      </w:pPr>
      <w:r>
        <w:rPr/>
        <w:t>（三）企业所得税及享受的税收优惠政策</w:t>
      </w:r>
    </w:p>
    <w:p>
      <w:pPr>
        <w:spacing w:line="240" w:lineRule="auto" w:before="10"/>
        <w:rPr>
          <w:rFonts w:ascii="宋体" w:hAnsi="宋体" w:cs="宋体" w:eastAsia="宋体" w:hint="default"/>
          <w:sz w:val="17"/>
          <w:szCs w:val="17"/>
        </w:rPr>
      </w:pPr>
    </w:p>
    <w:p>
      <w:pPr>
        <w:pStyle w:val="BodyText"/>
        <w:spacing w:line="477" w:lineRule="auto"/>
        <w:ind w:left="153" w:right="191" w:firstLine="360"/>
        <w:jc w:val="both"/>
      </w:pPr>
      <w:r>
        <w:rPr/>
        <w:t>（1）本公司通过高新技术企业复审，于2011年10月31日取得深圳市科技工贸和信息化委员会、深圳市财政委员会、深 </w:t>
      </w:r>
      <w:r>
        <w:rPr>
          <w:spacing w:val="-2"/>
        </w:rPr>
        <w:t>圳市国家税务局、深圳市地方税务局联合下发的《高新技术企业证书》，有效期三年。本公司从2011年度起连续三年继续享</w:t>
      </w:r>
      <w:r>
        <w:rPr>
          <w:spacing w:val="-62"/>
        </w:rPr>
        <w:t> </w:t>
      </w:r>
      <w:r>
        <w:rPr>
          <w:spacing w:val="-62"/>
        </w:rPr>
      </w:r>
      <w:r>
        <w:rPr/>
        <w:t>受减按15%税率征收企业所得税。</w:t>
      </w:r>
    </w:p>
    <w:p>
      <w:pPr>
        <w:pStyle w:val="BodyText"/>
        <w:spacing w:line="477" w:lineRule="auto" w:before="54"/>
        <w:ind w:left="513" w:right="181"/>
        <w:jc w:val="left"/>
      </w:pPr>
      <w:r>
        <w:rPr/>
        <w:t>（2）本公司的控股子公司深圳市银之杰金融设备有限公司成立于2008年11月，法定企业所得税税率为25%。 根据《财政部、国家税务总局关于企业所得税若干优惠政策的通知》(财税[2008]1号)规定，本公司的控股子公司深圳</w:t>
      </w:r>
    </w:p>
    <w:p>
      <w:pPr>
        <w:spacing w:after="0" w:line="477"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r>
        <w:rPr/>
        <w:pict>
          <v:shape style="position:absolute;margin-left:259.559387pt;margin-top:629.460022pt;width:59.2pt;height:126.8pt;mso-position-horizontal-relative:page;mso-position-vertical-relative:page;z-index:-6361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BodyText"/>
                    <w:spacing w:line="240" w:lineRule="auto"/>
                    <w:ind w:left="0" w:right="0"/>
                    <w:jc w:val="left"/>
                  </w:pPr>
                  <w:r>
                    <w:rPr/>
                    <w:t>销售、</w:t>
                  </w:r>
                </w:p>
              </w:txbxContent>
            </v:textbox>
            <w10:wrap type="none"/>
          </v:shape>
        </w:pict>
      </w:r>
      <w:r>
        <w:rPr/>
        <w:pict>
          <v:group style="position:absolute;margin-left:283.739990pt;margin-top:629.460022pt;width:35pt;height:126.8pt;mso-position-horizontal-relative:page;mso-position-vertical-relative:page;z-index:-636160" coordorigin="5675,12589" coordsize="700,2536">
            <v:group style="position:absolute;left:5675;top:12589;width:700;height:2536" coordorigin="5675,12589" coordsize="700,2536">
              <v:shape style="position:absolute;left:5675;top:12589;width:700;height:2536" coordorigin="5675,12589" coordsize="700,2536" path="m5675,15125l6374,15125,6374,12589,5675,12589,5675,15125xe" filled="true" fillcolor="#ffffff" stroked="false">
                <v:path arrowok="t"/>
                <v:fill type="solid"/>
              </v:shape>
            </v:group>
            <v:group style="position:absolute;left:5698;top:13505;width:653;height:353" coordorigin="5698,13505" coordsize="653,353">
              <v:shape style="position:absolute;left:5698;top:13505;width:653;height:353" coordorigin="5698,13505" coordsize="653,353" path="m5698,13858l6350,13858,6350,13505,5698,13505,5698,13858xe" filled="true" fillcolor="#ffffff" stroked="false">
                <v:path arrowok="t"/>
                <v:fill type="solid"/>
              </v:shape>
            </v:group>
            <v:group style="position:absolute;left:5698;top:13858;width:653;height:352" coordorigin="5698,13858" coordsize="653,352">
              <v:shape style="position:absolute;left:5698;top:13858;width:653;height:352" coordorigin="5698,13858" coordsize="653,352" path="m5698,14209l6350,14209,6350,13858,5698,13858,5698,14209xe" filled="true" fillcolor="#ffffff" stroked="false">
                <v:path arrowok="t"/>
                <v:fill type="solid"/>
              </v:shape>
            </v:group>
            <w10:wrap type="none"/>
          </v:group>
        </w:pict>
      </w:r>
    </w:p>
    <w:p>
      <w:pPr>
        <w:spacing w:line="240" w:lineRule="auto" w:before="3"/>
        <w:rPr>
          <w:rFonts w:ascii="宋体" w:hAnsi="宋体" w:cs="宋体" w:eastAsia="宋体" w:hint="default"/>
          <w:sz w:val="15"/>
          <w:szCs w:val="15"/>
        </w:rPr>
      </w:pPr>
    </w:p>
    <w:p>
      <w:pPr>
        <w:pStyle w:val="BodyText"/>
        <w:spacing w:line="477" w:lineRule="auto"/>
        <w:ind w:right="680"/>
        <w:jc w:val="left"/>
      </w:pPr>
      <w:r>
        <w:rPr/>
        <w:t>市银之杰金融设备有限公司于2009年12月经深圳市福田区国家税务局深国税福减免备案[2009]227号文件备案登记，同意该 公司从开始获利年度起，两年免征企业所得税，三年减半征收企业所得税。</w:t>
      </w:r>
    </w:p>
    <w:p>
      <w:pPr>
        <w:pStyle w:val="BodyText"/>
        <w:spacing w:line="477" w:lineRule="auto" w:before="54"/>
        <w:ind w:right="690" w:firstLine="360"/>
        <w:jc w:val="both"/>
      </w:pPr>
      <w:r>
        <w:rPr>
          <w:spacing w:val="-2"/>
        </w:rPr>
        <w:t>2009年度为本公司的控股子公司深圳市银之杰金融设备有限公司的第一获利年度，2012年度为减半征收，企业所得税率</w:t>
      </w:r>
      <w:r>
        <w:rPr/>
        <w:t> 为12.5%。</w:t>
      </w:r>
    </w:p>
    <w:p>
      <w:pPr>
        <w:pStyle w:val="BodyText"/>
        <w:spacing w:line="477" w:lineRule="auto" w:before="54"/>
        <w:ind w:left="514" w:right="680"/>
        <w:jc w:val="left"/>
      </w:pPr>
      <w:r>
        <w:rPr/>
        <w:t>（3）本公司的控股子公司深圳市银之杰技术开发有限公司成立于2011年5月，法定企业所得税税率为25%。 根据《财政部、国家税务总局关于企业所得税若干优惠政策的通知》(财税[2008]1号)规定，本公司的控股子公司深圳</w:t>
      </w:r>
    </w:p>
    <w:p>
      <w:pPr>
        <w:pStyle w:val="BodyText"/>
        <w:spacing w:line="477" w:lineRule="auto" w:before="54"/>
        <w:ind w:right="680"/>
        <w:jc w:val="left"/>
      </w:pPr>
      <w:r>
        <w:rPr>
          <w:spacing w:val="-2"/>
        </w:rPr>
        <w:t>市银之杰技术开发有限公司于2012年5月经深圳市福田区国家税务局深国税福减免备案[2012]425号文件备案登记，同意该公</w:t>
      </w:r>
      <w:r>
        <w:rPr>
          <w:spacing w:val="-50"/>
        </w:rPr>
        <w:t> </w:t>
      </w:r>
      <w:r>
        <w:rPr>
          <w:spacing w:val="-50"/>
        </w:rPr>
      </w:r>
      <w:r>
        <w:rPr/>
        <w:t>司从开始获利年度起，两年免征企业所得税，三年减半征收企业所得税。</w:t>
      </w:r>
    </w:p>
    <w:p>
      <w:pPr>
        <w:spacing w:line="240" w:lineRule="auto" w:before="3"/>
        <w:rPr>
          <w:rFonts w:ascii="宋体" w:hAnsi="宋体" w:cs="宋体" w:eastAsia="宋体" w:hint="default"/>
          <w:sz w:val="19"/>
          <w:szCs w:val="19"/>
        </w:rPr>
      </w:pPr>
    </w:p>
    <w:p>
      <w:pPr>
        <w:pStyle w:val="Heading3"/>
        <w:spacing w:line="240" w:lineRule="auto"/>
        <w:ind w:right="68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691" w:firstLine="360"/>
        <w:jc w:val="both"/>
      </w:pPr>
      <w:r>
        <w:rPr/>
        <w:t>根据《国务院关于印发进一步鼓励软件产业和集成电路产业发展若干政策的通知》(国发〔2011〕4号)的有关规定，继 </w:t>
      </w:r>
      <w:r>
        <w:rPr>
          <w:spacing w:val="-2"/>
        </w:rPr>
        <w:t>续实施软件增值税优惠政策；对符合条件的软件企业和集成电路设计企业从事软件开发与测试，信息系统集成、咨询和运营</w:t>
      </w:r>
      <w:r>
        <w:rPr>
          <w:spacing w:val="-66"/>
        </w:rPr>
        <w:t> </w:t>
      </w:r>
      <w:r>
        <w:rPr>
          <w:spacing w:val="-66"/>
        </w:rPr>
      </w:r>
      <w:r>
        <w:rPr/>
        <w:t>维护，集成电路设计等业务，免征营业税。</w:t>
      </w:r>
    </w:p>
    <w:p>
      <w:pPr>
        <w:spacing w:line="240" w:lineRule="auto" w:before="7"/>
        <w:rPr>
          <w:rFonts w:ascii="宋体" w:hAnsi="宋体" w:cs="宋体" w:eastAsia="宋体" w:hint="default"/>
          <w:sz w:val="17"/>
          <w:szCs w:val="17"/>
        </w:rPr>
      </w:pPr>
    </w:p>
    <w:p>
      <w:pPr>
        <w:pStyle w:val="Heading2"/>
        <w:spacing w:line="240" w:lineRule="auto"/>
        <w:ind w:right="680"/>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68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68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6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590"/>
        <w:gridCol w:w="426"/>
        <w:gridCol w:w="851"/>
        <w:gridCol w:w="709"/>
        <w:gridCol w:w="1274"/>
        <w:gridCol w:w="709"/>
        <w:gridCol w:w="709"/>
        <w:gridCol w:w="566"/>
        <w:gridCol w:w="568"/>
        <w:gridCol w:w="566"/>
        <w:gridCol w:w="544"/>
        <w:gridCol w:w="683"/>
        <w:gridCol w:w="1325"/>
      </w:tblGrid>
      <w:tr>
        <w:trPr>
          <w:trHeight w:val="2586"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0" w:right="108"/>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17" w:right="26"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9" w:right="78"/>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4"/>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52" w:right="53"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8" w:right="96"/>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86" w:right="8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6"/>
              <w:jc w:val="center"/>
              <w:rPr>
                <w:rFonts w:ascii="宋体" w:hAnsi="宋体" w:cs="宋体" w:eastAsia="宋体" w:hint="default"/>
                <w:sz w:val="18"/>
                <w:szCs w:val="18"/>
              </w:rPr>
            </w:pPr>
            <w:r>
              <w:rPr>
                <w:rFonts w:ascii="宋体" w:hAnsi="宋体" w:cs="宋体" w:eastAsia="宋体" w:hint="default"/>
                <w:sz w:val="18"/>
                <w:szCs w:val="18"/>
              </w:rPr>
              <w:t>从母公司所有者 权益冲减子公司 少数股东分担的 本期亏损超过少 数股东在该子公 司年初所有者权 益中所享有份额 后的余额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426"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计算机硬件、计</w:t>
            </w: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4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
        </w:tc>
      </w:tr>
      <w:tr>
        <w:trPr>
          <w:trHeight w:val="1871"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9" w:lineRule="auto" w:before="146"/>
              <w:ind w:left="22" w:right="110"/>
              <w:jc w:val="both"/>
              <w:rPr>
                <w:rFonts w:ascii="宋体" w:hAnsi="宋体" w:cs="宋体" w:eastAsia="宋体" w:hint="default"/>
                <w:sz w:val="18"/>
                <w:szCs w:val="18"/>
              </w:rPr>
            </w:pPr>
            <w:r>
              <w:rPr>
                <w:rFonts w:ascii="宋体" w:hAnsi="宋体" w:cs="宋体" w:eastAsia="宋体" w:hint="default"/>
                <w:sz w:val="18"/>
                <w:szCs w:val="18"/>
              </w:rPr>
              <w:t>深圳市 银之杰 金融设 备有限 公司</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3"/>
              <w:ind w:left="22" w:right="96"/>
              <w:jc w:val="left"/>
              <w:rPr>
                <w:rFonts w:ascii="宋体" w:hAnsi="宋体" w:cs="宋体" w:eastAsia="宋体" w:hint="default"/>
                <w:sz w:val="18"/>
                <w:szCs w:val="18"/>
              </w:rPr>
            </w:pPr>
            <w:r>
              <w:rPr>
                <w:rFonts w:ascii="宋体" w:hAnsi="宋体" w:cs="宋体" w:eastAsia="宋体" w:hint="default"/>
                <w:sz w:val="18"/>
                <w:szCs w:val="18"/>
              </w:rPr>
              <w:t>软件开 发、生产</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算机外围设备、 金融自动化设 </w:t>
            </w:r>
            <w:r>
              <w:rPr>
                <w:rFonts w:ascii="宋体" w:hAnsi="宋体" w:cs="宋体" w:eastAsia="宋体" w:hint="default"/>
                <w:spacing w:val="-6"/>
                <w:sz w:val="18"/>
                <w:szCs w:val="18"/>
              </w:rPr>
              <w:t>备、图像采集设</w:t>
            </w:r>
            <w:r>
              <w:rPr>
                <w:rFonts w:ascii="宋体" w:hAnsi="宋体" w:cs="宋体" w:eastAsia="宋体" w:hint="default"/>
                <w:sz w:val="18"/>
                <w:szCs w:val="18"/>
              </w:rPr>
              <w:t> </w:t>
            </w:r>
            <w:r>
              <w:rPr>
                <w:rFonts w:ascii="宋体" w:hAnsi="宋体" w:cs="宋体" w:eastAsia="宋体" w:hint="default"/>
                <w:spacing w:val="-6"/>
                <w:sz w:val="18"/>
                <w:szCs w:val="18"/>
              </w:rPr>
              <w:t>备、机具、自助</w:t>
            </w:r>
            <w:r>
              <w:rPr>
                <w:rFonts w:ascii="宋体" w:hAnsi="宋体" w:cs="宋体" w:eastAsia="宋体" w:hint="default"/>
                <w:sz w:val="18"/>
                <w:szCs w:val="18"/>
              </w:rPr>
              <w:t> </w:t>
            </w:r>
            <w:r>
              <w:rPr>
                <w:rFonts w:ascii="宋体" w:hAnsi="宋体" w:cs="宋体" w:eastAsia="宋体" w:hint="default"/>
                <w:spacing w:val="-6"/>
                <w:sz w:val="18"/>
                <w:szCs w:val="18"/>
              </w:rPr>
              <w:t>服务设备、打印</w:t>
            </w:r>
            <w:r>
              <w:rPr>
                <w:rFonts w:ascii="宋体" w:hAnsi="宋体" w:cs="宋体" w:eastAsia="宋体" w:hint="default"/>
                <w:sz w:val="18"/>
                <w:szCs w:val="18"/>
              </w:rPr>
              <w:t> 设备的技术开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100%</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318" w:hRule="exact"/>
        </w:trPr>
        <w:tc>
          <w:tcPr>
            <w:tcW w:w="685"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426"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发、生产、</w:t>
            </w: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4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4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590"/>
        <w:gridCol w:w="426"/>
        <w:gridCol w:w="851"/>
        <w:gridCol w:w="709"/>
        <w:gridCol w:w="1274"/>
        <w:gridCol w:w="709"/>
        <w:gridCol w:w="709"/>
        <w:gridCol w:w="566"/>
        <w:gridCol w:w="568"/>
        <w:gridCol w:w="566"/>
        <w:gridCol w:w="544"/>
        <w:gridCol w:w="683"/>
        <w:gridCol w:w="1325"/>
      </w:tblGrid>
      <w:tr>
        <w:trPr>
          <w:trHeight w:val="1922" w:hRule="exact"/>
        </w:trPr>
        <w:tc>
          <w:tcPr>
            <w:tcW w:w="685"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
              <w:jc w:val="left"/>
              <w:rPr>
                <w:rFonts w:ascii="宋体" w:hAnsi="宋体" w:cs="宋体" w:eastAsia="宋体" w:hint="default"/>
                <w:sz w:val="18"/>
                <w:szCs w:val="18"/>
              </w:rPr>
            </w:pPr>
            <w:r>
              <w:rPr>
                <w:rFonts w:ascii="宋体" w:hAnsi="宋体" w:cs="宋体" w:eastAsia="宋体" w:hint="default"/>
                <w:spacing w:val="-6"/>
                <w:sz w:val="18"/>
                <w:szCs w:val="18"/>
              </w:rPr>
              <w:t>上门维修；计算</w:t>
            </w:r>
            <w:r>
              <w:rPr>
                <w:rFonts w:ascii="宋体" w:hAnsi="宋体" w:cs="宋体" w:eastAsia="宋体" w:hint="default"/>
                <w:sz w:val="18"/>
                <w:szCs w:val="18"/>
              </w:rPr>
              <w:t> </w:t>
            </w:r>
            <w:r>
              <w:rPr>
                <w:rFonts w:ascii="宋体" w:hAnsi="宋体" w:cs="宋体" w:eastAsia="宋体" w:hint="default"/>
                <w:spacing w:val="-6"/>
                <w:sz w:val="18"/>
                <w:szCs w:val="18"/>
              </w:rPr>
              <w:t>机软硬件、金融</w:t>
            </w:r>
            <w:r>
              <w:rPr>
                <w:rFonts w:ascii="宋体" w:hAnsi="宋体" w:cs="宋体" w:eastAsia="宋体" w:hint="default"/>
                <w:sz w:val="18"/>
                <w:szCs w:val="18"/>
              </w:rPr>
              <w:t> 专用设备的上 </w:t>
            </w:r>
            <w:r>
              <w:rPr>
                <w:rFonts w:ascii="宋体" w:hAnsi="宋体" w:cs="宋体" w:eastAsia="宋体" w:hint="default"/>
                <w:spacing w:val="-6"/>
                <w:sz w:val="18"/>
                <w:szCs w:val="18"/>
              </w:rPr>
              <w:t>门维修、技术开</w:t>
            </w:r>
            <w:r>
              <w:rPr>
                <w:rFonts w:ascii="宋体" w:hAnsi="宋体" w:cs="宋体" w:eastAsia="宋体" w:hint="default"/>
                <w:sz w:val="18"/>
                <w:szCs w:val="18"/>
              </w:rPr>
              <w:t> 发与技术咨询； 系统集成。</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深圳市 银之杰 技术开 发有限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6"/>
                <w:sz w:val="18"/>
                <w:szCs w:val="18"/>
              </w:rPr>
              <w:t>计算机软、硬件</w:t>
            </w:r>
            <w:r>
              <w:rPr>
                <w:rFonts w:ascii="宋体" w:hAnsi="宋体" w:cs="宋体" w:eastAsia="宋体" w:hint="default"/>
                <w:sz w:val="18"/>
                <w:szCs w:val="18"/>
              </w:rPr>
              <w:t> </w:t>
            </w:r>
            <w:r>
              <w:rPr>
                <w:rFonts w:ascii="宋体" w:hAnsi="宋体" w:cs="宋体" w:eastAsia="宋体" w:hint="default"/>
                <w:spacing w:val="-6"/>
                <w:sz w:val="18"/>
                <w:szCs w:val="18"/>
              </w:rPr>
              <w:t>的技术设计、技</w:t>
            </w:r>
            <w:r>
              <w:rPr>
                <w:rFonts w:ascii="宋体" w:hAnsi="宋体" w:cs="宋体" w:eastAsia="宋体" w:hint="default"/>
                <w:sz w:val="18"/>
                <w:szCs w:val="18"/>
              </w:rPr>
              <w:t> </w:t>
            </w:r>
            <w:r>
              <w:rPr>
                <w:rFonts w:ascii="宋体" w:hAnsi="宋体" w:cs="宋体" w:eastAsia="宋体" w:hint="default"/>
                <w:spacing w:val="-6"/>
                <w:sz w:val="18"/>
                <w:szCs w:val="18"/>
              </w:rPr>
              <w:t>术开发、技术咨</w:t>
            </w:r>
            <w:r>
              <w:rPr>
                <w:rFonts w:ascii="宋体" w:hAnsi="宋体" w:cs="宋体" w:eastAsia="宋体" w:hint="default"/>
                <w:sz w:val="18"/>
                <w:szCs w:val="18"/>
              </w:rPr>
              <w:t> 询与销售。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100%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6531"/>
        <w:jc w:val="left"/>
      </w:pPr>
      <w:r>
        <w:rPr/>
        <w:t>通过设立或投资等方式取得的子公司的其他说明 无。</w:t>
      </w:r>
    </w:p>
    <w:p>
      <w:pPr>
        <w:spacing w:line="240" w:lineRule="auto" w:before="2"/>
        <w:rPr>
          <w:rFonts w:ascii="宋体" w:hAnsi="宋体" w:cs="宋体" w:eastAsia="宋体" w:hint="default"/>
          <w:sz w:val="20"/>
          <w:szCs w:val="20"/>
        </w:rPr>
      </w:pPr>
    </w:p>
    <w:p>
      <w:pPr>
        <w:pStyle w:val="Heading3"/>
        <w:spacing w:line="240" w:lineRule="auto"/>
        <w:ind w:right="68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68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68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68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68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680"/>
        <w:jc w:val="left"/>
      </w:pPr>
      <w:r>
        <w:rPr/>
        <w:t>无。</w:t>
      </w:r>
    </w:p>
    <w:p>
      <w:pPr>
        <w:spacing w:line="240" w:lineRule="auto" w:before="12"/>
        <w:rPr>
          <w:rFonts w:ascii="宋体" w:hAnsi="宋体" w:cs="宋体" w:eastAsia="宋体" w:hint="default"/>
          <w:sz w:val="26"/>
          <w:szCs w:val="26"/>
        </w:rPr>
      </w:pPr>
    </w:p>
    <w:p>
      <w:pPr>
        <w:pStyle w:val="Heading3"/>
        <w:spacing w:line="240" w:lineRule="auto"/>
        <w:ind w:right="68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680"/>
        <w:jc w:val="left"/>
      </w:pPr>
      <w:r>
        <w:rPr/>
        <w:t>无。</w:t>
      </w:r>
    </w:p>
    <w:p>
      <w:pPr>
        <w:spacing w:line="240" w:lineRule="auto" w:before="12"/>
        <w:rPr>
          <w:rFonts w:ascii="宋体" w:hAnsi="宋体" w:cs="宋体" w:eastAsia="宋体" w:hint="default"/>
          <w:sz w:val="26"/>
          <w:szCs w:val="26"/>
        </w:rPr>
      </w:pPr>
    </w:p>
    <w:p>
      <w:pPr>
        <w:pStyle w:val="Heading3"/>
        <w:spacing w:line="240" w:lineRule="auto"/>
        <w:ind w:right="68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680"/>
        <w:jc w:val="left"/>
      </w:pPr>
      <w:r>
        <w:rPr/>
        <w:t>无。</w:t>
      </w:r>
    </w:p>
    <w:p>
      <w:pPr>
        <w:spacing w:line="240" w:lineRule="auto" w:before="12"/>
        <w:rPr>
          <w:rFonts w:ascii="宋体" w:hAnsi="宋体" w:cs="宋体" w:eastAsia="宋体" w:hint="default"/>
          <w:sz w:val="26"/>
          <w:szCs w:val="26"/>
        </w:rPr>
      </w:pPr>
    </w:p>
    <w:p>
      <w:pPr>
        <w:pStyle w:val="Heading3"/>
        <w:spacing w:line="240" w:lineRule="auto"/>
        <w:ind w:right="68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680"/>
        <w:jc w:val="left"/>
      </w:pPr>
      <w:r>
        <w:rPr/>
        <w:t>无。</w:t>
      </w:r>
    </w:p>
    <w:p>
      <w:pPr>
        <w:spacing w:line="240" w:lineRule="auto" w:before="12"/>
        <w:rPr>
          <w:rFonts w:ascii="宋体" w:hAnsi="宋体" w:cs="宋体" w:eastAsia="宋体" w:hint="default"/>
          <w:sz w:val="26"/>
          <w:szCs w:val="26"/>
        </w:rPr>
      </w:pPr>
    </w:p>
    <w:p>
      <w:pPr>
        <w:pStyle w:val="Heading3"/>
        <w:spacing w:line="240" w:lineRule="auto"/>
        <w:ind w:right="68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680"/>
        <w:jc w:val="left"/>
      </w:pPr>
      <w:r>
        <w:rPr/>
        <w:t>无。</w:t>
      </w:r>
    </w:p>
    <w:p>
      <w:pPr>
        <w:spacing w:after="0" w:line="240" w:lineRule="auto"/>
        <w:jc w:val="left"/>
        <w:sectPr>
          <w:pgSz w:w="11910" w:h="16840"/>
          <w:pgMar w:header="747" w:footer="982" w:top="1060" w:bottom="1180" w:left="980" w:right="4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七、合并财务报表主要项目注释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166,147.46</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105,096.28</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166,147.46</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105,096.28</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349,916,040.36</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387,686,414.24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349,916,040.36</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387,686,414.24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3,026,445.00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3,026,445.00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353,108,632.82</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387,791,510.52</w:t>
            </w:r>
          </w:p>
        </w:tc>
      </w:tr>
    </w:tbl>
    <w:p>
      <w:pPr>
        <w:spacing w:line="240" w:lineRule="auto" w:before="6"/>
        <w:rPr>
          <w:rFonts w:ascii="宋体" w:hAnsi="宋体" w:cs="宋体" w:eastAsia="宋体" w:hint="default"/>
          <w:sz w:val="6"/>
          <w:szCs w:val="6"/>
        </w:rPr>
      </w:pPr>
    </w:p>
    <w:p>
      <w:pPr>
        <w:pStyle w:val="BodyText"/>
        <w:spacing w:line="516" w:lineRule="auto" w:before="44"/>
        <w:ind w:left="513" w:right="2571" w:hanging="360"/>
        <w:jc w:val="left"/>
      </w:pPr>
      <w:r>
        <w:rPr/>
        <w:t>如有因抵押、质押或冻结等对使用有限制、存放在境外、有潜在回收风险的款项应单独说明 期末货币资金不存在抵押，质押和冻结情况。</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95" w:right="9049"/>
        <w:jc w:val="center"/>
      </w:pPr>
      <w:r>
        <w:rPr/>
        <w:t>无。</w:t>
      </w:r>
    </w:p>
    <w:p>
      <w:pPr>
        <w:spacing w:after="0" w:line="240" w:lineRule="auto"/>
        <w:jc w:val="cente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134"/>
        <w:gridCol w:w="850"/>
        <w:gridCol w:w="1134"/>
        <w:gridCol w:w="852"/>
        <w:gridCol w:w="1134"/>
        <w:gridCol w:w="780"/>
        <w:gridCol w:w="1204"/>
        <w:gridCol w:w="923"/>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97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560" w:type="dxa"/>
            <w:vMerge/>
            <w:tcBorders>
              <w:left w:val="single" w:sz="4" w:space="0" w:color="000000"/>
              <w:right w:val="single" w:sz="4" w:space="0" w:color="000000"/>
            </w:tcBorders>
            <w:shd w:val="clear" w:color="auto" w:fill="D3D3D3"/>
          </w:tcPr>
          <w:p>
            <w:pP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8"/>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74,185,884.24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center"/>
              <w:rPr>
                <w:rFonts w:ascii="Times New Roman" w:hAnsi="Times New Roman" w:cs="Times New Roman" w:eastAsia="Times New Roman" w:hint="default"/>
                <w:sz w:val="18"/>
                <w:szCs w:val="18"/>
              </w:rPr>
            </w:pPr>
            <w:r>
              <w:rPr>
                <w:rFonts w:ascii="Times New Roman"/>
                <w:sz w:val="18"/>
              </w:rPr>
              <w:t>6,664,363.21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68,109,224.31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5,538,259.71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74,185,884.24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center"/>
              <w:rPr>
                <w:rFonts w:ascii="Times New Roman" w:hAnsi="Times New Roman" w:cs="Times New Roman" w:eastAsia="Times New Roman" w:hint="default"/>
                <w:sz w:val="18"/>
                <w:szCs w:val="18"/>
              </w:rPr>
            </w:pPr>
            <w:r>
              <w:rPr>
                <w:rFonts w:ascii="Times New Roman"/>
                <w:sz w:val="18"/>
              </w:rPr>
              <w:t>6,664,363.21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68,109,224.31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5,538,259.71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8.13%</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74,185,884.24</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center"/>
              <w:rPr>
                <w:rFonts w:ascii="Times New Roman" w:hAnsi="Times New Roman" w:cs="Times New Roman" w:eastAsia="Times New Roman" w:hint="default"/>
                <w:sz w:val="18"/>
                <w:szCs w:val="18"/>
              </w:rPr>
            </w:pPr>
            <w:r>
              <w:rPr>
                <w:rFonts w:ascii="Times New Roman"/>
                <w:sz w:val="18"/>
              </w:rPr>
              <w:t>6,664,363.21</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68,109,224.31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5,538,259.71</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516" w:lineRule="auto" w:before="44"/>
        <w:ind w:left="513" w:right="0" w:hanging="360"/>
        <w:jc w:val="left"/>
      </w:pPr>
      <w:r>
        <w:rPr/>
        <w:t>应收账款种类的说明 </w:t>
      </w:r>
      <w:r>
        <w:rPr>
          <w:spacing w:val="-2"/>
        </w:rPr>
        <w:t>按款项账龄的组合计提坏账准备的应收账款，是指将未单项计提坏账准备的应收账款按账龄划分为若干组合，根据以前</w:t>
      </w:r>
    </w:p>
    <w:p>
      <w:pPr>
        <w:pStyle w:val="BodyText"/>
        <w:spacing w:line="477" w:lineRule="auto" w:before="25"/>
        <w:ind w:left="153" w:right="0"/>
        <w:jc w:val="left"/>
      </w:pPr>
      <w:r>
        <w:rPr>
          <w:spacing w:val="-2"/>
        </w:rPr>
        <w:t>年度与之相同或相类似的、具有类似信用风险特征的应收账款组合的实际损失率为基础，结合现时情况确定各项组合计提坏</w:t>
      </w:r>
      <w:r>
        <w:rPr>
          <w:spacing w:val="-64"/>
        </w:rPr>
        <w:t> </w:t>
      </w:r>
      <w:r>
        <w:rPr>
          <w:spacing w:val="-64"/>
        </w:rPr>
      </w:r>
      <w:r>
        <w:rPr/>
        <w:t>账准备的比例，据此计算应计提的坏账准备。</w:t>
      </w:r>
    </w:p>
    <w:p>
      <w:pPr>
        <w:pStyle w:val="BodyText"/>
        <w:spacing w:line="240" w:lineRule="auto" w:before="97"/>
        <w:ind w:left="153" w:right="0"/>
        <w:jc w:val="left"/>
      </w:pPr>
      <w:r>
        <w:rPr/>
        <w:t>期末单项金额重大并单项计提坏账准备的应收账款</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6"/>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47" w:footer="982" w:top="1060" w:bottom="1180" w:left="980" w:right="980"/>
        </w:sectPr>
      </w:pPr>
    </w:p>
    <w:p>
      <w:pPr>
        <w:pStyle w:val="BodyText"/>
        <w:spacing w:line="240" w:lineRule="auto" w:before="44"/>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280" w:left="980" w:right="980"/>
          <w:cols w:num="2" w:equalWidth="0">
            <w:col w:w="3935" w:space="489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2"/>
      </w:tblGrid>
      <w:tr>
        <w:trPr>
          <w:trHeight w:val="402"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51,662,260.94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2,583,113.05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50,895,138.84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2,544,756.94</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51,662,260.94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2,583,113.05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50,895,138.84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2,544,756.94</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13,301,856.85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1,330,185.69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10,267,734.67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1,026,773.47</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6,199,395.81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1,239,879.16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5,021,487.00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1,004,297.40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3,022,370.64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1,511,185.32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1,924,863.80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962,431.90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3,022,370.64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1,511,185.32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1,924,863.80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962,431.90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74,185,884.24</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6,664,363.21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68,109,224.31</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5,538,259.71</w:t>
            </w:r>
          </w:p>
        </w:tc>
      </w:tr>
    </w:tbl>
    <w:p>
      <w:pPr>
        <w:pStyle w:val="BodyText"/>
        <w:spacing w:line="240" w:lineRule="auto" w:before="51"/>
        <w:ind w:right="0"/>
        <w:jc w:val="left"/>
      </w:pPr>
      <w:r>
        <w:rPr/>
        <w:t>组合中，采用余额百分比法计提坏账准备的应收账款</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type w:val="continuous"/>
          <w:pgSz w:w="11910" w:h="16840"/>
          <w:pgMar w:top="1060" w:bottom="2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组合中，采用其他方法计提坏账准备的应收账款</w:t>
      </w:r>
    </w:p>
    <w:p>
      <w:pPr>
        <w:pStyle w:val="BodyText"/>
        <w:spacing w:line="340" w:lineRule="auto" w:before="116"/>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560"/>
        <w:gridCol w:w="1914"/>
        <w:gridCol w:w="1914"/>
        <w:gridCol w:w="1914"/>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中国农业银行山西省分行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3,819,355.00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广东华兴银行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3,435,710.40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中国农业银行江苏省分行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3,280,707.50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中国银行广东省分行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2,768,120.80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中国农业银行福建省分行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2,728,839.00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一至三年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16,032,732.70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6,812,685.07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450,813.52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4,604,425.16</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534,563.61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11.61%</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6,812,685.07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450,813.52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4,604,425.16</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534,563.61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11.61%</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6,812,685.07</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450,813.52</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4,604,425.16</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534,563.61</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516" w:lineRule="auto" w:before="44"/>
        <w:ind w:left="513" w:right="0" w:hanging="360"/>
        <w:jc w:val="left"/>
      </w:pPr>
      <w:r>
        <w:rPr/>
        <w:t>其他应收款种类的说明 </w:t>
      </w:r>
      <w:r>
        <w:rPr>
          <w:spacing w:val="-2"/>
        </w:rPr>
        <w:t>按款项账龄的组合计提坏账准备的其他应收款，是指将未单项计提坏账准备的其他应收款按账龄划分为若干组合，根据</w:t>
      </w:r>
    </w:p>
    <w:p>
      <w:pPr>
        <w:pStyle w:val="BodyText"/>
        <w:spacing w:line="477" w:lineRule="auto" w:before="25"/>
        <w:ind w:left="153" w:right="0"/>
        <w:jc w:val="left"/>
      </w:pPr>
      <w:r>
        <w:rPr>
          <w:spacing w:val="-2"/>
        </w:rPr>
        <w:t>以前年度与之相同或相类似的、具有类似信用风险特征的其他应收款组合的实际损失率为基础，结合现时情况确定各项组合</w:t>
      </w:r>
      <w:r>
        <w:rPr>
          <w:spacing w:val="-64"/>
        </w:rPr>
        <w:t> </w:t>
      </w:r>
      <w:r>
        <w:rPr>
          <w:spacing w:val="-64"/>
        </w:rPr>
      </w:r>
      <w:r>
        <w:rPr/>
        <w:t>计提坏账准备的比例，据此计算应计提的坏账准备。</w:t>
      </w:r>
    </w:p>
    <w:p>
      <w:pPr>
        <w:pStyle w:val="BodyText"/>
        <w:spacing w:line="240" w:lineRule="auto" w:before="97"/>
        <w:ind w:left="153" w:right="0"/>
        <w:jc w:val="left"/>
      </w:pPr>
      <w:r>
        <w:rPr/>
        <w:t>期末单项金额重大并单项计提坏账准备的其他应收款</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6"/>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47" w:footer="982" w:top="1060" w:bottom="1180" w:left="980" w:right="980"/>
        </w:sectPr>
      </w:pPr>
    </w:p>
    <w:p>
      <w:pPr>
        <w:pStyle w:val="BodyText"/>
        <w:spacing w:line="240" w:lineRule="auto" w:before="44"/>
        <w:ind w:right="-20"/>
        <w:jc w:val="left"/>
      </w:pPr>
      <w:r>
        <w:rPr/>
        <w:t>组合中，采用账龄分析法计提坏账准备的其他应收款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2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5,659,083.20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226,973.33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3,254,177.40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162,708.87</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5,659,083.20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226,973.33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3,254,177.40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162,708.87</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792,251.87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79,225.19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657,515.90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65,751.59</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24,040.00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134,209.27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26,841.85</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241,150.00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120,575.00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558,522.59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279,261.30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241,150.00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120,575.00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558,522.59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279,261.30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6,812,685.07</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450,813.52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4,604,425.16</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534,563.61</w:t>
            </w:r>
          </w:p>
        </w:tc>
      </w:tr>
    </w:tbl>
    <w:p>
      <w:pPr>
        <w:pStyle w:val="BodyText"/>
        <w:spacing w:line="240" w:lineRule="auto" w:before="51"/>
        <w:ind w:right="0"/>
        <w:jc w:val="left"/>
      </w:pPr>
      <w:r>
        <w:rPr/>
        <w:t>组合中，采用余额百分比法计提坏账准备的其他应收款</w:t>
      </w:r>
    </w:p>
    <w:p>
      <w:pPr>
        <w:spacing w:after="0" w:line="240" w:lineRule="auto"/>
        <w:jc w:val="left"/>
        <w:sectPr>
          <w:type w:val="continuous"/>
          <w:pgSz w:w="11910" w:h="16840"/>
          <w:pgMar w:top="1060" w:bottom="280" w:left="980" w:right="980"/>
        </w:sectPr>
      </w:pPr>
    </w:p>
    <w:p>
      <w:pPr>
        <w:spacing w:line="240" w:lineRule="auto" w:before="13"/>
        <w:rPr>
          <w:rFonts w:ascii="宋体" w:hAnsi="宋体" w:cs="宋体" w:eastAsia="宋体" w:hint="default"/>
          <w:sz w:val="25"/>
          <w:szCs w:val="25"/>
        </w:rPr>
      </w:pPr>
    </w:p>
    <w:p>
      <w:pPr>
        <w:pStyle w:val="BodyText"/>
        <w:spacing w:line="338" w:lineRule="auto" w:before="44"/>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3"/>
        <w:ind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深圳市福田区国家税务局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895,652.60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即征即退税款</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中国农业银行甘肃省分行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冯苏军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北京豪威大厦有限公司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296,602.36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深圳市南山区国家税务局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223,808.55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即征即退税款</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2,569,183.51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深圳市福田区国家税务 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税务部门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895,652.60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中国农业银行甘肃省分 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冯苏军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北京豪威大厦有限公司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296,602.36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一至三年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深圳市南山区国家税务 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税务部门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223,808.55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2,569,183.51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87"/>
        <w:gridCol w:w="1062"/>
        <w:gridCol w:w="3054"/>
        <w:gridCol w:w="1062"/>
      </w:tblGrid>
      <w:tr>
        <w:trPr>
          <w:trHeight w:val="402"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6,840,806.51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96.39%</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4,732,474.00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98.29%</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256,190.00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7,096,996.51</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4,814,974.00</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8151"/>
        <w:jc w:val="left"/>
      </w:pPr>
      <w:r>
        <w:rPr/>
        <w:t>预付款项账龄的说明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7"/>
        <w:gridCol w:w="1418"/>
        <w:gridCol w:w="1346"/>
        <w:gridCol w:w="1914"/>
        <w:gridCol w:w="1914"/>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苏州市杰恩特自动化设备有限公司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深圳市怡美工业设计有限公司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服务供应商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182,270.00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预付设计款</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金蝶软件（中国）有限公司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服务供应商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80,290.00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预付软件款</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东莞金利塑胶制品有限公司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73,920.00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深圳市汇利斯通信息技术有限公司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6,816,480.00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6"/>
          <w:szCs w:val="6"/>
        </w:rPr>
      </w:pPr>
    </w:p>
    <w:p>
      <w:pPr>
        <w:pStyle w:val="BodyText"/>
        <w:spacing w:line="240" w:lineRule="auto" w:before="44"/>
        <w:ind w:right="0"/>
        <w:jc w:val="left"/>
      </w:pPr>
      <w:r>
        <w:rPr/>
        <w:t>预付款项主要单位的说明</w:t>
      </w:r>
    </w:p>
    <w:p>
      <w:pPr>
        <w:spacing w:after="0" w:line="240" w:lineRule="auto"/>
        <w:jc w:val="left"/>
        <w:sectPr>
          <w:footerReference w:type="default" r:id="rId16"/>
          <w:pgSz w:w="11910" w:h="16840"/>
          <w:pgMar w:footer="982" w:header="747" w:top="1060" w:bottom="1180" w:left="980" w:right="980"/>
          <w:pgNumType w:start="97"/>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预付款项主要为预付的货款、预付软件款以及研发项目的设计款项。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2,813,238.92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2,813,238.92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1,608,077.09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1,608,077.09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6,558,857.50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6,558,857.50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4,406,444.93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4,406,444.93</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488,464.27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488,464.27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11,468,637.78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11,468,637.78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4,406,444.93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4,406,444.93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42"/>
              <w:jc w:val="right"/>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1,286,540.02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1,230,059.78</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42"/>
              <w:jc w:val="righ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1,286,540.02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1,230,059.78</w:t>
            </w:r>
          </w:p>
        </w:tc>
      </w:tr>
    </w:tbl>
    <w:p>
      <w:pPr>
        <w:pStyle w:val="BodyText"/>
        <w:spacing w:line="436" w:lineRule="auto" w:before="51"/>
        <w:ind w:left="513" w:right="5991" w:hanging="360"/>
        <w:jc w:val="left"/>
      </w:pPr>
      <w:r>
        <w:rPr/>
        <w:t>其他流动资产说明 待摊费用主要为预付的房租及代理服务费。</w:t>
      </w:r>
    </w:p>
    <w:p>
      <w:pPr>
        <w:spacing w:after="0" w:line="436"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0"/>
        <w:gridCol w:w="1860"/>
        <w:gridCol w:w="2126"/>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30"/>
        <w:gridCol w:w="1994"/>
        <w:gridCol w:w="1860"/>
        <w:gridCol w:w="1860"/>
        <w:gridCol w:w="2126"/>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48,700,488.23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48,700,488.23</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48,700,488.23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48,700,488.23</w:t>
            </w:r>
          </w:p>
        </w:tc>
      </w:tr>
      <w:tr>
        <w:trPr>
          <w:trHeight w:val="714"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3,521,705.12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1,157,844.48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4,679,549.60</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3,521,705.12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1,157,844.48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4,679,549.60</w:t>
            </w:r>
          </w:p>
        </w:tc>
      </w:tr>
      <w:tr>
        <w:trPr>
          <w:trHeight w:val="714"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45,178,783.11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-1,157,844.48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44,020,938.63</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45,178,783.11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-1,157,844.48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44,020,938.63</w:t>
            </w:r>
          </w:p>
        </w:tc>
      </w:tr>
      <w:tr>
        <w:trPr>
          <w:trHeight w:val="714"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45,178,783.11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-1,157,844.48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44,020,938.63</w:t>
            </w:r>
          </w:p>
        </w:tc>
      </w:tr>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45,178,783.11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-1,157,844.48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44,020,938.63</w:t>
            </w: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359"/>
        <w:gridCol w:w="4208"/>
      </w:tblGrid>
      <w:tr>
        <w:trPr>
          <w:trHeight w:val="402" w:hRule="exact"/>
        </w:trPr>
        <w:tc>
          <w:tcPr>
            <w:tcW w:w="53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5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1,157,844.48</w:t>
            </w:r>
          </w:p>
        </w:tc>
      </w:tr>
      <w:tr>
        <w:trPr>
          <w:trHeight w:val="402" w:hRule="exact"/>
        </w:trPr>
        <w:tc>
          <w:tcPr>
            <w:tcW w:w="5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328"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pStyle w:val="BodyText"/>
        <w:spacing w:line="240" w:lineRule="auto" w:before="48"/>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1327"/>
        <w:gridCol w:w="1595"/>
        <w:gridCol w:w="1594"/>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9,218,743.22</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2,828,468.55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65,818.82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11,981,392.95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2,204,065.48</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451,399.24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2,655,464.72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3,199,783.00</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961,357.00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4,161,140.00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3,170,584.29</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847,268.03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65,818.82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3,952,033.50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644,310.45</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568,444.28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1,212,754.73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4,051,322.43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1,865,304.76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58,859.34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5,857,767.85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221,445.15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459,417.59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680,862.74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1,932,547.12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637,861.19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2,570,408.31</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82" w:header="747"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1327"/>
        <w:gridCol w:w="1595"/>
        <w:gridCol w:w="1594"/>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1,475,652.45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618,987.47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58,859.34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2,035,780.58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421,677.71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149,038.51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570,716.22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5,167,420.79</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6,123,625.10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1,982,620.33</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1,974,601.98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1,267,235.88</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1,590,731.69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1,694,931.84</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1,916,252.92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222,632.74</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642,038.51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5,167,420.79</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6,123,625.10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1,982,620.33</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1,974,601.98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1,267,235.88</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1,590,731.69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1,694,931.84</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1,916,252.92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222,632.74</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642,038.51</w:t>
            </w:r>
          </w:p>
        </w:tc>
      </w:tr>
    </w:tbl>
    <w:p>
      <w:pPr>
        <w:pStyle w:val="BodyText"/>
        <w:spacing w:line="240" w:lineRule="auto" w:before="51"/>
        <w:ind w:right="0"/>
        <w:jc w:val="left"/>
      </w:pPr>
      <w:r>
        <w:rPr/>
        <w:t>本期折旧额</w:t>
      </w:r>
      <w:r>
        <w:rPr>
          <w:spacing w:val="-47"/>
        </w:rPr>
        <w:t> </w:t>
      </w:r>
      <w:r>
        <w:rPr>
          <w:rFonts w:ascii="Times New Roman" w:hAnsi="Times New Roman" w:cs="Times New Roman" w:eastAsia="Times New Roman" w:hint="default"/>
        </w:rPr>
        <w:t>1,865,304.76</w:t>
      </w:r>
      <w:r>
        <w:rPr>
          <w:rFonts w:ascii="Times New Roman" w:hAnsi="Times New Roman" w:cs="Times New Roman" w:eastAsia="Times New Roman" w:hint="default"/>
          <w:spacing w:val="-2"/>
        </w:rPr>
        <w:t> </w:t>
      </w:r>
      <w:r>
        <w:rPr/>
        <w:t>元；本期由在建工程转入固定资产原价为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footerReference w:type="default" r:id="rId18"/>
          <w:pgSz w:w="11910" w:h="16840"/>
          <w:pgMar w:footer="982" w:header="747" w:top="1060" w:bottom="1180" w:left="980" w:right="980"/>
          <w:pgNumType w:start="101"/>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649,966.91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13,399,323.57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14,049,290.48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370,264.33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5,893,077.08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6,263,341.41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银行票据防伪方法</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214,102.58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214,102.58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20,720.00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47,020.00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支票打印机专利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6,960,000.00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33,400.00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525,526.49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531,426.49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128,208.44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1,620,968.22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1,749,176.66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74,052.84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770,914.62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844,967.46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银行票据防伪方法</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17,841.90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42,820.56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60,662.46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21,104.84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4,617.15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25,721.99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支票打印机专利</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773,333.36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773,333.36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14,503.97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17,263.97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704.89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26,522.53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27,227.42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521,758.47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12,300,113.82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296,211.49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5,418,373.95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银行票据防伪方法</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196,260.68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153,440.12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5,195.16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21,298.01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支票打印机专利</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6,186,666.64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18,896.03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16,136.03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5,195.11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504,199.07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银行票据防伪方法</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支票打印机专利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521,758.47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12,300,113.82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296,211.49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5,418,373.95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银行票据防伪方法</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196,260.68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153,440.12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金蝶财务软件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5,195.16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21,298.01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支票打印机专利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6,186,666.64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18,896.03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16,136.03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5,195.11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504,199.07</w:t>
            </w:r>
          </w:p>
        </w:tc>
      </w:tr>
    </w:tbl>
    <w:p>
      <w:pPr>
        <w:pStyle w:val="BodyText"/>
        <w:spacing w:line="240" w:lineRule="auto" w:before="51"/>
        <w:ind w:right="0"/>
        <w:jc w:val="left"/>
      </w:pPr>
      <w:r>
        <w:rPr/>
        <w:t>本期摊销额</w:t>
      </w:r>
      <w:r>
        <w:rPr>
          <w:spacing w:val="-46"/>
        </w:rPr>
        <w:t> </w:t>
      </w:r>
      <w:r>
        <w:rPr>
          <w:rFonts w:ascii="Times New Roman" w:hAnsi="Times New Roman" w:cs="Times New Roman" w:eastAsia="Times New Roman" w:hint="default"/>
        </w:rPr>
        <w:t>1,620,968.22</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1417"/>
        <w:gridCol w:w="1385"/>
        <w:gridCol w:w="1594"/>
        <w:gridCol w:w="1592"/>
        <w:gridCol w:w="1594"/>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385"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全国票据影像项目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952,455.50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86,535.23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1,038,990.73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同城票据影像项目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3,096,071.79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682,472.87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3,778,544.66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银企对账集中处理系统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1,765,322.27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1,313,264.10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3,078,586.37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远程授权管理系统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1,050,341.69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1,075,541.69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印章智能管控系统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2,247,790.47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1,788,623.08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4,036,413.55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回单自助打印系统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1,774,790.38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1,138,404.25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2,913,194.63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柜面业务影像采集平台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452,176.39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591,694.92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1,043,871.31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整票验印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1,127,695.35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1,913,875.34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3,041,570.69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印鉴卡智能管理系统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325,436.49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168,664.77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494,101.26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支票</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受理机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215,623.49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215,623.49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集中运营作业平台</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1,106,090.00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1,106,090.00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12,792,080.33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9,030,448.05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5,893,077.08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15,929,451.30</w:t>
            </w:r>
          </w:p>
        </w:tc>
      </w:tr>
    </w:tbl>
    <w:p>
      <w:pPr>
        <w:spacing w:line="240" w:lineRule="auto" w:before="6"/>
        <w:rPr>
          <w:rFonts w:ascii="宋体" w:hAnsi="宋体" w:cs="宋体" w:eastAsia="宋体" w:hint="default"/>
          <w:sz w:val="6"/>
          <w:szCs w:val="6"/>
        </w:rPr>
      </w:pPr>
    </w:p>
    <w:p>
      <w:pPr>
        <w:pStyle w:val="BodyText"/>
        <w:spacing w:line="487" w:lineRule="auto" w:before="44"/>
        <w:ind w:right="138"/>
        <w:jc w:val="left"/>
      </w:pPr>
      <w:r>
        <w:rPr/>
        <w:t>本期开发支出占本期研究开发项目支出总额的比例</w:t>
      </w:r>
      <w:r>
        <w:rPr>
          <w:spacing w:val="-46"/>
        </w:rPr>
        <w:t> </w:t>
      </w:r>
      <w:r>
        <w:rPr>
          <w:rFonts w:ascii="Times New Roman" w:hAnsi="Times New Roman" w:cs="Times New Roman" w:eastAsia="Times New Roman" w:hint="default"/>
        </w:rPr>
        <w:t>33.87%</w:t>
      </w:r>
      <w:r>
        <w:rPr/>
        <w:t>。 通过公司内部研发形成的无形资产占无形资产期末账面价值的比例</w:t>
      </w:r>
      <w:r>
        <w:rPr>
          <w:spacing w:val="-46"/>
        </w:rPr>
        <w:t> </w:t>
      </w:r>
      <w:r>
        <w:rPr>
          <w:rFonts w:ascii="Times New Roman" w:hAnsi="Times New Roman" w:cs="Times New Roman" w:eastAsia="Times New Roman" w:hint="default"/>
        </w:rPr>
        <w:t>44.05%</w:t>
      </w:r>
      <w:r>
        <w:rPr/>
        <w:t>。 </w:t>
      </w:r>
      <w:r>
        <w:rPr>
          <w:spacing w:val="-2"/>
        </w:rPr>
        <w:t>公司开发项目的说明，包括本期发生的单项价值在</w:t>
      </w:r>
      <w:r>
        <w:rPr>
          <w:spacing w:val="-38"/>
        </w:rPr>
        <w:t> </w:t>
      </w:r>
      <w:r>
        <w:rPr>
          <w:rFonts w:ascii="Times New Roman" w:hAnsi="Times New Roman" w:cs="Times New Roman" w:eastAsia="Times New Roman" w:hint="default"/>
        </w:rPr>
        <w:t>100</w:t>
      </w:r>
      <w:r>
        <w:rPr>
          <w:rFonts w:ascii="Times New Roman" w:hAnsi="Times New Roman" w:cs="Times New Roman" w:eastAsia="Times New Roman" w:hint="default"/>
          <w:spacing w:val="9"/>
        </w:rPr>
        <w:t> </w:t>
      </w:r>
      <w:r>
        <w:rPr>
          <w:spacing w:val="-2"/>
        </w:rPr>
        <w:t>万元以上且以评估值为入账依据的，应披露评估机构名称、评估方法</w:t>
      </w:r>
      <w:r>
        <w:rPr>
          <w:spacing w:val="-88"/>
        </w:rPr>
        <w:t> </w:t>
      </w:r>
      <w:r>
        <w:rPr>
          <w:spacing w:val="-88"/>
        </w:rPr>
      </w:r>
      <w:r>
        <w:rPr>
          <w:spacing w:val="-5"/>
        </w:rPr>
        <w:t>本公司对符合会计准则的研发项目资本化的条件，在《研发项目立项申请书》获得批准，且承担项目开发的具体开发部门（人</w:t>
      </w:r>
      <w:r>
        <w:rPr>
          <w:spacing w:val="-79"/>
        </w:rPr>
        <w:t> </w:t>
      </w:r>
      <w:r>
        <w:rPr>
          <w:spacing w:val="-79"/>
        </w:rPr>
      </w:r>
      <w:r>
        <w:rPr/>
        <w:t>员）落实到位后，将开发部门（人员）所发生的开发支出予以资本化。</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9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552,828.09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1,578,540.00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352,029.34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1,744,338.75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部分装修设备拆 除出售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厂房装修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309,715.00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24,182.98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285,532.02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高新技术产品责 任险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199,999.96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199,999.96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752,828.05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1,888,255.00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576,212.28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2,029,870.77</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516" w:lineRule="auto" w:before="44"/>
        <w:ind w:left="513" w:right="91" w:hanging="360"/>
        <w:jc w:val="left"/>
      </w:pPr>
      <w:r>
        <w:rPr/>
        <w:t>长期待摊费用的说明 办公室装修是指深圳市银之杰科技股份有限公司办公室装修，厂房装修是指深圳市银之杰金融设备有限公司厂房装修。</w:t>
      </w:r>
    </w:p>
    <w:p>
      <w:pPr>
        <w:spacing w:line="240" w:lineRule="auto" w:before="1"/>
        <w:rPr>
          <w:rFonts w:ascii="宋体" w:hAnsi="宋体" w:cs="宋体" w:eastAsia="宋体" w:hint="default"/>
          <w:sz w:val="17"/>
          <w:szCs w:val="17"/>
        </w:rPr>
      </w:pPr>
    </w:p>
    <w:p>
      <w:pPr>
        <w:pStyle w:val="Heading3"/>
        <w:spacing w:line="240" w:lineRule="auto"/>
        <w:ind w:right="9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0"/>
        <w:jc w:val="left"/>
      </w:pPr>
      <w:r>
        <w:rPr/>
        <w:t>已确认的递延所得税资产和递延所得税负债</w:t>
      </w:r>
    </w:p>
    <w:p>
      <w:pPr>
        <w:pStyle w:val="BodyText"/>
        <w:spacing w:line="240" w:lineRule="auto" w:before="116"/>
        <w:ind w:left="0" w:right="19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1,067,193.03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911,071.12</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87,748.97</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1,067,193.03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998,820.09</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right="90"/>
        <w:jc w:val="left"/>
      </w:pPr>
      <w:r>
        <w:rPr/>
        <w:t>应纳税差异和可抵扣差异项目明细</w:t>
      </w:r>
    </w:p>
    <w:p>
      <w:pPr>
        <w:spacing w:line="240" w:lineRule="auto" w:before="6"/>
        <w:rPr>
          <w:rFonts w:ascii="宋体" w:hAnsi="宋体" w:cs="宋体" w:eastAsia="宋体" w:hint="default"/>
          <w:sz w:val="11"/>
          <w:szCs w:val="11"/>
        </w:rPr>
      </w:pPr>
    </w:p>
    <w:p>
      <w:pPr>
        <w:pStyle w:val="BodyText"/>
        <w:spacing w:line="240" w:lineRule="auto" w:before="44"/>
        <w:ind w:left="0" w:right="19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应收账款计提</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6,664,363.21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5,538,259.71</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其他应收款计提</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450,813.52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534,563.61</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350,995.87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55"/>
        <w:gridCol w:w="2924"/>
        <w:gridCol w:w="2789"/>
      </w:tblGrid>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7,115,176.73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0" w:right="0"/>
              <w:jc w:val="left"/>
              <w:rPr>
                <w:rFonts w:ascii="Times New Roman" w:hAnsi="Times New Roman" w:cs="Times New Roman" w:eastAsia="Times New Roman" w:hint="default"/>
                <w:sz w:val="18"/>
                <w:szCs w:val="18"/>
              </w:rPr>
            </w:pPr>
            <w:r>
              <w:rPr>
                <w:rFonts w:ascii="Times New Roman"/>
                <w:sz w:val="18"/>
              </w:rPr>
              <w:t>6,423,819.19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互抵后的递延所得税资产及负债的组成项目</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61"/>
        <w:gridCol w:w="1627"/>
        <w:gridCol w:w="1627"/>
        <w:gridCol w:w="1626"/>
        <w:gridCol w:w="1628"/>
      </w:tblGrid>
      <w:tr>
        <w:trPr>
          <w:trHeight w:val="317" w:hRule="exact"/>
        </w:trPr>
        <w:tc>
          <w:tcPr>
            <w:tcW w:w="3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7"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6" w:type="dxa"/>
            <w:vMerge/>
            <w:tcBorders>
              <w:left w:val="single" w:sz="4" w:space="0" w:color="000000"/>
              <w:right w:val="single" w:sz="4" w:space="0" w:color="000000"/>
            </w:tcBorders>
            <w:shd w:val="clear" w:color="auto" w:fill="D3D3D3"/>
          </w:tcPr>
          <w:p>
            <w:pPr/>
          </w:p>
        </w:tc>
        <w:tc>
          <w:tcPr>
            <w:tcW w:w="1628" w:type="dxa"/>
            <w:vMerge/>
            <w:tcBorders>
              <w:left w:val="single" w:sz="4" w:space="0" w:color="000000"/>
              <w:right w:val="single" w:sz="4" w:space="0" w:color="000000"/>
            </w:tcBorders>
            <w:shd w:val="clear" w:color="auto" w:fill="D3D3D3"/>
          </w:tcPr>
          <w:p>
            <w:pPr/>
          </w:p>
        </w:tc>
      </w:tr>
      <w:tr>
        <w:trPr>
          <w:trHeight w:val="317" w:hRule="exact"/>
        </w:trPr>
        <w:tc>
          <w:tcPr>
            <w:tcW w:w="3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6" w:type="dxa"/>
            <w:vMerge/>
            <w:tcBorders>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1,067,193.03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3" w:right="0"/>
              <w:jc w:val="left"/>
              <w:rPr>
                <w:rFonts w:ascii="Times New Roman" w:hAnsi="Times New Roman" w:cs="Times New Roman" w:eastAsia="Times New Roman" w:hint="default"/>
                <w:sz w:val="18"/>
                <w:szCs w:val="18"/>
              </w:rPr>
            </w:pPr>
            <w:r>
              <w:rPr>
                <w:rFonts w:ascii="Times New Roman"/>
                <w:sz w:val="18"/>
              </w:rPr>
              <w:t>998,820.09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518" w:lineRule="auto" w:before="44"/>
        <w:ind w:left="513" w:right="6351" w:hanging="360"/>
        <w:jc w:val="left"/>
      </w:pPr>
      <w:r>
        <w:rPr/>
        <w:t>递延所得税资产和递延所得税负债互抵明细 无。</w:t>
      </w:r>
    </w:p>
    <w:p>
      <w:pPr>
        <w:pStyle w:val="BodyText"/>
        <w:spacing w:line="436" w:lineRule="auto" w:before="63"/>
        <w:ind w:left="513" w:right="771" w:hanging="360"/>
        <w:jc w:val="left"/>
      </w:pPr>
      <w:r>
        <w:rPr/>
        <w:t>递延所得税资产和递延所得税负债的说明 资产减值准备引起可抵扣暂时性差异形成的递延所得税资产为应收帐款、其他应收款计提的坏账准备形成的。</w:t>
      </w:r>
    </w:p>
    <w:p>
      <w:pPr>
        <w:spacing w:line="240" w:lineRule="auto" w:before="8"/>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1528"/>
        <w:gridCol w:w="1528"/>
        <w:gridCol w:w="1398"/>
        <w:gridCol w:w="1398"/>
        <w:gridCol w:w="1452"/>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6,072,823.32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1,042,353.41</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7,115,176.73</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6,072,823.32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1,042,353.41</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7,115,176.73</w:t>
            </w:r>
          </w:p>
        </w:tc>
      </w:tr>
    </w:tbl>
    <w:p>
      <w:pPr>
        <w:pStyle w:val="BodyText"/>
        <w:spacing w:line="357" w:lineRule="auto" w:before="51"/>
        <w:ind w:left="153" w:right="7791"/>
        <w:jc w:val="left"/>
      </w:pPr>
      <w:r>
        <w:rPr/>
        <w:t>资产减值明细情况的说明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6,609,334.25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7,472,026.05</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1,512.96</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1,512.96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6,610,847.21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7,633,539.01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255,453.00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24,453.00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24,453.00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255,453.00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495" w:right="5629"/>
        <w:jc w:val="center"/>
      </w:pPr>
      <w:r>
        <w:rPr/>
        <w:t>本公司</w:t>
      </w:r>
      <w:r>
        <w:rPr>
          <w:rFonts w:ascii="Times New Roman" w:hAnsi="Times New Roman" w:cs="Times New Roman" w:eastAsia="Times New Roman" w:hint="default"/>
        </w:rPr>
        <w:t>2010</w:t>
      </w:r>
      <w:r>
        <w:rPr/>
        <w:t>年度预收的款项尚未办理结算手续。</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1"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34,890,010.82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34,890,010.82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1,031,197.84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1,031,197.84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2,918,290.85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2,918,290.85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其中：养老保险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1,679,057.04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1,679,057.04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2"/>
              <w:jc w:val="right"/>
              <w:rPr>
                <w:rFonts w:ascii="宋体" w:hAnsi="宋体" w:cs="宋体" w:eastAsia="宋体" w:hint="default"/>
                <w:sz w:val="18"/>
                <w:szCs w:val="18"/>
              </w:rPr>
            </w:pPr>
            <w:r>
              <w:rPr>
                <w:rFonts w:ascii="宋体" w:hAnsi="宋体" w:cs="宋体" w:eastAsia="宋体" w:hint="default"/>
                <w:sz w:val="18"/>
                <w:szCs w:val="18"/>
              </w:rPr>
              <w:t>医疗保险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779,562.20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779,562.20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2"/>
              <w:jc w:val="right"/>
              <w:rPr>
                <w:rFonts w:ascii="宋体" w:hAnsi="宋体" w:cs="宋体" w:eastAsia="宋体" w:hint="default"/>
                <w:sz w:val="18"/>
                <w:szCs w:val="18"/>
              </w:rPr>
            </w:pPr>
            <w:r>
              <w:rPr>
                <w:rFonts w:ascii="宋体" w:hAnsi="宋体" w:cs="宋体" w:eastAsia="宋体" w:hint="default"/>
                <w:sz w:val="18"/>
                <w:szCs w:val="18"/>
              </w:rPr>
              <w:t>工伤保险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159,840.00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159,840.00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2"/>
              <w:jc w:val="right"/>
              <w:rPr>
                <w:rFonts w:ascii="宋体" w:hAnsi="宋体" w:cs="宋体" w:eastAsia="宋体" w:hint="default"/>
                <w:sz w:val="18"/>
                <w:szCs w:val="18"/>
              </w:rPr>
            </w:pPr>
            <w:r>
              <w:rPr>
                <w:rFonts w:ascii="宋体" w:hAnsi="宋体" w:cs="宋体" w:eastAsia="宋体" w:hint="default"/>
                <w:sz w:val="18"/>
                <w:szCs w:val="18"/>
              </w:rPr>
              <w:t>失业保险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239,865.29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239,865.29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2"/>
              <w:jc w:val="right"/>
              <w:rPr>
                <w:rFonts w:ascii="宋体" w:hAnsi="宋体" w:cs="宋体" w:eastAsia="宋体" w:hint="default"/>
                <w:sz w:val="18"/>
                <w:szCs w:val="18"/>
              </w:rPr>
            </w:pPr>
            <w:r>
              <w:rPr>
                <w:rFonts w:ascii="宋体" w:hAnsi="宋体" w:cs="宋体" w:eastAsia="宋体" w:hint="default"/>
                <w:sz w:val="18"/>
                <w:szCs w:val="18"/>
              </w:rPr>
              <w:t>生育保险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59,966.32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59,966.32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999,467.92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999,467.92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1,090,443.67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1,090,443.67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2,083.54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123,000.18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123,000.18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2,083.54</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工会经费和职工教 育经费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2,083.54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123,000.18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123,000.18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2,083.54</w:t>
            </w:r>
          </w:p>
        </w:tc>
      </w:tr>
      <w:tr>
        <w:trPr>
          <w:trHeight w:val="40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2,083.54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41,052,411.28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41,052,411.28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2,083.54</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9"/>
          <w:szCs w:val="19"/>
        </w:rPr>
      </w:pPr>
    </w:p>
    <w:p>
      <w:pPr>
        <w:pStyle w:val="BodyText"/>
        <w:spacing w:line="489" w:lineRule="auto"/>
        <w:ind w:right="597"/>
        <w:jc w:val="left"/>
      </w:pPr>
      <w:r>
        <w:rPr/>
        <w:t>工会经费和职工教育经费金额</w:t>
      </w:r>
      <w:r>
        <w:rPr>
          <w:spacing w:val="-46"/>
        </w:rPr>
        <w:t> </w:t>
      </w:r>
      <w:r>
        <w:rPr>
          <w:rFonts w:ascii="Times New Roman" w:hAnsi="Times New Roman" w:cs="Times New Roman" w:eastAsia="Times New Roman" w:hint="default"/>
        </w:rPr>
        <w:t>123,000.18</w:t>
      </w:r>
      <w:r>
        <w:rPr>
          <w:rFonts w:ascii="Times New Roman" w:hAnsi="Times New Roman" w:cs="Times New Roman" w:eastAsia="Times New Roman" w:hint="default"/>
          <w:spacing w:val="-1"/>
        </w:rPr>
        <w:t> </w:t>
      </w:r>
      <w:r>
        <w:rPr/>
        <w:t>元，非货币性福利金额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6"/>
        </w:rPr>
        <w:t> </w:t>
      </w:r>
      <w:r>
        <w:rPr>
          <w:rFonts w:ascii="Times New Roman" w:hAnsi="Times New Roman" w:cs="Times New Roman" w:eastAsia="Times New Roman" w:hint="default"/>
        </w:rPr>
        <w:t>1,090,443.67</w:t>
      </w:r>
      <w:r>
        <w:rPr>
          <w:rFonts w:ascii="Times New Roman" w:hAnsi="Times New Roman" w:cs="Times New Roman" w:eastAsia="Times New Roman" w:hint="default"/>
          <w:spacing w:val="-2"/>
        </w:rPr>
        <w:t> </w:t>
      </w:r>
      <w:r>
        <w:rPr/>
        <w:t>元。 应付职工薪酬预计发放时间、金额等安排</w:t>
      </w:r>
    </w:p>
    <w:p>
      <w:pPr>
        <w:pStyle w:val="BodyText"/>
        <w:spacing w:line="240" w:lineRule="auto" w:before="83"/>
        <w:ind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3,389,876.12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2,847,108.39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170,901.86</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1,612,986.97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2,209,549.83</w:t>
            </w: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123,389.73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669,708.21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223,477.36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254,323.37</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159,626.69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181,659.59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4,371.41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3,530.28</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5,513,728.28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6,336,781.53</w:t>
            </w:r>
          </w:p>
        </w:tc>
      </w:tr>
    </w:tbl>
    <w:p>
      <w:pPr>
        <w:pStyle w:val="BodyText"/>
        <w:spacing w:line="357" w:lineRule="auto" w:before="51"/>
        <w:ind w:left="153" w:right="1491"/>
        <w:jc w:val="left"/>
      </w:pPr>
      <w:r>
        <w:rPr/>
        <w:t>应交税费说明，所在地税务机关同意各分公司、分厂之间应纳税所得额相互调剂的，应说明税款计算过程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124,855.41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45,414.16</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327,294.00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340,721.50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452,149.41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386,135.66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其他应付款期末余额主要包括的是各项押金和垫支往来性质的款项。</w:t>
      </w:r>
    </w:p>
    <w:p>
      <w:pPr>
        <w:spacing w:line="240" w:lineRule="auto" w:before="12"/>
        <w:rPr>
          <w:rFonts w:ascii="宋体" w:hAnsi="宋体" w:cs="宋体" w:eastAsia="宋体" w:hint="default"/>
          <w:sz w:val="26"/>
          <w:szCs w:val="26"/>
        </w:rPr>
      </w:pPr>
    </w:p>
    <w:p>
      <w:pPr>
        <w:spacing w:line="547" w:lineRule="auto" w:before="0"/>
        <w:ind w:left="154" w:right="446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）金额较大的其他应付款说明内容</w:t>
      </w:r>
      <w:r>
        <w:rPr>
          <w:rFonts w:ascii="宋体" w:hAnsi="宋体" w:cs="宋体" w:eastAsia="宋体" w:hint="default"/>
          <w:b/>
          <w:bCs/>
          <w:w w:val="99"/>
          <w:sz w:val="21"/>
          <w:szCs w:val="21"/>
        </w:rPr>
        <w:t> </w:t>
      </w:r>
      <w:r>
        <w:rPr>
          <w:rFonts w:ascii="宋体" w:hAnsi="宋体" w:cs="宋体" w:eastAsia="宋体" w:hint="default"/>
          <w:sz w:val="18"/>
          <w:szCs w:val="18"/>
        </w:rPr>
        <w:t>其他应付款期末余额包括应付金运大厦房屋租赁押金</w:t>
      </w:r>
      <w:r>
        <w:rPr>
          <w:rFonts w:ascii="Times New Roman" w:hAnsi="Times New Roman" w:cs="Times New Roman" w:eastAsia="Times New Roman" w:hint="default"/>
          <w:sz w:val="18"/>
          <w:szCs w:val="18"/>
        </w:rPr>
        <w:t>327,294.00</w:t>
      </w:r>
      <w:r>
        <w:rPr>
          <w:rFonts w:ascii="宋体" w:hAnsi="宋体" w:cs="宋体" w:eastAsia="宋体" w:hint="default"/>
          <w:sz w:val="18"/>
          <w:szCs w:val="18"/>
        </w:rPr>
        <w:t>元。 </w:t>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40" w:lineRule="auto" w:before="49"/>
        <w:ind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9"/>
        <w:rPr>
          <w:rFonts w:ascii="宋体" w:hAnsi="宋体" w:cs="宋体" w:eastAsia="宋体" w:hint="default"/>
          <w:b/>
          <w:bCs/>
          <w:sz w:val="26"/>
          <w:szCs w:val="26"/>
        </w:rPr>
      </w:pPr>
    </w:p>
    <w:p>
      <w:pPr>
        <w:spacing w:line="544" w:lineRule="auto" w:before="0"/>
        <w:ind w:left="154" w:right="83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、应付债券</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23"/>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120,000,000.00</w:t>
            </w:r>
          </w:p>
        </w:tc>
      </w:tr>
    </w:tbl>
    <w:p>
      <w:pPr>
        <w:spacing w:line="240" w:lineRule="auto" w:before="6"/>
        <w:rPr>
          <w:rFonts w:ascii="宋体" w:hAnsi="宋体" w:cs="宋体" w:eastAsia="宋体" w:hint="default"/>
          <w:sz w:val="6"/>
          <w:szCs w:val="6"/>
        </w:rPr>
      </w:pPr>
    </w:p>
    <w:p>
      <w:pPr>
        <w:pStyle w:val="BodyText"/>
        <w:spacing w:line="482" w:lineRule="auto" w:before="44"/>
        <w:ind w:right="151" w:firstLine="360"/>
        <w:jc w:val="both"/>
      </w:pPr>
      <w:r>
        <w:rPr>
          <w:spacing w:val="-2"/>
        </w:rPr>
        <w:t>股本变动情况说明，本报告期内有增资或减资行为的，应披露执行验资的会计师事务所名称和验资报告文号；运行不足</w:t>
      </w:r>
      <w:r>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spacing w:val="-1"/>
        </w:rPr>
        <w:t>年的股份有限公司，设立前的年份只需说明净资产情况；有限责任公司整体变更为股份公司应说明公司设立时的验资情况</w:t>
      </w:r>
      <w:r>
        <w:rPr>
          <w:spacing w:val="-88"/>
        </w:rPr>
        <w:t> </w:t>
      </w:r>
      <w:r>
        <w:rPr>
          <w:spacing w:val="-88"/>
        </w:rPr>
      </w:r>
      <w:r>
        <w:rPr/>
        <w:t>上述股本业经深圳市鹏城会计师事务有限公司审验，并于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日出具了深鹏所验字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0213</w:t>
      </w:r>
      <w:r>
        <w:rPr/>
        <w:t>号《验资报告》。</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510"/>
        <w:jc w:val="left"/>
      </w:pPr>
      <w:r>
        <w:rPr/>
        <w:t>库存股情况说明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8331"/>
        <w:jc w:val="left"/>
      </w:pPr>
      <w:r>
        <w:rPr/>
        <w:t>专项储备情况说明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2" w:right="0"/>
              <w:jc w:val="left"/>
              <w:rPr>
                <w:rFonts w:ascii="Times New Roman" w:hAnsi="Times New Roman" w:cs="Times New Roman" w:eastAsia="Times New Roman" w:hint="default"/>
                <w:sz w:val="18"/>
                <w:szCs w:val="18"/>
              </w:rPr>
            </w:pPr>
            <w:r>
              <w:rPr>
                <w:rFonts w:ascii="Times New Roman"/>
                <w:sz w:val="18"/>
              </w:rPr>
              <w:t>313,975,300.21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313,975,300.21</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1" w:right="0"/>
              <w:jc w:val="left"/>
              <w:rPr>
                <w:rFonts w:ascii="Times New Roman" w:hAnsi="Times New Roman" w:cs="Times New Roman" w:eastAsia="Times New Roman" w:hint="default"/>
                <w:sz w:val="18"/>
                <w:szCs w:val="18"/>
              </w:rPr>
            </w:pPr>
            <w:r>
              <w:rPr>
                <w:rFonts w:ascii="Times New Roman"/>
                <w:sz w:val="18"/>
              </w:rPr>
              <w:t>313,975,300.21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313,975,300.21</w:t>
            </w:r>
          </w:p>
        </w:tc>
      </w:tr>
    </w:tbl>
    <w:p>
      <w:pPr>
        <w:pStyle w:val="BodyText"/>
        <w:spacing w:line="357" w:lineRule="auto" w:before="51"/>
        <w:ind w:right="8510"/>
        <w:jc w:val="left"/>
      </w:pPr>
      <w:r>
        <w:rPr/>
        <w:t>资本公积说明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12,979,061.84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1,780,699.51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14,759,761.35</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12,979,061.84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1,780,699.51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14,759,761.35</w:t>
            </w:r>
          </w:p>
        </w:tc>
      </w:tr>
    </w:tbl>
    <w:p>
      <w:pPr>
        <w:pStyle w:val="BodyText"/>
        <w:spacing w:line="357" w:lineRule="auto" w:before="51"/>
        <w:ind w:left="153" w:right="3471"/>
        <w:jc w:val="left"/>
      </w:pPr>
      <w:r>
        <w:rPr/>
        <w:t>盈余公积说明，用盈余公积转增股本、弥补亏损、分派股利的，应说明有关决议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971"/>
        <w:jc w:val="left"/>
      </w:pPr>
      <w:r>
        <w:rPr/>
        <w:t>一般风险准备情况说明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8"/>
        <w:gridCol w:w="3728"/>
        <w:gridCol w:w="2122"/>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68,727,151.43</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68,727,151.43</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18,030,617.44</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1,780,699.51</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66,977,069.36</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调整年初未分配利润明细：</w:t>
      </w:r>
    </w:p>
    <w:p>
      <w:pPr>
        <w:pStyle w:val="BodyText"/>
        <w:spacing w:line="240" w:lineRule="auto" w:before="117"/>
        <w:ind w:left="153"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24" w:lineRule="auto" w:before="102"/>
        <w:ind w:right="0"/>
        <w:jc w:val="left"/>
      </w:pPr>
      <w:r>
        <w:rPr>
          <w:rFonts w:ascii="Times New Roman" w:hAnsi="Times New Roman" w:cs="Times New Roman" w:eastAsia="Times New Roman" w:hint="default"/>
        </w:rPr>
        <w:t>5)</w:t>
      </w:r>
      <w:r>
        <w:rPr/>
        <w:t>、其他调整合计影响年初未分配利润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w:t>
      </w:r>
      <w:r>
        <w:rPr>
          <w:spacing w:val="-2"/>
        </w:rPr>
        <w:t>未分配利润说明，对于首次公开发行证券的公司，如果发行前的滚存利润经股东大会决议由新老股东共同享有，应明确予以</w:t>
      </w:r>
      <w:r>
        <w:rPr>
          <w:spacing w:val="-66"/>
        </w:rPr>
        <w:t> </w:t>
      </w:r>
      <w:r>
        <w:rPr>
          <w:spacing w:val="-66"/>
        </w:rPr>
      </w:r>
      <w:r>
        <w:rPr>
          <w:spacing w:val="-2"/>
        </w:rPr>
        <w:t>说明；如果发行前的滚存利润经股东大会决议在发行前进行分配并由老股东享有，公司应明确披露应付股利中老股东享有的</w:t>
      </w:r>
      <w:r>
        <w:rPr>
          <w:spacing w:val="-64"/>
        </w:rPr>
        <w:t> </w:t>
      </w:r>
      <w:r>
        <w:rPr>
          <w:spacing w:val="-64"/>
        </w:rPr>
      </w:r>
      <w:r>
        <w:rPr/>
        <w:t>经审计的利润数</w:t>
      </w:r>
    </w:p>
    <w:p>
      <w:pPr>
        <w:pStyle w:val="BodyText"/>
        <w:spacing w:line="240" w:lineRule="auto" w:before="53"/>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2"/>
        <w:gridCol w:w="3058"/>
        <w:gridCol w:w="3190"/>
      </w:tblGrid>
      <w:tr>
        <w:trPr>
          <w:trHeight w:val="401"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90" w:right="0"/>
              <w:jc w:val="left"/>
              <w:rPr>
                <w:rFonts w:ascii="Times New Roman" w:hAnsi="Times New Roman" w:cs="Times New Roman" w:eastAsia="Times New Roman" w:hint="default"/>
                <w:sz w:val="18"/>
                <w:szCs w:val="18"/>
              </w:rPr>
            </w:pPr>
            <w:r>
              <w:rPr>
                <w:rFonts w:ascii="Times New Roman"/>
                <w:sz w:val="18"/>
              </w:rPr>
              <w:t>98,397,141.41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94,463,450.73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2"/>
        <w:gridCol w:w="3058"/>
        <w:gridCol w:w="3190"/>
      </w:tblGrid>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2,130,856.20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1,931,034.60</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47,136,736.37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42,994,497.52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金融信息化行业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98,397,141.41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45,978,891.84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94,463,450.73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41,836,653.04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98,397,141.41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45,978,891.84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94,463,450.73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41,836,653.04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软件产品及开发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72,815,412.76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30,288,822.20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56,576,179.49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18,776,931.43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17,862,057.19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11,016,090.05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27,673,170.95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17,214,118.74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1,555,179.44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1,225,478.31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2,584,713.71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1,923,526.43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服务类</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6,164,492.02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3,448,501.28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7,629,386.58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3,922,076.44</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98,397,141.41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45,978,891.84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94,463,450.73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41,836,653.04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北方地区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18,615,936.46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8,390,390.01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29,090,363.65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11,381,481.53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33,220,131.80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15,662,130.34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15,371,356.73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5,384,838.21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28,746,096.93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14,028,940.83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28,880,381.43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16,519,550.26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5,374,959.85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2,539,097.10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8,901,810.56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4,488,183.12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12,440,016.37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5,358,333.56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12,219,538.36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4,062,599.92</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98,397,141.41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45,978,891.84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94,463,450.73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41,836,653.04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农行江苏省分行</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6,165,726.42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贵州农信社</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6,104,094.02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5,072,275.01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4,812,931.58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广东华兴银行</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4,027,068.58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26,182,095.61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26.05%</w:t>
            </w:r>
          </w:p>
        </w:tc>
      </w:tr>
    </w:tbl>
    <w:p>
      <w:pPr>
        <w:pStyle w:val="BodyText"/>
        <w:spacing w:line="357" w:lineRule="auto" w:before="51"/>
        <w:ind w:right="8510"/>
        <w:jc w:val="left"/>
      </w:pPr>
      <w:r>
        <w:rPr/>
        <w:t>营业收入的说明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4"/>
        <w:gridCol w:w="1992"/>
        <w:gridCol w:w="1861"/>
        <w:gridCol w:w="2921"/>
      </w:tblGrid>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290,935.34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478,021.09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软件开发及服务类收入</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492,000.72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556,013.41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增值税和营业税应纳税额</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351,429.09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397,152.46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增值税和营业税应纳税额</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11,786.08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11,225.61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1,146,151.23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1,442,412.57</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7971"/>
        <w:jc w:val="left"/>
      </w:pPr>
      <w:r>
        <w:rPr/>
        <w:t>营业税金及附加的说明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9,160,276.09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8,968,271.69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3,430,442.49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3,465,626.58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5,306,514.90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5,580,388.10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662,814.49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888,984.46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197,403.68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167,790.05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1,709,514.32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2,609,204.63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20,466,965.97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21,680,265.51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6,754,358.16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4,552,381.87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4,610,992.77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3,069,404.65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4,915,105.52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4,019,744.09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2,918,290.85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2,864,535.95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1,486,407.41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695,818.45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9,163,446.65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6,440,868.50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29,848,601.36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21,642,753.51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-10,322,603.29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-9,174,004.49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58,987.33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55,921.01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-10,263,615.96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-9,118,083.48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4"/>
        <w:gridCol w:w="2525"/>
        <w:gridCol w:w="2789"/>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1,042,353.41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1,017,561.10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1,042,353.41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1,017,561.10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161" w:hRule="exact"/>
        </w:trPr>
        <w:tc>
          <w:tcPr>
            <w:tcW w:w="32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5"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3,953,873.00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2,350,845.00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5,165,438.08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4,101,406.64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9,119,311.08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6,452,934.04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科技研究经费补贴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1,953,873.00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2,350,845.00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上市财政资助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3,953,873.00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2,350,845.00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331"/>
        <w:jc w:val="left"/>
      </w:pPr>
      <w:r>
        <w:rPr/>
        <w:t>营业外收入说明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4"/>
        <w:gridCol w:w="1914"/>
      </w:tblGrid>
      <w:tr>
        <w:trPr>
          <w:trHeight w:val="161" w:hRule="exact"/>
        </w:trPr>
        <w:tc>
          <w:tcPr>
            <w:tcW w:w="3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20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21"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20,140.26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before="44"/>
        <w:ind w:right="8331"/>
        <w:jc w:val="left"/>
      </w:pPr>
      <w:r>
        <w:rPr/>
        <w:t>营业外支出说明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5"/>
        <w:gridCol w:w="2524"/>
        <w:gridCol w:w="2389"/>
      </w:tblGrid>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2,305,748.95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2,830,226.82</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-68,372.94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-493,252.34</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2,237,376.01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2,336,974.48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111"/>
        <w:gridCol w:w="1276"/>
        <w:gridCol w:w="2126"/>
        <w:gridCol w:w="1985"/>
      </w:tblGrid>
      <w:tr>
        <w:trPr>
          <w:trHeight w:val="422" w:hRule="exact"/>
        </w:trPr>
        <w:tc>
          <w:tcPr>
            <w:tcW w:w="53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69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62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3" w:hRule="exact"/>
        </w:trPr>
        <w:tc>
          <w:tcPr>
            <w:tcW w:w="411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12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P1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18,030,617.44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20,830,897.90</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报告期归属于公司普通股股东的非经常性损益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F</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3,359,662.62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1,981,716.57</w:t>
            </w:r>
          </w:p>
        </w:tc>
      </w:tr>
      <w:tr>
        <w:trPr>
          <w:trHeight w:val="65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6"/>
                <w:sz w:val="18"/>
                <w:szCs w:val="18"/>
              </w:rPr>
              <w:t>报告期扣除非经常性损益后归属于公司普通股股东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的净利润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P2=P1-F</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14,670,954.82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18,849,181.33</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P3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r>
      <w:tr>
        <w:trPr>
          <w:trHeight w:val="65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6"/>
                <w:sz w:val="18"/>
                <w:szCs w:val="18"/>
              </w:rPr>
              <w:t>稀释事项对扣除非经常性损益后归属于公司普通股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股东的净利润的影响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P4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14,670,954.82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18,849,181.33</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S0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60,000,000</w:t>
            </w:r>
          </w:p>
        </w:tc>
      </w:tr>
      <w:tr>
        <w:trPr>
          <w:trHeight w:val="65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6"/>
                <w:sz w:val="18"/>
                <w:szCs w:val="18"/>
              </w:rPr>
              <w:t>报告期因公积金转增股本或股票股利分配等增加股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60,000,000</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Si</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增加股份下一月份起至报告期期末的月份数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Mi</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Sj</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Mj</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Sk</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M0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w w:val="95"/>
                <w:sz w:val="18"/>
              </w:rPr>
              <w:t>12</w:t>
            </w:r>
            <w:r>
              <w:rPr>
                <w:rFonts w:ascii="Times New Roman"/>
                <w:w w:val="95"/>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w w:val="95"/>
                <w:sz w:val="18"/>
              </w:rPr>
              <w:t>12</w:t>
            </w:r>
            <w:r>
              <w:rPr>
                <w:rFonts w:ascii="Times New Roman"/>
                <w:w w:val="95"/>
                <w:sz w:val="18"/>
              </w:rPr>
            </w:r>
          </w:p>
        </w:tc>
      </w:tr>
      <w:tr>
        <w:trPr>
          <w:trHeight w:val="966"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sz w:val="18"/>
              </w:rPr>
              <w:t>S=S0+S1+Si*Mi</w:t>
            </w:r>
          </w:p>
          <w:p>
            <w:pPr>
              <w:pStyle w:val="TableParagraph"/>
              <w:spacing w:line="362" w:lineRule="auto" w:before="105"/>
              <w:ind w:left="537" w:right="45" w:hanging="490"/>
              <w:jc w:val="left"/>
              <w:rPr>
                <w:rFonts w:ascii="Times New Roman" w:hAnsi="Times New Roman" w:cs="Times New Roman" w:eastAsia="Times New Roman" w:hint="default"/>
                <w:sz w:val="18"/>
                <w:szCs w:val="18"/>
              </w:rPr>
            </w:pPr>
            <w:r>
              <w:rPr>
                <w:rFonts w:ascii="Times New Roman"/>
                <w:sz w:val="18"/>
              </w:rPr>
              <w:t>/M0-Sj*Mj/M0- Sk</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z w:val="18"/>
              </w:rPr>
              <w:t>120,000,000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z w:val="18"/>
              </w:rPr>
              <w:t>120,000,000</w:t>
            </w:r>
          </w:p>
        </w:tc>
      </w:tr>
      <w:tr>
        <w:trPr>
          <w:trHeight w:val="65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加：假定稀释性潜在普通股转换为已发行普通股而增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加的普通股加权平均数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X1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X2=S+X1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120,000,000</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27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27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27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Y1=P1/S</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0.1503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0.1736</w:t>
            </w:r>
          </w:p>
        </w:tc>
      </w:tr>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扣除非经常性损益后归属于公司普通股股东的基本</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Y2=P2/S</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0.1223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0.1571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111"/>
        <w:gridCol w:w="1276"/>
        <w:gridCol w:w="2126"/>
        <w:gridCol w:w="1985"/>
      </w:tblGrid>
      <w:tr>
        <w:trPr>
          <w:trHeight w:val="34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127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Y3=</w:t>
            </w:r>
            <w:r>
              <w:rPr>
                <w:rFonts w:ascii="宋体" w:hAnsi="宋体" w:cs="宋体" w:eastAsia="宋体" w:hint="default"/>
                <w:sz w:val="18"/>
                <w:szCs w:val="18"/>
              </w:rPr>
              <w:t>（</w:t>
            </w:r>
            <w:r>
              <w:rPr>
                <w:rFonts w:ascii="Times New Roman" w:hAnsi="Times New Roman" w:cs="Times New Roman" w:eastAsia="Times New Roman" w:hint="default"/>
                <w:sz w:val="18"/>
                <w:szCs w:val="18"/>
              </w:rPr>
              <w:t>P1</w:t>
            </w:r>
            <w:r>
              <w:rPr>
                <w:rFonts w:ascii="宋体" w:hAnsi="宋体" w:cs="宋体" w:eastAsia="宋体" w:hint="default"/>
                <w:sz w:val="18"/>
                <w:szCs w:val="18"/>
              </w:rPr>
              <w:t>＋</w:t>
            </w:r>
            <w:r>
              <w:rPr>
                <w:rFonts w:ascii="Times New Roman" w:hAnsi="Times New Roman" w:cs="Times New Roman" w:eastAsia="Times New Roman" w:hint="default"/>
                <w:sz w:val="18"/>
                <w:szCs w:val="18"/>
              </w:rPr>
              <w:t>P3</w:t>
            </w:r>
            <w:r>
              <w:rPr>
                <w:rFonts w:ascii="宋体" w:hAnsi="宋体" w:cs="宋体" w:eastAsia="宋体" w:hint="default"/>
                <w:sz w:val="18"/>
                <w:szCs w:val="18"/>
              </w:rPr>
              <w:t>）</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/X2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0.1503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0.1736</w:t>
            </w:r>
          </w:p>
        </w:tc>
      </w:tr>
      <w:tr>
        <w:trPr>
          <w:trHeight w:val="65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扣除非经常性损益后归属于公司普通股股东的稀释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每股收益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Y4=</w:t>
            </w:r>
            <w:r>
              <w:rPr>
                <w:rFonts w:ascii="宋体" w:hAnsi="宋体" w:cs="宋体" w:eastAsia="宋体" w:hint="default"/>
                <w:sz w:val="18"/>
                <w:szCs w:val="18"/>
              </w:rPr>
              <w:t>（</w:t>
            </w:r>
            <w:r>
              <w:rPr>
                <w:rFonts w:ascii="Times New Roman" w:hAnsi="Times New Roman" w:cs="Times New Roman" w:eastAsia="Times New Roman" w:hint="default"/>
                <w:sz w:val="18"/>
                <w:szCs w:val="18"/>
              </w:rPr>
              <w:t>P2</w:t>
            </w:r>
            <w:r>
              <w:rPr>
                <w:rFonts w:ascii="宋体" w:hAnsi="宋体" w:cs="宋体" w:eastAsia="宋体" w:hint="default"/>
                <w:sz w:val="18"/>
                <w:szCs w:val="18"/>
              </w:rPr>
              <w:t>＋</w:t>
            </w:r>
            <w:r>
              <w:rPr>
                <w:rFonts w:ascii="Times New Roman" w:hAnsi="Times New Roman" w:cs="Times New Roman" w:eastAsia="Times New Roman" w:hint="default"/>
                <w:sz w:val="18"/>
                <w:szCs w:val="18"/>
              </w:rPr>
              <w:t>P4</w:t>
            </w:r>
            <w:r>
              <w:rPr>
                <w:rFonts w:ascii="宋体" w:hAnsi="宋体" w:cs="宋体" w:eastAsia="宋体" w:hint="default"/>
                <w:sz w:val="18"/>
                <w:szCs w:val="18"/>
              </w:rPr>
              <w:t>）</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/X2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0.1223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0.1571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3,953,873.00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10,322,603.29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5,054,448.55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19,330,924.84</w:t>
            </w:r>
          </w:p>
        </w:tc>
      </w:tr>
    </w:tbl>
    <w:p>
      <w:pPr>
        <w:pStyle w:val="BodyText"/>
        <w:spacing w:line="357" w:lineRule="auto" w:before="51"/>
        <w:ind w:left="153" w:right="6711"/>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58,987.33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除工资外付现销售费用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15,094,341.35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除工资、税金外付现管理费用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15,479,534.66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除工资、采购成本劳务外付现营业成本</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7,622,654.13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4,212,627.77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31,468.43</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42,499,613.67</w:t>
            </w:r>
          </w:p>
        </w:tc>
      </w:tr>
    </w:tbl>
    <w:p>
      <w:pPr>
        <w:spacing w:line="240" w:lineRule="auto" w:before="9"/>
        <w:rPr>
          <w:rFonts w:ascii="宋体" w:hAnsi="宋体" w:cs="宋体" w:eastAsia="宋体" w:hint="default"/>
          <w:sz w:val="6"/>
          <w:szCs w:val="6"/>
        </w:rPr>
      </w:pPr>
    </w:p>
    <w:p>
      <w:pPr>
        <w:pStyle w:val="BodyText"/>
        <w:spacing w:line="357" w:lineRule="auto" w:before="44"/>
        <w:ind w:left="153" w:right="6711"/>
        <w:jc w:val="left"/>
      </w:pPr>
      <w:r>
        <w:rPr/>
        <w:t>支付的其他与经营活动有关的现金说明 无。</w:t>
      </w:r>
    </w:p>
    <w:p>
      <w:pPr>
        <w:spacing w:after="0" w:line="357"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收到股利分配代收的个人所得税</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6,094,268.41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6,094,268.41</w:t>
            </w:r>
          </w:p>
        </w:tc>
      </w:tr>
    </w:tbl>
    <w:p>
      <w:pPr>
        <w:spacing w:line="240" w:lineRule="auto" w:before="9"/>
        <w:rPr>
          <w:rFonts w:ascii="宋体" w:hAnsi="宋体" w:cs="宋体" w:eastAsia="宋体" w:hint="default"/>
          <w:sz w:val="6"/>
          <w:szCs w:val="6"/>
        </w:rPr>
      </w:pPr>
    </w:p>
    <w:p>
      <w:pPr>
        <w:pStyle w:val="BodyText"/>
        <w:spacing w:line="357" w:lineRule="auto" w:before="44"/>
        <w:ind w:left="153" w:right="6711"/>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支付股利分配代付的个人所得税</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6,763,175.64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支付股利分配各项费用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14,836.27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6,778,011.91</w:t>
            </w:r>
          </w:p>
        </w:tc>
      </w:tr>
    </w:tbl>
    <w:p>
      <w:pPr>
        <w:spacing w:line="240" w:lineRule="auto" w:before="9"/>
        <w:rPr>
          <w:rFonts w:ascii="宋体" w:hAnsi="宋体" w:cs="宋体" w:eastAsia="宋体" w:hint="default"/>
          <w:sz w:val="6"/>
          <w:szCs w:val="6"/>
        </w:rPr>
      </w:pPr>
    </w:p>
    <w:p>
      <w:pPr>
        <w:pStyle w:val="BodyText"/>
        <w:spacing w:line="357" w:lineRule="auto" w:before="44"/>
        <w:ind w:left="153" w:right="6711"/>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18,030,617.44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20,830,897.90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1,042,353.41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1,017,561.10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3,023,149.24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2,481,780.93</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1,620,968.22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100,491.69</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611,212.28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625,798.11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71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2,122.86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140.26</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-69,515.68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-493,252.34</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-7,908,576.82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-3,158,886.14</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-13,704,864.62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-19,617,306.13</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2,958,041.38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4,137,520.77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-56,480.24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-940,328.50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5,549,027.47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4,984,417.65</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353,108,632.82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387,791,510.52</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387,791,510.52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433,006,815.47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-34,682,877.70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-45,215,304.95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7"/>
        <w:gridCol w:w="2524"/>
        <w:gridCol w:w="2657"/>
      </w:tblGrid>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353,108,632.82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387,791,510.52</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166,147.46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105,096.28</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349,916,040.36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387,686,414.24</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3,026,445.00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353,108,632.82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387,791,510.52</w:t>
            </w:r>
          </w:p>
        </w:tc>
      </w:tr>
    </w:tbl>
    <w:p>
      <w:pPr>
        <w:spacing w:line="240" w:lineRule="auto" w:before="9"/>
        <w:rPr>
          <w:rFonts w:ascii="宋体" w:hAnsi="宋体" w:cs="宋体" w:eastAsia="宋体" w:hint="default"/>
          <w:sz w:val="6"/>
          <w:szCs w:val="6"/>
        </w:rPr>
      </w:pPr>
    </w:p>
    <w:p>
      <w:pPr>
        <w:pStyle w:val="BodyText"/>
        <w:spacing w:line="357" w:lineRule="auto" w:before="44"/>
        <w:ind w:left="153" w:right="7611"/>
        <w:jc w:val="left"/>
      </w:pPr>
      <w:r>
        <w:rPr/>
        <w:t>现金流量表补充资料的说明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无。</w:t>
      </w:r>
    </w:p>
    <w:p>
      <w:pPr>
        <w:spacing w:line="240" w:lineRule="auto" w:before="2"/>
        <w:rPr>
          <w:rFonts w:ascii="宋体" w:hAnsi="宋体" w:cs="宋体" w:eastAsia="宋体" w:hint="default"/>
          <w:sz w:val="25"/>
          <w:szCs w:val="25"/>
        </w:rPr>
      </w:pPr>
    </w:p>
    <w:p>
      <w:pPr>
        <w:spacing w:line="506" w:lineRule="auto" w:before="0"/>
        <w:ind w:left="154" w:right="3340" w:firstLine="0"/>
        <w:jc w:val="left"/>
        <w:rPr>
          <w:rFonts w:ascii="宋体" w:hAnsi="宋体" w:cs="宋体" w:eastAsia="宋体" w:hint="default"/>
          <w:sz w:val="18"/>
          <w:szCs w:val="18"/>
        </w:rPr>
      </w:pPr>
      <w:r>
        <w:rPr>
          <w:rFonts w:ascii="宋体" w:hAnsi="宋体" w:cs="宋体" w:eastAsia="宋体" w:hint="default"/>
          <w:b/>
          <w:bCs/>
          <w:sz w:val="24"/>
          <w:szCs w:val="24"/>
        </w:rPr>
        <w:t>八、资产证券化业务的会计处理</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、说明资产证券化业务的主要交易安排及其会计处理、破产隔离条款</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52"/>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4731"/>
        <w:jc w:val="left"/>
      </w:pPr>
      <w:r>
        <w:rPr/>
        <w:t>本企业的母公司情况的说明 本公司股东均为自然人，有关情况详见附注一、公司基本情况。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深圳市银之 杰金融设备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软件开发、 生产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1000000.00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68201739-4</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深圳市银之 杰技术开发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3000000.00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57477825- X</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90"/>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无。</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十一、或有事项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无。</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无。</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十二、承诺事项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无。</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4" w:right="90"/>
        <w:jc w:val="left"/>
      </w:pPr>
      <w:r>
        <w:rPr/>
        <w:t>无。</w:t>
      </w:r>
    </w:p>
    <w:p>
      <w:pPr>
        <w:spacing w:line="240" w:lineRule="auto" w:before="8"/>
        <w:rPr>
          <w:rFonts w:ascii="宋体" w:hAnsi="宋体" w:cs="宋体" w:eastAsia="宋体" w:hint="default"/>
          <w:sz w:val="25"/>
          <w:szCs w:val="25"/>
        </w:rPr>
      </w:pPr>
    </w:p>
    <w:p>
      <w:pPr>
        <w:pStyle w:val="Heading2"/>
        <w:spacing w:line="240" w:lineRule="auto"/>
        <w:ind w:right="90"/>
        <w:jc w:val="left"/>
        <w:rPr>
          <w:b w:val="0"/>
          <w:bCs w:val="0"/>
        </w:rPr>
      </w:pP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514" w:right="90"/>
        <w:jc w:val="left"/>
      </w:pPr>
      <w:r>
        <w:rPr/>
        <w:t>无。</w:t>
      </w:r>
    </w:p>
    <w:p>
      <w:pPr>
        <w:spacing w:line="240" w:lineRule="auto" w:before="0"/>
        <w:rPr>
          <w:rFonts w:ascii="宋体" w:hAnsi="宋体" w:cs="宋体" w:eastAsia="宋体" w:hint="default"/>
          <w:sz w:val="18"/>
          <w:szCs w:val="18"/>
        </w:rPr>
      </w:pPr>
    </w:p>
    <w:p>
      <w:pPr>
        <w:pStyle w:val="Heading3"/>
        <w:spacing w:line="240" w:lineRule="auto" w:before="122"/>
        <w:ind w:right="9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53" w:right="90" w:firstLine="360"/>
        <w:jc w:val="left"/>
      </w:pPr>
      <w:r>
        <w:rPr>
          <w:spacing w:val="-6"/>
        </w:rPr>
        <w:t>拟分配的利润或股利：公司拟以</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日总股本</w:t>
      </w:r>
      <w:r>
        <w:rPr>
          <w:rFonts w:ascii="Times New Roman" w:hAnsi="Times New Roman" w:cs="Times New Roman" w:eastAsia="Times New Roman" w:hint="default"/>
          <w:spacing w:val="-6"/>
        </w:rPr>
        <w:t>12,000</w:t>
      </w:r>
      <w:r>
        <w:rPr>
          <w:spacing w:val="-6"/>
        </w:rPr>
        <w:t>万股为基数，向全体股东每</w:t>
      </w:r>
      <w:r>
        <w:rPr>
          <w:rFonts w:ascii="Times New Roman" w:hAnsi="Times New Roman" w:cs="Times New Roman" w:eastAsia="Times New Roman" w:hint="default"/>
          <w:spacing w:val="-6"/>
        </w:rPr>
        <w:t>10</w:t>
      </w:r>
      <w:r>
        <w:rPr>
          <w:spacing w:val="-6"/>
        </w:rPr>
        <w:t>股派人民币</w:t>
      </w:r>
      <w:r>
        <w:rPr>
          <w:rFonts w:ascii="Times New Roman" w:hAnsi="Times New Roman" w:cs="Times New Roman" w:eastAsia="Times New Roman" w:hint="default"/>
          <w:spacing w:val="-6"/>
        </w:rPr>
        <w:t>1.2</w:t>
      </w:r>
      <w:r>
        <w:rPr>
          <w:spacing w:val="-6"/>
        </w:rPr>
        <w:t>元现金（含税），</w:t>
      </w:r>
      <w:r>
        <w:rPr/>
        <w:t> 合计派发现金股利</w:t>
      </w:r>
      <w:r>
        <w:rPr>
          <w:rFonts w:ascii="Times New Roman" w:hAnsi="Times New Roman" w:cs="Times New Roman" w:eastAsia="Times New Roman" w:hint="default"/>
        </w:rPr>
        <w:t>1,440.00</w:t>
      </w:r>
      <w:r>
        <w:rPr/>
        <w:t>万元（含税）。</w:t>
      </w:r>
    </w:p>
    <w:p>
      <w:pPr>
        <w:pStyle w:val="BodyText"/>
        <w:spacing w:line="451" w:lineRule="auto" w:before="43"/>
        <w:ind w:left="153" w:right="90" w:firstLine="360"/>
        <w:jc w:val="left"/>
      </w:pPr>
      <w:r>
        <w:rPr>
          <w:spacing w:val="-2"/>
        </w:rPr>
        <w:t>经审议批准宣告发放的利润或股利：公司拟以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12,000</w:t>
      </w:r>
      <w:r>
        <w:rPr>
          <w:spacing w:val="-2"/>
        </w:rPr>
        <w:t>万股为基数，向全体股东每</w:t>
      </w:r>
      <w:r>
        <w:rPr>
          <w:rFonts w:ascii="Times New Roman" w:hAnsi="Times New Roman" w:cs="Times New Roman" w:eastAsia="Times New Roman" w:hint="default"/>
          <w:spacing w:val="-2"/>
        </w:rPr>
        <w:t>10</w:t>
      </w:r>
      <w:r>
        <w:rPr>
          <w:spacing w:val="-2"/>
        </w:rPr>
        <w:t>股派人民币</w:t>
      </w:r>
      <w:r>
        <w:rPr>
          <w:rFonts w:ascii="Times New Roman" w:hAnsi="Times New Roman" w:cs="Times New Roman" w:eastAsia="Times New Roman" w:hint="default"/>
          <w:spacing w:val="-2"/>
        </w:rPr>
        <w:t>1.2</w:t>
      </w:r>
      <w:r>
        <w:rPr>
          <w:rFonts w:ascii="Times New Roman" w:hAnsi="Times New Roman" w:cs="Times New Roman" w:eastAsia="Times New Roman" w:hint="default"/>
        </w:rPr>
        <w:t> </w:t>
      </w:r>
      <w:r>
        <w:rPr/>
        <w:t>元现金（含税），合计派发现金股利</w:t>
      </w:r>
      <w:r>
        <w:rPr>
          <w:rFonts w:ascii="Times New Roman" w:hAnsi="Times New Roman" w:cs="Times New Roman" w:eastAsia="Times New Roman" w:hint="default"/>
        </w:rPr>
        <w:t>1,440.00</w:t>
      </w:r>
      <w:r>
        <w:rPr/>
        <w:t>万元（含税）。</w:t>
      </w:r>
    </w:p>
    <w:p>
      <w:pPr>
        <w:spacing w:line="240" w:lineRule="auto" w:before="6"/>
        <w:rPr>
          <w:rFonts w:ascii="宋体" w:hAnsi="宋体" w:cs="宋体" w:eastAsia="宋体" w:hint="default"/>
          <w:sz w:val="18"/>
          <w:szCs w:val="18"/>
        </w:rPr>
      </w:pPr>
    </w:p>
    <w:p>
      <w:pPr>
        <w:pStyle w:val="Heading3"/>
        <w:spacing w:line="240" w:lineRule="auto"/>
        <w:ind w:right="9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截至本财务报表签发日（董事会批准报出日），本公司不存在应披露的资产负债表日后事项。</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5" w:right="9049"/>
        <w:jc w:val="center"/>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74,185,884.24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6,664,363.21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68,109,224.31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5,538,259.71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74,185,884.24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6,664,363.21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68,109,224.31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5,538,259.71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74,185,884.24</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6,664,363.21</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68,109,224.31</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5,538,259.71</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516" w:lineRule="auto" w:before="44"/>
        <w:ind w:left="513" w:right="0" w:hanging="360"/>
        <w:jc w:val="left"/>
      </w:pPr>
      <w:r>
        <w:rPr/>
        <w:t>应收账款种类的说明 </w:t>
      </w:r>
      <w:r>
        <w:rPr>
          <w:spacing w:val="-2"/>
        </w:rPr>
        <w:t>按款项账龄的组合计提坏账准备的应收账款，是指将未单项计提坏账准备的应收账款按账龄划分为若干组合，根据以前</w:t>
      </w:r>
    </w:p>
    <w:p>
      <w:pPr>
        <w:pStyle w:val="BodyText"/>
        <w:spacing w:line="477" w:lineRule="auto" w:before="25"/>
        <w:ind w:left="153" w:right="0"/>
        <w:jc w:val="left"/>
      </w:pPr>
      <w:r>
        <w:rPr>
          <w:spacing w:val="-2"/>
        </w:rPr>
        <w:t>年度与之相同或相类似的、具有类似信用风险特征的应收账款组合的实际损失率为基础，结合现时情况确定各项组合计提坏</w:t>
      </w:r>
      <w:r>
        <w:rPr>
          <w:spacing w:val="-64"/>
        </w:rPr>
        <w:t> </w:t>
      </w:r>
      <w:r>
        <w:rPr>
          <w:spacing w:val="-64"/>
        </w:rPr>
      </w:r>
      <w:r>
        <w:rPr/>
        <w:t>账准备的比例，据此计算应计提的坏账准备。</w:t>
      </w:r>
    </w:p>
    <w:p>
      <w:pPr>
        <w:pStyle w:val="BodyText"/>
        <w:spacing w:line="240" w:lineRule="auto" w:before="97"/>
        <w:ind w:left="153" w:right="0"/>
        <w:jc w:val="left"/>
      </w:pPr>
      <w:r>
        <w:rPr/>
        <w:t>期末单项金额重大并单项计提坏账准备的应收账款</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47" w:footer="982" w:top="1060" w:bottom="1180" w:left="980" w:right="980"/>
        </w:sectPr>
      </w:pPr>
    </w:p>
    <w:p>
      <w:pPr>
        <w:pStyle w:val="BodyText"/>
        <w:spacing w:line="240" w:lineRule="auto" w:before="44"/>
        <w:ind w:right="-20"/>
        <w:jc w:val="left"/>
      </w:pPr>
      <w:r>
        <w:rPr/>
        <w:t>组合中，采用账龄分析法计提坏账准备的应收账款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280" w:left="980" w:right="980"/>
          <w:cols w:num="2" w:equalWidth="0">
            <w:col w:w="4115" w:space="471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993"/>
        <w:gridCol w:w="665"/>
        <w:gridCol w:w="1462"/>
        <w:gridCol w:w="2126"/>
        <w:gridCol w:w="664"/>
        <w:gridCol w:w="1594"/>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5" w:type="dxa"/>
            <w:vMerge/>
            <w:tcBorders>
              <w:left w:val="single" w:sz="4" w:space="0" w:color="000000"/>
              <w:right w:val="single" w:sz="4" w:space="0" w:color="000000"/>
            </w:tcBorders>
            <w:shd w:val="clear" w:color="auto" w:fill="D3D3D3"/>
          </w:tcPr>
          <w:p>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51,662,260.94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69.64%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2,583,113.05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50,895,138.84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2,544,756.94</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51,662,260.94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69.64%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2,583,113.05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50,895,138.84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2,544,756.94</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13,301,856.85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17.93%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1,330,185.69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10,267,734.67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1,026,773.47</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6,199,395.81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1,239,879.16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5,021,487.00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1,004,297.40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3,022,370.64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1,511,185.32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1,924,863.80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962,431.90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3,022,370.64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1,511,185.32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1,924,863.80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962,431.90</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74,185,884.24</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6,664,363.21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68,109,224.31</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5,538,259.71</w:t>
            </w:r>
          </w:p>
        </w:tc>
      </w:tr>
    </w:tbl>
    <w:p>
      <w:pPr>
        <w:pStyle w:val="BodyText"/>
        <w:spacing w:line="240" w:lineRule="auto" w:before="51"/>
        <w:ind w:right="0"/>
        <w:jc w:val="left"/>
      </w:pPr>
      <w:r>
        <w:rPr/>
        <w:t>组合中，采用余额百分比法计提坏账准备的应收账款</w:t>
      </w:r>
    </w:p>
    <w:p>
      <w:pPr>
        <w:pStyle w:val="BodyText"/>
        <w:spacing w:line="340" w:lineRule="auto" w:before="116"/>
        <w:ind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type w:val="continuous"/>
          <w:pgSz w:w="11910" w:h="16840"/>
          <w:pgMar w:top="1060" w:bottom="2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期末单项金额虽不重大但单项计提坏账准备的应收账款</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1700"/>
        <w:gridCol w:w="1914"/>
        <w:gridCol w:w="1914"/>
        <w:gridCol w:w="1914"/>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中国农业银行山西省分行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3,819,355.00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广东华兴银行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3,435,710.40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中国农业银行江苏省分行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3,280,707.50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中国银行广东省分行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2,768,120.80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中国农业银行福建省分行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2,728,839.00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一至三年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16,032,732.70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）不符合终止确认条件的应收账款的转移金额为</w:t>
      </w:r>
      <w:r>
        <w:rPr>
          <w:spacing w:val="-55"/>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28"/>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6,429,158.67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442,827.62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6.89%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4,533,055.88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530,995.15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11.71</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6,429,158.67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442,827.62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6.89%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4,533,055.88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530,995.15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11.71</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6,429,158.67</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7" w:right="0"/>
              <w:jc w:val="left"/>
              <w:rPr>
                <w:rFonts w:ascii="Times New Roman" w:hAnsi="Times New Roman" w:cs="Times New Roman" w:eastAsia="Times New Roman" w:hint="default"/>
                <w:sz w:val="18"/>
                <w:szCs w:val="18"/>
              </w:rPr>
            </w:pPr>
            <w:r>
              <w:rPr>
                <w:rFonts w:ascii="Times New Roman"/>
                <w:sz w:val="18"/>
              </w:rPr>
              <w:t>442,827.62</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4,533,055.88</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5" w:right="0"/>
              <w:jc w:val="left"/>
              <w:rPr>
                <w:rFonts w:ascii="Times New Roman" w:hAnsi="Times New Roman" w:cs="Times New Roman" w:eastAsia="Times New Roman" w:hint="default"/>
                <w:sz w:val="18"/>
                <w:szCs w:val="18"/>
              </w:rPr>
            </w:pPr>
            <w:r>
              <w:rPr>
                <w:rFonts w:ascii="Times New Roman"/>
                <w:sz w:val="18"/>
              </w:rPr>
              <w:t>530,995.15</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436" w:lineRule="auto" w:before="51"/>
        <w:ind w:left="513" w:right="0" w:hanging="360"/>
        <w:jc w:val="left"/>
      </w:pPr>
      <w:r>
        <w:rPr/>
        <w:t>其他应收款种类的说明 </w:t>
      </w:r>
      <w:r>
        <w:rPr>
          <w:spacing w:val="-2"/>
        </w:rPr>
        <w:t>按款项账龄的组合计提坏账准备的其他应收款，是指将未单项计提坏账准备的其他应收款按账龄划分为若干组合，根据</w:t>
      </w:r>
    </w:p>
    <w:p>
      <w:pPr>
        <w:pStyle w:val="BodyText"/>
        <w:spacing w:line="477" w:lineRule="auto" w:before="85"/>
        <w:ind w:left="153" w:right="0"/>
        <w:jc w:val="left"/>
      </w:pPr>
      <w:r>
        <w:rPr>
          <w:spacing w:val="-2"/>
        </w:rPr>
        <w:t>以前年度与之相同或相类似的、具有类似信用风险特征的其他应收款组合的实际损失率为基础，结合现时情况确定各项组合</w:t>
      </w:r>
      <w:r>
        <w:rPr>
          <w:spacing w:val="-64"/>
        </w:rPr>
        <w:t> </w:t>
      </w:r>
      <w:r>
        <w:rPr>
          <w:spacing w:val="-64"/>
        </w:rPr>
      </w:r>
      <w:r>
        <w:rPr/>
        <w:t>计提坏账准备的比例，据此计算应计提的坏账准备。</w:t>
      </w:r>
    </w:p>
    <w:p>
      <w:pPr>
        <w:pStyle w:val="BodyText"/>
        <w:spacing w:line="240" w:lineRule="auto" w:before="97"/>
        <w:ind w:left="153" w:right="0"/>
        <w:jc w:val="left"/>
      </w:pPr>
      <w:r>
        <w:rPr/>
        <w:t>期末单项金额重大并单项计提坏账准备的其他应收款</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6"/>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47" w:footer="982" w:top="1060" w:bottom="1180" w:left="980" w:right="980"/>
        </w:sectPr>
      </w:pPr>
    </w:p>
    <w:p>
      <w:pPr>
        <w:pStyle w:val="BodyText"/>
        <w:spacing w:line="240" w:lineRule="auto" w:before="44"/>
        <w:ind w:right="-20"/>
        <w:jc w:val="left"/>
      </w:pPr>
      <w:r>
        <w:rPr/>
        <w:t>组合中，采用账龄分析法计提坏账准备的其他应收款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2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3D3D3"/>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5,275,556.80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218,987.43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3,182,808.12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70.22%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159,140.41</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5,275,556.80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218,987.43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3,182,808.12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70.22%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159,140.41</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792,251.87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79,225.19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657,515.90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65,751.59</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24,040.00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134,209.27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26,841.85</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241,150.00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120,575.00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558,522.59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279,261.30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241,150.00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120,575.00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558,522.59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279,261.30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2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4"/>
        <w:gridCol w:w="1594"/>
        <w:gridCol w:w="1861"/>
        <w:gridCol w:w="665"/>
        <w:gridCol w:w="1726"/>
      </w:tblGrid>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5" w:right="0"/>
              <w:jc w:val="left"/>
              <w:rPr>
                <w:rFonts w:ascii="Times New Roman" w:hAnsi="Times New Roman" w:cs="Times New Roman" w:eastAsia="Times New Roman" w:hint="default"/>
                <w:sz w:val="18"/>
                <w:szCs w:val="18"/>
              </w:rPr>
            </w:pPr>
            <w:r>
              <w:rPr>
                <w:rFonts w:ascii="Times New Roman"/>
                <w:sz w:val="18"/>
              </w:rPr>
              <w:t>6,429,158.67</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442,827.62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4,533,055.88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530,995.15</w:t>
            </w:r>
          </w:p>
        </w:tc>
      </w:tr>
    </w:tbl>
    <w:p>
      <w:pPr>
        <w:pStyle w:val="BodyText"/>
        <w:spacing w:line="240" w:lineRule="auto" w:before="51"/>
        <w:ind w:right="0"/>
        <w:jc w:val="left"/>
      </w:pPr>
      <w:r>
        <w:rPr/>
        <w:t>组合中，采用余额百分比法计提坏账准备的其他应收款</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3"/>
        <w:ind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392"/>
        <w:gridCol w:w="2393"/>
        <w:gridCol w:w="1914"/>
        <w:gridCol w:w="2869"/>
      </w:tblGrid>
      <w:tr>
        <w:trPr>
          <w:trHeight w:val="346" w:hRule="exact"/>
        </w:trPr>
        <w:tc>
          <w:tcPr>
            <w:tcW w:w="239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0"/>
              <w:ind w:left="229"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0"/>
              <w:ind w:left="3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347" w:hRule="exact"/>
        </w:trPr>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深圳市福田区国家税务局</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895,652.60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即征即退税款</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13.93%</w:t>
            </w:r>
          </w:p>
        </w:tc>
      </w:tr>
      <w:tr>
        <w:trPr>
          <w:trHeight w:val="347" w:hRule="exact"/>
        </w:trPr>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中国农业银行甘肃省分行</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850,000.00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13.22%</w:t>
            </w:r>
          </w:p>
        </w:tc>
      </w:tr>
      <w:tr>
        <w:trPr>
          <w:trHeight w:val="347" w:hRule="exact"/>
        </w:trPr>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冯苏军</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303,120.00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4.71%</w:t>
            </w:r>
          </w:p>
        </w:tc>
      </w:tr>
      <w:tr>
        <w:trPr>
          <w:trHeight w:val="347" w:hRule="exact"/>
        </w:trPr>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北京豪威大厦有限公司</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296,602.36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4.61%</w:t>
            </w:r>
          </w:p>
        </w:tc>
      </w:tr>
      <w:tr>
        <w:trPr>
          <w:trHeight w:val="348" w:hRule="exact"/>
        </w:trPr>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深圳科技工业园有限公司</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175,922.00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2.74%</w:t>
            </w:r>
          </w:p>
        </w:tc>
      </w:tr>
      <w:tr>
        <w:trPr>
          <w:trHeight w:val="341" w:hRule="exact"/>
        </w:trPr>
        <w:tc>
          <w:tcPr>
            <w:tcW w:w="239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2,521,296.96</w:t>
            </w: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39.22%</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418"/>
        <w:gridCol w:w="1914"/>
        <w:gridCol w:w="1914"/>
        <w:gridCol w:w="1914"/>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深圳市福田区国家税务局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税务部门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895,652.60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中国农业银行甘肃省分行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冯苏军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北京豪威大厦有限公司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296,602.36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一至三年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深圳科技工业园有限公司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175,922.00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10"/>
        <w:gridCol w:w="1418"/>
        <w:gridCol w:w="1914"/>
        <w:gridCol w:w="1914"/>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2,521,296.96</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）不符合终止确认条件的其他应收款项的转移金额为</w:t>
      </w:r>
      <w:r>
        <w:rPr>
          <w:spacing w:val="-56"/>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991"/>
        <w:gridCol w:w="605"/>
        <w:gridCol w:w="798"/>
        <w:gridCol w:w="798"/>
      </w:tblGrid>
      <w:tr>
        <w:trPr>
          <w:trHeight w:val="1650"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 w:right="41"/>
              <w:jc w:val="center"/>
              <w:rPr>
                <w:rFonts w:ascii="宋体" w:hAnsi="宋体" w:cs="宋体" w:eastAsia="宋体" w:hint="default"/>
                <w:sz w:val="18"/>
                <w:szCs w:val="18"/>
              </w:rPr>
            </w:pPr>
            <w:r>
              <w:rPr>
                <w:rFonts w:ascii="宋体" w:hAnsi="宋体" w:cs="宋体" w:eastAsia="宋体" w:hint="default"/>
                <w:sz w:val="18"/>
                <w:szCs w:val="18"/>
              </w:rPr>
              <w:t>在被投资单 位持股比例 与表决权比 例不一致的 说明</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06" w:right="26"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之杰金融 设备有限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100%</w:t>
            </w:r>
          </w:p>
        </w:tc>
        <w:tc>
          <w:tcPr>
            <w:tcW w:w="991"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之杰技术 开发有限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100%</w:t>
            </w:r>
          </w:p>
        </w:tc>
        <w:tc>
          <w:tcPr>
            <w:tcW w:w="991"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0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357" w:lineRule="auto" w:before="51"/>
        <w:ind w:left="153" w:right="8151"/>
        <w:jc w:val="left"/>
      </w:pPr>
      <w:r>
        <w:rPr/>
        <w:t>长期股权投资的说明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5"/>
        <w:gridCol w:w="3455"/>
        <w:gridCol w:w="3588"/>
      </w:tblGrid>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98,397,141.41</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94,463,450.73</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2,847,438.87</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1,931,034.60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5"/>
        <w:gridCol w:w="3455"/>
        <w:gridCol w:w="3588"/>
      </w:tblGrid>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101,244,580.28</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96,394,485.33</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56,867,703.42</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56,845,207.08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金融信息化行业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98,397,141.41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54,993,276.22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94,463,450.73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55,687,362.60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98,397,141.41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54,993,276.22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94,463,450.73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55,687,362.60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软件产品及开发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72,815,412.76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38,294,507.34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56,576,179.49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24,386,615.41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17,862,057.19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12,055,023.05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27,673,170.95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25,393,176.22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1,555,179.44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1,225,478.31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2,584,713.71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1,923,526.43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服务类</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6,164,492.02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3,418,267.52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7,629,386.58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3,984,044.54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98,397,141.41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54,993,276.22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94,463,450.73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55,687,362.60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18,615,936.46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10,252,283.02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29,090,363.65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15,676,863.58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33,220,131.80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18,804,593.91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15,371,356.73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6,869,493.84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28,746,096.93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16,180,769.51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28,880,381.43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21,873,417.21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5,374,959.85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3,060,012.64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8,901,810.56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6,162,450.51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12,440,016.37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6,695,617.15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12,219,538.36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5,105,137.46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98,397,141.41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54,993,276.22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94,463,450.73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55,687,362.60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6" w:right="0"/>
              <w:jc w:val="left"/>
              <w:rPr>
                <w:rFonts w:ascii="宋体" w:hAnsi="宋体" w:cs="宋体" w:eastAsia="宋体" w:hint="default"/>
                <w:sz w:val="18"/>
                <w:szCs w:val="18"/>
              </w:rPr>
            </w:pPr>
            <w:r>
              <w:rPr>
                <w:rFonts w:ascii="宋体" w:hAnsi="宋体" w:cs="宋体" w:eastAsia="宋体" w:hint="default"/>
                <w:sz w:val="18"/>
                <w:szCs w:val="18"/>
              </w:rPr>
              <w:t>占公司全部营业收入的</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6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农行江苏省分行</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6,165,726.42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贵州农信社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6,104,094.02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5,072,275.01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4,812,931.58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广东华兴银行</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4,027,068.58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26,182,095.61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25.86%</w:t>
            </w:r>
          </w:p>
        </w:tc>
      </w:tr>
    </w:tbl>
    <w:p>
      <w:pPr>
        <w:pStyle w:val="BodyText"/>
        <w:spacing w:line="357" w:lineRule="auto" w:before="51"/>
        <w:ind w:right="8510"/>
        <w:jc w:val="left"/>
      </w:pPr>
      <w:r>
        <w:rPr/>
        <w:t>营业收入的说明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2"/>
        <w:gridCol w:w="2524"/>
        <w:gridCol w:w="2522"/>
      </w:tblGrid>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深圳市银之杰金融设备有限公司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13,500,000.00</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8"/>
        <w:rPr>
          <w:rFonts w:ascii="宋体" w:hAnsi="宋体" w:cs="宋体" w:eastAsia="宋体" w:hint="default"/>
          <w:b/>
          <w:bCs/>
          <w:sz w:val="26"/>
          <w:szCs w:val="26"/>
        </w:rPr>
      </w:pPr>
    </w:p>
    <w:p>
      <w:pPr>
        <w:pStyle w:val="BodyText"/>
        <w:spacing w:line="436" w:lineRule="auto"/>
        <w:ind w:left="514" w:right="140" w:hanging="360"/>
        <w:jc w:val="left"/>
      </w:pPr>
      <w:r>
        <w:rPr/>
        <w:t>投资收益的说明 本期现金红利</w:t>
      </w:r>
      <w:r>
        <w:rPr>
          <w:rFonts w:ascii="Times New Roman" w:hAnsi="Times New Roman" w:cs="Times New Roman" w:eastAsia="Times New Roman" w:hint="default"/>
        </w:rPr>
        <w:t>800</w:t>
      </w:r>
      <w:r>
        <w:rPr/>
        <w:t>万元是指</w:t>
      </w:r>
      <w:r>
        <w:rPr>
          <w:rFonts w:ascii="Times New Roman" w:hAnsi="Times New Roman" w:cs="Times New Roman" w:eastAsia="Times New Roman" w:hint="default"/>
        </w:rPr>
        <w:t>2012</w:t>
      </w:r>
      <w:r>
        <w:rPr/>
        <w:t>年度深圳市银之杰金融设备有限公司宣告并分配给母公司的利润，</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w:t>
      </w:r>
    </w:p>
    <w:p>
      <w:pPr>
        <w:pStyle w:val="BodyText"/>
        <w:spacing w:line="451" w:lineRule="auto" w:before="55"/>
        <w:ind w:right="185"/>
        <w:jc w:val="left"/>
      </w:pPr>
      <w:r>
        <w:rPr/>
        <w:t>市银之杰金融设备有限公司通过执行董事决议，决定将其中的货币资金</w:t>
      </w:r>
      <w:r>
        <w:rPr>
          <w:rFonts w:ascii="Times New Roman" w:hAnsi="Times New Roman" w:cs="Times New Roman" w:eastAsia="Times New Roman" w:hint="default"/>
        </w:rPr>
        <w:t>8,000,000.00</w:t>
      </w:r>
      <w:r>
        <w:rPr/>
        <w:t>万元分配给深圳市银之杰科技股份有限 公司。</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17,800,519.54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21,360,387.21</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1,037,935.97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1,015,653.71</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3,001,753.12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2,480,814.69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1,619,358.18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98,881.65</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587,029.30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625,798.11</w:t>
            </w:r>
          </w:p>
        </w:tc>
      </w:tr>
      <w:tr>
        <w:trPr>
          <w:trHeight w:val="71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2,122.86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140.26</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-156,833.13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-405,028.12</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-1,614,920.44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-3,158,886.14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-13,392,707.50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-19,579,158.15</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-4,418,531.81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1,862,324.87</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-56,480.24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-940,328.50</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-3,590,754.15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-10,139,400.41</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337,491,332.43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380,047,228.75</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380,047,228.75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406,944,604.19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-42,555,896.32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-26,897,375.44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39"/>
        <w:gridCol w:w="2178"/>
        <w:gridCol w:w="1914"/>
        <w:gridCol w:w="1938"/>
      </w:tblGrid>
      <w:tr>
        <w:trPr>
          <w:trHeight w:val="206" w:hRule="exact"/>
        </w:trPr>
        <w:tc>
          <w:tcPr>
            <w:tcW w:w="3539"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353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539"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39"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0.1503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0.1503</w:t>
            </w:r>
          </w:p>
        </w:tc>
      </w:tr>
      <w:tr>
        <w:trPr>
          <w:trHeight w:val="714"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0.1223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50"/>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344"/>
        <w:gridCol w:w="1348"/>
        <w:gridCol w:w="1349"/>
        <w:gridCol w:w="1318"/>
        <w:gridCol w:w="955"/>
        <w:gridCol w:w="3448"/>
      </w:tblGrid>
      <w:tr>
        <w:trPr>
          <w:trHeight w:val="491" w:hRule="exact"/>
        </w:trPr>
        <w:tc>
          <w:tcPr>
            <w:tcW w:w="134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4"/>
              <w:ind w:left="39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4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4"/>
              <w:ind w:left="39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1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4"/>
              <w:ind w:left="381" w:right="0"/>
              <w:jc w:val="left"/>
              <w:rPr>
                <w:rFonts w:ascii="宋体" w:hAnsi="宋体" w:cs="宋体" w:eastAsia="宋体" w:hint="default"/>
                <w:sz w:val="18"/>
                <w:szCs w:val="18"/>
              </w:rPr>
            </w:pPr>
            <w:r>
              <w:rPr>
                <w:rFonts w:ascii="宋体" w:hAnsi="宋体" w:cs="宋体" w:eastAsia="宋体" w:hint="default"/>
                <w:sz w:val="18"/>
                <w:szCs w:val="18"/>
              </w:rPr>
              <w:t>增加额</w:t>
            </w:r>
          </w:p>
        </w:tc>
        <w:tc>
          <w:tcPr>
            <w:tcW w:w="95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4"/>
              <w:ind w:left="199" w:right="0"/>
              <w:jc w:val="left"/>
              <w:rPr>
                <w:rFonts w:ascii="宋体" w:hAnsi="宋体" w:cs="宋体" w:eastAsia="宋体" w:hint="default"/>
                <w:sz w:val="18"/>
                <w:szCs w:val="18"/>
              </w:rPr>
            </w:pPr>
            <w:r>
              <w:rPr>
                <w:rFonts w:ascii="宋体" w:hAnsi="宋体" w:cs="宋体" w:eastAsia="宋体" w:hint="default"/>
                <w:sz w:val="18"/>
                <w:szCs w:val="18"/>
              </w:rPr>
              <w:t>增加率</w:t>
            </w:r>
          </w:p>
        </w:tc>
        <w:tc>
          <w:tcPr>
            <w:tcW w:w="344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变化原因分析</w:t>
            </w:r>
          </w:p>
        </w:tc>
      </w:tr>
      <w:tr>
        <w:trPr>
          <w:trHeight w:val="971" w:hRule="exact"/>
        </w:trPr>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353,108,632.82</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387,791,510.52</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-34,682,877.70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-8.94%</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主要原因系公司派发现金股利、职工薪酬和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管理支出的提高、以及研发项目的投入增加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所致。</w:t>
            </w:r>
          </w:p>
        </w:tc>
      </w:tr>
      <w:tr>
        <w:trPr>
          <w:trHeight w:val="660" w:hRule="exact"/>
        </w:trPr>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7,096,996.51</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4,814,974.00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2,282,022.51</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47.39%</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主要原因系公司为保障金融专用设备产品的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有效供应向供应商的预付货款增加所致。</w:t>
            </w:r>
          </w:p>
        </w:tc>
      </w:tr>
      <w:tr>
        <w:trPr>
          <w:trHeight w:val="971" w:hRule="exact"/>
        </w:trPr>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6,361,871.55</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4,069,861.55</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2,292,010.00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z w:val="18"/>
              </w:rPr>
              <w:t>56.32%</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both"/>
              <w:rPr>
                <w:rFonts w:ascii="宋体" w:hAnsi="宋体" w:cs="宋体" w:eastAsia="宋体" w:hint="default"/>
                <w:sz w:val="18"/>
                <w:szCs w:val="18"/>
              </w:rPr>
            </w:pPr>
            <w:r>
              <w:rPr>
                <w:rFonts w:ascii="宋体" w:hAnsi="宋体" w:cs="宋体" w:eastAsia="宋体" w:hint="default"/>
                <w:sz w:val="18"/>
                <w:szCs w:val="18"/>
              </w:rPr>
              <w:t>主要原因系税务部门已审批的即征即退增值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税款大部分尚未予收到，公司业务部门和员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工备用金及业务投标押金的增加。</w:t>
            </w:r>
          </w:p>
        </w:tc>
      </w:tr>
      <w:tr>
        <w:trPr>
          <w:trHeight w:val="1283" w:hRule="exact"/>
        </w:trPr>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11,468,637.78</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4,406,444.93</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7,062,192.85</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160.27%</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主要原因系公司新开发的金融专用设备产品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的硬件构成比例相对公司以往产品提高，公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司增加生产采购了准备用于近期销售的此类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金融专用产品所致。</w:t>
            </w:r>
          </w:p>
        </w:tc>
      </w:tr>
      <w:tr>
        <w:trPr>
          <w:trHeight w:val="971" w:hRule="exact"/>
        </w:trPr>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12,300,113.82</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z w:val="18"/>
              </w:rPr>
              <w:t>521,758.47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11,778,355.35</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z w:val="18"/>
              </w:rPr>
              <w:t>2257.43%</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主要原因系公司收购博世金信专利技术支出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以及资本化研发支出在项目开发完成后形成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的无形资产。</w:t>
            </w:r>
          </w:p>
        </w:tc>
      </w:tr>
      <w:tr>
        <w:trPr>
          <w:trHeight w:val="659" w:hRule="exact"/>
        </w:trPr>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15,929,451.30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12,792,080.33</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3,137,370.97</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24.53%</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主要原因系公司募集资金投资项目及其他研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发项目的资本化支出的增加。</w:t>
            </w:r>
          </w:p>
        </w:tc>
      </w:tr>
      <w:tr>
        <w:trPr>
          <w:trHeight w:val="660" w:hRule="exact"/>
        </w:trPr>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2,029,870.77</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752,828.05</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1,277,042.72</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169.63%</w:t>
            </w:r>
          </w:p>
        </w:tc>
        <w:tc>
          <w:tcPr>
            <w:tcW w:w="34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主要原因系公司办公场地、工厂的装修费增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加所致。</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44"/>
        <w:ind w:left="0" w:right="251"/>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307"/>
        <w:gridCol w:w="1367"/>
        <w:gridCol w:w="1438"/>
        <w:gridCol w:w="1276"/>
        <w:gridCol w:w="992"/>
        <w:gridCol w:w="3382"/>
      </w:tblGrid>
      <w:tr>
        <w:trPr>
          <w:trHeight w:val="491" w:hRule="exact"/>
        </w:trPr>
        <w:tc>
          <w:tcPr>
            <w:tcW w:w="130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4"/>
              <w:ind w:left="31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3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4"/>
              <w:ind w:left="351"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27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4"/>
              <w:ind w:left="360" w:right="0"/>
              <w:jc w:val="left"/>
              <w:rPr>
                <w:rFonts w:ascii="宋体" w:hAnsi="宋体" w:cs="宋体" w:eastAsia="宋体" w:hint="default"/>
                <w:sz w:val="18"/>
                <w:szCs w:val="18"/>
              </w:rPr>
            </w:pPr>
            <w:r>
              <w:rPr>
                <w:rFonts w:ascii="宋体" w:hAnsi="宋体" w:cs="宋体" w:eastAsia="宋体" w:hint="default"/>
                <w:sz w:val="18"/>
                <w:szCs w:val="18"/>
              </w:rPr>
              <w:t>增加额</w:t>
            </w:r>
          </w:p>
        </w:tc>
        <w:tc>
          <w:tcPr>
            <w:tcW w:w="99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4"/>
              <w:ind w:left="219" w:right="0"/>
              <w:jc w:val="left"/>
              <w:rPr>
                <w:rFonts w:ascii="宋体" w:hAnsi="宋体" w:cs="宋体" w:eastAsia="宋体" w:hint="default"/>
                <w:sz w:val="18"/>
                <w:szCs w:val="18"/>
              </w:rPr>
            </w:pPr>
            <w:r>
              <w:rPr>
                <w:rFonts w:ascii="宋体" w:hAnsi="宋体" w:cs="宋体" w:eastAsia="宋体" w:hint="default"/>
                <w:sz w:val="18"/>
                <w:szCs w:val="18"/>
              </w:rPr>
              <w:t>增加率</w:t>
            </w:r>
          </w:p>
        </w:tc>
        <w:tc>
          <w:tcPr>
            <w:tcW w:w="338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变化原因分析</w:t>
            </w:r>
          </w:p>
        </w:tc>
      </w:tr>
      <w:tr>
        <w:trPr>
          <w:trHeight w:val="347" w:hRule="exact"/>
        </w:trPr>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100,527,997.61</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96,394,485.33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4" w:right="0"/>
              <w:jc w:val="left"/>
              <w:rPr>
                <w:rFonts w:ascii="Times New Roman" w:hAnsi="Times New Roman" w:cs="Times New Roman" w:eastAsia="Times New Roman" w:hint="default"/>
                <w:sz w:val="18"/>
                <w:szCs w:val="18"/>
              </w:rPr>
            </w:pPr>
            <w:r>
              <w:rPr>
                <w:rFonts w:ascii="Times New Roman"/>
                <w:sz w:val="18"/>
              </w:rPr>
              <w:t>4,133,512.28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4.29%</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主要原因系公司主营产品销售略有增长。</w:t>
            </w:r>
          </w:p>
        </w:tc>
      </w:tr>
      <w:tr>
        <w:trPr>
          <w:trHeight w:val="659" w:hRule="exact"/>
        </w:trPr>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47,136,736.37</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42,994,497.52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4,142,238.85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9.63%</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7"/>
                <w:sz w:val="18"/>
                <w:szCs w:val="18"/>
              </w:rPr>
              <w:t>主要原因系公司计入软件开发产品成本的 </w:t>
            </w:r>
            <w:r>
              <w:rPr>
                <w:rFonts w:ascii="宋体" w:hAnsi="宋体" w:cs="宋体" w:eastAsia="宋体" w:hint="default"/>
                <w:sz w:val="18"/>
                <w:szCs w:val="18"/>
              </w:rPr>
              <w:t>开发人员薪酬水平及活动经费提高所致。</w:t>
            </w:r>
          </w:p>
        </w:tc>
      </w:tr>
      <w:tr>
        <w:trPr>
          <w:trHeight w:val="1284" w:hRule="exact"/>
        </w:trPr>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29,848,601.36</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21,642,753.51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8,205,847.85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37.91%</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4"/>
                <w:sz w:val="18"/>
                <w:szCs w:val="18"/>
              </w:rPr>
              <w:t>主要原因系研发、管理人员增加、薪酬水平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提高使薪酬福利总额增加，以及办公场地扩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大、加大研发和管理投入等因素造成费用的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增加。</w:t>
            </w:r>
          </w:p>
        </w:tc>
      </w:tr>
      <w:tr>
        <w:trPr>
          <w:trHeight w:val="659" w:hRule="exact"/>
        </w:trPr>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9,119,311.08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6,452,934.04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2,666,377.04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41.32%</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5"/>
              <w:jc w:val="left"/>
              <w:rPr>
                <w:rFonts w:ascii="宋体" w:hAnsi="宋体" w:cs="宋体" w:eastAsia="宋体" w:hint="default"/>
                <w:sz w:val="18"/>
                <w:szCs w:val="18"/>
              </w:rPr>
            </w:pPr>
            <w:r>
              <w:rPr>
                <w:rFonts w:ascii="宋体" w:hAnsi="宋体" w:cs="宋体" w:eastAsia="宋体" w:hint="default"/>
                <w:spacing w:val="7"/>
                <w:sz w:val="18"/>
                <w:szCs w:val="18"/>
              </w:rPr>
              <w:t>主要原因系本期软件产品即征即退即征税 </w:t>
            </w:r>
            <w:r>
              <w:rPr>
                <w:rFonts w:ascii="宋体" w:hAnsi="宋体" w:cs="宋体" w:eastAsia="宋体" w:hint="default"/>
                <w:sz w:val="18"/>
                <w:szCs w:val="18"/>
              </w:rPr>
              <w:t>款收入和政府科技补贴资金增加。</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94"/>
        <w:jc w:val="center"/>
        <w:rPr>
          <w:b w:val="0"/>
          <w:bCs w:val="0"/>
        </w:rPr>
      </w:pPr>
      <w:bookmarkStart w:name="_TOC_250000" w:id="10"/>
      <w:r>
        <w:rPr/>
        <w:t>第十节</w:t>
      </w:r>
      <w:r>
        <w:rPr>
          <w:spacing w:val="-1"/>
        </w:rPr>
        <w:t> </w:t>
      </w:r>
      <w:r>
        <w:rPr/>
        <w:t>备查文件目录</w:t>
      </w:r>
      <w:bookmarkEnd w:id="10"/>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5"/>
        <w:ind w:left="514" w:right="0"/>
        <w:jc w:val="left"/>
      </w:pPr>
      <w:r>
        <w:rPr>
          <w:rFonts w:ascii="Times New Roman" w:hAnsi="Times New Roman" w:cs="Times New Roman" w:eastAsia="Times New Roman" w:hint="default"/>
        </w:rPr>
        <w:t>1</w:t>
      </w:r>
      <w:r>
        <w:rPr/>
        <w:t>．载有公司法定代表人陈向军、主管会计工作负责人许秋江、会计机构负责人张春雷签名并盖章的财务报表。</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w:t>
      </w:r>
      <w:r>
        <w:rPr/>
        <w:t>．载有国富浩华会计师事务所盖章、注册会计师杨春盛、刘仁芝签名并盖章的审计报告原件。</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3</w:t>
      </w:r>
      <w:r>
        <w:rPr/>
        <w:t>．载有公司董事长陈向军签名的公司</w:t>
      </w:r>
      <w:r>
        <w:rPr>
          <w:rFonts w:ascii="Times New Roman" w:hAnsi="Times New Roman" w:cs="Times New Roman" w:eastAsia="Times New Roman" w:hint="default"/>
        </w:rPr>
        <w:t>2012</w:t>
      </w:r>
      <w:r>
        <w:rPr/>
        <w:t>年年度报告。</w:t>
      </w:r>
    </w:p>
    <w:p>
      <w:pPr>
        <w:spacing w:line="240" w:lineRule="auto" w:before="9"/>
        <w:rPr>
          <w:rFonts w:ascii="宋体" w:hAnsi="宋体" w:cs="宋体" w:eastAsia="宋体" w:hint="default"/>
          <w:sz w:val="16"/>
          <w:szCs w:val="16"/>
        </w:rPr>
      </w:pPr>
    </w:p>
    <w:p>
      <w:pPr>
        <w:pStyle w:val="BodyText"/>
        <w:spacing w:line="451" w:lineRule="auto"/>
        <w:ind w:left="513" w:right="2011"/>
        <w:jc w:val="left"/>
      </w:pPr>
      <w:r>
        <w:rPr>
          <w:rFonts w:ascii="Times New Roman" w:hAnsi="Times New Roman" w:cs="Times New Roman" w:eastAsia="Times New Roman" w:hint="default"/>
        </w:rPr>
        <w:t>4</w:t>
      </w:r>
      <w:r>
        <w:rPr/>
        <w:t>．报告期内公司在中国证监会指定网站上公开披露过的所有文件的正本及公告的原件。 以上备查文件的备置地点：深圳市福田区天安数码城天祥大厦</w:t>
      </w:r>
      <w:r>
        <w:rPr>
          <w:rFonts w:ascii="Times New Roman" w:hAnsi="Times New Roman" w:cs="Times New Roman" w:eastAsia="Times New Roman" w:hint="default"/>
        </w:rPr>
        <w:t>AB</w:t>
      </w:r>
      <w:r>
        <w:rPr/>
        <w:t>座</w:t>
      </w:r>
      <w:r>
        <w:rPr>
          <w:rFonts w:ascii="Times New Roman" w:hAnsi="Times New Roman" w:cs="Times New Roman" w:eastAsia="Times New Roman" w:hint="default"/>
        </w:rPr>
        <w:t>10A</w:t>
      </w:r>
      <w:r>
        <w:rPr/>
        <w:t>，公司董事会办公室。</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36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36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36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36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6364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636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636544" type="#_x0000_t202" filled="false" stroked="false">
          <v:textbox inset="0,0,0,0">
            <w:txbxContent>
              <w:p>
                <w:pPr>
                  <w:pStyle w:val="BodyText"/>
                  <w:spacing w:line="214" w:lineRule="exact"/>
                  <w:ind w:left="20" w:right="0"/>
                  <w:jc w:val="left"/>
                </w:pPr>
                <w:r>
                  <w:rPr/>
                  <w:t>深圳市银之杰科技股份有限公司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8"/>
      <w:ind w:left="153"/>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9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hyperlink" Target="http://www.yinzhijie.com/" TargetMode="External"/><Relationship Id="rId9" Type="http://schemas.openxmlformats.org/officeDocument/2006/relationships/hyperlink" Target="mailto:invest@yinzhijie.com" TargetMode="External"/><Relationship Id="rId10" Type="http://schemas.openxmlformats.org/officeDocument/2006/relationships/hyperlink" Target="mailto:liuyi@yinzhijie.com" TargetMode="External"/><Relationship Id="rId11" Type="http://schemas.openxmlformats.org/officeDocument/2006/relationships/hyperlink" Target="mailto:linli@yinzhijie.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- 2012年年度报告.doc</dc:title>
  <dcterms:created xsi:type="dcterms:W3CDTF">2020-05-04T01:44:45Z</dcterms:created>
  <dcterms:modified xsi:type="dcterms:W3CDTF">2020-05-04T01:44:45Z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2013-03-18T00:00:00Z</vt:filetime>
  </property>
  <property fmtid="{D5CDD505-2E9C-101B-9397-08002B2CF9AE}" pid="3" name="Creator">
    <vt:lpwstr>PScript5.dll Version 5.2</vt:lpwstr>
  </property>
  <property fmtid="{D5CDD505-2E9C-101B-9397-08002B2CF9AE}" pid="4" name="LastSaved">
    <vt:filetime>2020-05-03T00:00:00Z</vt:filetime>
  </property>
</Properties>
</file>