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724785" cy="5911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724785" cy="591185"/>
                    </a:xfrm>
                    <a:prstGeom prst="rect"/>
                  </pic:spPr>
                </pic:pic>
              </a:graphicData>
            </a:graphic>
          </wp:inline>
        </w:drawing>
      </w:r>
    </w:p>
    <w:p>
      <w:pPr>
        <w:widowControl w:val="0"/>
        <w:spacing w:after="579" w:line="1" w:lineRule="exact"/>
      </w:pPr>
    </w:p>
    <w:p>
      <w:pPr>
        <w:pStyle w:val="Style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深圳市银之杰科技股份有限公司</w:t>
      </w:r>
    </w:p>
    <w:p>
      <w:pPr>
        <w:pStyle w:val="Style8"/>
        <w:keepNext w:val="0"/>
        <w:keepLines w:val="0"/>
        <w:widowControl w:val="0"/>
        <w:shd w:val="clear" w:color="auto" w:fill="auto"/>
        <w:bidi w:val="0"/>
        <w:spacing w:before="0" w:after="1820" w:line="240" w:lineRule="auto"/>
        <w:ind w:left="0" w:right="0" w:firstLine="0"/>
        <w:jc w:val="center"/>
      </w:pPr>
      <w:r>
        <w:rPr>
          <w:color w:val="000000"/>
          <w:spacing w:val="0"/>
          <w:w w:val="100"/>
          <w:position w:val="0"/>
        </w:rPr>
        <w:t>SHENZHEN INFOTECH TECHNOLOGIES CO., LTD.</w:t>
      </w:r>
    </w:p>
    <w:p>
      <w:pPr>
        <w:pStyle w:val="Style6"/>
        <w:keepNext w:val="0"/>
        <w:keepLines w:val="0"/>
        <w:widowControl w:val="0"/>
        <w:shd w:val="clear" w:color="auto" w:fill="auto"/>
        <w:bidi w:val="0"/>
        <w:spacing w:before="0" w:after="3900" w:line="240" w:lineRule="auto"/>
        <w:ind w:left="0" w:right="0" w:firstLine="0"/>
        <w:jc w:val="center"/>
      </w:pPr>
      <w:r>
        <w:rPr>
          <w:color w:val="000000"/>
          <w:spacing w:val="0"/>
          <w:w w:val="100"/>
          <w:position w:val="0"/>
          <w:sz w:val="52"/>
          <w:szCs w:val="52"/>
        </w:rPr>
        <w:t>2013</w:t>
      </w:r>
      <w:r>
        <w:rPr>
          <w:color w:val="000000"/>
          <w:spacing w:val="0"/>
          <w:w w:val="100"/>
          <w:position w:val="0"/>
        </w:rPr>
        <w:t>年年度报告</w:t>
      </w:r>
    </w:p>
    <w:p>
      <w:pPr>
        <w:pStyle w:val="Style8"/>
        <w:keepNext w:val="0"/>
        <w:keepLines w:val="0"/>
        <w:widowControl w:val="0"/>
        <w:shd w:val="clear" w:color="auto" w:fill="auto"/>
        <w:bidi w:val="0"/>
        <w:spacing w:before="0" w:after="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3140" w:right="1107" w:bottom="3140" w:left="1112" w:header="0" w:footer="3" w:gutter="0"/>
          <w:pgNumType w:start="1"/>
          <w:cols w:space="720"/>
          <w:noEndnote/>
          <w:rtlGutter w:val="0"/>
          <w:docGrid w:linePitch="360"/>
        </w:sectPr>
      </w:pPr>
      <w:r>
        <w:rPr>
          <w:color w:val="000000"/>
          <w:spacing w:val="0"/>
          <w:w w:val="100"/>
          <w:position w:val="0"/>
          <w:sz w:val="32"/>
          <w:szCs w:val="32"/>
        </w:rPr>
        <w:t>2014</w:t>
      </w:r>
      <w:r>
        <w:rPr>
          <w:rFonts w:ascii="SimSun" w:eastAsia="SimSun" w:hAnsi="SimSun" w:cs="SimSun"/>
          <w:color w:val="000000"/>
          <w:spacing w:val="0"/>
          <w:w w:val="100"/>
          <w:position w:val="0"/>
          <w:sz w:val="32"/>
          <w:szCs w:val="32"/>
        </w:rPr>
        <w:t>年</w:t>
      </w:r>
      <w:r>
        <w:rPr>
          <w:color w:val="000000"/>
          <w:spacing w:val="0"/>
          <w:w w:val="100"/>
          <w:position w:val="0"/>
          <w:sz w:val="32"/>
          <w:szCs w:val="32"/>
        </w:rPr>
        <w:t>03</w:t>
      </w:r>
      <w:r>
        <w:rPr>
          <w:rFonts w:ascii="SimSun" w:eastAsia="SimSun" w:hAnsi="SimSun" w:cs="SimSun"/>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40" w:line="626" w:lineRule="exact"/>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5"/>
        <w:keepNext w:val="0"/>
        <w:keepLines w:val="0"/>
        <w:widowControl w:val="0"/>
        <w:shd w:val="clear" w:color="auto" w:fill="auto"/>
        <w:bidi w:val="0"/>
        <w:spacing w:before="0" w:after="100" w:line="630"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100" w:line="634" w:lineRule="exact"/>
        <w:ind w:left="0" w:right="0"/>
        <w:jc w:val="both"/>
        <w:sectPr>
          <w:headerReference w:type="default" r:id="rId9"/>
          <w:footerReference w:type="default" r:id="rId10"/>
          <w:footnotePr>
            <w:pos w:val="pageBottom"/>
            <w:numFmt w:val="decimal"/>
            <w:numRestart w:val="continuous"/>
          </w:footnotePr>
          <w:pgSz w:w="11900" w:h="16840"/>
          <w:pgMar w:top="1974" w:right="1107" w:bottom="1974" w:left="1112" w:header="0" w:footer="3" w:gutter="0"/>
          <w:cols w:space="720"/>
          <w:noEndnote/>
          <w:rtlGutter w:val="0"/>
          <w:docGrid w:linePitch="360"/>
        </w:sectPr>
      </w:pPr>
      <w:r>
        <w:rPr>
          <w:color w:val="000000"/>
          <w:spacing w:val="0"/>
          <w:w w:val="100"/>
          <w:position w:val="0"/>
        </w:rPr>
        <w:t>公司负责人陈向军、主管会计工作负责人许秋江及会计机构负责人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张春雷声明：保证年度报告中财务报告的真实、准确、完整。</w:t>
      </w:r>
    </w:p>
    <w:p>
      <w:pPr>
        <w:pStyle w:val="Style18"/>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0"/>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10" w:tooltip="Current Document">
        <w:r>
          <w:rPr>
            <w:color w:val="000000"/>
            <w:spacing w:val="0"/>
            <w:w w:val="100"/>
            <w:position w:val="0"/>
            <w:sz w:val="24"/>
            <w:szCs w:val="24"/>
          </w:rPr>
          <w:t>第二节公司基本情况简介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28"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62"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16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31</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30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352"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385"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427" w:tooltip="Current Document">
        <w:r>
          <w:rPr>
            <w:color w:val="000000"/>
            <w:spacing w:val="0"/>
            <w:w w:val="100"/>
            <w:position w:val="0"/>
            <w:sz w:val="24"/>
            <w:szCs w:val="24"/>
          </w:rPr>
          <w:t>第九节财务报告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0"/>
        <w:keepNext w:val="0"/>
        <w:keepLines w:val="0"/>
        <w:widowControl w:val="0"/>
        <w:shd w:val="clear" w:color="auto" w:fill="auto"/>
        <w:tabs>
          <w:tab w:leader="dot" w:pos="9612" w:val="right"/>
        </w:tabs>
        <w:bidi w:val="0"/>
        <w:spacing w:before="0" w:line="240" w:lineRule="auto"/>
        <w:ind w:left="0" w:right="0" w:firstLine="0"/>
        <w:jc w:val="left"/>
      </w:pPr>
      <w:hyperlink w:anchor="bookmark1275" w:tooltip="Current Document">
        <w:r>
          <w:rPr>
            <w:color w:val="000000"/>
            <w:spacing w:val="0"/>
            <w:w w:val="100"/>
            <w:position w:val="0"/>
            <w:sz w:val="24"/>
            <w:szCs w:val="24"/>
          </w:rPr>
          <w:t>第十节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131</w:t>
        </w:r>
      </w:hyperlink>
      <w:r>
        <w:br w:type="page"/>
      </w:r>
      <w:r>
        <w:fldChar w:fldCharType="end"/>
      </w:r>
    </w:p>
    <w:p>
      <w:pPr>
        <w:pStyle w:val="Style13"/>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银之杰金融设备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深圳市银之杰金融设备有限公司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银之杰技术开发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深圳市银之杰技术开发有限公司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票联公司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深圳票联金融服务有限公司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华道征信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北京华道征信有限公司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《深圳市银之杰科技股份有限公司章程》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影像技术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对通过摄像、扫描等方式获得的数字图像进行传输、图像处理、识别、 存储、管理等一系列信息化应用的技术。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支票、汇票、本票等。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验印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银行在受理诸如支票等涉及客户签章的业务时，核对客户签章与预留 银行的签章是否相符的业务操作程序。</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将组织中例行的、为完成特定目标的工作程序抽象成具有严格顺序的 工作序列，对每项工作均定义清晰的进入条件和完成标准，并以恰当 的软件模型对各项工作组织的逻辑和规则在计算机中进行表示。</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工作流引擎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利用工作流的计算机模型对工作流进行计算机计算机化表示并驱动 工作流运行的软件技术，是工作流管理系统的核心部分。</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流程银行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通过重新构造银行的业务流程、组织流程、管理流程，改造传统的银 行模式，形成以流程为核心的全新的银行模式。本报告中多特指商业 银行为达到以上变革目的而进行的信息化建设。</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银行业务流程再造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商业银行为了适应市场需要，采取积极彻底的措施向流程银行的管理 模式靠拢，对原有的业务流程以及内外部组织结构进行彻底地变革， 以期有效改善对客户的服务质量，降低成本，加强风险控制的实践。</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征信业务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对企业、事业单位等组织的信用信息且</w:t>
            </w:r>
            <w:r>
              <w:rPr>
                <w:rFonts w:ascii="Times New Roman" w:eastAsia="Times New Roman" w:hAnsi="Times New Roman" w:cs="Times New Roman"/>
                <w:color w:val="000000"/>
                <w:spacing w:val="0"/>
                <w:w w:val="100"/>
                <w:position w:val="0"/>
              </w:rPr>
              <w:t>/</w:t>
            </w:r>
            <w:r>
              <w:rPr>
                <w:color w:val="000000"/>
                <w:spacing w:val="0"/>
                <w:w w:val="100"/>
                <w:position w:val="0"/>
              </w:rPr>
              <w:t>或个人的信用信息进行采集、 整理、保存、加工，并向信息使用者提供的活动。</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0" w:name="bookmark10"/>
      <w:bookmarkStart w:id="11" w:name="bookmark11"/>
      <w:bookmarkStart w:id="9" w:name="bookmark9"/>
      <w:r>
        <w:rPr>
          <w:color w:val="000000"/>
          <w:spacing w:val="0"/>
          <w:w w:val="100"/>
          <w:position w:val="0"/>
        </w:rPr>
        <w:t>第二节公司基本情况简介</w:t>
      </w:r>
      <w:bookmarkEnd w:id="10"/>
      <w:bookmarkEnd w:id="11"/>
      <w:bookmarkEnd w:id="9"/>
    </w:p>
    <w:p>
      <w:pPr>
        <w:pStyle w:val="Style26"/>
        <w:keepNext/>
        <w:keepLines/>
        <w:widowControl w:val="0"/>
        <w:shd w:val="clear" w:color="auto" w:fill="auto"/>
        <w:bidi w:val="0"/>
        <w:spacing w:before="0" w:line="240" w:lineRule="auto"/>
        <w:ind w:left="0" w:right="0" w:firstLine="240"/>
        <w:jc w:val="left"/>
      </w:pPr>
      <w:bookmarkStart w:id="12" w:name="bookmark12"/>
      <w:bookmarkStart w:id="13" w:name="bookmark13"/>
      <w:bookmarkStart w:id="14" w:name="bookmark14"/>
      <w:r>
        <w:rPr>
          <w:color w:val="000000"/>
          <w:spacing w:val="0"/>
          <w:w w:val="100"/>
          <w:position w:val="0"/>
          <w:sz w:val="24"/>
          <w:szCs w:val="24"/>
        </w:rPr>
        <w:t>、公司信息</w:t>
      </w:r>
      <w:bookmarkEnd w:id="12"/>
      <w:bookmarkEnd w:id="13"/>
      <w:bookmarkEnd w:id="14"/>
    </w:p>
    <w:tbl>
      <w:tblPr>
        <w:tblOverlap w:val="never"/>
        <w:jc w:val="center"/>
        <w:tblLayout w:type="fixed"/>
      </w:tblPr>
      <w:tblGrid>
        <w:gridCol w:w="2933"/>
        <w:gridCol w:w="2304"/>
        <w:gridCol w:w="2160"/>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深圳市银之杰科技股份有限公司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Infotech Technologies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INFOTECH</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深圳市福田区天安数码城天祥大厦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5B2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深圳市福田区天安数码城天祥大厦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10A</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"http://www.yinzhijie.com" </w:instrText>
            </w:r>
            <w:r>
              <w:fldChar w:fldCharType="separate"/>
            </w:r>
            <w:r>
              <w:rPr>
                <w:rFonts w:ascii="Times New Roman" w:eastAsia="Times New Roman" w:hAnsi="Times New Roman" w:cs="Times New Roman"/>
                <w:color w:val="000000"/>
                <w:spacing w:val="0"/>
                <w:w w:val="100"/>
                <w:position w:val="0"/>
              </w:rPr>
              <w:t>www.yinzhijie.com</w:t>
            </w:r>
            <w:r>
              <w:fldChar w:fldCharType="end"/>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"mailto:invest@yinzhijie.com" </w:instrText>
            </w:r>
            <w:r>
              <w:fldChar w:fldCharType="separate"/>
            </w:r>
            <w:r>
              <w:rPr>
                <w:rFonts w:ascii="Times New Roman" w:eastAsia="Times New Roman" w:hAnsi="Times New Roman" w:cs="Times New Roman"/>
                <w:color w:val="000000"/>
                <w:spacing w:val="0"/>
                <w:w w:val="100"/>
                <w:position w:val="0"/>
              </w:rPr>
              <w:t>invest@yinzhijie.com</w:t>
            </w:r>
            <w:r>
              <w:fldChar w:fldCharType="end"/>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3-4</w:t>
            </w:r>
            <w:r>
              <w:rPr>
                <w:color w:val="000000"/>
                <w:spacing w:val="0"/>
                <w:w w:val="100"/>
                <w:position w:val="0"/>
              </w:rPr>
              <w:t>层</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林丽</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深圳市福田区天安数码城天祥大厦</w:t>
            </w:r>
            <w:r>
              <w:rPr>
                <w:rFonts w:ascii="Times New Roman" w:eastAsia="Times New Roman" w:hAnsi="Times New Roman" w:cs="Times New Roman"/>
                <w:color w:val="000000"/>
                <w:spacing w:val="0"/>
                <w:w w:val="100"/>
                <w:position w:val="0"/>
              </w:rPr>
              <w:t>AB</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座</w:t>
            </w:r>
            <w:r>
              <w:rPr>
                <w:rFonts w:ascii="Times New Roman" w:eastAsia="Times New Roman" w:hAnsi="Times New Roman" w:cs="Times New Roman"/>
                <w:color w:val="000000"/>
                <w:spacing w:val="0"/>
                <w:w w:val="100"/>
                <w:position w:val="0"/>
              </w:rPr>
              <w:t>10A</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深圳市福田区天安数码城天祥大厦</w:t>
            </w:r>
            <w:r>
              <w:rPr>
                <w:rFonts w:ascii="Times New Roman" w:eastAsia="Times New Roman" w:hAnsi="Times New Roman" w:cs="Times New Roman"/>
                <w:color w:val="000000"/>
                <w:spacing w:val="0"/>
                <w:w w:val="100"/>
                <w:position w:val="0"/>
              </w:rPr>
              <w:t>AB</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座</w:t>
            </w:r>
            <w:r>
              <w:rPr>
                <w:rFonts w:ascii="Times New Roman" w:eastAsia="Times New Roman" w:hAnsi="Times New Roman" w:cs="Times New Roman"/>
                <w:color w:val="000000"/>
                <w:spacing w:val="0"/>
                <w:w w:val="100"/>
                <w:position w:val="0"/>
              </w:rPr>
              <w:t>10A</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0755-83930085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0755-83930085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0755-83562955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0755-83562955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"mailto:liuyi@yinzhijie.com" </w:instrText>
            </w:r>
            <w:r>
              <w:fldChar w:fldCharType="separate"/>
            </w:r>
            <w:r>
              <w:rPr>
                <w:rFonts w:ascii="Times New Roman" w:eastAsia="Times New Roman" w:hAnsi="Times New Roman" w:cs="Times New Roman"/>
                <w:color w:val="000000"/>
                <w:spacing w:val="0"/>
                <w:w w:val="100"/>
                <w:position w:val="0"/>
              </w:rPr>
              <w:t>liuyi@yinzhijie.com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"mailto:linli@yinzhijie.com" </w:instrText>
            </w:r>
            <w:r>
              <w:fldChar w:fldCharType="separate"/>
            </w:r>
            <w:r>
              <w:rPr>
                <w:rFonts w:ascii="Times New Roman" w:eastAsia="Times New Roman" w:hAnsi="Times New Roman" w:cs="Times New Roman"/>
                <w:color w:val="000000"/>
                <w:spacing w:val="0"/>
                <w:w w:val="100"/>
                <w:position w:val="0"/>
              </w:rPr>
              <w:t>linli@yinzhijie.com</w:t>
            </w:r>
            <w:r>
              <w:fldChar w:fldCharType="end"/>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、公司历史沿革</w:t>
      </w:r>
      <w:bookmarkEnd w:id="23"/>
      <w:bookmarkEnd w:id="24"/>
      <w:bookmarkEnd w:id="26"/>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组织机构代码</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深圳市华强北路长 兴大厦盛庭苑酒店 </w:t>
            </w:r>
            <w:r>
              <w:rPr>
                <w:rFonts w:ascii="Times New Roman" w:eastAsia="Times New Roman" w:hAnsi="Times New Roman" w:cs="Times New Roman"/>
                <w:color w:val="000000"/>
                <w:spacing w:val="0"/>
                <w:w w:val="100"/>
                <w:position w:val="0"/>
              </w:rPr>
              <w:t>B</w:t>
            </w:r>
            <w:r>
              <w:rPr>
                <w:color w:val="000000"/>
                <w:spacing w:val="0"/>
                <w:w w:val="100"/>
                <w:position w:val="0"/>
              </w:rPr>
              <w:t>座写字楼</w:t>
            </w:r>
            <w:r>
              <w:rPr>
                <w:rFonts w:ascii="Times New Roman" w:eastAsia="Times New Roman" w:hAnsi="Times New Roman" w:cs="Times New Roman"/>
                <w:color w:val="000000"/>
                <w:spacing w:val="0"/>
                <w:w w:val="100"/>
                <w:position w:val="0"/>
              </w:rPr>
              <w:t>1404</w:t>
            </w:r>
            <w:r>
              <w:rPr>
                <w:color w:val="000000"/>
                <w:spacing w:val="0"/>
                <w:w w:val="100"/>
                <w:position w:val="0"/>
              </w:rPr>
              <w:t>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4403012009512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440301708458455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70845845-5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股份公司成立变更 注册登记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深圳市福田区车公 庙天安数码城天祥 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5B2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440301102955880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440301708458455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70845845-5</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首次公开发行股票 变更注册登记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深圳市福田区车公 庙天安数码城天祥 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5B2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440301102955880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440301708458455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70845845-5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资本公积金转增股 本变更注册登记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深圳市福田区车公 庙天安数码城天祥 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5B2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440301102955880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440301708458455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70845845-5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变更经营范围登记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深圳市福田区车公 庙天安数码城天祥 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5B2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440301102955880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440301708458455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70845845-5</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变更注册资本登记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深圳市福田区车公 庙天安数码城天祥 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5B2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440301102955880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440301708458455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70845845-5</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27" w:name="bookmark27"/>
      <w:bookmarkStart w:id="28" w:name="bookmark28"/>
      <w:bookmarkStart w:id="29" w:name="bookmark29"/>
      <w:r>
        <w:rPr>
          <w:color w:val="000000"/>
          <w:spacing w:val="0"/>
          <w:w w:val="100"/>
          <w:position w:val="0"/>
        </w:rPr>
        <w:t>第三节会计数据和财务指标摘要</w:t>
      </w:r>
      <w:bookmarkEnd w:id="27"/>
      <w:bookmarkEnd w:id="28"/>
      <w:bookmarkEnd w:id="29"/>
    </w:p>
    <w:p>
      <w:pPr>
        <w:pStyle w:val="Style26"/>
        <w:keepNext/>
        <w:keepLines/>
        <w:widowControl w:val="0"/>
        <w:shd w:val="clear" w:color="auto" w:fill="auto"/>
        <w:bidi w:val="0"/>
        <w:spacing w:before="0" w:after="220" w:line="240" w:lineRule="auto"/>
        <w:ind w:left="0" w:right="0" w:firstLine="240"/>
        <w:jc w:val="left"/>
      </w:pPr>
      <w:bookmarkStart w:id="30" w:name="bookmark30"/>
      <w:bookmarkStart w:id="31" w:name="bookmark31"/>
      <w:bookmarkStart w:id="32" w:name="bookmark32"/>
      <w:r>
        <w:rPr>
          <w:color w:val="000000"/>
          <w:spacing w:val="0"/>
          <w:w w:val="100"/>
          <w:position w:val="0"/>
          <w:sz w:val="24"/>
          <w:szCs w:val="24"/>
        </w:rPr>
        <w:t>、主要会计数据和财务指标</w:t>
      </w:r>
      <w:bookmarkEnd w:id="30"/>
      <w:bookmarkEnd w:id="31"/>
      <w:bookmarkEnd w:id="32"/>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110,074,729.26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100,527,997.61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96,394,485.33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51,116,498.03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47,136,736.37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42,994,497.52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8,477,895.12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11,150,805.23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16,735,078.60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14,534,135.98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20,267,993.45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23,167,872.38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14,446,722.90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18,030,617.44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20,830,897.90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12,277,076.89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14,670,954.82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18,849,181.33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-4,135,878.43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5,549,027.47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4,984,417.65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0.0462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0.1503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0.1503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-0.72</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-0.48</w:t>
            </w:r>
            <w:r>
              <w:rPr>
                <w:color w:val="000000"/>
                <w:spacing w:val="0"/>
                <w:w w:val="100"/>
                <w:position w:val="0"/>
              </w:rPr>
              <w:t>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121,330,000.00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535,112,376.35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528,315,392.36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530,295,506.22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13,049,322.53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12,603,261.44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14,613,992.74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522,063,053.82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515,712,130.92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515,681,513.48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4.2976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r>
              <w:rPr>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二</w:t>
      </w:r>
      <w:bookmarkEnd w:id="35"/>
      <w:r>
        <w:rPr>
          <w:color w:val="000000"/>
          <w:spacing w:val="0"/>
          <w:w w:val="100"/>
          <w:position w:val="0"/>
          <w:sz w:val="24"/>
          <w:szCs w:val="24"/>
        </w:rPr>
        <w:t>、境内外会计准则下会计数据差异</w:t>
      </w:r>
      <w:bookmarkEnd w:id="33"/>
      <w:bookmarkEnd w:id="34"/>
      <w:bookmarkEnd w:id="36"/>
    </w:p>
    <w:p>
      <w:pPr>
        <w:pStyle w:val="Style33"/>
        <w:keepNext/>
        <w:keepLines/>
        <w:widowControl w:val="0"/>
        <w:shd w:val="clear" w:color="auto" w:fill="auto"/>
        <w:bidi w:val="0"/>
        <w:spacing w:before="0" w:after="36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、同时按照国际会计准则与按中国会计准则披露的财务报告中净利润和净资产差异情况</w:t>
      </w:r>
      <w:bookmarkEnd w:id="37"/>
      <w:bookmarkEnd w:id="38"/>
      <w:bookmarkEnd w:id="4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14,446,722.90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18,030,617.44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522,063,053.82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515,712,130.92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、同时按照境外会计准则与按中国会计准则披露的财务报告中净利润和净资产差异情况</w:t>
      </w:r>
      <w:bookmarkEnd w:id="41"/>
      <w:bookmarkEnd w:id="42"/>
      <w:bookmarkEnd w:id="4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14,446,722.90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18,030,617.44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522,063,053.82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515,712,130.92</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3</w:t>
      </w:r>
      <w:bookmarkEnd w:id="47"/>
      <w:r>
        <w:rPr>
          <w:color w:val="000000"/>
          <w:spacing w:val="0"/>
          <w:w w:val="100"/>
          <w:position w:val="0"/>
        </w:rPr>
        <w:t>、境内外会计准则下会计数据差异说明</w:t>
      </w:r>
      <w:bookmarkEnd w:id="45"/>
      <w:bookmarkEnd w:id="46"/>
      <w:bookmarkEnd w:id="4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三</w:t>
      </w:r>
      <w:bookmarkEnd w:id="51"/>
      <w:r>
        <w:rPr>
          <w:color w:val="000000"/>
          <w:spacing w:val="0"/>
          <w:w w:val="100"/>
          <w:position w:val="0"/>
          <w:sz w:val="24"/>
          <w:szCs w:val="24"/>
        </w:rPr>
        <w:t>、非经常性损益的项目及金额</w:t>
      </w:r>
      <w:bookmarkEnd w:id="49"/>
      <w:bookmarkEnd w:id="50"/>
      <w:bookmarkEnd w:id="5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542.14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2,411,600.00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3,953,873.00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2,350,845.00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240,538.45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592,087.52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349,670.57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2,169,646.01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3,359,662.62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1,981,716.57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0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四</w:t>
      </w:r>
      <w:bookmarkEnd w:id="55"/>
      <w:r>
        <w:rPr>
          <w:color w:val="000000"/>
          <w:spacing w:val="0"/>
          <w:w w:val="100"/>
          <w:position w:val="0"/>
          <w:sz w:val="24"/>
          <w:szCs w:val="24"/>
        </w:rPr>
        <w:t>、重大风险提示</w:t>
      </w:r>
      <w:bookmarkEnd w:id="53"/>
      <w:bookmarkEnd w:id="54"/>
      <w:bookmarkEnd w:id="56"/>
    </w:p>
    <w:p>
      <w:pPr>
        <w:pStyle w:val="Style28"/>
        <w:keepNext w:val="0"/>
        <w:keepLines w:val="0"/>
        <w:widowControl w:val="0"/>
        <w:shd w:val="clear" w:color="auto" w:fill="auto"/>
        <w:tabs>
          <w:tab w:pos="654" w:val="left"/>
        </w:tabs>
        <w:bidi w:val="0"/>
        <w:spacing w:before="0" w:after="0" w:line="468" w:lineRule="exact"/>
        <w:ind w:left="0" w:right="0"/>
        <w:jc w:val="both"/>
      </w:pPr>
      <w:bookmarkStart w:id="57" w:name="bookmark57"/>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t>市场竞争风险</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公司主营业务一直专注于金融信息化领域，随着公司围绕银行业的支付结算、风险防控、业务流程再造和金融专用设备 领域的产品线进一步拓宽，公司面临的行业竞争也日趋激烈。在公司业务向更广阔的金融信息化领域拓展的同时，公司新的 产品或服务可能将面临更多的市场竞争者，甚至是来自国外的竞争对手，这将使公司未来面临的市场竞争更加激烈。市场竞 争的日趋激烈，将可能影响公司未来的盈利能力。公司将坚持自主创新，研发具有领先性的技术、产品解决方案，同时通过 进一步加强项目管理体系方面的建设，提升公司内部组织效率，继续沿着既定经营战略，努力成为推动行业发展的开拓者和 领导者，实现公司整体业务规模和产业升级，从而提升公司核心竞争能力，提高公司效益。</w:t>
      </w:r>
    </w:p>
    <w:p>
      <w:pPr>
        <w:pStyle w:val="Style28"/>
        <w:keepNext w:val="0"/>
        <w:keepLines w:val="0"/>
        <w:widowControl w:val="0"/>
        <w:shd w:val="clear" w:color="auto" w:fill="auto"/>
        <w:tabs>
          <w:tab w:pos="674" w:val="left"/>
        </w:tabs>
        <w:bidi w:val="0"/>
        <w:spacing w:before="0" w:after="0" w:line="468" w:lineRule="exact"/>
        <w:ind w:left="0" w:right="0"/>
        <w:jc w:val="both"/>
      </w:pPr>
      <w:bookmarkStart w:id="58" w:name="bookmark58"/>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产品价格风险</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公司主要为银行提供产品和技术服务。银行客户的采购决策程序比较规范，对于新项目或者金额比较大的项目一般采取 招投标的方式进行采购，这将进一步加剧厂商间的竞争，降低产品的价格。如果公司产品价格的降低幅度较大，将可能影响 公司未来的盈利能力。公司将通过不断改进技术、提高质量和提供更优质的售后服务等措施，实现产品和服务的差异化，形 成公司产品在市场上的品牌效应；努力开拓市场，扩大业务规模，提高盈利水平；通过加强管理控制材料成本和费用成本。</w:t>
      </w:r>
    </w:p>
    <w:p>
      <w:pPr>
        <w:pStyle w:val="Style28"/>
        <w:keepNext w:val="0"/>
        <w:keepLines w:val="0"/>
        <w:widowControl w:val="0"/>
        <w:shd w:val="clear" w:color="auto" w:fill="auto"/>
        <w:tabs>
          <w:tab w:pos="674" w:val="left"/>
        </w:tabs>
        <w:bidi w:val="0"/>
        <w:spacing w:before="0" w:after="0" w:line="468" w:lineRule="exact"/>
        <w:ind w:left="0" w:right="0"/>
        <w:jc w:val="both"/>
      </w:pPr>
      <w:bookmarkStart w:id="59" w:name="bookmark59"/>
      <w:r>
        <w:rPr>
          <w:rFonts w:ascii="Times New Roman" w:eastAsia="Times New Roman" w:hAnsi="Times New Roman" w:cs="Times New Roman"/>
          <w:color w:val="000000"/>
          <w:spacing w:val="0"/>
          <w:w w:val="100"/>
          <w:position w:val="0"/>
        </w:rPr>
        <w:t>3</w:t>
      </w:r>
      <w:bookmarkEnd w:id="59"/>
      <w:r>
        <w:rPr>
          <w:color w:val="000000"/>
          <w:spacing w:val="0"/>
          <w:w w:val="100"/>
          <w:position w:val="0"/>
        </w:rPr>
        <w:t>、</w:t>
        <w:tab/>
        <w:t>经营管理风险</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随着经营规模的不断扩大，公司组织结构和管理体系趋于复杂化，公司的经营决策、风险控制的难度大为增加，对公司 管理团队的管理水平及驾驭经营风险的能力带来一定程度的挑战，对公司的内部控制、生产组织、售后服务等都提出了更高 的要求，对在管理、技术、营销、生产等方面的中高级人才的需求也将日益增加。如果公司在业务流程运作过程中不能实施 有效控制和持续引进、储备高素质人才，将对公司的高效运转及管理效率带来一定风险。公司目前具有较好的人才基础，并 将持续引进、储备高素质人才。同时，公司将不断优化组织结构，提升管理水平，建立规范化的流程管理、人力资源管理、 财务管理、项目管理体系。</w:t>
      </w:r>
    </w:p>
    <w:p>
      <w:pPr>
        <w:pStyle w:val="Style28"/>
        <w:keepNext w:val="0"/>
        <w:keepLines w:val="0"/>
        <w:widowControl w:val="0"/>
        <w:shd w:val="clear" w:color="auto" w:fill="auto"/>
        <w:tabs>
          <w:tab w:pos="674" w:val="left"/>
        </w:tabs>
        <w:bidi w:val="0"/>
        <w:spacing w:before="0" w:after="0" w:line="468" w:lineRule="exact"/>
        <w:ind w:left="0" w:right="0"/>
        <w:jc w:val="both"/>
      </w:pPr>
      <w:bookmarkStart w:id="60" w:name="bookmark60"/>
      <w:r>
        <w:rPr>
          <w:rFonts w:ascii="Times New Roman" w:eastAsia="Times New Roman" w:hAnsi="Times New Roman" w:cs="Times New Roman"/>
          <w:color w:val="000000"/>
          <w:spacing w:val="0"/>
          <w:w w:val="100"/>
          <w:position w:val="0"/>
        </w:rPr>
        <w:t>4</w:t>
      </w:r>
      <w:bookmarkEnd w:id="60"/>
      <w:r>
        <w:rPr>
          <w:color w:val="000000"/>
          <w:spacing w:val="0"/>
          <w:w w:val="100"/>
          <w:position w:val="0"/>
        </w:rPr>
        <w:t>、</w:t>
        <w:tab/>
        <w:t>新产品、新业务的推广不达预期的风险</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公司按照年度经营计划，加大新产品开发推广力度，持续拓宽产品线和开拓新的业务领域。新产品方面，印章智能控制 机是行业创新应用产品，如果市场对新产品的认可过程较慢，或者市场竞争加剧，将可能导致产品达不到预期收益水平，对 公司财务状况产生不利影响。新业务方面，公司设立合资公司开发银行支票金融服务市场；设立合资公司开展征信服务业务。 合作项目的实施存在技术需求实现的风险、市场推广难度的风险以及合作稳定性的风险，并存在受不可抗力因素影响所造成 的风险。对此，公司将从战略发展的高度，充分重视新产品市场推广工作和新业务发展工作，继续加大新产品的市场推广力 度，尽快打开新产品市场推广局面，并以创业进取精神采取务实措施推进新业务早日上线，努力提升公司经营业绩。</w:t>
      </w:r>
    </w:p>
    <w:p>
      <w:pPr>
        <w:pStyle w:val="Style13"/>
        <w:keepNext/>
        <w:keepLines/>
        <w:widowControl w:val="0"/>
        <w:shd w:val="clear" w:color="auto" w:fill="auto"/>
        <w:bidi w:val="0"/>
        <w:spacing w:before="0" w:after="520" w:line="240" w:lineRule="auto"/>
        <w:ind w:left="0" w:right="0" w:firstLine="0"/>
        <w:jc w:val="center"/>
      </w:pPr>
      <w:bookmarkStart w:id="61" w:name="bookmark61"/>
      <w:bookmarkStart w:id="62" w:name="bookmark62"/>
      <w:bookmarkStart w:id="63" w:name="bookmark63"/>
      <w:r>
        <w:rPr>
          <w:color w:val="000000"/>
          <w:spacing w:val="0"/>
          <w:w w:val="100"/>
          <w:position w:val="0"/>
        </w:rPr>
        <w:t>第四节董事会报告</w:t>
      </w:r>
      <w:bookmarkEnd w:id="61"/>
      <w:bookmarkEnd w:id="62"/>
      <w:bookmarkEnd w:id="63"/>
    </w:p>
    <w:p>
      <w:pPr>
        <w:pStyle w:val="Style26"/>
        <w:keepNext/>
        <w:keepLines/>
        <w:widowControl w:val="0"/>
        <w:shd w:val="clear" w:color="auto" w:fill="auto"/>
        <w:bidi w:val="0"/>
        <w:spacing w:before="0" w:after="32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、管理层讨论与分析</w:t>
      </w:r>
      <w:bookmarkEnd w:id="64"/>
      <w:bookmarkEnd w:id="65"/>
      <w:bookmarkEnd w:id="67"/>
    </w:p>
    <w:p>
      <w:pPr>
        <w:pStyle w:val="Style33"/>
        <w:keepNext/>
        <w:keepLines/>
        <w:widowControl w:val="0"/>
        <w:shd w:val="clear" w:color="auto" w:fill="auto"/>
        <w:bidi w:val="0"/>
        <w:spacing w:before="0" w:after="18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、报告期内主要业务回顾</w:t>
      </w:r>
      <w:bookmarkEnd w:id="68"/>
      <w:bookmarkEnd w:id="69"/>
      <w:bookmarkEnd w:id="71"/>
    </w:p>
    <w:p>
      <w:pPr>
        <w:pStyle w:val="Style28"/>
        <w:keepNext w:val="0"/>
        <w:keepLines w:val="0"/>
        <w:widowControl w:val="0"/>
        <w:shd w:val="clear" w:color="auto" w:fill="auto"/>
        <w:bidi w:val="0"/>
        <w:spacing w:before="0" w:after="0" w:line="468" w:lineRule="exact"/>
        <w:ind w:left="0" w:right="0" w:firstLine="40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年，公司坚持既定发展战略，按照年度经营计划，立足于传统优势产品领域，加大新产品开发力度，紧密围绕市场 需求进行深度挖掘和创新，在继续做好主营业务的同时以自主研发、外延式发展等方式，持续拓宽产品线和开拓新的业务领 域，同时继续推进管理规范化工作和科学管理体系的建设，经营业绩保持了稳定发展。</w:t>
      </w:r>
    </w:p>
    <w:p>
      <w:pPr>
        <w:pStyle w:val="Style36"/>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报告期内，公司营业收入为</w:t>
      </w:r>
      <w:r>
        <w:rPr>
          <w:color w:val="000000"/>
          <w:spacing w:val="0"/>
          <w:w w:val="100"/>
          <w:position w:val="0"/>
        </w:rPr>
        <w:t>110,074,729.26</w:t>
      </w:r>
      <w:r>
        <w:rPr>
          <w:rFonts w:ascii="SimSun" w:eastAsia="SimSun" w:hAnsi="SimSun" w:cs="SimSun"/>
          <w:color w:val="000000"/>
          <w:spacing w:val="0"/>
          <w:w w:val="100"/>
          <w:position w:val="0"/>
        </w:rPr>
        <w:t>元，较上年同期增长</w:t>
      </w:r>
      <w:r>
        <w:rPr>
          <w:color w:val="000000"/>
          <w:spacing w:val="0"/>
          <w:w w:val="100"/>
          <w:position w:val="0"/>
        </w:rPr>
        <w:t xml:space="preserve">9.5% </w:t>
      </w:r>
      <w:r>
        <w:rPr>
          <w:rFonts w:ascii="SimSun" w:eastAsia="SimSun" w:hAnsi="SimSun" w:cs="SimSun"/>
          <w:color w:val="000000"/>
          <w:spacing w:val="0"/>
          <w:w w:val="100"/>
          <w:position w:val="0"/>
        </w:rPr>
        <w:t>；实现营业利润</w:t>
      </w:r>
      <w:r>
        <w:rPr>
          <w:color w:val="000000"/>
          <w:spacing w:val="0"/>
          <w:w w:val="100"/>
          <w:position w:val="0"/>
        </w:rPr>
        <w:t>8,477,895.12</w:t>
      </w:r>
      <w:r>
        <w:rPr>
          <w:rFonts w:ascii="SimSun" w:eastAsia="SimSun" w:hAnsi="SimSun" w:cs="SimSun"/>
          <w:color w:val="000000"/>
          <w:spacing w:val="0"/>
          <w:w w:val="100"/>
          <w:position w:val="0"/>
        </w:rPr>
        <w:t xml:space="preserve">元，较上年同期下降 </w:t>
      </w:r>
      <w:r>
        <w:rPr>
          <w:color w:val="000000"/>
          <w:spacing w:val="0"/>
          <w:w w:val="100"/>
          <w:position w:val="0"/>
        </w:rPr>
        <w:t>23.97%</w:t>
      </w:r>
      <w:r>
        <w:rPr>
          <w:rFonts w:ascii="SimSun" w:eastAsia="SimSun" w:hAnsi="SimSun" w:cs="SimSun"/>
          <w:color w:val="000000"/>
          <w:spacing w:val="0"/>
          <w:w w:val="100"/>
          <w:position w:val="0"/>
        </w:rPr>
        <w:t>；净利润</w:t>
      </w:r>
      <w:r>
        <w:rPr>
          <w:color w:val="000000"/>
          <w:spacing w:val="0"/>
          <w:w w:val="100"/>
          <w:position w:val="0"/>
        </w:rPr>
        <w:t>14,446,722.9</w:t>
      </w:r>
      <w:r>
        <w:rPr>
          <w:color w:val="000000"/>
          <w:spacing w:val="0"/>
          <w:w w:val="100"/>
          <w:position w:val="0"/>
        </w:rPr>
        <w:t>0</w:t>
      </w:r>
      <w:r>
        <w:rPr>
          <w:rFonts w:ascii="SimSun" w:eastAsia="SimSun" w:hAnsi="SimSun" w:cs="SimSun"/>
          <w:color w:val="000000"/>
          <w:spacing w:val="0"/>
          <w:w w:val="100"/>
          <w:position w:val="0"/>
        </w:rPr>
        <w:t>元，较上年同期下降</w:t>
      </w:r>
      <w:r>
        <w:rPr>
          <w:color w:val="000000"/>
          <w:spacing w:val="0"/>
          <w:w w:val="100"/>
          <w:position w:val="0"/>
        </w:rPr>
        <w:t>19.88%</w:t>
      </w:r>
      <w:r>
        <w:rPr>
          <w:rFonts w:ascii="SimSun" w:eastAsia="SimSun" w:hAnsi="SimSun" w:cs="SimSun"/>
          <w:color w:val="000000"/>
          <w:spacing w:val="0"/>
          <w:w w:val="100"/>
          <w:position w:val="0"/>
        </w:rPr>
        <w:t>。</w:t>
      </w:r>
    </w:p>
    <w:p>
      <w:pPr>
        <w:pStyle w:val="Style28"/>
        <w:keepNext w:val="0"/>
        <w:keepLines w:val="0"/>
        <w:widowControl w:val="0"/>
        <w:shd w:val="clear" w:color="auto" w:fill="auto"/>
        <w:bidi w:val="0"/>
        <w:spacing w:before="0" w:after="0" w:line="468" w:lineRule="exact"/>
        <w:ind w:left="0" w:right="0" w:firstLine="400"/>
        <w:jc w:val="left"/>
      </w:pPr>
      <w:r>
        <w:rPr>
          <w:color w:val="000000"/>
          <w:spacing w:val="0"/>
          <w:w w:val="100"/>
          <w:position w:val="0"/>
        </w:rPr>
        <w:t>主营业务收入方面，公司除商业银行集中作业运营平台外的其他募集资金投资项目均在报告期内达到预定可使用状态, 投资效益逐步显现，同时传统产品线定制软件开发业务实现了较大幅度的增长，但由于传统软件产品市场需求趋于饱和，报 告期内销售收入出现一定程度下降，公司总体实现营业收入比去年同期略有增长。</w:t>
      </w:r>
    </w:p>
    <w:p>
      <w:pPr>
        <w:pStyle w:val="Style28"/>
        <w:keepNext w:val="0"/>
        <w:keepLines w:val="0"/>
        <w:widowControl w:val="0"/>
        <w:shd w:val="clear" w:color="auto" w:fill="auto"/>
        <w:bidi w:val="0"/>
        <w:spacing w:before="0" w:after="0" w:line="468" w:lineRule="exact"/>
        <w:ind w:left="0" w:right="0" w:firstLine="400"/>
        <w:jc w:val="left"/>
      </w:pPr>
      <w:r>
        <w:rPr>
          <w:color w:val="000000"/>
          <w:spacing w:val="0"/>
          <w:w w:val="100"/>
          <w:position w:val="0"/>
        </w:rPr>
        <w:t>营业利润及净利润下降的主要原因是：报告期内，公司着力拓展和布局新业务领域，但由于公司投资的支票金融服务 业务和征信服务业务尚处于投入初期，同时印章智能控制机、票据自助柜员机等新产品尚未实现大批量销售。在营业收入与 上年同期相比增长幅度不大的情况下，由于研发费用支出、市场营销费用增大等因素的影响，公司净利润与上年同期相比有 所下降。此外，报告期内公司非经常性损益对净利润的影响金额为</w:t>
      </w:r>
      <w:r>
        <w:rPr>
          <w:color w:val="000000"/>
          <w:spacing w:val="0"/>
          <w:w w:val="100"/>
          <w:position w:val="0"/>
        </w:rPr>
        <w:t>216.96</w:t>
      </w:r>
      <w:r>
        <w:rPr>
          <w:color w:val="000000"/>
          <w:spacing w:val="0"/>
          <w:w w:val="100"/>
          <w:position w:val="0"/>
        </w:rPr>
        <w:t>万元，较上年同期减少</w:t>
      </w:r>
      <w:r>
        <w:rPr>
          <w:color w:val="000000"/>
          <w:spacing w:val="0"/>
          <w:w w:val="100"/>
          <w:position w:val="0"/>
        </w:rPr>
        <w:t>119.00</w:t>
      </w:r>
      <w:r>
        <w:rPr>
          <w:color w:val="000000"/>
          <w:spacing w:val="0"/>
          <w:w w:val="100"/>
          <w:position w:val="0"/>
        </w:rPr>
        <w:t>万元，对公司净利润 也有一定影响。</w:t>
      </w:r>
    </w:p>
    <w:p>
      <w:pPr>
        <w:pStyle w:val="Style28"/>
        <w:keepNext w:val="0"/>
        <w:keepLines w:val="0"/>
        <w:widowControl w:val="0"/>
        <w:shd w:val="clear" w:color="auto" w:fill="auto"/>
        <w:bidi w:val="0"/>
        <w:spacing w:before="0" w:after="0" w:line="468" w:lineRule="exact"/>
        <w:ind w:left="0" w:right="0" w:firstLine="400"/>
        <w:jc w:val="left"/>
      </w:pPr>
      <w:r>
        <w:rPr>
          <w:color w:val="000000"/>
          <w:spacing w:val="0"/>
          <w:w w:val="100"/>
          <w:position w:val="0"/>
        </w:rPr>
        <w:t>报告期内，公司主营业务继续专注于金融信息化行业，致力于为银行等金融机构提供与支付结算、风险防控、业务流 程再造、自助服务相关的软件产品、软件开发、金融专用设备和技术服务。按照公司战略发展规划和公司本年度经营计划， 报告期内公司在推进传统优势产品如电脑验印系统、票据影像处理软件、银企对账系统、远程授权管理系统等销售工作的同 时，重点加强了新产品的开发及推广，公司回单自助打印机成功入围了中国银行总行的设备选型。报告期内，公司投资成立 了深圳票联金融服务有限公司，开展支票金融服务业务；投资成立了北京华道征信有限公司，开展征信服务业务。这两项对 外投资，是公司在不改变并继续做好主体核心业务的前提下，以非有机增长的方式开发新业务模式、开拓新业务领域的重要 尝试，是公司从金融信息化服务向信息化金融服务领域延伸的战略规划的实践，将为公司未来业务发展拓展更为广阔的发展 空间。相信随着公司经营战略的逐步实现，公司的盈利能力会有更大的提升。目前公司新产品开发计划、市场推广计划、外 延发展等重要经营计划稳步推进落实，相信随着新产品推广计划、对外投资项目的进一步实现，将为公司业务提供新的业绩 增长点。</w:t>
      </w:r>
    </w:p>
    <w:p>
      <w:pPr>
        <w:pStyle w:val="Style28"/>
        <w:keepNext w:val="0"/>
        <w:keepLines w:val="0"/>
        <w:widowControl w:val="0"/>
        <w:shd w:val="clear" w:color="auto" w:fill="auto"/>
        <w:bidi w:val="0"/>
        <w:spacing w:before="0" w:after="420" w:line="468" w:lineRule="exact"/>
        <w:ind w:left="0" w:right="0"/>
        <w:jc w:val="both"/>
      </w:pPr>
      <w:r>
        <w:rPr>
          <w:color w:val="000000"/>
          <w:spacing w:val="0"/>
          <w:w w:val="100"/>
          <w:position w:val="0"/>
        </w:rPr>
        <w:t xml:space="preserve">上市以来，公司竞争优势、品牌影响力得到进一步提升。在此基础上，董事会和经营管理团队将继续推动公司整体业务 </w:t>
      </w:r>
      <w:r>
        <w:rPr>
          <w:color w:val="000000"/>
          <w:spacing w:val="0"/>
          <w:w w:val="100"/>
          <w:position w:val="0"/>
        </w:rPr>
        <w:t>规模和产业领域升级，一方面积极稳步实施经营计划，另一方面积极规划更长远的战略目标，努力成为推动行业发展的开拓 者和领导者，为股东及利益相关者创造更大的价值。</w:t>
      </w:r>
    </w:p>
    <w:p>
      <w:pPr>
        <w:pStyle w:val="Style33"/>
        <w:keepNext/>
        <w:keepLines/>
        <w:widowControl w:val="0"/>
        <w:shd w:val="clear" w:color="auto" w:fill="auto"/>
        <w:bidi w:val="0"/>
        <w:spacing w:before="0" w:after="34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、报告期内主要经营情况</w:t>
      </w:r>
      <w:bookmarkEnd w:id="72"/>
      <w:bookmarkEnd w:id="73"/>
      <w:bookmarkEnd w:id="75"/>
    </w:p>
    <w:p>
      <w:pPr>
        <w:pStyle w:val="Style33"/>
        <w:keepNext/>
        <w:keepLines/>
        <w:widowControl w:val="0"/>
        <w:shd w:val="clear" w:color="auto" w:fill="auto"/>
        <w:bidi w:val="0"/>
        <w:spacing w:before="0" w:after="420" w:line="240" w:lineRule="auto"/>
        <w:ind w:left="0" w:right="0" w:firstLine="0"/>
        <w:jc w:val="left"/>
      </w:pPr>
      <w:bookmarkStart w:id="72" w:name="bookmark72"/>
      <w:bookmarkStart w:id="73" w:name="bookmark73"/>
      <w:bookmarkStart w:id="76" w:name="bookmark76"/>
      <w:bookmarkStart w:id="77" w:name="bookmark77"/>
      <w:r>
        <w:rPr>
          <w:color w:val="000000"/>
          <w:spacing w:val="0"/>
          <w:w w:val="100"/>
          <w:position w:val="0"/>
        </w:rPr>
        <w:t>（</w:t>
      </w:r>
      <w:bookmarkEnd w:id="76"/>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72"/>
      <w:bookmarkEnd w:id="73"/>
      <w:bookmarkEnd w:id="77"/>
    </w:p>
    <w:p>
      <w:pPr>
        <w:pStyle w:val="Style28"/>
        <w:keepNext w:val="0"/>
        <w:keepLines w:val="0"/>
        <w:widowControl w:val="0"/>
        <w:shd w:val="clear" w:color="auto" w:fill="auto"/>
        <w:tabs>
          <w:tab w:pos="330" w:val="left"/>
        </w:tabs>
        <w:bidi w:val="0"/>
        <w:spacing w:before="0" w:after="0" w:line="547" w:lineRule="auto"/>
        <w:ind w:left="0" w:right="0" w:firstLine="0"/>
        <w:jc w:val="left"/>
      </w:pPr>
      <w:bookmarkStart w:id="78" w:name="bookmark78"/>
      <w:r>
        <w:rPr>
          <w:rFonts w:ascii="Times New Roman" w:eastAsia="Times New Roman" w:hAnsi="Times New Roman" w:cs="Times New Roman"/>
          <w:color w:val="000000"/>
          <w:spacing w:val="0"/>
          <w:w w:val="100"/>
          <w:position w:val="0"/>
        </w:rPr>
        <w:t>1</w:t>
      </w:r>
      <w:bookmarkEnd w:id="78"/>
      <w:r>
        <w:rPr>
          <w:rFonts w:ascii="Times New Roman" w:eastAsia="Times New Roman" w:hAnsi="Times New Roman" w:cs="Times New Roman"/>
          <w:color w:val="000000"/>
          <w:spacing w:val="0"/>
          <w:w w:val="100"/>
          <w:position w:val="0"/>
        </w:rPr>
        <w:t>）</w:t>
        <w:tab/>
      </w:r>
      <w:r>
        <w:rPr>
          <w:color w:val="000000"/>
          <w:spacing w:val="0"/>
          <w:w w:val="100"/>
          <w:position w:val="0"/>
        </w:rPr>
        <w:t>概述</w:t>
      </w:r>
    </w:p>
    <w:p>
      <w:pPr>
        <w:pStyle w:val="Style28"/>
        <w:keepNext w:val="0"/>
        <w:keepLines w:val="0"/>
        <w:widowControl w:val="0"/>
        <w:shd w:val="clear" w:color="auto" w:fill="auto"/>
        <w:bidi w:val="0"/>
        <w:spacing w:before="0" w:after="0" w:line="472" w:lineRule="exact"/>
        <w:ind w:left="0" w:right="0"/>
        <w:jc w:val="left"/>
      </w:pPr>
      <w:r>
        <w:rPr>
          <w:color w:val="000000"/>
          <w:spacing w:val="0"/>
          <w:w w:val="100"/>
          <w:position w:val="0"/>
        </w:rPr>
        <w:t>报告期内，公司营业收入为</w:t>
      </w:r>
      <w:r>
        <w:rPr>
          <w:rFonts w:ascii="Times New Roman" w:eastAsia="Times New Roman" w:hAnsi="Times New Roman" w:cs="Times New Roman"/>
          <w:color w:val="000000"/>
          <w:spacing w:val="0"/>
          <w:w w:val="100"/>
          <w:position w:val="0"/>
        </w:rPr>
        <w:t>110,074,729.26</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 xml:space="preserve">9.5% </w:t>
      </w:r>
      <w:r>
        <w:rPr>
          <w:color w:val="000000"/>
          <w:spacing w:val="0"/>
          <w:w w:val="100"/>
          <w:position w:val="0"/>
        </w:rPr>
        <w:t>；实现营业利润</w:t>
      </w:r>
      <w:r>
        <w:rPr>
          <w:rFonts w:ascii="Times New Roman" w:eastAsia="Times New Roman" w:hAnsi="Times New Roman" w:cs="Times New Roman"/>
          <w:color w:val="000000"/>
          <w:spacing w:val="0"/>
          <w:w w:val="100"/>
          <w:position w:val="0"/>
        </w:rPr>
        <w:t>8,477,895.12</w:t>
      </w:r>
      <w:r>
        <w:rPr>
          <w:color w:val="000000"/>
          <w:spacing w:val="0"/>
          <w:w w:val="100"/>
          <w:position w:val="0"/>
        </w:rPr>
        <w:t xml:space="preserve">元，较上年同期下降 </w:t>
      </w:r>
      <w:r>
        <w:rPr>
          <w:rFonts w:ascii="Times New Roman" w:eastAsia="Times New Roman" w:hAnsi="Times New Roman" w:cs="Times New Roman"/>
          <w:color w:val="000000"/>
          <w:spacing w:val="0"/>
          <w:w w:val="100"/>
          <w:position w:val="0"/>
        </w:rPr>
        <w:t>23.97%</w:t>
      </w:r>
      <w:r>
        <w:rPr>
          <w:color w:val="000000"/>
          <w:spacing w:val="0"/>
          <w:w w:val="100"/>
          <w:position w:val="0"/>
        </w:rPr>
        <w:t>；净利润</w:t>
      </w:r>
      <w:r>
        <w:rPr>
          <w:rFonts w:ascii="Times New Roman" w:eastAsia="Times New Roman" w:hAnsi="Times New Roman" w:cs="Times New Roman"/>
          <w:color w:val="000000"/>
          <w:spacing w:val="0"/>
          <w:w w:val="100"/>
          <w:position w:val="0"/>
        </w:rPr>
        <w:t>14,446,722.90</w:t>
      </w:r>
      <w:r>
        <w:rPr>
          <w:color w:val="000000"/>
          <w:spacing w:val="0"/>
          <w:w w:val="100"/>
          <w:position w:val="0"/>
        </w:rPr>
        <w:t>元，较上年同期下降</w:t>
      </w:r>
      <w:r>
        <w:rPr>
          <w:rFonts w:ascii="Times New Roman" w:eastAsia="Times New Roman" w:hAnsi="Times New Roman" w:cs="Times New Roman"/>
          <w:color w:val="000000"/>
          <w:spacing w:val="0"/>
          <w:w w:val="100"/>
          <w:position w:val="0"/>
        </w:rPr>
        <w:t>19.88%</w:t>
      </w:r>
      <w:r>
        <w:rPr>
          <w:color w:val="000000"/>
          <w:spacing w:val="0"/>
          <w:w w:val="100"/>
          <w:position w:val="0"/>
        </w:rPr>
        <w:t>。营业收入中主营业务收入全部集中于金融（银行）信息化行业， 占公司营业收入总额的</w:t>
      </w:r>
      <w:r>
        <w:rPr>
          <w:rFonts w:ascii="Times New Roman" w:eastAsia="Times New Roman" w:hAnsi="Times New Roman" w:cs="Times New Roman"/>
          <w:color w:val="000000"/>
          <w:spacing w:val="0"/>
          <w:w w:val="100"/>
          <w:position w:val="0"/>
        </w:rPr>
        <w:t>97.68%</w:t>
      </w:r>
      <w:r>
        <w:rPr>
          <w:color w:val="000000"/>
          <w:spacing w:val="0"/>
          <w:w w:val="100"/>
          <w:position w:val="0"/>
        </w:rPr>
        <w:t>。</w:t>
      </w:r>
    </w:p>
    <w:p>
      <w:pPr>
        <w:pStyle w:val="Style28"/>
        <w:keepNext w:val="0"/>
        <w:keepLines w:val="0"/>
        <w:widowControl w:val="0"/>
        <w:shd w:val="clear" w:color="auto" w:fill="auto"/>
        <w:bidi w:val="0"/>
        <w:spacing w:before="0" w:after="0" w:line="472" w:lineRule="exact"/>
        <w:ind w:left="0" w:right="0"/>
        <w:jc w:val="left"/>
      </w:pPr>
      <w:r>
        <w:rPr>
          <w:color w:val="000000"/>
          <w:spacing w:val="0"/>
          <w:w w:val="100"/>
          <w:position w:val="0"/>
        </w:rPr>
        <w:t>报告期内，公司实现营业收入为</w:t>
      </w:r>
      <w:r>
        <w:rPr>
          <w:rFonts w:ascii="Times New Roman" w:eastAsia="Times New Roman" w:hAnsi="Times New Roman" w:cs="Times New Roman"/>
          <w:color w:val="000000"/>
          <w:spacing w:val="0"/>
          <w:w w:val="100"/>
          <w:position w:val="0"/>
        </w:rPr>
        <w:t>110,074,729.26</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9.5%</w:t>
      </w:r>
      <w:r>
        <w:rPr>
          <w:color w:val="000000"/>
          <w:spacing w:val="0"/>
          <w:w w:val="100"/>
          <w:position w:val="0"/>
        </w:rPr>
        <w:t>，主要原因系公司定制软件开发业务与上年度 同期有较大幅度的增长，而传统软件产品业务收入有所下降，两者综合对公司主营业务收入的影响所致。</w:t>
      </w:r>
    </w:p>
    <w:p>
      <w:pPr>
        <w:pStyle w:val="Style28"/>
        <w:keepNext w:val="0"/>
        <w:keepLines w:val="0"/>
        <w:widowControl w:val="0"/>
        <w:shd w:val="clear" w:color="auto" w:fill="auto"/>
        <w:bidi w:val="0"/>
        <w:spacing w:before="0" w:after="0" w:line="472" w:lineRule="exact"/>
        <w:ind w:left="0" w:right="0"/>
        <w:jc w:val="left"/>
      </w:pPr>
      <w:r>
        <w:rPr>
          <w:color w:val="000000"/>
          <w:spacing w:val="0"/>
          <w:w w:val="100"/>
          <w:position w:val="0"/>
        </w:rPr>
        <w:t>报告期内，公司发生主营业务成本为</w:t>
      </w:r>
      <w:r>
        <w:rPr>
          <w:rFonts w:ascii="Times New Roman" w:eastAsia="Times New Roman" w:hAnsi="Times New Roman" w:cs="Times New Roman"/>
          <w:color w:val="000000"/>
          <w:spacing w:val="0"/>
          <w:w w:val="100"/>
          <w:position w:val="0"/>
        </w:rPr>
        <w:t>49,958,656.83</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8.66%</w:t>
      </w:r>
      <w:r>
        <w:rPr>
          <w:color w:val="000000"/>
          <w:spacing w:val="0"/>
          <w:w w:val="100"/>
          <w:position w:val="0"/>
        </w:rPr>
        <w:t>，主要原因系公司金融设备硬件产品收入 比重增加，带来产品原材料成本相应提高所致。</w:t>
      </w:r>
    </w:p>
    <w:p>
      <w:pPr>
        <w:pStyle w:val="Style28"/>
        <w:keepNext w:val="0"/>
        <w:keepLines w:val="0"/>
        <w:widowControl w:val="0"/>
        <w:shd w:val="clear" w:color="auto" w:fill="auto"/>
        <w:bidi w:val="0"/>
        <w:spacing w:before="0" w:after="0" w:line="472" w:lineRule="exact"/>
        <w:ind w:left="0" w:right="0"/>
        <w:jc w:val="left"/>
      </w:pPr>
      <w:r>
        <w:rPr>
          <w:color w:val="000000"/>
          <w:spacing w:val="0"/>
          <w:w w:val="100"/>
          <w:position w:val="0"/>
        </w:rPr>
        <w:t>报告期内，公司发生管理费用为</w:t>
      </w:r>
      <w:r>
        <w:rPr>
          <w:rFonts w:ascii="Times New Roman" w:eastAsia="Times New Roman" w:hAnsi="Times New Roman" w:cs="Times New Roman"/>
          <w:color w:val="000000"/>
          <w:spacing w:val="0"/>
          <w:w w:val="100"/>
          <w:position w:val="0"/>
        </w:rPr>
        <w:t>34,676,402.39</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16.17%</w:t>
      </w:r>
      <w:r>
        <w:rPr>
          <w:color w:val="000000"/>
          <w:spacing w:val="0"/>
          <w:w w:val="100"/>
          <w:position w:val="0"/>
        </w:rPr>
        <w:t>,主要原因系研发人员增加致使薪酬总额增加， 以及研发资产摊销增大等因素造成费用的增加。</w:t>
      </w:r>
    </w:p>
    <w:p>
      <w:pPr>
        <w:pStyle w:val="Style28"/>
        <w:keepNext w:val="0"/>
        <w:keepLines w:val="0"/>
        <w:widowControl w:val="0"/>
        <w:shd w:val="clear" w:color="auto" w:fill="auto"/>
        <w:bidi w:val="0"/>
        <w:spacing w:before="0" w:after="0" w:line="472" w:lineRule="exact"/>
        <w:ind w:left="0" w:right="0"/>
        <w:jc w:val="left"/>
      </w:pPr>
      <w:r>
        <w:rPr>
          <w:color w:val="000000"/>
          <w:spacing w:val="0"/>
          <w:w w:val="100"/>
          <w:position w:val="0"/>
        </w:rPr>
        <w:t>报告期内，公司研发投入金额为</w:t>
      </w:r>
      <w:r>
        <w:rPr>
          <w:rFonts w:ascii="Times New Roman" w:eastAsia="Times New Roman" w:hAnsi="Times New Roman" w:cs="Times New Roman"/>
          <w:color w:val="000000"/>
          <w:spacing w:val="0"/>
          <w:w w:val="100"/>
          <w:position w:val="0"/>
        </w:rPr>
        <w:t>36,360,379.43</w:t>
      </w:r>
      <w:r>
        <w:rPr>
          <w:color w:val="000000"/>
          <w:spacing w:val="0"/>
          <w:w w:val="100"/>
          <w:position w:val="0"/>
        </w:rPr>
        <w:t>元，较上年同期增长</w:t>
      </w:r>
      <w:r>
        <w:rPr>
          <w:rFonts w:ascii="Times New Roman" w:eastAsia="Times New Roman" w:hAnsi="Times New Roman" w:cs="Times New Roman"/>
          <w:color w:val="000000"/>
          <w:spacing w:val="0"/>
          <w:w w:val="100"/>
          <w:position w:val="0"/>
        </w:rPr>
        <w:t>36.38%</w:t>
      </w:r>
      <w:r>
        <w:rPr>
          <w:color w:val="000000"/>
          <w:spacing w:val="0"/>
          <w:w w:val="100"/>
          <w:position w:val="0"/>
        </w:rPr>
        <w:t>,主要原因系公司商业银行集中业务作业平台、 印章智能控制机、票据自助柜员机等新产品研发投入增加，以及研发人员薪酬总额提高所致。</w:t>
      </w:r>
    </w:p>
    <w:p>
      <w:pPr>
        <w:pStyle w:val="Style28"/>
        <w:keepNext w:val="0"/>
        <w:keepLines w:val="0"/>
        <w:widowControl w:val="0"/>
        <w:shd w:val="clear" w:color="auto" w:fill="auto"/>
        <w:bidi w:val="0"/>
        <w:spacing w:before="0" w:after="420" w:line="472" w:lineRule="exact"/>
        <w:ind w:left="0" w:right="0"/>
        <w:jc w:val="left"/>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-4,135,878.43</w:t>
      </w:r>
      <w:r>
        <w:rPr>
          <w:color w:val="000000"/>
          <w:spacing w:val="0"/>
          <w:w w:val="100"/>
          <w:position w:val="0"/>
        </w:rPr>
        <w:t>元，较上年同期下降</w:t>
      </w:r>
      <w:r>
        <w:rPr>
          <w:rFonts w:ascii="Times New Roman" w:eastAsia="Times New Roman" w:hAnsi="Times New Roman" w:cs="Times New Roman"/>
          <w:color w:val="000000"/>
          <w:spacing w:val="0"/>
          <w:w w:val="100"/>
          <w:position w:val="0"/>
        </w:rPr>
        <w:t>174.53%</w:t>
      </w:r>
      <w:r>
        <w:rPr>
          <w:color w:val="000000"/>
          <w:spacing w:val="0"/>
          <w:w w:val="100"/>
          <w:position w:val="0"/>
        </w:rPr>
        <w:t>，主要原因系公司报告期内 回收货款减少、政府补贴收入减少、银行利息收入减少等综合原因所致；公司投资活动产生的现金流量净额为</w:t>
      </w:r>
      <w:r>
        <w:rPr>
          <w:rFonts w:ascii="Times New Roman" w:eastAsia="Times New Roman" w:hAnsi="Times New Roman" w:cs="Times New Roman"/>
          <w:color w:val="000000"/>
          <w:spacing w:val="0"/>
          <w:w w:val="100"/>
          <w:position w:val="0"/>
        </w:rPr>
        <w:t xml:space="preserve">-77,131,210.62 </w:t>
      </w:r>
      <w:r>
        <w:rPr>
          <w:color w:val="000000"/>
          <w:spacing w:val="0"/>
          <w:w w:val="100"/>
          <w:position w:val="0"/>
        </w:rPr>
        <w:t>元，较上年同期下降</w:t>
      </w:r>
      <w:r>
        <w:rPr>
          <w:rFonts w:ascii="Times New Roman" w:eastAsia="Times New Roman" w:hAnsi="Times New Roman" w:cs="Times New Roman"/>
          <w:color w:val="000000"/>
          <w:spacing w:val="0"/>
          <w:w w:val="100"/>
          <w:position w:val="0"/>
        </w:rPr>
        <w:t>257.95%</w:t>
      </w:r>
      <w:r>
        <w:rPr>
          <w:color w:val="000000"/>
          <w:spacing w:val="0"/>
          <w:w w:val="100"/>
          <w:position w:val="0"/>
        </w:rPr>
        <w:t>,主要原因系公司</w:t>
      </w:r>
      <w:r>
        <w:rPr>
          <w:rFonts w:ascii="Times New Roman" w:eastAsia="Times New Roman" w:hAnsi="Times New Roman" w:cs="Times New Roman"/>
          <w:color w:val="000000"/>
          <w:spacing w:val="0"/>
          <w:w w:val="100"/>
          <w:position w:val="0"/>
        </w:rPr>
        <w:t>2013</w:t>
      </w:r>
      <w:r>
        <w:rPr>
          <w:color w:val="000000"/>
          <w:spacing w:val="0"/>
          <w:w w:val="100"/>
          <w:position w:val="0"/>
        </w:rPr>
        <w:t>年度对外投资了深圳票联金融服务有限公司、北京华道征信有限公司等 两家联营公司和存入超过</w:t>
      </w:r>
      <w:r>
        <w:rPr>
          <w:rFonts w:ascii="Times New Roman" w:eastAsia="Times New Roman" w:hAnsi="Times New Roman" w:cs="Times New Roman"/>
          <w:color w:val="000000"/>
          <w:spacing w:val="0"/>
          <w:w w:val="100"/>
          <w:position w:val="0"/>
        </w:rPr>
        <w:t>3</w:t>
      </w:r>
      <w:r>
        <w:rPr>
          <w:color w:val="000000"/>
          <w:spacing w:val="0"/>
          <w:w w:val="100"/>
          <w:position w:val="0"/>
        </w:rPr>
        <w:t>个月的定期银行存款所致；公司筹资活动产生的现金流量净额为</w:t>
      </w:r>
      <w:r>
        <w:rPr>
          <w:rFonts w:ascii="Times New Roman" w:eastAsia="Times New Roman" w:hAnsi="Times New Roman" w:cs="Times New Roman"/>
          <w:color w:val="000000"/>
          <w:spacing w:val="0"/>
          <w:w w:val="100"/>
          <w:position w:val="0"/>
        </w:rPr>
        <w:t>-8,109,022.00</w:t>
      </w:r>
      <w:r>
        <w:rPr>
          <w:color w:val="000000"/>
          <w:spacing w:val="0"/>
          <w:w w:val="100"/>
          <w:position w:val="0"/>
        </w:rPr>
        <w:t>元，较上年同期增 长</w:t>
      </w:r>
      <w:r>
        <w:rPr>
          <w:rFonts w:ascii="Times New Roman" w:eastAsia="Times New Roman" w:hAnsi="Times New Roman" w:cs="Times New Roman"/>
          <w:color w:val="000000"/>
          <w:spacing w:val="0"/>
          <w:w w:val="100"/>
          <w:position w:val="0"/>
        </w:rPr>
        <w:t>56.60%</w:t>
      </w:r>
      <w:r>
        <w:rPr>
          <w:color w:val="000000"/>
          <w:spacing w:val="0"/>
          <w:w w:val="100"/>
          <w:position w:val="0"/>
        </w:rPr>
        <w:t>，主要原因系公司在报告期内向全体股东派发了现金股利</w:t>
      </w:r>
      <w:r>
        <w:rPr>
          <w:rFonts w:ascii="Times New Roman" w:eastAsia="Times New Roman" w:hAnsi="Times New Roman" w:cs="Times New Roman"/>
          <w:color w:val="000000"/>
          <w:spacing w:val="0"/>
          <w:w w:val="100"/>
          <w:position w:val="0"/>
        </w:rPr>
        <w:t>1,440</w:t>
      </w:r>
      <w:r>
        <w:rPr>
          <w:color w:val="000000"/>
          <w:spacing w:val="0"/>
          <w:w w:val="100"/>
          <w:position w:val="0"/>
        </w:rPr>
        <w:t>万元，比上年同期派发现金股利减少造成的。</w:t>
      </w:r>
    </w:p>
    <w:p>
      <w:pPr>
        <w:pStyle w:val="Style28"/>
        <w:keepNext w:val="0"/>
        <w:keepLines w:val="0"/>
        <w:widowControl w:val="0"/>
        <w:shd w:val="clear" w:color="auto" w:fill="auto"/>
        <w:tabs>
          <w:tab w:pos="349" w:val="left"/>
        </w:tabs>
        <w:bidi w:val="0"/>
        <w:spacing w:before="0" w:after="0" w:line="547" w:lineRule="auto"/>
        <w:ind w:left="0" w:right="0" w:firstLine="0"/>
        <w:jc w:val="left"/>
      </w:pPr>
      <w:bookmarkStart w:id="79" w:name="bookmark79"/>
      <w:r>
        <w:rPr>
          <w:rFonts w:ascii="Times New Roman" w:eastAsia="Times New Roman" w:hAnsi="Times New Roman" w:cs="Times New Roman"/>
          <w:color w:val="000000"/>
          <w:spacing w:val="0"/>
          <w:w w:val="100"/>
          <w:position w:val="0"/>
        </w:rPr>
        <w:t>2</w:t>
      </w:r>
      <w:bookmarkEnd w:id="79"/>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28"/>
        <w:keepNext w:val="0"/>
        <w:keepLines w:val="0"/>
        <w:widowControl w:val="0"/>
        <w:shd w:val="clear" w:color="auto" w:fill="auto"/>
        <w:bidi w:val="0"/>
        <w:spacing w:before="0" w:after="420" w:line="472" w:lineRule="exact"/>
        <w:ind w:left="0" w:right="0"/>
        <w:jc w:val="both"/>
      </w:pPr>
      <w:r>
        <w:rPr>
          <w:color w:val="000000"/>
          <w:spacing w:val="0"/>
          <w:w w:val="100"/>
          <w:position w:val="0"/>
        </w:rPr>
        <w:t>无。</w:t>
      </w:r>
    </w:p>
    <w:p>
      <w:pPr>
        <w:pStyle w:val="Style28"/>
        <w:keepNext w:val="0"/>
        <w:keepLines w:val="0"/>
        <w:widowControl w:val="0"/>
        <w:shd w:val="clear" w:color="auto" w:fill="auto"/>
        <w:tabs>
          <w:tab w:pos="349" w:val="left"/>
        </w:tabs>
        <w:bidi w:val="0"/>
        <w:spacing w:before="0" w:after="0" w:line="547" w:lineRule="auto"/>
        <w:ind w:left="0" w:right="0" w:firstLine="0"/>
        <w:jc w:val="left"/>
      </w:pPr>
      <w:bookmarkStart w:id="80" w:name="bookmark80"/>
      <w:r>
        <w:rPr>
          <w:rFonts w:ascii="Times New Roman" w:eastAsia="Times New Roman" w:hAnsi="Times New Roman" w:cs="Times New Roman"/>
          <w:color w:val="000000"/>
          <w:spacing w:val="0"/>
          <w:w w:val="100"/>
          <w:position w:val="0"/>
        </w:rPr>
        <w:t>3</w:t>
      </w:r>
      <w:bookmarkEnd w:id="80"/>
      <w:r>
        <w:rPr>
          <w:rFonts w:ascii="Times New Roman" w:eastAsia="Times New Roman" w:hAnsi="Times New Roman" w:cs="Times New Roman"/>
          <w:color w:val="000000"/>
          <w:spacing w:val="0"/>
          <w:w w:val="100"/>
          <w:position w:val="0"/>
        </w:rPr>
        <w:t>）</w:t>
        <w:tab/>
      </w:r>
      <w:r>
        <w:rPr>
          <w:color w:val="000000"/>
          <w:spacing w:val="0"/>
          <w:w w:val="100"/>
          <w:position w:val="0"/>
        </w:rPr>
        <w:t>收入</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110,074,729.26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100,527,997.61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28"/>
        <w:keepNext w:val="0"/>
        <w:keepLines w:val="0"/>
        <w:widowControl w:val="0"/>
        <w:shd w:val="clear" w:color="auto" w:fill="auto"/>
        <w:bidi w:val="0"/>
        <w:spacing w:before="0" w:after="120" w:line="468" w:lineRule="exact"/>
        <w:ind w:left="0" w:right="0"/>
        <w:jc w:val="both"/>
      </w:pPr>
      <w:r>
        <w:rPr>
          <w:color w:val="000000"/>
          <w:spacing w:val="0"/>
          <w:w w:val="100"/>
          <w:position w:val="0"/>
        </w:rPr>
        <w:t>报告期内，公司实现营业收入比上年同期略有增长。公司主营业务收入的构成来自于为国内银行业提供的自主研发软件 产品、定制软件开发、金融专用设备、系统集成和技术服务等五类产品和服务。由于传统产品的市场空间逐步趋于饱和，报 告期内公司传统软件产品实现营业收入</w:t>
      </w:r>
      <w:r>
        <w:rPr>
          <w:color w:val="000000"/>
          <w:spacing w:val="0"/>
          <w:w w:val="100"/>
          <w:position w:val="0"/>
        </w:rPr>
        <w:t>38,981,423.82</w:t>
      </w:r>
      <w:r>
        <w:rPr>
          <w:color w:val="000000"/>
          <w:spacing w:val="0"/>
          <w:w w:val="100"/>
          <w:position w:val="0"/>
        </w:rPr>
        <w:t xml:space="preserve">元，较上年同期下降29.06% ；定制软件开发实现营业收入 </w:t>
      </w:r>
      <w:r>
        <w:rPr>
          <w:color w:val="000000"/>
          <w:spacing w:val="0"/>
          <w:w w:val="100"/>
          <w:position w:val="0"/>
        </w:rPr>
        <w:t xml:space="preserve">32,840,509.3 </w:t>
      </w:r>
      <w:r>
        <w:rPr>
          <w:color w:val="000000"/>
          <w:spacing w:val="0"/>
          <w:w w:val="100"/>
          <w:position w:val="0"/>
        </w:rPr>
        <w:t>7元，较上年同期增长83.80%，主要是由于银企对账管理系统等募集资金投资项目在报告期内开发完成，达到 预定可使用状态，投资效益逐步显现；金融专用设备实现营业收入</w:t>
      </w:r>
      <w:r>
        <w:rPr>
          <w:color w:val="000000"/>
          <w:spacing w:val="0"/>
          <w:w w:val="100"/>
          <w:position w:val="0"/>
        </w:rPr>
        <w:t>22,725,508.84</w:t>
      </w:r>
      <w:r>
        <w:rPr>
          <w:color w:val="000000"/>
          <w:spacing w:val="0"/>
          <w:w w:val="100"/>
          <w:position w:val="0"/>
        </w:rPr>
        <w:t>元，较上年同期增长27.23%，主要是由于 公司按照既定市场推广计划，回单自助打印产品的市场推广取得了较好的进展。</w:t>
      </w:r>
    </w:p>
    <w:p>
      <w:pPr>
        <w:pStyle w:val="Style28"/>
        <w:keepNext w:val="0"/>
        <w:keepLines w:val="0"/>
        <w:widowControl w:val="0"/>
        <w:shd w:val="clear" w:color="auto" w:fill="auto"/>
        <w:bidi w:val="0"/>
        <w:spacing w:before="0" w:after="280" w:line="468" w:lineRule="exact"/>
        <w:ind w:left="0" w:right="0" w:firstLine="0"/>
        <w:jc w:val="left"/>
      </w:pPr>
      <w:r>
        <w:rPr>
          <w:b/>
          <w:bCs/>
          <w:color w:val="000000"/>
          <w:spacing w:val="0"/>
          <w:w w:val="100"/>
          <w:position w:val="0"/>
        </w:rPr>
        <w:t>公司实物销售收入是否大于劳务收入</w:t>
      </w:r>
    </w:p>
    <w:p>
      <w:pPr>
        <w:pStyle w:val="Style28"/>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280" w:line="468" w:lineRule="exact"/>
        <w:ind w:left="0" w:right="0" w:firstLine="0"/>
        <w:jc w:val="left"/>
      </w:pPr>
      <w:r>
        <w:rPr>
          <w:b/>
          <w:bCs/>
          <w:color w:val="000000"/>
          <w:spacing w:val="0"/>
          <w:w w:val="100"/>
          <w:position w:val="0"/>
        </w:rPr>
        <w:t>公司重大的在手订单情况</w:t>
      </w:r>
    </w:p>
    <w:p>
      <w:pPr>
        <w:pStyle w:val="Style28"/>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80" w:line="468" w:lineRule="exact"/>
        <w:ind w:left="0" w:right="0" w:firstLine="0"/>
        <w:jc w:val="left"/>
      </w:pPr>
      <w:r>
        <w:rPr>
          <w:b/>
          <w:bCs/>
          <w:color w:val="000000"/>
          <w:spacing w:val="0"/>
          <w:w w:val="100"/>
          <w:position w:val="0"/>
        </w:rPr>
        <w:t>数量分散的订单情况</w:t>
      </w:r>
    </w:p>
    <w:p>
      <w:pPr>
        <w:pStyle w:val="Style28"/>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80" w:line="468" w:lineRule="exact"/>
        <w:ind w:left="0" w:right="0" w:firstLine="0"/>
        <w:jc w:val="left"/>
      </w:pPr>
      <w:r>
        <w:rPr>
          <w:b/>
          <w:bCs/>
          <w:color w:val="000000"/>
          <w:spacing w:val="0"/>
          <w:w w:val="100"/>
          <w:position w:val="0"/>
        </w:rPr>
        <w:t>公司报告期内产品或服务发生重大变化或调整有关情况</w:t>
      </w:r>
    </w:p>
    <w:p>
      <w:pPr>
        <w:pStyle w:val="Style28"/>
        <w:keepNext w:val="0"/>
        <w:keepLines w:val="0"/>
        <w:widowControl w:val="0"/>
        <w:shd w:val="clear" w:color="auto" w:fill="auto"/>
        <w:bidi w:val="0"/>
        <w:spacing w:before="0" w:after="8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542" w:lineRule="auto"/>
        <w:ind w:left="0" w:right="0" w:firstLine="0"/>
        <w:jc w:val="left"/>
      </w:pPr>
      <w:bookmarkStart w:id="81" w:name="bookmark81"/>
      <w:r>
        <w:rPr>
          <w:rFonts w:ascii="Times New Roman" w:eastAsia="Times New Roman" w:hAnsi="Times New Roman" w:cs="Times New Roman"/>
          <w:color w:val="000000"/>
          <w:spacing w:val="0"/>
          <w:w w:val="100"/>
          <w:position w:val="0"/>
        </w:rPr>
        <w:t>4</w:t>
      </w:r>
      <w:bookmarkEnd w:id="81"/>
      <w:r>
        <w:rPr>
          <w:rFonts w:ascii="Times New Roman" w:eastAsia="Times New Roman" w:hAnsi="Times New Roman" w:cs="Times New Roman"/>
          <w:color w:val="000000"/>
          <w:spacing w:val="0"/>
          <w:w w:val="100"/>
          <w:position w:val="0"/>
        </w:rPr>
        <w:t>）</w:t>
      </w:r>
      <w:r>
        <w:rPr>
          <w:color w:val="000000"/>
          <w:spacing w:val="0"/>
          <w:w w:val="100"/>
          <w:position w:val="0"/>
        </w:rPr>
        <w:t>成本</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603"/>
        <w:gridCol w:w="1579"/>
        <w:gridCol w:w="161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24,240,542.02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20,904,423.89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25,718,114.81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25,074,467.95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49,958,656.83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97.73%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45,978,891.84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97.54%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17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22,718,310.81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20,466,965.97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34,676,402.39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29,848,601.36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主要原因系研发人员增加致使薪酬 总额增加，以及研发资产摊销增大等 因素造成费用的增加。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-10,509,771.74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-10,263,615.96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87,413.08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2,237,376.01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主要原因系应纳税所得额减少引起</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color w:val="000000"/>
                <w:spacing w:val="0"/>
                <w:w w:val="100"/>
                <w:position w:val="0"/>
              </w:rPr>
              <w:t>的。</w:t>
            </w:r>
          </w:p>
        </w:tc>
      </w:tr>
    </w:tbl>
    <w:p>
      <w:pPr>
        <w:pStyle w:val="Style28"/>
        <w:keepNext w:val="0"/>
        <w:keepLines w:val="0"/>
        <w:widowControl w:val="0"/>
        <w:shd w:val="clear" w:color="auto" w:fill="auto"/>
        <w:bidi w:val="0"/>
        <w:spacing w:before="0" w:after="0" w:line="467" w:lineRule="exact"/>
        <w:ind w:left="0" w:right="0" w:firstLine="0"/>
        <w:jc w:val="left"/>
      </w:pPr>
      <w:bookmarkStart w:id="82" w:name="bookmark82"/>
      <w:r>
        <w:rPr>
          <w:rFonts w:ascii="Times New Roman" w:eastAsia="Times New Roman" w:hAnsi="Times New Roman" w:cs="Times New Roman"/>
          <w:color w:val="000000"/>
          <w:spacing w:val="0"/>
          <w:w w:val="100"/>
          <w:position w:val="0"/>
        </w:rPr>
        <w:t>6</w:t>
      </w:r>
      <w:bookmarkEnd w:id="82"/>
      <w:r>
        <w:rPr>
          <w:rFonts w:ascii="Times New Roman" w:eastAsia="Times New Roman" w:hAnsi="Times New Roman" w:cs="Times New Roman"/>
          <w:color w:val="000000"/>
          <w:spacing w:val="0"/>
          <w:w w:val="100"/>
          <w:position w:val="0"/>
        </w:rPr>
        <w:t>）</w:t>
      </w:r>
      <w:r>
        <w:rPr>
          <w:color w:val="000000"/>
          <w:spacing w:val="0"/>
          <w:w w:val="100"/>
          <w:position w:val="0"/>
        </w:rPr>
        <w:t>研发投入</w:t>
      </w:r>
    </w:p>
    <w:p>
      <w:pPr>
        <w:pStyle w:val="Style28"/>
        <w:keepNext w:val="0"/>
        <w:keepLines w:val="0"/>
        <w:widowControl w:val="0"/>
        <w:shd w:val="clear" w:color="auto" w:fill="auto"/>
        <w:bidi w:val="0"/>
        <w:spacing w:before="0" w:after="260" w:line="467" w:lineRule="exact"/>
        <w:ind w:left="0" w:right="0"/>
        <w:jc w:val="both"/>
      </w:pPr>
      <w:r>
        <w:rPr>
          <w:color w:val="000000"/>
          <w:spacing w:val="0"/>
          <w:w w:val="100"/>
          <w:position w:val="0"/>
        </w:rPr>
        <w:t>金融信息化行业客户业务创新层出不穷，市场需求日新月异。公司一直十分重视研发投入，坚持以客户需求为导向，走 自主创新的产品研发道路。自公司上市以来，研发新产品、拓宽产品线始终是公司首要的战略经营措施。公司一方面努力做 好提高、完善现有产品的各项技术和功能，另一方面加大新产品的研发力度。目前公司除募集资金计划投资项目外，正在进 行的研发项目主要包括：</w:t>
      </w:r>
    </w:p>
    <w:tbl>
      <w:tblPr>
        <w:tblOverlap w:val="never"/>
        <w:jc w:val="center"/>
        <w:tblLayout w:type="fixed"/>
      </w:tblPr>
      <w:tblGrid>
        <w:gridCol w:w="2170"/>
        <w:gridCol w:w="5400"/>
        <w:gridCol w:w="2170"/>
      </w:tblGrid>
      <w:tr>
        <w:trPr>
          <w:trHeight w:val="595" w:hRule="exact"/>
        </w:trPr>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技术目标</w:t>
            </w:r>
          </w:p>
        </w:tc>
        <w:tc>
          <w:tcPr>
            <w:tcBorders>
              <w:top w:val="single" w:sz="4"/>
              <w:left w:val="single" w:sz="4"/>
              <w:right w:val="single" w:sz="4"/>
            </w:tcBorders>
            <w:shd w:val="clear" w:color="auto" w:fill="E6E6E6"/>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业务目标</w:t>
            </w:r>
          </w:p>
        </w:tc>
      </w:tr>
      <w:tr>
        <w:trPr>
          <w:trHeight w:val="15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票据自助柜员机</w:t>
            </w:r>
          </w:p>
        </w:tc>
        <w:tc>
          <w:tcPr>
            <w:tcBorders>
              <w:top w:val="single" w:sz="4"/>
              <w:left w:val="single" w:sz="4"/>
            </w:tcBorders>
            <w:shd w:val="clear" w:color="auto" w:fill="FFFFFF"/>
            <w:vAlign w:val="center"/>
          </w:tcPr>
          <w:p>
            <w:pPr>
              <w:pStyle w:val="Style23"/>
              <w:keepNext w:val="0"/>
              <w:keepLines w:val="0"/>
              <w:widowControl w:val="0"/>
              <w:numPr>
                <w:ilvl w:val="0"/>
                <w:numId w:val="1"/>
              </w:numPr>
              <w:shd w:val="clear" w:color="auto" w:fill="auto"/>
              <w:tabs>
                <w:tab w:pos="418" w:val="left"/>
              </w:tabs>
              <w:bidi w:val="0"/>
              <w:spacing w:before="0" w:after="80" w:line="307" w:lineRule="exact"/>
              <w:ind w:left="0" w:right="0" w:firstLine="0"/>
              <w:jc w:val="left"/>
            </w:pPr>
            <w:r>
              <w:rPr>
                <w:color w:val="000000"/>
                <w:spacing w:val="0"/>
                <w:w w:val="100"/>
                <w:position w:val="0"/>
              </w:rPr>
              <w:t>能够</w:t>
            </w:r>
            <w:r>
              <w:rPr>
                <w:rFonts w:ascii="Times New Roman" w:eastAsia="Times New Roman" w:hAnsi="Times New Roman" w:cs="Times New Roman"/>
                <w:color w:val="000000"/>
                <w:spacing w:val="0"/>
                <w:w w:val="100"/>
                <w:position w:val="0"/>
              </w:rPr>
              <w:t>7*24</w:t>
            </w:r>
            <w:r>
              <w:rPr>
                <w:color w:val="000000"/>
                <w:spacing w:val="0"/>
                <w:w w:val="100"/>
                <w:position w:val="0"/>
              </w:rPr>
              <w:t>小时自助式接收客户多种类支票；</w:t>
            </w:r>
          </w:p>
          <w:p>
            <w:pPr>
              <w:pStyle w:val="Style23"/>
              <w:keepNext w:val="0"/>
              <w:keepLines w:val="0"/>
              <w:widowControl w:val="0"/>
              <w:numPr>
                <w:ilvl w:val="0"/>
                <w:numId w:val="1"/>
              </w:numPr>
              <w:shd w:val="clear" w:color="auto" w:fill="auto"/>
              <w:tabs>
                <w:tab w:pos="422" w:val="left"/>
              </w:tabs>
              <w:bidi w:val="0"/>
              <w:spacing w:before="0" w:after="80" w:line="307" w:lineRule="exact"/>
              <w:ind w:left="420" w:right="0" w:hanging="420"/>
              <w:jc w:val="left"/>
            </w:pPr>
            <w:r>
              <w:rPr>
                <w:color w:val="000000"/>
                <w:spacing w:val="0"/>
                <w:w w:val="100"/>
                <w:position w:val="0"/>
              </w:rPr>
              <w:t>双面扫描接收到的支票，并实时的传递支票影像到后台作业中 心；</w:t>
            </w:r>
          </w:p>
          <w:p>
            <w:pPr>
              <w:pStyle w:val="Style23"/>
              <w:keepNext w:val="0"/>
              <w:keepLines w:val="0"/>
              <w:widowControl w:val="0"/>
              <w:numPr>
                <w:ilvl w:val="0"/>
                <w:numId w:val="1"/>
              </w:numPr>
              <w:shd w:val="clear" w:color="auto" w:fill="auto"/>
              <w:tabs>
                <w:tab w:pos="422" w:val="left"/>
              </w:tabs>
              <w:bidi w:val="0"/>
              <w:spacing w:before="0" w:after="80" w:line="307" w:lineRule="exact"/>
              <w:ind w:left="0" w:right="0" w:firstLine="0"/>
              <w:jc w:val="left"/>
            </w:pPr>
            <w:r>
              <w:rPr>
                <w:color w:val="000000"/>
                <w:spacing w:val="0"/>
                <w:w w:val="100"/>
                <w:position w:val="0"/>
              </w:rPr>
              <w:t>提供实物支票的有效保管和存储。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支持达成票联通项目上线， 形成符合市场应用需求的 新产品，拓宽公司产品线</w:t>
            </w:r>
          </w:p>
        </w:tc>
      </w:tr>
      <w:tr>
        <w:trPr>
          <w:trHeight w:val="20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印章智能控制机</w:t>
            </w:r>
          </w:p>
        </w:tc>
        <w:tc>
          <w:tcPr>
            <w:tcBorders>
              <w:top w:val="single" w:sz="4"/>
              <w:left w:val="single" w:sz="4"/>
            </w:tcBorders>
            <w:shd w:val="clear" w:color="auto" w:fill="FFFFFF"/>
            <w:vAlign w:val="center"/>
          </w:tcPr>
          <w:p>
            <w:pPr>
              <w:pStyle w:val="Style23"/>
              <w:keepNext w:val="0"/>
              <w:keepLines w:val="0"/>
              <w:widowControl w:val="0"/>
              <w:numPr>
                <w:ilvl w:val="0"/>
                <w:numId w:val="3"/>
              </w:numPr>
              <w:shd w:val="clear" w:color="auto" w:fill="auto"/>
              <w:tabs>
                <w:tab w:pos="408" w:val="left"/>
              </w:tabs>
              <w:bidi w:val="0"/>
              <w:spacing w:before="0" w:after="140" w:line="240" w:lineRule="auto"/>
              <w:ind w:left="0" w:right="0" w:firstLine="0"/>
              <w:jc w:val="left"/>
            </w:pPr>
            <w:r>
              <w:rPr>
                <w:color w:val="000000"/>
                <w:spacing w:val="0"/>
                <w:w w:val="100"/>
                <w:position w:val="0"/>
              </w:rPr>
              <w:t>解决银行及其他大型组织机构中的重要印章的远程监管问题；</w:t>
            </w:r>
          </w:p>
          <w:p>
            <w:pPr>
              <w:pStyle w:val="Style23"/>
              <w:keepNext w:val="0"/>
              <w:keepLines w:val="0"/>
              <w:widowControl w:val="0"/>
              <w:numPr>
                <w:ilvl w:val="0"/>
                <w:numId w:val="3"/>
              </w:numPr>
              <w:shd w:val="clear" w:color="auto" w:fill="auto"/>
              <w:tabs>
                <w:tab w:pos="422" w:val="left"/>
              </w:tabs>
              <w:bidi w:val="0"/>
              <w:spacing w:before="0" w:after="140" w:line="240" w:lineRule="auto"/>
              <w:ind w:left="0" w:right="0" w:firstLine="0"/>
              <w:jc w:val="left"/>
            </w:pPr>
            <w:r>
              <w:rPr>
                <w:color w:val="000000"/>
                <w:spacing w:val="0"/>
                <w:w w:val="100"/>
                <w:position w:val="0"/>
              </w:rPr>
              <w:t>采用安全设备保管印章；</w:t>
            </w:r>
          </w:p>
          <w:p>
            <w:pPr>
              <w:pStyle w:val="Style23"/>
              <w:keepNext w:val="0"/>
              <w:keepLines w:val="0"/>
              <w:widowControl w:val="0"/>
              <w:numPr>
                <w:ilvl w:val="0"/>
                <w:numId w:val="3"/>
              </w:numPr>
              <w:shd w:val="clear" w:color="auto" w:fill="auto"/>
              <w:tabs>
                <w:tab w:pos="422" w:val="left"/>
              </w:tabs>
              <w:bidi w:val="0"/>
              <w:spacing w:before="0" w:after="140" w:line="240" w:lineRule="auto"/>
              <w:ind w:left="0" w:right="0" w:firstLine="0"/>
              <w:jc w:val="left"/>
            </w:pPr>
            <w:r>
              <w:rPr>
                <w:color w:val="000000"/>
                <w:spacing w:val="0"/>
                <w:w w:val="100"/>
                <w:position w:val="0"/>
              </w:rPr>
              <w:t>计算机智能控制提取、加盖印章功能；</w:t>
            </w:r>
          </w:p>
          <w:p>
            <w:pPr>
              <w:pStyle w:val="Style23"/>
              <w:keepNext w:val="0"/>
              <w:keepLines w:val="0"/>
              <w:widowControl w:val="0"/>
              <w:numPr>
                <w:ilvl w:val="0"/>
                <w:numId w:val="3"/>
              </w:numPr>
              <w:shd w:val="clear" w:color="auto" w:fill="auto"/>
              <w:tabs>
                <w:tab w:pos="456" w:val="left"/>
              </w:tabs>
              <w:bidi w:val="0"/>
              <w:spacing w:before="0" w:after="140" w:line="240" w:lineRule="auto"/>
              <w:ind w:left="0" w:right="0" w:firstLine="0"/>
              <w:jc w:val="left"/>
            </w:pPr>
            <w:r>
              <w:rPr>
                <w:color w:val="000000"/>
                <w:spacing w:val="0"/>
                <w:w w:val="100"/>
                <w:position w:val="0"/>
              </w:rPr>
              <w:t>自动留存印章使用记录；</w:t>
            </w:r>
          </w:p>
          <w:p>
            <w:pPr>
              <w:pStyle w:val="Style23"/>
              <w:keepNext w:val="0"/>
              <w:keepLines w:val="0"/>
              <w:widowControl w:val="0"/>
              <w:numPr>
                <w:ilvl w:val="0"/>
                <w:numId w:val="3"/>
              </w:numPr>
              <w:shd w:val="clear" w:color="auto" w:fill="auto"/>
              <w:tabs>
                <w:tab w:pos="427" w:val="left"/>
              </w:tabs>
              <w:bidi w:val="0"/>
              <w:spacing w:before="0" w:after="140" w:line="240" w:lineRule="auto"/>
              <w:ind w:left="0" w:right="0" w:firstLine="0"/>
              <w:jc w:val="left"/>
            </w:pPr>
            <w:r>
              <w:rPr>
                <w:color w:val="000000"/>
                <w:spacing w:val="0"/>
                <w:w w:val="100"/>
                <w:position w:val="0"/>
              </w:rPr>
              <w:t>实现重点客户的个性化需求。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继续完善公司现有产品的 功能和性能，提升公司新产 品业务收入</w:t>
            </w: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流程银行业务平台系统</w:t>
            </w:r>
          </w:p>
        </w:tc>
        <w:tc>
          <w:tcPr>
            <w:tcBorders>
              <w:top w:val="single" w:sz="4"/>
              <w:left w:val="single" w:sz="4"/>
            </w:tcBorders>
            <w:shd w:val="clear" w:color="auto" w:fill="FFFFFF"/>
            <w:vAlign w:val="center"/>
          </w:tcPr>
          <w:p>
            <w:pPr>
              <w:pStyle w:val="Style23"/>
              <w:keepNext w:val="0"/>
              <w:keepLines w:val="0"/>
              <w:widowControl w:val="0"/>
              <w:numPr>
                <w:ilvl w:val="0"/>
                <w:numId w:val="5"/>
              </w:numPr>
              <w:shd w:val="clear" w:color="auto" w:fill="auto"/>
              <w:tabs>
                <w:tab w:pos="350" w:val="left"/>
              </w:tabs>
              <w:bidi w:val="0"/>
              <w:spacing w:before="0" w:after="40" w:line="322" w:lineRule="exact"/>
              <w:ind w:left="0" w:right="0" w:firstLine="0"/>
              <w:jc w:val="left"/>
            </w:pPr>
            <w:r>
              <w:rPr>
                <w:color w:val="000000"/>
                <w:spacing w:val="0"/>
                <w:w w:val="100"/>
                <w:position w:val="0"/>
              </w:rPr>
              <w:t>通过流程作业的方式使银行传统作业型网点向营销型网点转变;</w:t>
            </w:r>
          </w:p>
          <w:p>
            <w:pPr>
              <w:pStyle w:val="Style23"/>
              <w:keepNext w:val="0"/>
              <w:keepLines w:val="0"/>
              <w:widowControl w:val="0"/>
              <w:numPr>
                <w:ilvl w:val="0"/>
                <w:numId w:val="5"/>
              </w:numPr>
              <w:shd w:val="clear" w:color="auto" w:fill="auto"/>
              <w:tabs>
                <w:tab w:pos="360" w:val="left"/>
              </w:tabs>
              <w:bidi w:val="0"/>
              <w:spacing w:before="0" w:after="40" w:line="322" w:lineRule="exact"/>
              <w:ind w:left="420" w:right="0" w:hanging="420"/>
              <w:jc w:val="left"/>
            </w:pPr>
            <w:r>
              <w:rPr>
                <w:color w:val="000000"/>
                <w:spacing w:val="0"/>
                <w:w w:val="100"/>
                <w:position w:val="0"/>
              </w:rPr>
              <w:t>采用影像处理机制，前台业务采集、上传、影像拆分、切片录入、 组合拼装，解决银行网点分散处理向集中作业的转变；</w:t>
            </w:r>
          </w:p>
          <w:p>
            <w:pPr>
              <w:pStyle w:val="Style23"/>
              <w:keepNext w:val="0"/>
              <w:keepLines w:val="0"/>
              <w:widowControl w:val="0"/>
              <w:numPr>
                <w:ilvl w:val="0"/>
                <w:numId w:val="5"/>
              </w:numPr>
              <w:shd w:val="clear" w:color="auto" w:fill="auto"/>
              <w:tabs>
                <w:tab w:pos="360" w:val="left"/>
              </w:tabs>
              <w:bidi w:val="0"/>
              <w:spacing w:before="0" w:after="40" w:line="322" w:lineRule="exact"/>
              <w:ind w:left="0" w:right="0" w:firstLine="0"/>
              <w:jc w:val="left"/>
            </w:pPr>
            <w:r>
              <w:rPr>
                <w:color w:val="000000"/>
                <w:spacing w:val="0"/>
                <w:w w:val="100"/>
                <w:position w:val="0"/>
              </w:rPr>
              <w:t>应用工作流引擎提供灵活的业务规则设计和实施；</w:t>
            </w:r>
          </w:p>
          <w:p>
            <w:pPr>
              <w:pStyle w:val="Style23"/>
              <w:keepNext w:val="0"/>
              <w:keepLines w:val="0"/>
              <w:widowControl w:val="0"/>
              <w:numPr>
                <w:ilvl w:val="0"/>
                <w:numId w:val="5"/>
              </w:numPr>
              <w:shd w:val="clear" w:color="auto" w:fill="auto"/>
              <w:tabs>
                <w:tab w:pos="365" w:val="left"/>
              </w:tabs>
              <w:bidi w:val="0"/>
              <w:spacing w:before="0" w:after="40" w:line="322" w:lineRule="exact"/>
              <w:ind w:left="0" w:right="0" w:firstLine="0"/>
              <w:jc w:val="left"/>
            </w:pPr>
            <w:r>
              <w:rPr>
                <w:color w:val="000000"/>
                <w:spacing w:val="0"/>
                <w:w w:val="100"/>
                <w:position w:val="0"/>
              </w:rPr>
              <w:t>应用内容管理技术为非结构化数据提供归档、查询和备份。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形成符合流程银行建设需 要的</w:t>
            </w:r>
            <w:r>
              <w:rPr>
                <w:rFonts w:ascii="Times New Roman" w:eastAsia="Times New Roman" w:hAnsi="Times New Roman" w:cs="Times New Roman"/>
                <w:color w:val="000000"/>
                <w:spacing w:val="0"/>
                <w:w w:val="100"/>
                <w:position w:val="0"/>
              </w:rPr>
              <w:t>IT</w:t>
            </w:r>
            <w:r>
              <w:rPr>
                <w:color w:val="000000"/>
                <w:spacing w:val="0"/>
                <w:w w:val="100"/>
                <w:position w:val="0"/>
              </w:rPr>
              <w:t>解决方案，拓宽公司 产品线</w:t>
            </w:r>
          </w:p>
        </w:tc>
      </w:tr>
      <w:tr>
        <w:trPr>
          <w:trHeight w:val="19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综合影像处理平台</w:t>
            </w:r>
          </w:p>
        </w:tc>
        <w:tc>
          <w:tcPr>
            <w:tcBorders>
              <w:top w:val="single" w:sz="4"/>
              <w:left w:val="single" w:sz="4"/>
            </w:tcBorders>
            <w:shd w:val="clear" w:color="auto" w:fill="FFFFFF"/>
            <w:vAlign w:val="center"/>
          </w:tcPr>
          <w:p>
            <w:pPr>
              <w:pStyle w:val="Style23"/>
              <w:keepNext w:val="0"/>
              <w:keepLines w:val="0"/>
              <w:widowControl w:val="0"/>
              <w:numPr>
                <w:ilvl w:val="0"/>
                <w:numId w:val="7"/>
              </w:numPr>
              <w:shd w:val="clear" w:color="auto" w:fill="auto"/>
              <w:tabs>
                <w:tab w:pos="413" w:val="left"/>
              </w:tabs>
              <w:bidi w:val="0"/>
              <w:spacing w:before="0" w:after="80" w:line="298" w:lineRule="exact"/>
              <w:ind w:left="420" w:right="0" w:hanging="420"/>
              <w:jc w:val="left"/>
            </w:pPr>
            <w:r>
              <w:rPr>
                <w:color w:val="000000"/>
                <w:spacing w:val="0"/>
                <w:w w:val="100"/>
                <w:position w:val="0"/>
              </w:rPr>
              <w:t>借助影像技术帮助银行实现从传统的纸质业务受理模式到业务 影像化处理的转变；</w:t>
            </w:r>
          </w:p>
          <w:p>
            <w:pPr>
              <w:pStyle w:val="Style23"/>
              <w:keepNext w:val="0"/>
              <w:keepLines w:val="0"/>
              <w:widowControl w:val="0"/>
              <w:numPr>
                <w:ilvl w:val="0"/>
                <w:numId w:val="7"/>
              </w:numPr>
              <w:shd w:val="clear" w:color="auto" w:fill="auto"/>
              <w:tabs>
                <w:tab w:pos="427" w:val="left"/>
              </w:tabs>
              <w:bidi w:val="0"/>
              <w:spacing w:before="0" w:after="80" w:line="298" w:lineRule="exact"/>
              <w:ind w:left="0" w:right="0" w:firstLine="0"/>
              <w:jc w:val="left"/>
            </w:pPr>
            <w:r>
              <w:rPr>
                <w:color w:val="000000"/>
                <w:spacing w:val="0"/>
                <w:w w:val="100"/>
                <w:position w:val="0"/>
              </w:rPr>
              <w:t>实现银行纸质档案电子化采集、传输、存储；</w:t>
            </w:r>
          </w:p>
          <w:p>
            <w:pPr>
              <w:pStyle w:val="Style23"/>
              <w:keepNext w:val="0"/>
              <w:keepLines w:val="0"/>
              <w:widowControl w:val="0"/>
              <w:numPr>
                <w:ilvl w:val="0"/>
                <w:numId w:val="7"/>
              </w:numPr>
              <w:shd w:val="clear" w:color="auto" w:fill="auto"/>
              <w:tabs>
                <w:tab w:pos="427" w:val="left"/>
              </w:tabs>
              <w:bidi w:val="0"/>
              <w:spacing w:before="0" w:after="80" w:line="298" w:lineRule="exact"/>
              <w:ind w:left="0" w:right="0" w:firstLine="0"/>
              <w:jc w:val="left"/>
            </w:pPr>
            <w:r>
              <w:rPr>
                <w:color w:val="000000"/>
                <w:spacing w:val="0"/>
                <w:w w:val="100"/>
                <w:position w:val="0"/>
              </w:rPr>
              <w:t>影像应用软件开发的平台级产品；</w:t>
            </w:r>
          </w:p>
          <w:p>
            <w:pPr>
              <w:pStyle w:val="Style23"/>
              <w:keepNext w:val="0"/>
              <w:keepLines w:val="0"/>
              <w:widowControl w:val="0"/>
              <w:numPr>
                <w:ilvl w:val="0"/>
                <w:numId w:val="7"/>
              </w:numPr>
              <w:shd w:val="clear" w:color="auto" w:fill="auto"/>
              <w:tabs>
                <w:tab w:pos="427" w:val="left"/>
              </w:tabs>
              <w:bidi w:val="0"/>
              <w:spacing w:before="0" w:after="80" w:line="298" w:lineRule="exact"/>
              <w:ind w:left="0" w:right="0" w:firstLine="0"/>
              <w:jc w:val="left"/>
            </w:pPr>
            <w:r>
              <w:rPr>
                <w:color w:val="000000"/>
                <w:spacing w:val="0"/>
                <w:w w:val="100"/>
                <w:position w:val="0"/>
              </w:rPr>
              <w:t>为银行用户提供多样影像控件优化其业务处理模式和应用体验。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使公司影像应用软件的开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发更加快捷、高效</w:t>
            </w:r>
          </w:p>
        </w:tc>
      </w:tr>
      <w:tr>
        <w:trPr>
          <w:trHeight w:val="15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新一代事后监督系统</w:t>
            </w:r>
          </w:p>
        </w:tc>
        <w:tc>
          <w:tcPr>
            <w:tcBorders>
              <w:top w:val="single" w:sz="4"/>
              <w:left w:val="single" w:sz="4"/>
              <w:bottom w:val="single" w:sz="4"/>
            </w:tcBorders>
            <w:shd w:val="clear" w:color="auto" w:fill="FFFFFF"/>
            <w:vAlign w:val="center"/>
          </w:tcPr>
          <w:p>
            <w:pPr>
              <w:pStyle w:val="Style23"/>
              <w:keepNext w:val="0"/>
              <w:keepLines w:val="0"/>
              <w:widowControl w:val="0"/>
              <w:numPr>
                <w:ilvl w:val="0"/>
                <w:numId w:val="9"/>
              </w:numPr>
              <w:shd w:val="clear" w:color="auto" w:fill="auto"/>
              <w:tabs>
                <w:tab w:pos="413" w:val="left"/>
              </w:tabs>
              <w:bidi w:val="0"/>
              <w:spacing w:before="0" w:after="60" w:line="298" w:lineRule="exact"/>
              <w:ind w:left="420" w:right="0" w:hanging="420"/>
              <w:jc w:val="left"/>
            </w:pPr>
            <w:r>
              <w:rPr>
                <w:color w:val="000000"/>
                <w:spacing w:val="0"/>
                <w:w w:val="100"/>
                <w:position w:val="0"/>
              </w:rPr>
              <w:t>将银行原有的纸质凭证事后监督模式改为基于影像的无纸化监 督模式；</w:t>
            </w:r>
          </w:p>
          <w:p>
            <w:pPr>
              <w:pStyle w:val="Style23"/>
              <w:keepNext w:val="0"/>
              <w:keepLines w:val="0"/>
              <w:widowControl w:val="0"/>
              <w:numPr>
                <w:ilvl w:val="0"/>
                <w:numId w:val="9"/>
              </w:numPr>
              <w:shd w:val="clear" w:color="auto" w:fill="auto"/>
              <w:tabs>
                <w:tab w:pos="422" w:val="left"/>
              </w:tabs>
              <w:bidi w:val="0"/>
              <w:spacing w:before="0" w:after="0" w:line="326" w:lineRule="exact"/>
              <w:ind w:left="420" w:right="0" w:hanging="420"/>
              <w:jc w:val="left"/>
            </w:pPr>
            <w:r>
              <w:rPr>
                <w:color w:val="000000"/>
                <w:spacing w:val="0"/>
                <w:w w:val="100"/>
                <w:position w:val="0"/>
              </w:rPr>
              <w:t>通过采用</w:t>
            </w:r>
            <w:r>
              <w:rPr>
                <w:rFonts w:ascii="Times New Roman" w:eastAsia="Times New Roman" w:hAnsi="Times New Roman" w:cs="Times New Roman"/>
                <w:color w:val="000000"/>
                <w:spacing w:val="0"/>
                <w:w w:val="100"/>
                <w:position w:val="0"/>
              </w:rPr>
              <w:t>OCR</w:t>
            </w:r>
            <w:r>
              <w:rPr>
                <w:color w:val="000000"/>
                <w:spacing w:val="0"/>
                <w:w w:val="100"/>
                <w:position w:val="0"/>
              </w:rPr>
              <w:t>识别技术，自动识别记账凭证要素并辅以人工确 认的方式，进一步提高系统的监督质量和效率。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形成符合市场应用需求的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新产品，拓宽公司产品线</w:t>
            </w:r>
          </w:p>
        </w:tc>
      </w:tr>
    </w:tbl>
    <w:p>
      <w:pPr>
        <w:widowControl w:val="0"/>
        <w:spacing w:after="259" w:line="1" w:lineRule="exact"/>
      </w:pPr>
    </w:p>
    <w:p>
      <w:pPr>
        <w:pStyle w:val="Style28"/>
        <w:keepNext w:val="0"/>
        <w:keepLines w:val="0"/>
        <w:widowControl w:val="0"/>
        <w:shd w:val="clear" w:color="auto" w:fill="auto"/>
        <w:bidi w:val="0"/>
        <w:spacing w:before="0" w:after="260" w:line="240" w:lineRule="auto"/>
        <w:ind w:left="0" w:right="0"/>
        <w:jc w:val="both"/>
      </w:pPr>
      <w:r>
        <w:rPr>
          <w:color w:val="000000"/>
          <w:spacing w:val="0"/>
          <w:w w:val="100"/>
          <w:position w:val="0"/>
        </w:rPr>
        <w:t>预计以上正在研发项目完成后，将显著拓宽公司产品线。流程银行业务平台、印章智能控制机、票据自助柜员机等研发</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项目先期完成并推向市场后，预计将对公司定制软件开发和金融专用设备业务收入产生积极的影响。同时，以上研发项目的</w:t>
        <w:br w:type="page"/>
      </w:r>
      <w:r>
        <w:rPr>
          <w:color w:val="000000"/>
          <w:spacing w:val="0"/>
          <w:w w:val="100"/>
          <w:position w:val="0"/>
        </w:rPr>
        <w:t>实施，将进一步提升公司的研发能力，为公司在金融信息化行业的长远业务发展奠定更坚实的产品技术基础。</w:t>
      </w:r>
    </w:p>
    <w:p>
      <w:pPr>
        <w:pStyle w:val="Style28"/>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36,360,379.43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26,661,766.29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22,728,428.80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15,824,777.48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9,030,448.05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11,159,265.68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33.87%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50.08%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w:t>
            </w:r>
          </w:p>
        </w:tc>
      </w:tr>
    </w:tbl>
    <w:p>
      <w:pPr>
        <w:widowControl w:val="0"/>
        <w:spacing w:after="219" w:line="1" w:lineRule="exact"/>
      </w:pPr>
    </w:p>
    <w:p>
      <w:pPr>
        <w:pStyle w:val="Style28"/>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47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年，公司研发支出资本化的金额为</w:t>
      </w:r>
      <w:r>
        <w:rPr>
          <w:rFonts w:ascii="Times New Roman" w:eastAsia="Times New Roman" w:hAnsi="Times New Roman" w:cs="Times New Roman"/>
          <w:color w:val="000000"/>
          <w:spacing w:val="0"/>
          <w:w w:val="100"/>
          <w:position w:val="0"/>
        </w:rPr>
        <w:t>15,824,777.48</w:t>
      </w:r>
      <w:r>
        <w:rPr>
          <w:color w:val="000000"/>
          <w:spacing w:val="0"/>
          <w:w w:val="100"/>
          <w:position w:val="0"/>
        </w:rPr>
        <w:t>元，较</w:t>
      </w:r>
      <w:r>
        <w:rPr>
          <w:rFonts w:ascii="Times New Roman" w:eastAsia="Times New Roman" w:hAnsi="Times New Roman" w:cs="Times New Roman"/>
          <w:color w:val="000000"/>
          <w:spacing w:val="0"/>
          <w:w w:val="100"/>
          <w:position w:val="0"/>
        </w:rPr>
        <w:t>2012</w:t>
      </w:r>
      <w:r>
        <w:rPr>
          <w:color w:val="000000"/>
          <w:spacing w:val="0"/>
          <w:w w:val="100"/>
          <w:position w:val="0"/>
        </w:rPr>
        <w:t>年增长额为</w:t>
      </w:r>
      <w:r>
        <w:rPr>
          <w:rFonts w:ascii="Times New Roman" w:eastAsia="Times New Roman" w:hAnsi="Times New Roman" w:cs="Times New Roman"/>
          <w:color w:val="000000"/>
          <w:spacing w:val="0"/>
          <w:w w:val="100"/>
          <w:position w:val="0"/>
        </w:rPr>
        <w:t>6,794,329.43</w:t>
      </w:r>
      <w:r>
        <w:rPr>
          <w:color w:val="000000"/>
          <w:spacing w:val="0"/>
          <w:w w:val="100"/>
          <w:position w:val="0"/>
        </w:rPr>
        <w:t>元，增长率</w:t>
      </w:r>
      <w:r>
        <w:rPr>
          <w:rFonts w:ascii="Times New Roman" w:eastAsia="Times New Roman" w:hAnsi="Times New Roman" w:cs="Times New Roman"/>
          <w:color w:val="000000"/>
          <w:spacing w:val="0"/>
          <w:w w:val="100"/>
          <w:position w:val="0"/>
        </w:rPr>
        <w:t>75.24%</w:t>
      </w:r>
      <w:r>
        <w:rPr>
          <w:color w:val="000000"/>
          <w:spacing w:val="0"/>
          <w:w w:val="100"/>
          <w:position w:val="0"/>
        </w:rPr>
        <w:t>，其主要原 因是</w:t>
      </w:r>
      <w:r>
        <w:rPr>
          <w:rFonts w:ascii="Times New Roman" w:eastAsia="Times New Roman" w:hAnsi="Times New Roman" w:cs="Times New Roman"/>
          <w:color w:val="000000"/>
          <w:spacing w:val="0"/>
          <w:w w:val="100"/>
          <w:position w:val="0"/>
        </w:rPr>
        <w:t>2013</w:t>
      </w:r>
      <w:r>
        <w:rPr>
          <w:color w:val="000000"/>
          <w:spacing w:val="0"/>
          <w:w w:val="100"/>
          <w:position w:val="0"/>
        </w:rPr>
        <w:t>年度公司新增了财务共享平台、软件开发基础框架、事后监督系统、电子档案管理系统等</w:t>
      </w:r>
      <w:r>
        <w:rPr>
          <w:rFonts w:ascii="Times New Roman" w:eastAsia="Times New Roman" w:hAnsi="Times New Roman" w:cs="Times New Roman"/>
          <w:color w:val="000000"/>
          <w:spacing w:val="0"/>
          <w:w w:val="100"/>
          <w:position w:val="0"/>
        </w:rPr>
        <w:t>4</w:t>
      </w:r>
      <w:r>
        <w:rPr>
          <w:color w:val="000000"/>
          <w:spacing w:val="0"/>
          <w:w w:val="100"/>
          <w:position w:val="0"/>
        </w:rPr>
        <w:t>个立项研发项目，并对 商业银行集中业务作业平台、印章智能控制机、票据自助柜员机等新产品项目加大了研发投入力度。</w:t>
      </w:r>
    </w:p>
    <w:p>
      <w:pPr>
        <w:pStyle w:val="Style28"/>
        <w:keepNext w:val="0"/>
        <w:keepLines w:val="0"/>
        <w:widowControl w:val="0"/>
        <w:shd w:val="clear" w:color="auto" w:fill="auto"/>
        <w:bidi w:val="0"/>
        <w:spacing w:before="0" w:after="220" w:line="473" w:lineRule="exact"/>
        <w:ind w:left="0" w:right="0" w:firstLine="0"/>
        <w:jc w:val="both"/>
      </w:pPr>
      <w:bookmarkStart w:id="83" w:name="bookmark83"/>
      <w:r>
        <w:rPr>
          <w:rFonts w:ascii="Times New Roman" w:eastAsia="Times New Roman" w:hAnsi="Times New Roman" w:cs="Times New Roman"/>
          <w:color w:val="000000"/>
          <w:spacing w:val="0"/>
          <w:w w:val="100"/>
          <w:position w:val="0"/>
        </w:rPr>
        <w:t>7</w:t>
      </w:r>
      <w:bookmarkEnd w:id="83"/>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2232"/>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113,076,896.90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128,285,667.94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117,212,775.33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122,736,640.47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-4,135,878.43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5,549,027.47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77,135,370.62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21,591,259.16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-77,131,210.62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-21,548,159.16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6,094,268.41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14,413,222.00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24,778,014.42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-8,109,022.00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-18,683,746.01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-89,376,111.05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-34,682,877.70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-157.70%</w:t>
            </w:r>
          </w:p>
        </w:tc>
      </w:tr>
    </w:tbl>
    <w:p>
      <w:pPr>
        <w:widowControl w:val="0"/>
        <w:spacing w:after="219" w:line="1" w:lineRule="exact"/>
      </w:pPr>
    </w:p>
    <w:p>
      <w:pPr>
        <w:pStyle w:val="Style28"/>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相关数据同比发生变动</w:t>
      </w:r>
      <w:r>
        <w:rPr>
          <w:rFonts w:ascii="Times New Roman" w:eastAsia="Times New Roman" w:hAnsi="Times New Roman" w:cs="Times New Roman"/>
          <w:b/>
          <w:bCs/>
          <w:color w:val="000000"/>
          <w:spacing w:val="0"/>
          <w:w w:val="100"/>
          <w:position w:val="0"/>
        </w:rPr>
        <w:t>30%</w:t>
      </w:r>
      <w:r>
        <w:rPr>
          <w:b/>
          <w:bCs/>
          <w:color w:val="000000"/>
          <w:spacing w:val="0"/>
          <w:w w:val="100"/>
          <w:position w:val="0"/>
        </w:rPr>
        <w:t>以上的原因说明</w:t>
      </w:r>
    </w:p>
    <w:p>
      <w:pPr>
        <w:pStyle w:val="Style28"/>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报告期内，经营活动现金流入减少</w:t>
      </w:r>
      <w:r>
        <w:rPr>
          <w:color w:val="000000"/>
          <w:spacing w:val="0"/>
          <w:w w:val="100"/>
          <w:position w:val="0"/>
        </w:rPr>
        <w:t>1,520.88</w:t>
      </w:r>
      <w:r>
        <w:rPr>
          <w:color w:val="000000"/>
          <w:spacing w:val="0"/>
          <w:w w:val="100"/>
          <w:position w:val="0"/>
        </w:rPr>
        <w:t>万元，降幅为11.86%,主要是公司报告期内回收货款减少</w:t>
      </w:r>
      <w:r>
        <w:rPr>
          <w:color w:val="000000"/>
          <w:spacing w:val="0"/>
          <w:w w:val="100"/>
          <w:position w:val="0"/>
        </w:rPr>
        <w:t>1,188.72</w:t>
      </w:r>
      <w:r>
        <w:rPr>
          <w:color w:val="000000"/>
          <w:spacing w:val="0"/>
          <w:w w:val="100"/>
          <w:position w:val="0"/>
        </w:rPr>
        <w:t xml:space="preserve">万元，另 </w:t>
      </w:r>
      <w:r>
        <w:rPr>
          <w:color w:val="000000"/>
          <w:spacing w:val="0"/>
          <w:w w:val="100"/>
          <w:position w:val="0"/>
        </w:rPr>
        <w:t>外，政府研发经费补贴减少</w:t>
      </w:r>
      <w:r>
        <w:rPr>
          <w:color w:val="000000"/>
          <w:spacing w:val="0"/>
          <w:w w:val="100"/>
          <w:position w:val="0"/>
        </w:rPr>
        <w:t>154.23</w:t>
      </w:r>
      <w:r>
        <w:rPr>
          <w:color w:val="000000"/>
          <w:spacing w:val="0"/>
          <w:w w:val="100"/>
          <w:position w:val="0"/>
        </w:rPr>
        <w:t>万元，银行利息收入减少</w:t>
      </w:r>
      <w:r>
        <w:rPr>
          <w:color w:val="000000"/>
          <w:spacing w:val="0"/>
          <w:w w:val="100"/>
          <w:position w:val="0"/>
        </w:rPr>
        <w:t>72.06</w:t>
      </w:r>
      <w:r>
        <w:rPr>
          <w:color w:val="000000"/>
          <w:spacing w:val="0"/>
          <w:w w:val="100"/>
          <w:position w:val="0"/>
        </w:rPr>
        <w:t>万元；经营活动现金流出减少</w:t>
      </w:r>
      <w:r>
        <w:rPr>
          <w:color w:val="000000"/>
          <w:spacing w:val="0"/>
          <w:w w:val="100"/>
          <w:position w:val="0"/>
        </w:rPr>
        <w:t>552.39</w:t>
      </w:r>
      <w:r>
        <w:rPr>
          <w:color w:val="000000"/>
          <w:spacing w:val="0"/>
          <w:w w:val="100"/>
          <w:position w:val="0"/>
        </w:rPr>
        <w:t>万元，降幅为4.50%, 主要是由于报告期内公司实施以利润中心为导向的员工绩效考核体制，倡导经营活动部门提高效率、精简人员，致使支付给 职工薪酬及福利减少</w:t>
      </w:r>
      <w:r>
        <w:rPr>
          <w:color w:val="000000"/>
          <w:spacing w:val="0"/>
          <w:w w:val="100"/>
          <w:position w:val="0"/>
        </w:rPr>
        <w:t>450.19</w:t>
      </w:r>
      <w:r>
        <w:rPr>
          <w:color w:val="000000"/>
          <w:spacing w:val="0"/>
          <w:w w:val="100"/>
          <w:position w:val="0"/>
        </w:rPr>
        <w:t>万元；产品的自行生产的增加，致使购买材料或成品支付的现金减少</w:t>
      </w:r>
      <w:r>
        <w:rPr>
          <w:color w:val="000000"/>
          <w:spacing w:val="0"/>
          <w:w w:val="100"/>
          <w:position w:val="0"/>
        </w:rPr>
        <w:t>156.44</w:t>
      </w:r>
      <w:r>
        <w:rPr>
          <w:color w:val="000000"/>
          <w:spacing w:val="0"/>
          <w:w w:val="100"/>
          <w:position w:val="0"/>
        </w:rPr>
        <w:t>万元；由于研发费用 支出、市场营销费用和人员活动经费增大等因素的影响,致使支付其他与经营活动有关的现金增加</w:t>
      </w:r>
      <w:r>
        <w:rPr>
          <w:color w:val="000000"/>
          <w:spacing w:val="0"/>
          <w:w w:val="100"/>
          <w:position w:val="0"/>
        </w:rPr>
        <w:t>97.38</w:t>
      </w:r>
      <w:r>
        <w:rPr>
          <w:color w:val="000000"/>
          <w:spacing w:val="0"/>
          <w:w w:val="100"/>
          <w:position w:val="0"/>
        </w:rPr>
        <w:t>万元。</w:t>
      </w:r>
    </w:p>
    <w:p>
      <w:pPr>
        <w:pStyle w:val="Style28"/>
        <w:keepNext w:val="0"/>
        <w:keepLines w:val="0"/>
        <w:widowControl w:val="0"/>
        <w:shd w:val="clear" w:color="auto" w:fill="auto"/>
        <w:bidi w:val="0"/>
        <w:spacing w:before="0" w:after="0" w:line="471" w:lineRule="exact"/>
        <w:ind w:left="0" w:right="0"/>
        <w:jc w:val="both"/>
      </w:pPr>
      <w:r>
        <w:rPr>
          <w:color w:val="000000"/>
          <w:spacing w:val="0"/>
          <w:w w:val="100"/>
          <w:position w:val="0"/>
        </w:rPr>
        <w:t>报告期内，投资活动现金流出增加</w:t>
      </w:r>
      <w:r>
        <w:rPr>
          <w:color w:val="000000"/>
          <w:spacing w:val="0"/>
          <w:w w:val="100"/>
          <w:position w:val="0"/>
        </w:rPr>
        <w:t>2,151.24</w:t>
      </w:r>
      <w:r>
        <w:rPr>
          <w:color w:val="000000"/>
          <w:spacing w:val="0"/>
          <w:w w:val="100"/>
          <w:position w:val="0"/>
        </w:rPr>
        <w:t>万元，增幅为99.63%,主要是公司2013年度对外新增深圳票联金融服务公司、 北京华道征信有限公司等两家合资公司，投资总额为</w:t>
      </w:r>
      <w:r>
        <w:rPr>
          <w:color w:val="000000"/>
          <w:spacing w:val="0"/>
          <w:w w:val="100"/>
          <w:position w:val="0"/>
        </w:rPr>
        <w:t>2,490.00</w:t>
      </w:r>
      <w:r>
        <w:rPr>
          <w:color w:val="000000"/>
          <w:spacing w:val="0"/>
          <w:w w:val="100"/>
          <w:position w:val="0"/>
        </w:rPr>
        <w:t>万元，及存入超过3个月的定期银行存款所致。</w:t>
      </w:r>
    </w:p>
    <w:p>
      <w:pPr>
        <w:pStyle w:val="Style28"/>
        <w:keepNext w:val="0"/>
        <w:keepLines w:val="0"/>
        <w:widowControl w:val="0"/>
        <w:shd w:val="clear" w:color="auto" w:fill="auto"/>
        <w:bidi w:val="0"/>
        <w:spacing w:before="0" w:after="120" w:line="471" w:lineRule="exact"/>
        <w:ind w:left="0" w:right="0"/>
        <w:jc w:val="both"/>
      </w:pPr>
      <w:r>
        <w:rPr>
          <w:color w:val="000000"/>
          <w:spacing w:val="0"/>
          <w:w w:val="100"/>
          <w:position w:val="0"/>
        </w:rPr>
        <w:t>报告期内，筹资活动现金流入增加</w:t>
      </w:r>
      <w:r>
        <w:rPr>
          <w:color w:val="000000"/>
          <w:spacing w:val="0"/>
          <w:w w:val="100"/>
          <w:position w:val="0"/>
        </w:rPr>
        <w:t>20.99</w:t>
      </w:r>
      <w:r>
        <w:rPr>
          <w:color w:val="000000"/>
          <w:spacing w:val="0"/>
          <w:w w:val="100"/>
          <w:position w:val="0"/>
        </w:rPr>
        <w:t>万元，增幅为3.44%,主要是公司报告期内实施股权激励计划募集到资金略大于 上年度代收代缴原始股东股利分配的应缴纳的个人所得税款项；筹资活动现金流出减少</w:t>
      </w:r>
      <w:r>
        <w:rPr>
          <w:color w:val="000000"/>
          <w:spacing w:val="0"/>
          <w:w w:val="100"/>
          <w:position w:val="0"/>
        </w:rPr>
        <w:t>1,036.48</w:t>
      </w:r>
      <w:r>
        <w:rPr>
          <w:color w:val="000000"/>
          <w:spacing w:val="0"/>
          <w:w w:val="100"/>
          <w:position w:val="0"/>
        </w:rPr>
        <w:t>万元，减幅为41.83%,主要 由于公司在报告期内向全体股东派发了现金股利1,440万元，比上年同期派发现金股利减少造成的。</w:t>
      </w:r>
    </w:p>
    <w:p>
      <w:pPr>
        <w:pStyle w:val="Style28"/>
        <w:keepNext w:val="0"/>
        <w:keepLines w:val="0"/>
        <w:widowControl w:val="0"/>
        <w:shd w:val="clear" w:color="auto" w:fill="auto"/>
        <w:bidi w:val="0"/>
        <w:spacing w:before="0" w:after="280" w:line="471" w:lineRule="exact"/>
        <w:ind w:left="0" w:right="0" w:firstLine="0"/>
        <w:jc w:val="left"/>
      </w:pPr>
      <w:r>
        <w:rPr>
          <w:b/>
          <w:bCs/>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after="0" w:line="547"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471" w:lineRule="exact"/>
        <w:ind w:left="0" w:right="0"/>
        <w:jc w:val="both"/>
      </w:pPr>
      <w:r>
        <w:rPr>
          <w:color w:val="000000"/>
          <w:spacing w:val="0"/>
          <w:w w:val="100"/>
          <w:position w:val="0"/>
        </w:rPr>
        <w:t>报告期内，公司经营活动的现金流量较本年度净利润少</w:t>
      </w:r>
      <w:r>
        <w:rPr>
          <w:color w:val="000000"/>
          <w:spacing w:val="0"/>
          <w:w w:val="100"/>
          <w:position w:val="0"/>
        </w:rPr>
        <w:t>1,858.26</w:t>
      </w:r>
      <w:r>
        <w:rPr>
          <w:color w:val="000000"/>
          <w:spacing w:val="0"/>
          <w:w w:val="100"/>
          <w:position w:val="0"/>
        </w:rPr>
        <w:t>万元，主要原因是：</w:t>
      </w:r>
    </w:p>
    <w:p>
      <w:pPr>
        <w:pStyle w:val="Style28"/>
        <w:keepNext w:val="0"/>
        <w:keepLines w:val="0"/>
        <w:widowControl w:val="0"/>
        <w:shd w:val="clear" w:color="auto" w:fill="auto"/>
        <w:tabs>
          <w:tab w:pos="714" w:val="left"/>
        </w:tabs>
        <w:bidi w:val="0"/>
        <w:spacing w:before="0" w:after="0" w:line="471" w:lineRule="exact"/>
        <w:ind w:left="0" w:right="0"/>
        <w:jc w:val="both"/>
      </w:pPr>
      <w:bookmarkStart w:id="84" w:name="bookmark84"/>
      <w:r>
        <w:rPr>
          <w:color w:val="000000"/>
          <w:spacing w:val="0"/>
          <w:w w:val="100"/>
          <w:position w:val="0"/>
        </w:rPr>
        <w:t>1</w:t>
      </w:r>
      <w:bookmarkEnd w:id="84"/>
      <w:r>
        <w:rPr>
          <w:color w:val="000000"/>
          <w:spacing w:val="0"/>
          <w:w w:val="100"/>
          <w:position w:val="0"/>
        </w:rPr>
        <w:t>、</w:t>
        <w:tab/>
        <w:t>公司金融设备类新产品的组装生产增加了货物采购的预付成本及产品的库存成本，增加了公司经营活动的现金支出；</w:t>
      </w:r>
    </w:p>
    <w:p>
      <w:pPr>
        <w:pStyle w:val="Style28"/>
        <w:keepNext w:val="0"/>
        <w:keepLines w:val="0"/>
        <w:widowControl w:val="0"/>
        <w:shd w:val="clear" w:color="auto" w:fill="auto"/>
        <w:tabs>
          <w:tab w:pos="724" w:val="left"/>
        </w:tabs>
        <w:bidi w:val="0"/>
        <w:spacing w:before="0" w:after="0" w:line="471" w:lineRule="exact"/>
        <w:ind w:left="0" w:right="0"/>
        <w:jc w:val="both"/>
      </w:pPr>
      <w:bookmarkStart w:id="85" w:name="bookmark85"/>
      <w:r>
        <w:rPr>
          <w:color w:val="000000"/>
          <w:spacing w:val="0"/>
          <w:w w:val="100"/>
          <w:position w:val="0"/>
        </w:rPr>
        <w:t>2</w:t>
      </w:r>
      <w:bookmarkEnd w:id="85"/>
      <w:r>
        <w:rPr>
          <w:color w:val="000000"/>
          <w:spacing w:val="0"/>
          <w:w w:val="100"/>
          <w:position w:val="0"/>
        </w:rPr>
        <w:t>、</w:t>
        <w:tab/>
        <w:t>税务部门已审批的即征即退增值税款部分尚未及时退回，影响了公司经营活动的现金流入；</w:t>
      </w:r>
    </w:p>
    <w:p>
      <w:pPr>
        <w:pStyle w:val="Style28"/>
        <w:keepNext w:val="0"/>
        <w:keepLines w:val="0"/>
        <w:widowControl w:val="0"/>
        <w:shd w:val="clear" w:color="auto" w:fill="auto"/>
        <w:tabs>
          <w:tab w:pos="724" w:val="left"/>
        </w:tabs>
        <w:bidi w:val="0"/>
        <w:spacing w:before="0" w:after="280" w:line="471" w:lineRule="exact"/>
        <w:ind w:left="0" w:right="0"/>
        <w:jc w:val="both"/>
      </w:pPr>
      <w:bookmarkStart w:id="86" w:name="bookmark86"/>
      <w:r>
        <w:rPr>
          <w:color w:val="000000"/>
          <w:spacing w:val="0"/>
          <w:w w:val="100"/>
          <w:position w:val="0"/>
        </w:rPr>
        <w:t>3</w:t>
      </w:r>
      <w:bookmarkEnd w:id="86"/>
      <w:r>
        <w:rPr>
          <w:color w:val="000000"/>
          <w:spacing w:val="0"/>
          <w:w w:val="100"/>
          <w:position w:val="0"/>
        </w:rPr>
        <w:t>、</w:t>
        <w:tab/>
        <w:t>由于公司业务发展的需要，公司业务部门及员工备用金、业务投标押金的增加，增加了公司经营活动的现金支出；</w:t>
      </w:r>
    </w:p>
    <w:p>
      <w:pPr>
        <w:pStyle w:val="Style28"/>
        <w:keepNext w:val="0"/>
        <w:keepLines w:val="0"/>
        <w:widowControl w:val="0"/>
        <w:shd w:val="clear" w:color="auto" w:fill="auto"/>
        <w:bidi w:val="0"/>
        <w:spacing w:before="0" w:after="400" w:line="240" w:lineRule="auto"/>
        <w:ind w:left="0" w:right="0"/>
        <w:jc w:val="both"/>
      </w:pPr>
      <w:bookmarkStart w:id="87" w:name="bookmark87"/>
      <w:r>
        <w:rPr>
          <w:color w:val="000000"/>
          <w:spacing w:val="0"/>
          <w:w w:val="100"/>
          <w:position w:val="0"/>
        </w:rPr>
        <w:t>4</w:t>
      </w:r>
      <w:bookmarkEnd w:id="87"/>
      <w:r>
        <w:rPr>
          <w:color w:val="000000"/>
          <w:spacing w:val="0"/>
          <w:w w:val="100"/>
          <w:position w:val="0"/>
        </w:rPr>
        <w:t>、公司应收账款的增加的影响。</w:t>
      </w:r>
    </w:p>
    <w:p>
      <w:pPr>
        <w:pStyle w:val="Style28"/>
        <w:keepNext w:val="0"/>
        <w:keepLines w:val="0"/>
        <w:widowControl w:val="0"/>
        <w:shd w:val="clear" w:color="auto" w:fill="auto"/>
        <w:bidi w:val="0"/>
        <w:spacing w:before="0" w:after="280" w:line="240" w:lineRule="auto"/>
        <w:ind w:left="0" w:right="0" w:firstLine="0"/>
        <w:jc w:val="left"/>
      </w:pPr>
      <w:bookmarkStart w:id="88" w:name="bookmark88"/>
      <w:r>
        <w:rPr>
          <w:rFonts w:ascii="Times New Roman" w:eastAsia="Times New Roman" w:hAnsi="Times New Roman" w:cs="Times New Roman"/>
          <w:color w:val="000000"/>
          <w:spacing w:val="0"/>
          <w:w w:val="100"/>
          <w:position w:val="0"/>
        </w:rPr>
        <w:t>8</w:t>
      </w:r>
      <w:bookmarkEnd w:id="88"/>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24,226,042.50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13,346,447.47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44.60%</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bookmarkStart w:id="89" w:name="bookmark89"/>
      <w:r>
        <w:rPr>
          <w:rFonts w:ascii="Times New Roman" w:eastAsia="Times New Roman" w:hAnsi="Times New Roman" w:cs="Times New Roman"/>
          <w:color w:val="000000"/>
          <w:spacing w:val="0"/>
          <w:w w:val="100"/>
          <w:position w:val="0"/>
        </w:rPr>
        <w:t>9</w:t>
      </w:r>
      <w:bookmarkEnd w:id="89"/>
      <w:r>
        <w:rPr>
          <w:rFonts w:ascii="Times New Roman" w:eastAsia="Times New Roman" w:hAnsi="Times New Roman" w:cs="Times New Roman"/>
          <w:color w:val="000000"/>
          <w:spacing w:val="0"/>
          <w:w w:val="100"/>
          <w:position w:val="0"/>
        </w:rPr>
        <w:t>）</w:t>
      </w:r>
      <w:r>
        <w:rPr>
          <w:color w:val="000000"/>
          <w:spacing w:val="0"/>
          <w:w w:val="100"/>
          <w:position w:val="0"/>
        </w:rPr>
        <w:t>公司未来发展与规划延续至报告期的说明</w:t>
      </w:r>
    </w:p>
    <w:p>
      <w:pPr>
        <w:pStyle w:val="Style28"/>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首次公开发行招股说明书中披露的未来发展与规划在本报告期的实施情况</w:t>
      </w:r>
    </w:p>
    <w:p>
      <w:pPr>
        <w:pStyle w:val="Style28"/>
        <w:keepNext w:val="0"/>
        <w:keepLines w:val="0"/>
        <w:widowControl w:val="0"/>
        <w:shd w:val="clear" w:color="auto" w:fill="auto"/>
        <w:bidi w:val="0"/>
        <w:spacing w:before="0" w:after="0" w:line="47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公司在首次公开发行招股说明书中，对公司上市后三年制定了发展规划，主要包括产品创新计划、技术创新计划、市场 开拓计划、人才队伍建设计划、组织结构改革和调整计划等方面。报告期内，公司按照招股说明书既定公司发展规划实施经 营，保持并继续扩大了公司在行业的竞争优势。</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在产品创新和技术创新计划实施方面，公司上市以来始终把新产品研发作为公司首要的战略经营措施。报告期内，公司 回单自助打印机等金融专用设备新产品领域取得了显著的进展。流程银行业务平台、印章智能控制机、票据自助柜员机等数 项新产品进展顺利，为公司今后业务发展开拓了广阔的产品和市场空间。</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在市场开拓计划方面，公司持续维护并深化现有客户的合作关系，同时不断挖掘新的潜在客户。截至报告期末，公司已 为国内</w:t>
      </w:r>
      <w:r>
        <w:rPr>
          <w:rFonts w:ascii="Times New Roman" w:eastAsia="Times New Roman" w:hAnsi="Times New Roman" w:cs="Times New Roman"/>
          <w:color w:val="000000"/>
          <w:spacing w:val="0"/>
          <w:w w:val="100"/>
          <w:position w:val="0"/>
        </w:rPr>
        <w:t>330</w:t>
      </w:r>
      <w:r>
        <w:rPr>
          <w:color w:val="000000"/>
          <w:spacing w:val="0"/>
          <w:w w:val="100"/>
          <w:position w:val="0"/>
        </w:rPr>
        <w:t>余家银行客户提供了产品和服务，在行业内的客户基础优势得到了进一步的巩固和加强。</w:t>
      </w:r>
    </w:p>
    <w:p>
      <w:pPr>
        <w:pStyle w:val="Style28"/>
        <w:keepNext w:val="0"/>
        <w:keepLines w:val="0"/>
        <w:widowControl w:val="0"/>
        <w:shd w:val="clear" w:color="auto" w:fill="auto"/>
        <w:bidi w:val="0"/>
        <w:spacing w:before="0" w:after="100" w:line="468" w:lineRule="exact"/>
        <w:ind w:left="0" w:right="0"/>
        <w:jc w:val="both"/>
      </w:pPr>
      <w:r>
        <w:rPr>
          <w:color w:val="000000"/>
          <w:spacing w:val="0"/>
          <w:w w:val="100"/>
          <w:position w:val="0"/>
        </w:rPr>
        <w:t>在人才队伍建设和组织建设计划的实施方面，公司继续坚持</w:t>
      </w:r>
      <w:r>
        <w:rPr>
          <w:rFonts w:ascii="Times New Roman" w:eastAsia="Times New Roman" w:hAnsi="Times New Roman" w:cs="Times New Roman"/>
          <w:color w:val="000000"/>
          <w:spacing w:val="0"/>
          <w:w w:val="100"/>
          <w:position w:val="0"/>
        </w:rPr>
        <w:t>“</w:t>
      </w:r>
      <w:r>
        <w:rPr>
          <w:color w:val="000000"/>
          <w:spacing w:val="0"/>
          <w:w w:val="100"/>
          <w:position w:val="0"/>
        </w:rPr>
        <w:t>以制度管理人，以培训造就人，以文化凝聚人，以事业留 住人</w:t>
      </w:r>
      <w:r>
        <w:rPr>
          <w:rFonts w:ascii="Times New Roman" w:eastAsia="Times New Roman" w:hAnsi="Times New Roman" w:cs="Times New Roman"/>
          <w:color w:val="000000"/>
          <w:spacing w:val="0"/>
          <w:w w:val="100"/>
          <w:position w:val="0"/>
        </w:rPr>
        <w:t>”</w:t>
      </w:r>
      <w:r>
        <w:rPr>
          <w:color w:val="000000"/>
          <w:spacing w:val="0"/>
          <w:w w:val="100"/>
          <w:position w:val="0"/>
        </w:rPr>
        <w:t>的人才战略，不断充实和加强人才队伍。薪酬、绩效考核、人才培训、任职资格等各项人力资源体系进一步完善。在 公司内部强化目标管理和绩效考核，加强骨干员工培训和部分岗位任职资格体系的梳理，通过实施股权激励，完善人才激励 机制。同时，公司按照上市公司治理规范持续完善了治理结构和内部控制制度建设，公司治理结构和内部管理更加适应激烈 市场竞争下的高新技术企业的发展。</w:t>
      </w:r>
    </w:p>
    <w:p>
      <w:pPr>
        <w:pStyle w:val="Style28"/>
        <w:keepNext w:val="0"/>
        <w:keepLines w:val="0"/>
        <w:widowControl w:val="0"/>
        <w:shd w:val="clear" w:color="auto" w:fill="auto"/>
        <w:bidi w:val="0"/>
        <w:spacing w:before="0" w:after="100" w:line="473" w:lineRule="exact"/>
        <w:ind w:left="0" w:right="0" w:firstLine="0"/>
        <w:jc w:val="both"/>
      </w:pPr>
      <w:r>
        <w:rPr>
          <w:b/>
          <w:bCs/>
          <w:color w:val="000000"/>
          <w:spacing w:val="0"/>
          <w:w w:val="100"/>
          <w:position w:val="0"/>
        </w:rPr>
        <w:t>前期披露的发展战略和经营计划在报告期内的进展情况</w:t>
      </w:r>
    </w:p>
    <w:p>
      <w:pPr>
        <w:pStyle w:val="Style28"/>
        <w:keepNext w:val="0"/>
        <w:keepLines w:val="0"/>
        <w:widowControl w:val="0"/>
        <w:shd w:val="clear" w:color="auto" w:fill="auto"/>
        <w:bidi w:val="0"/>
        <w:spacing w:before="0" w:after="0" w:line="47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年度报告中披露了本报告期内公司将以做好新产品开发和市场推广工作为重点，以加强研发力量和研发体系的 建设为基础，以完善科学的管理体制为推动力，重点做好发展流程银行软件业务、新产品市场推广工作、加强研发体系建设 和新技术研究工作及通过收购兼并开拓新的业务领域和业务模式。</w:t>
      </w:r>
    </w:p>
    <w:p>
      <w:pPr>
        <w:pStyle w:val="Style28"/>
        <w:keepNext w:val="0"/>
        <w:keepLines w:val="0"/>
        <w:widowControl w:val="0"/>
        <w:shd w:val="clear" w:color="auto" w:fill="auto"/>
        <w:bidi w:val="0"/>
        <w:spacing w:before="0" w:after="0" w:line="473" w:lineRule="exact"/>
        <w:ind w:left="0" w:right="0"/>
        <w:jc w:val="both"/>
      </w:pPr>
      <w:r>
        <w:rPr>
          <w:color w:val="000000"/>
          <w:spacing w:val="0"/>
          <w:w w:val="100"/>
          <w:position w:val="0"/>
        </w:rPr>
        <w:t>报告期内，公司按照既定的发展战略和年度经营计划，以做好新产品开发和市场推广工作为重点，稳步开展各项工作。</w:t>
      </w:r>
    </w:p>
    <w:p>
      <w:pPr>
        <w:pStyle w:val="Style28"/>
        <w:keepNext w:val="0"/>
        <w:keepLines w:val="0"/>
        <w:widowControl w:val="0"/>
        <w:numPr>
          <w:ilvl w:val="0"/>
          <w:numId w:val="11"/>
        </w:numPr>
        <w:shd w:val="clear" w:color="auto" w:fill="auto"/>
        <w:tabs>
          <w:tab w:pos="831" w:val="left"/>
        </w:tabs>
        <w:bidi w:val="0"/>
        <w:spacing w:before="0" w:after="0" w:line="473" w:lineRule="exact"/>
        <w:ind w:left="0" w:right="0"/>
        <w:jc w:val="both"/>
      </w:pPr>
      <w:bookmarkStart w:id="90" w:name="bookmark90"/>
      <w:bookmarkEnd w:id="90"/>
      <w:r>
        <w:rPr>
          <w:color w:val="000000"/>
          <w:spacing w:val="0"/>
          <w:w w:val="100"/>
          <w:position w:val="0"/>
        </w:rPr>
        <w:t>流程银行软件业务发展计划。报告期内，公司继续大力推进流程银行软件业务的发展，在细化梳理银行业务流程 的过程中发现业务操作风险点，在丰富流程银行产品线方面取得了新的成果，流程银行业务成功案例得到进一步增加。</w:t>
      </w:r>
    </w:p>
    <w:p>
      <w:pPr>
        <w:pStyle w:val="Style28"/>
        <w:keepNext w:val="0"/>
        <w:keepLines w:val="0"/>
        <w:widowControl w:val="0"/>
        <w:numPr>
          <w:ilvl w:val="0"/>
          <w:numId w:val="11"/>
        </w:numPr>
        <w:shd w:val="clear" w:color="auto" w:fill="auto"/>
        <w:tabs>
          <w:tab w:pos="850" w:val="left"/>
        </w:tabs>
        <w:bidi w:val="0"/>
        <w:spacing w:before="0" w:after="0" w:line="473" w:lineRule="exact"/>
        <w:ind w:left="0" w:right="0"/>
        <w:jc w:val="both"/>
      </w:pPr>
      <w:bookmarkStart w:id="91" w:name="bookmark91"/>
      <w:bookmarkEnd w:id="91"/>
      <w:r>
        <w:rPr>
          <w:color w:val="000000"/>
          <w:spacing w:val="0"/>
          <w:w w:val="100"/>
          <w:position w:val="0"/>
        </w:rPr>
        <w:t>新产品市场推广计划。报告期内，公司积极开展印章智能控制机等新产品的市场推广工作，重点努力拓展大型国 有银行总行和部分股份制商业银行、城市商业银行领域的市场，取得了初步的进展。但总体上新产品的市场推广进度慢于年 度经营预期，成为报告期内经营业绩较上年同期有所下降的主要原因。</w:t>
      </w:r>
    </w:p>
    <w:p>
      <w:pPr>
        <w:pStyle w:val="Style28"/>
        <w:keepNext w:val="0"/>
        <w:keepLines w:val="0"/>
        <w:widowControl w:val="0"/>
        <w:numPr>
          <w:ilvl w:val="0"/>
          <w:numId w:val="11"/>
        </w:numPr>
        <w:shd w:val="clear" w:color="auto" w:fill="auto"/>
        <w:tabs>
          <w:tab w:pos="845" w:val="left"/>
        </w:tabs>
        <w:bidi w:val="0"/>
        <w:spacing w:before="0" w:after="0" w:line="477" w:lineRule="exact"/>
        <w:ind w:left="0" w:right="0"/>
        <w:jc w:val="both"/>
      </w:pPr>
      <w:bookmarkStart w:id="92" w:name="bookmark92"/>
      <w:bookmarkEnd w:id="92"/>
      <w:r>
        <w:rPr>
          <w:color w:val="000000"/>
          <w:spacing w:val="0"/>
          <w:w w:val="100"/>
          <w:position w:val="0"/>
        </w:rPr>
        <w:t>加强研发体系建设和新技术研究工作计划。报告期内，公司按照加强研发体系建设和新技术研究工作的计划，着 力加强了公司内部研发流程体系的持续改进，进一步完善了《员工综合绩效管理制度》，实施了《软件开发人员任职资格管 理办法》等管理措施，有效提高了组织运行效率，同时保证公司规范、健康运作。</w:t>
      </w:r>
    </w:p>
    <w:p>
      <w:pPr>
        <w:pStyle w:val="Style28"/>
        <w:keepNext w:val="0"/>
        <w:keepLines w:val="0"/>
        <w:widowControl w:val="0"/>
        <w:numPr>
          <w:ilvl w:val="0"/>
          <w:numId w:val="11"/>
        </w:numPr>
        <w:shd w:val="clear" w:color="auto" w:fill="auto"/>
        <w:tabs>
          <w:tab w:pos="826" w:val="left"/>
        </w:tabs>
        <w:bidi w:val="0"/>
        <w:spacing w:before="0" w:after="360" w:line="477" w:lineRule="exact"/>
        <w:ind w:left="0" w:right="0"/>
        <w:jc w:val="both"/>
      </w:pPr>
      <w:bookmarkStart w:id="93" w:name="bookmark93"/>
      <w:bookmarkEnd w:id="93"/>
      <w:r>
        <w:rPr>
          <w:color w:val="000000"/>
          <w:spacing w:val="0"/>
          <w:w w:val="100"/>
          <w:position w:val="0"/>
        </w:rPr>
        <w:t>开拓新的业务领域和业务模式计划。报告期内，公司与深圳联合金融服务集团有限公司共同出资设立合资公司， 以运营的模式开展支票金融服务市场的票联项目；与易宝支付、创恒鼎盛共同投资设立合资公司，共同投资发展征信服务业</w:t>
        <w:br w:type="page"/>
      </w:r>
      <w:r>
        <w:rPr>
          <w:color w:val="000000"/>
          <w:spacing w:val="0"/>
          <w:w w:val="100"/>
          <w:position w:val="0"/>
        </w:rPr>
        <w:t>务，逐步落实从金融信息化向信息化金融领域延伸的战略规划。</w:t>
      </w:r>
    </w:p>
    <w:p>
      <w:pPr>
        <w:pStyle w:val="Style28"/>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公司实际经营业绩较曾公开披露过的本年度盈利预测低于或高于</w:t>
      </w:r>
      <w:r>
        <w:rPr>
          <w:rFonts w:ascii="Times New Roman" w:eastAsia="Times New Roman" w:hAnsi="Times New Roman" w:cs="Times New Roman"/>
          <w:b/>
          <w:bCs/>
          <w:color w:val="000000"/>
          <w:spacing w:val="0"/>
          <w:w w:val="100"/>
          <w:position w:val="0"/>
        </w:rPr>
        <w:t>20%</w:t>
      </w:r>
      <w:r>
        <w:rPr>
          <w:b/>
          <w:bCs/>
          <w:color w:val="000000"/>
          <w:spacing w:val="0"/>
          <w:w w:val="100"/>
          <w:position w:val="0"/>
        </w:rPr>
        <w:t>以上的差异原因</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94"/>
      <w:bookmarkEnd w:id="95"/>
      <w:bookmarkEnd w:id="97"/>
    </w:p>
    <w:p>
      <w:pPr>
        <w:pStyle w:val="Style28"/>
        <w:keepNext w:val="0"/>
        <w:keepLines w:val="0"/>
        <w:widowControl w:val="0"/>
        <w:shd w:val="clear" w:color="auto" w:fill="auto"/>
        <w:bidi w:val="0"/>
        <w:spacing w:before="0" w:after="100" w:line="240" w:lineRule="auto"/>
        <w:ind w:left="0" w:right="0" w:firstLine="0"/>
        <w:jc w:val="left"/>
      </w:pPr>
      <w:bookmarkStart w:id="98" w:name="bookmark98"/>
      <w:r>
        <w:rPr>
          <w:rFonts w:ascii="Times New Roman" w:eastAsia="Times New Roman" w:hAnsi="Times New Roman" w:cs="Times New Roman"/>
          <w:color w:val="000000"/>
          <w:spacing w:val="0"/>
          <w:w w:val="100"/>
          <w:position w:val="0"/>
        </w:rPr>
        <w:t>1</w:t>
      </w:r>
      <w:bookmarkEnd w:id="98"/>
      <w:r>
        <w:rPr>
          <w:rFonts w:ascii="Times New Roman" w:eastAsia="Times New Roman" w:hAnsi="Times New Roman" w:cs="Times New Roman"/>
          <w:color w:val="000000"/>
          <w:spacing w:val="0"/>
          <w:w w:val="100"/>
          <w:position w:val="0"/>
        </w:rPr>
        <w:t>）</w:t>
      </w:r>
      <w:r>
        <w:rPr>
          <w:color w:val="000000"/>
          <w:spacing w:val="0"/>
          <w:w w:val="100"/>
          <w:position w:val="0"/>
        </w:rPr>
        <w:t>报告期主营业务收入及主营业务利润的构成</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金融信息化行业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107,517,941.86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57,559,285.03</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38,981,423.82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21,092,726.31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定制软件开发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32,840,509.37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22,922,800.77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22,725,508.84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7,938,941.48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3,098,820.51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601,339.29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9,871,679.32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5,003,477.18</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北方地区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24,308,189.40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13,939,479.31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27,132,822.45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13,841,668.23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36,520,986.58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19,417,612.44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8,560,461.18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4,233,321.83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10,995,482.25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6,127,203.22</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0"/>
        <w:jc w:val="left"/>
      </w:pPr>
      <w:bookmarkStart w:id="99" w:name="bookmark99"/>
      <w:r>
        <w:rPr>
          <w:rFonts w:ascii="Times New Roman" w:eastAsia="Times New Roman" w:hAnsi="Times New Roman" w:cs="Times New Roman"/>
          <w:color w:val="000000"/>
          <w:spacing w:val="0"/>
          <w:w w:val="100"/>
          <w:position w:val="0"/>
        </w:rPr>
        <w:t>2</w:t>
      </w:r>
      <w:bookmarkEnd w:id="99"/>
      <w:r>
        <w:rPr>
          <w:rFonts w:ascii="Times New Roman" w:eastAsia="Times New Roman" w:hAnsi="Times New Roman" w:cs="Times New Roman"/>
          <w:color w:val="000000"/>
          <w:spacing w:val="0"/>
          <w:w w:val="100"/>
          <w:position w:val="0"/>
        </w:rPr>
        <w:t>）</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107,517,941.86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49,958,656.83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38,981,423.82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17,888,697.51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32,840,509.37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9,917,708.60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69.80%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22,725,508.84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14,786,567.36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68"/>
        <w:gridCol w:w="1368"/>
        <w:gridCol w:w="1368"/>
        <w:gridCol w:w="1363"/>
        <w:gridCol w:w="1368"/>
        <w:gridCol w:w="1368"/>
        <w:gridCol w:w="1382"/>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24,308,189.40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10,368,710.09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27,132,822.45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13,291,154.22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36,520,986.58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17,103,374.14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10,995,482.25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4,868,279.03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r>
    </w:tbl>
    <w:p>
      <w:pPr>
        <w:pStyle w:val="Style28"/>
        <w:keepNext w:val="0"/>
        <w:keepLines w:val="0"/>
        <w:widowControl w:val="0"/>
        <w:shd w:val="clear" w:color="auto" w:fill="auto"/>
        <w:bidi w:val="0"/>
        <w:spacing w:before="0" w:after="360" w:line="437" w:lineRule="exact"/>
        <w:ind w:left="0" w:right="0" w:firstLine="0"/>
        <w:jc w:val="left"/>
      </w:pPr>
      <w:bookmarkStart w:id="100" w:name="bookmark100"/>
      <w:r>
        <w:rPr>
          <w:rFonts w:ascii="Times New Roman" w:eastAsia="Times New Roman" w:hAnsi="Times New Roman" w:cs="Times New Roman"/>
          <w:color w:val="000000"/>
          <w:spacing w:val="0"/>
          <w:w w:val="100"/>
          <w:position w:val="0"/>
        </w:rPr>
        <w:t>3</w:t>
      </w:r>
      <w:bookmarkEnd w:id="100"/>
      <w:r>
        <w:rPr>
          <w:rFonts w:ascii="Times New Roman" w:eastAsia="Times New Roman" w:hAnsi="Times New Roman" w:cs="Times New Roman"/>
          <w:color w:val="000000"/>
          <w:spacing w:val="0"/>
          <w:w w:val="100"/>
          <w:position w:val="0"/>
        </w:rPr>
        <w:t>）</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18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1"/>
      <w:bookmarkEnd w:id="102"/>
      <w:bookmarkEnd w:id="104"/>
    </w:p>
    <w:p>
      <w:pPr>
        <w:pStyle w:val="Style28"/>
        <w:keepNext w:val="0"/>
        <w:keepLines w:val="0"/>
        <w:widowControl w:val="0"/>
        <w:shd w:val="clear" w:color="auto" w:fill="auto"/>
        <w:bidi w:val="0"/>
        <w:spacing w:before="0" w:after="120" w:line="43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258"/>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比重增减</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295,732,521.77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353,108,632.82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主要原因系公司对外投资联营企业、 派发现金股利、研发项目的投入以及 经营活动回款降低所致。</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91,468,105.74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67,521,521.03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主要原因系销售收入增长，以及报告 期内公司个别大额合同客户采取分 行实施、总行付款或分期付款的结算 方式，应收账款回收周期较长所致。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13,340,520.30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11,468,637.78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42,863,094.15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44,020,938.63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24,897,990.65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主要原因系对外新增两家联营公司 的投资。</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6,009,551.99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6,123,625.10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27,246,464.15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12,300,113.82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主要原因系研发项目开发完成后形 成无形资产的增加。</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12,676,949.14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15,929,451.30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主要原因系公司募集资金投资项目 及其他研发项目的资本化支出的增 加。</w:t>
            </w:r>
          </w:p>
        </w:tc>
      </w:tr>
    </w:tbl>
    <w:p>
      <w:pPr>
        <w:widowControl w:val="0"/>
        <w:spacing w:after="299" w:line="1" w:lineRule="exact"/>
      </w:pPr>
    </w:p>
    <w:p>
      <w:pPr>
        <w:pStyle w:val="Style33"/>
        <w:keepNext/>
        <w:keepLines/>
        <w:widowControl w:val="0"/>
        <w:shd w:val="clear" w:color="auto" w:fill="auto"/>
        <w:bidi w:val="0"/>
        <w:spacing w:before="0" w:after="46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05"/>
      <w:bookmarkEnd w:id="106"/>
      <w:bookmarkEnd w:id="108"/>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公司核心竞争能力包括：</w:t>
      </w:r>
    </w:p>
    <w:p>
      <w:pPr>
        <w:pStyle w:val="Style28"/>
        <w:keepNext w:val="0"/>
        <w:keepLines w:val="0"/>
        <w:widowControl w:val="0"/>
        <w:shd w:val="clear" w:color="auto" w:fill="auto"/>
        <w:bidi w:val="0"/>
        <w:spacing w:before="0" w:after="240" w:line="240" w:lineRule="auto"/>
        <w:ind w:left="0" w:right="0" w:firstLine="360"/>
        <w:jc w:val="left"/>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1</w:t>
      </w:r>
      <w:r>
        <w:rPr>
          <w:color w:val="000000"/>
          <w:spacing w:val="0"/>
          <w:w w:val="100"/>
          <w:position w:val="0"/>
        </w:rPr>
        <w:t>）核心技术优势</w:t>
      </w:r>
    </w:p>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经过公司在行业内十余年的专业化积累，公司的一批产品技术在行业内具有领先地位。电脑验印技术是公司的传统优势 </w:t>
      </w:r>
      <w:r>
        <w:rPr>
          <w:color w:val="000000"/>
          <w:spacing w:val="0"/>
          <w:w w:val="100"/>
          <w:position w:val="0"/>
        </w:rPr>
        <w:t>技术，这一技术优势目前仍然得到了保持和继续加强。同时，公司在其他新技术领域也发展较快，如影像处理技术、</w:t>
      </w:r>
      <w:r>
        <w:rPr>
          <w:rFonts w:ascii="Times New Roman" w:eastAsia="Times New Roman" w:hAnsi="Times New Roman" w:cs="Times New Roman"/>
          <w:color w:val="000000"/>
          <w:spacing w:val="0"/>
          <w:w w:val="100"/>
          <w:position w:val="0"/>
        </w:rPr>
        <w:t xml:space="preserve">OCR </w:t>
      </w:r>
      <w:r>
        <w:rPr>
          <w:color w:val="000000"/>
          <w:spacing w:val="0"/>
          <w:w w:val="100"/>
          <w:position w:val="0"/>
        </w:rPr>
        <w:t>技术、工作流引擎技术、内容管理技术等，在行业内具有相对领先的优势。报告期内，公司行业专有硬件的技术开发能力也 得到进一步加强。同时，公司还是金融行业关于票据影像技术标准的参与制定单位。这些核心技术的拥有，使得公司能够一 直在行业中引领产品开发和应用的方向，保持行业先行者和领导者的地位。报告期内，公司新增软件著作权</w:t>
      </w:r>
      <w:r>
        <w:rPr>
          <w:rFonts w:ascii="Times New Roman" w:eastAsia="Times New Roman" w:hAnsi="Times New Roman" w:cs="Times New Roman"/>
          <w:color w:val="000000"/>
          <w:spacing w:val="0"/>
          <w:w w:val="100"/>
          <w:position w:val="0"/>
        </w:rPr>
        <w:t>15</w:t>
      </w:r>
      <w:r>
        <w:rPr>
          <w:color w:val="000000"/>
          <w:spacing w:val="0"/>
          <w:w w:val="100"/>
          <w:position w:val="0"/>
        </w:rPr>
        <w:t>项，新增专利 授权</w:t>
      </w:r>
      <w:r>
        <w:rPr>
          <w:rFonts w:ascii="Times New Roman" w:eastAsia="Times New Roman" w:hAnsi="Times New Roman" w:cs="Times New Roman"/>
          <w:color w:val="000000"/>
          <w:spacing w:val="0"/>
          <w:w w:val="100"/>
          <w:position w:val="0"/>
        </w:rPr>
        <w:t>20</w:t>
      </w:r>
      <w:r>
        <w:rPr>
          <w:color w:val="000000"/>
          <w:spacing w:val="0"/>
          <w:w w:val="100"/>
          <w:position w:val="0"/>
        </w:rPr>
        <w:t>项。截至报告期末，公司已获得软件著作权</w:t>
      </w:r>
      <w:r>
        <w:rPr>
          <w:rFonts w:ascii="Times New Roman" w:eastAsia="Times New Roman" w:hAnsi="Times New Roman" w:cs="Times New Roman"/>
          <w:color w:val="000000"/>
          <w:spacing w:val="0"/>
          <w:w w:val="100"/>
          <w:position w:val="0"/>
        </w:rPr>
        <w:t>53</w:t>
      </w:r>
      <w:r>
        <w:rPr>
          <w:color w:val="000000"/>
          <w:spacing w:val="0"/>
          <w:w w:val="100"/>
          <w:position w:val="0"/>
        </w:rPr>
        <w:t>项、专利授权</w:t>
      </w:r>
      <w:r>
        <w:rPr>
          <w:rFonts w:ascii="Times New Roman" w:eastAsia="Times New Roman" w:hAnsi="Times New Roman" w:cs="Times New Roman"/>
          <w:color w:val="000000"/>
          <w:spacing w:val="0"/>
          <w:w w:val="100"/>
          <w:position w:val="0"/>
        </w:rPr>
        <w:t>39</w:t>
      </w:r>
      <w:r>
        <w:rPr>
          <w:color w:val="000000"/>
          <w:spacing w:val="0"/>
          <w:w w:val="100"/>
          <w:position w:val="0"/>
        </w:rPr>
        <w:t>项（其中发明专利</w:t>
      </w:r>
      <w:r>
        <w:rPr>
          <w:rFonts w:ascii="Times New Roman" w:eastAsia="Times New Roman" w:hAnsi="Times New Roman" w:cs="Times New Roman"/>
          <w:color w:val="000000"/>
          <w:spacing w:val="0"/>
          <w:w w:val="100"/>
          <w:position w:val="0"/>
        </w:rPr>
        <w:t>7</w:t>
      </w:r>
      <w:r>
        <w:rPr>
          <w:color w:val="000000"/>
          <w:spacing w:val="0"/>
          <w:w w:val="100"/>
          <w:position w:val="0"/>
        </w:rPr>
        <w:t>项、</w:t>
      </w:r>
      <w:r>
        <w:rPr>
          <w:rFonts w:ascii="Times New Roman" w:eastAsia="Times New Roman" w:hAnsi="Times New Roman" w:cs="Times New Roman"/>
          <w:color w:val="000000"/>
          <w:spacing w:val="0"/>
          <w:w w:val="100"/>
          <w:position w:val="0"/>
        </w:rPr>
        <w:t>PCT</w:t>
      </w:r>
      <w:r>
        <w:rPr>
          <w:color w:val="000000"/>
          <w:spacing w:val="0"/>
          <w:w w:val="100"/>
          <w:position w:val="0"/>
        </w:rPr>
        <w:t>国际专利</w:t>
      </w:r>
      <w:r>
        <w:rPr>
          <w:rFonts w:ascii="Times New Roman" w:eastAsia="Times New Roman" w:hAnsi="Times New Roman" w:cs="Times New Roman"/>
          <w:color w:val="000000"/>
          <w:spacing w:val="0"/>
          <w:w w:val="100"/>
          <w:position w:val="0"/>
        </w:rPr>
        <w:t>2</w:t>
      </w:r>
      <w:r>
        <w:rPr>
          <w:color w:val="000000"/>
          <w:spacing w:val="0"/>
          <w:w w:val="100"/>
          <w:position w:val="0"/>
        </w:rPr>
        <w:t>项、实用新型专 利</w:t>
      </w:r>
      <w:r>
        <w:rPr>
          <w:rFonts w:ascii="Times New Roman" w:eastAsia="Times New Roman" w:hAnsi="Times New Roman" w:cs="Times New Roman"/>
          <w:color w:val="000000"/>
          <w:spacing w:val="0"/>
          <w:w w:val="100"/>
          <w:position w:val="0"/>
        </w:rPr>
        <w:t>26</w:t>
      </w:r>
      <w:r>
        <w:rPr>
          <w:color w:val="000000"/>
          <w:spacing w:val="0"/>
          <w:w w:val="100"/>
          <w:position w:val="0"/>
        </w:rPr>
        <w:t>项、外观专利</w:t>
      </w:r>
      <w:r>
        <w:rPr>
          <w:rFonts w:ascii="Times New Roman" w:eastAsia="Times New Roman" w:hAnsi="Times New Roman" w:cs="Times New Roman"/>
          <w:color w:val="000000"/>
          <w:spacing w:val="0"/>
          <w:w w:val="100"/>
          <w:position w:val="0"/>
        </w:rPr>
        <w:t>4</w:t>
      </w:r>
      <w:r>
        <w:rPr>
          <w:color w:val="000000"/>
          <w:spacing w:val="0"/>
          <w:w w:val="100"/>
          <w:position w:val="0"/>
        </w:rPr>
        <w:t>项），另有</w:t>
      </w:r>
      <w:r>
        <w:rPr>
          <w:rFonts w:ascii="Times New Roman" w:eastAsia="Times New Roman" w:hAnsi="Times New Roman" w:cs="Times New Roman"/>
          <w:color w:val="000000"/>
          <w:spacing w:val="0"/>
          <w:w w:val="100"/>
          <w:position w:val="0"/>
        </w:rPr>
        <w:t>13</w:t>
      </w:r>
      <w:r>
        <w:rPr>
          <w:color w:val="000000"/>
          <w:spacing w:val="0"/>
          <w:w w:val="100"/>
          <w:position w:val="0"/>
        </w:rPr>
        <w:t>项专利正在申请并获得国家知识产权局受理。公司业务领域的扩大，新产品、新技术的开 发成功，在行业的竞争力得到加强。</w:t>
      </w:r>
    </w:p>
    <w:p>
      <w:pPr>
        <w:pStyle w:val="Style28"/>
        <w:keepNext w:val="0"/>
        <w:keepLines w:val="0"/>
        <w:widowControl w:val="0"/>
        <w:shd w:val="clear" w:color="auto" w:fill="auto"/>
        <w:tabs>
          <w:tab w:pos="760" w:val="left"/>
        </w:tabs>
        <w:bidi w:val="0"/>
        <w:spacing w:before="0" w:after="0" w:line="468" w:lineRule="exact"/>
        <w:ind w:left="0" w:right="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2</w:t>
      </w:r>
      <w:r>
        <w:rPr>
          <w:color w:val="000000"/>
          <w:spacing w:val="0"/>
          <w:w w:val="100"/>
          <w:position w:val="0"/>
        </w:rPr>
        <w:t>）</w:t>
        <w:tab/>
        <w:t>市场开发优势</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公司产品和服务在金融业有广大、稳定的客户基础，在行业内有比较明显的客户资源优势。目前，公司客户包括中国工 商银行、中国农业银行、中国银行、中国建设银行、平安银行、上海浦东发展银行、广东发展银行、中国进出口银行、中国 农业发展银行、各地城市商业银行、农村商业银行、农村信用社及部分外资银行，涵盖了 </w:t>
      </w:r>
      <w:r>
        <w:rPr>
          <w:rFonts w:ascii="Times New Roman" w:eastAsia="Times New Roman" w:hAnsi="Times New Roman" w:cs="Times New Roman"/>
          <w:color w:val="000000"/>
          <w:spacing w:val="0"/>
          <w:w w:val="100"/>
          <w:position w:val="0"/>
        </w:rPr>
        <w:t>330</w:t>
      </w:r>
      <w:r>
        <w:rPr>
          <w:color w:val="000000"/>
          <w:spacing w:val="0"/>
          <w:w w:val="100"/>
          <w:position w:val="0"/>
        </w:rPr>
        <w:t>家分行、数万个银行网点，遍 布国内</w:t>
      </w:r>
      <w:r>
        <w:rPr>
          <w:rFonts w:ascii="Times New Roman" w:eastAsia="Times New Roman" w:hAnsi="Times New Roman" w:cs="Times New Roman"/>
          <w:color w:val="000000"/>
          <w:spacing w:val="0"/>
          <w:w w:val="100"/>
          <w:position w:val="0"/>
        </w:rPr>
        <w:t>31</w:t>
      </w:r>
      <w:r>
        <w:rPr>
          <w:color w:val="000000"/>
          <w:spacing w:val="0"/>
          <w:w w:val="100"/>
          <w:position w:val="0"/>
        </w:rPr>
        <w:t>个省、直辖市、自治区。报告期内，公司在银行系统继续开拓了一批新的优质客户。这些宝贵的客户资源是公司今 后业务持续发展的坚实基础。</w:t>
      </w:r>
    </w:p>
    <w:p>
      <w:pPr>
        <w:pStyle w:val="Style28"/>
        <w:keepNext w:val="0"/>
        <w:keepLines w:val="0"/>
        <w:widowControl w:val="0"/>
        <w:shd w:val="clear" w:color="auto" w:fill="auto"/>
        <w:tabs>
          <w:tab w:pos="760" w:val="left"/>
        </w:tabs>
        <w:bidi w:val="0"/>
        <w:spacing w:before="0" w:after="0" w:line="468" w:lineRule="exact"/>
        <w:ind w:left="0" w:right="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3</w:t>
      </w:r>
      <w:r>
        <w:rPr>
          <w:color w:val="000000"/>
          <w:spacing w:val="0"/>
          <w:w w:val="100"/>
          <w:position w:val="0"/>
        </w:rPr>
        <w:t>）</w:t>
        <w:tab/>
        <w:t>人才优势</w:t>
      </w:r>
    </w:p>
    <w:p>
      <w:pPr>
        <w:pStyle w:val="Style28"/>
        <w:keepNext w:val="0"/>
        <w:keepLines w:val="0"/>
        <w:widowControl w:val="0"/>
        <w:shd w:val="clear" w:color="auto" w:fill="auto"/>
        <w:bidi w:val="0"/>
        <w:spacing w:before="0" w:after="80" w:line="468" w:lineRule="exact"/>
        <w:ind w:left="0" w:right="0"/>
        <w:jc w:val="both"/>
      </w:pPr>
      <w:r>
        <w:rPr>
          <w:color w:val="000000"/>
          <w:spacing w:val="0"/>
          <w:w w:val="100"/>
          <w:position w:val="0"/>
        </w:rPr>
        <w:t>经过多年的发展，公司已拥有起一支适应金融信息化行业要求的技术精湛、经验丰富的复合型专业人才队伍。公司主要 研发、技术骨干大多具有多年银行软件系统开发经验，不仅精通模式识别、图像处理、计算机软件、大型数据库等领域的专 业技术，而且对我国银行业务流程、业务特点非常熟悉，对银行业务流程再造的发展趋势有前沿的认识。此外，公司营销队 伍和管理团队也具有丰富的金融</w:t>
      </w:r>
      <w:r>
        <w:rPr>
          <w:rFonts w:ascii="Times New Roman" w:eastAsia="Times New Roman" w:hAnsi="Times New Roman" w:cs="Times New Roman"/>
          <w:color w:val="000000"/>
          <w:spacing w:val="0"/>
          <w:w w:val="100"/>
          <w:position w:val="0"/>
        </w:rPr>
        <w:t>IT</w:t>
      </w:r>
      <w:r>
        <w:rPr>
          <w:color w:val="000000"/>
          <w:spacing w:val="0"/>
          <w:w w:val="100"/>
          <w:position w:val="0"/>
        </w:rPr>
        <w:t>市场和企业管理经验。</w:t>
      </w:r>
    </w:p>
    <w:p>
      <w:pPr>
        <w:pStyle w:val="Style28"/>
        <w:keepNext w:val="0"/>
        <w:keepLines w:val="0"/>
        <w:widowControl w:val="0"/>
        <w:shd w:val="clear" w:color="auto" w:fill="auto"/>
        <w:bidi w:val="0"/>
        <w:spacing w:before="0" w:after="360" w:line="394" w:lineRule="exact"/>
        <w:ind w:left="0" w:right="0"/>
        <w:jc w:val="both"/>
      </w:pPr>
      <w:r>
        <w:rPr>
          <w:color w:val="000000"/>
          <w:spacing w:val="0"/>
          <w:w w:val="100"/>
          <w:position w:val="0"/>
        </w:rPr>
        <w:t>报告期内，公司已经加大了中高端人才的引进力度，大力培养优秀研发与技术人员，不断扩大公司研发与技术人才储备。 报告期公司核心竞争能力未发生重大变化。</w:t>
      </w:r>
    </w:p>
    <w:p>
      <w:pPr>
        <w:pStyle w:val="Style33"/>
        <w:keepNext/>
        <w:keepLines/>
        <w:widowControl w:val="0"/>
        <w:shd w:val="clear" w:color="auto" w:fill="auto"/>
        <w:bidi w:val="0"/>
        <w:spacing w:before="0" w:after="46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12"/>
      <w:bookmarkEnd w:id="113"/>
      <w:bookmarkEnd w:id="115"/>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tbl>
      <w:tblPr>
        <w:tblOverlap w:val="never"/>
        <w:jc w:val="center"/>
        <w:tblLayout w:type="fixed"/>
      </w:tblPr>
      <w:tblGrid>
        <w:gridCol w:w="1421"/>
        <w:gridCol w:w="1771"/>
        <w:gridCol w:w="672"/>
        <w:gridCol w:w="1594"/>
        <w:gridCol w:w="926"/>
        <w:gridCol w:w="139"/>
        <w:gridCol w:w="1277"/>
        <w:gridCol w:w="994"/>
        <w:gridCol w:w="787"/>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24,900,000.00</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8,331,000.00</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198.88%</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上市公司占被投资 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本期投资盈 亏（元）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深圳票联金融服 务有限公司</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提供先进的票据支付技术和与 票据跨行信息交换相关的专业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深圳联合金融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服务集团有限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21"/>
        <w:gridCol w:w="2443"/>
        <w:gridCol w:w="1594"/>
        <w:gridCol w:w="1066"/>
        <w:gridCol w:w="1277"/>
        <w:gridCol w:w="994"/>
        <w:gridCol w:w="78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北京华道征信有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以经营征信服务业务及其相关 业务为主营业务。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易宝支付有限 公司、北京创恒 鼎盛科技有限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99" w:line="1" w:lineRule="exact"/>
      </w:pP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p>
      <w:pPr>
        <w:pStyle w:val="Style28"/>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38,895.07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5,595.09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20,266.52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238"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[2010]548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日首次向社会公开发行人民币普 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1500</w:t>
            </w:r>
            <w:r>
              <w:rPr>
                <w:color w:val="000000"/>
                <w:spacing w:val="0"/>
                <w:w w:val="100"/>
                <w:position w:val="0"/>
              </w:rPr>
              <w:t>万股，发行价格每股</w:t>
            </w:r>
            <w:r>
              <w:rPr>
                <w:rFonts w:ascii="Times New Roman" w:eastAsia="Times New Roman" w:hAnsi="Times New Roman" w:cs="Times New Roman"/>
                <w:color w:val="000000"/>
                <w:spacing w:val="0"/>
                <w:w w:val="100"/>
                <w:position w:val="0"/>
              </w:rPr>
              <w:t>28</w:t>
            </w:r>
            <w:r>
              <w:rPr>
                <w:color w:val="000000"/>
                <w:spacing w:val="0"/>
                <w:w w:val="100"/>
                <w:position w:val="0"/>
              </w:rPr>
              <w:t>元，募集资金总额为</w:t>
            </w:r>
            <w:r>
              <w:rPr>
                <w:rFonts w:ascii="Times New Roman" w:eastAsia="Times New Roman" w:hAnsi="Times New Roman" w:cs="Times New Roman"/>
                <w:color w:val="000000"/>
                <w:spacing w:val="0"/>
                <w:w w:val="100"/>
                <w:position w:val="0"/>
              </w:rPr>
              <w:t>420,000,000.00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31,049,260.04</w:t>
            </w:r>
            <w:r>
              <w:rPr>
                <w:color w:val="000000"/>
                <w:spacing w:val="0"/>
                <w:w w:val="100"/>
                <w:position w:val="0"/>
              </w:rPr>
              <w:t>元，募集 资金净额为</w:t>
            </w:r>
            <w:r>
              <w:rPr>
                <w:rFonts w:ascii="Times New Roman" w:eastAsia="Times New Roman" w:hAnsi="Times New Roman" w:cs="Times New Roman"/>
                <w:color w:val="000000"/>
                <w:spacing w:val="0"/>
                <w:w w:val="100"/>
                <w:position w:val="0"/>
              </w:rPr>
              <w:t>388,950,739.96</w:t>
            </w:r>
            <w:r>
              <w:rPr>
                <w:color w:val="000000"/>
                <w:spacing w:val="0"/>
                <w:w w:val="100"/>
                <w:position w:val="0"/>
              </w:rPr>
              <w:t>元。其中，募集资金投资项目使用资金</w:t>
            </w:r>
            <w:r>
              <w:rPr>
                <w:rFonts w:ascii="Times New Roman" w:eastAsia="Times New Roman" w:hAnsi="Times New Roman" w:cs="Times New Roman"/>
                <w:color w:val="000000"/>
                <w:spacing w:val="0"/>
                <w:w w:val="100"/>
                <w:position w:val="0"/>
              </w:rPr>
              <w:t>137,251,000.00</w:t>
            </w:r>
            <w:r>
              <w:rPr>
                <w:color w:val="000000"/>
                <w:spacing w:val="0"/>
                <w:w w:val="100"/>
                <w:position w:val="0"/>
              </w:rPr>
              <w:t>元，其余</w:t>
            </w:r>
            <w:r>
              <w:rPr>
                <w:rFonts w:ascii="Times New Roman" w:eastAsia="Times New Roman" w:hAnsi="Times New Roman" w:cs="Times New Roman"/>
                <w:color w:val="000000"/>
                <w:spacing w:val="0"/>
                <w:w w:val="100"/>
                <w:position w:val="0"/>
              </w:rPr>
              <w:t>251,699,739.96</w:t>
            </w:r>
            <w:r>
              <w:rPr>
                <w:color w:val="000000"/>
                <w:spacing w:val="0"/>
                <w:w w:val="100"/>
                <w:position w:val="0"/>
              </w:rPr>
              <w:t>元为用于其他与 主营业务相关的营运资金(超募资金)。上述资金已于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日全部到位，资金到位情况业经深圳市鹏城会计师 事务所有限公司验证，并由其出具深鹏所验字</w:t>
            </w:r>
            <w:r>
              <w:rPr>
                <w:rFonts w:ascii="Times New Roman" w:eastAsia="Times New Roman" w:hAnsi="Times New Roman" w:cs="Times New Roman"/>
                <w:color w:val="000000"/>
                <w:spacing w:val="0"/>
                <w:w w:val="100"/>
                <w:position w:val="0"/>
              </w:rPr>
              <w:t>[2010]184</w:t>
            </w:r>
            <w:r>
              <w:rPr>
                <w:color w:val="000000"/>
                <w:spacing w:val="0"/>
                <w:w w:val="100"/>
                <w:position w:val="0"/>
              </w:rPr>
              <w:t>号《验资报告》。公司对募集资金采取了专户存储制度。</w:t>
            </w:r>
          </w:p>
          <w:p>
            <w:pPr>
              <w:pStyle w:val="Style23"/>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日，经公司第一届董事会第十一次会议审议通过，公司使用</w:t>
            </w:r>
            <w:r>
              <w:rPr>
                <w:rFonts w:ascii="Times New Roman" w:eastAsia="Times New Roman" w:hAnsi="Times New Roman" w:cs="Times New Roman"/>
                <w:color w:val="000000"/>
                <w:spacing w:val="0"/>
                <w:w w:val="100"/>
                <w:position w:val="0"/>
              </w:rPr>
              <w:t>4,500</w:t>
            </w:r>
            <w:r>
              <w:rPr>
                <w:color w:val="000000"/>
                <w:spacing w:val="0"/>
                <w:w w:val="100"/>
                <w:position w:val="0"/>
              </w:rPr>
              <w:t>万元超募资金永久补充流动资金。</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日，经公司第二届董事会第七次会议审议通过，公司使用超募资金</w:t>
            </w:r>
            <w:r>
              <w:rPr>
                <w:rFonts w:ascii="Times New Roman" w:eastAsia="Times New Roman" w:hAnsi="Times New Roman" w:cs="Times New Roman"/>
                <w:color w:val="000000"/>
                <w:spacing w:val="0"/>
                <w:w w:val="100"/>
                <w:position w:val="0"/>
              </w:rPr>
              <w:t>833.10</w:t>
            </w:r>
            <w:r>
              <w:rPr>
                <w:color w:val="000000"/>
                <w:spacing w:val="0"/>
                <w:w w:val="100"/>
                <w:position w:val="0"/>
              </w:rPr>
              <w:t>万元收购北京博世金信科技有限公司的 支票打码机的</w:t>
            </w:r>
            <w:r>
              <w:rPr>
                <w:rFonts w:ascii="Times New Roman" w:eastAsia="Times New Roman" w:hAnsi="Times New Roman" w:cs="Times New Roman"/>
                <w:color w:val="000000"/>
                <w:spacing w:val="0"/>
                <w:w w:val="100"/>
                <w:position w:val="0"/>
              </w:rPr>
              <w:t>6</w:t>
            </w:r>
            <w:r>
              <w:rPr>
                <w:color w:val="000000"/>
                <w:spacing w:val="0"/>
                <w:w w:val="100"/>
                <w:position w:val="0"/>
              </w:rPr>
              <w:t>项专利技术、相关专有技术等无形资产及相关有形资产。截至报告期末，公司本项资产收购已使用超募资 金</w:t>
            </w:r>
            <w:r>
              <w:rPr>
                <w:rFonts w:ascii="Times New Roman" w:eastAsia="Times New Roman" w:hAnsi="Times New Roman" w:cs="Times New Roman"/>
                <w:color w:val="000000"/>
                <w:spacing w:val="0"/>
                <w:w w:val="100"/>
                <w:position w:val="0"/>
              </w:rPr>
              <w:t>733.10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日，经公司第二届董事会第二十一次会议审议通过，公司使用超募资金</w:t>
            </w:r>
            <w:r>
              <w:rPr>
                <w:rFonts w:ascii="Times New Roman" w:eastAsia="Times New Roman" w:hAnsi="Times New Roman" w:cs="Times New Roman"/>
                <w:color w:val="000000"/>
                <w:spacing w:val="0"/>
                <w:w w:val="100"/>
                <w:position w:val="0"/>
              </w:rPr>
              <w:t>2,000</w:t>
            </w:r>
            <w:r>
              <w:rPr>
                <w:color w:val="000000"/>
                <w:spacing w:val="0"/>
                <w:w w:val="100"/>
                <w:position w:val="0"/>
              </w:rPr>
              <w:t>万元与易宝 支付、创恒鼎盛共同投资设立合资公司，开展征信服务业务及其相关业务。截至报告期末，公司其余超募资金</w:t>
            </w:r>
            <w:r>
              <w:rPr>
                <w:rFonts w:ascii="Times New Roman" w:eastAsia="Times New Roman" w:hAnsi="Times New Roman" w:cs="Times New Roman"/>
                <w:color w:val="000000"/>
                <w:spacing w:val="0"/>
                <w:w w:val="100"/>
                <w:position w:val="0"/>
              </w:rPr>
              <w:t xml:space="preserve">17,936.87 </w:t>
            </w:r>
            <w:r>
              <w:rPr>
                <w:color w:val="000000"/>
                <w:spacing w:val="0"/>
                <w:w w:val="100"/>
                <w:position w:val="0"/>
              </w:rPr>
              <w:t>万元及衍生利息尚未使用。</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截至报告期末，公司首次公开发行股票募集资金净额</w:t>
            </w:r>
            <w:r>
              <w:rPr>
                <w:rFonts w:ascii="Times New Roman" w:eastAsia="Times New Roman" w:hAnsi="Times New Roman" w:cs="Times New Roman"/>
                <w:color w:val="000000"/>
                <w:spacing w:val="0"/>
                <w:w w:val="100"/>
                <w:position w:val="0"/>
              </w:rPr>
              <w:t>38,895.07</w:t>
            </w:r>
            <w:r>
              <w:rPr>
                <w:color w:val="000000"/>
                <w:spacing w:val="0"/>
                <w:w w:val="100"/>
                <w:position w:val="0"/>
              </w:rPr>
              <w:t>万元，已投入募集资金投资项目</w:t>
            </w:r>
            <w:r>
              <w:rPr>
                <w:rFonts w:ascii="Times New Roman" w:eastAsia="Times New Roman" w:hAnsi="Times New Roman" w:cs="Times New Roman"/>
                <w:color w:val="000000"/>
                <w:spacing w:val="0"/>
                <w:w w:val="100"/>
                <w:position w:val="0"/>
              </w:rPr>
              <w:t>20,266.52</w:t>
            </w:r>
            <w:r>
              <w:rPr>
                <w:color w:val="000000"/>
                <w:spacing w:val="0"/>
                <w:w w:val="100"/>
                <w:position w:val="0"/>
              </w:rPr>
              <w:t>万元，其中 已使用超募资金</w:t>
            </w:r>
            <w:r>
              <w:rPr>
                <w:rFonts w:ascii="Times New Roman" w:eastAsia="Times New Roman" w:hAnsi="Times New Roman" w:cs="Times New Roman"/>
                <w:color w:val="000000"/>
                <w:spacing w:val="0"/>
                <w:w w:val="100"/>
                <w:position w:val="0"/>
              </w:rPr>
              <w:t>7,233.10</w:t>
            </w:r>
            <w:r>
              <w:rPr>
                <w:color w:val="000000"/>
                <w:spacing w:val="0"/>
                <w:w w:val="100"/>
                <w:position w:val="0"/>
              </w:rPr>
              <w:t>万元。</w:t>
            </w:r>
          </w:p>
        </w:tc>
      </w:tr>
    </w:tbl>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widowControl w:val="0"/>
        <w:spacing w:after="1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65"/>
        <w:gridCol w:w="710"/>
        <w:gridCol w:w="850"/>
        <w:gridCol w:w="850"/>
        <w:gridCol w:w="710"/>
        <w:gridCol w:w="845"/>
        <w:gridCol w:w="720"/>
        <w:gridCol w:w="845"/>
        <w:gridCol w:w="706"/>
        <w:gridCol w:w="710"/>
        <w:gridCol w:w="629"/>
        <w:gridCol w:w="797"/>
      </w:tblGrid>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60" w:line="317"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2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商业银行全国票据 影像交换业务处理 系统升级改造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599.58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65"/>
        <w:gridCol w:w="710"/>
        <w:gridCol w:w="850"/>
        <w:gridCol w:w="850"/>
        <w:gridCol w:w="710"/>
        <w:gridCol w:w="845"/>
        <w:gridCol w:w="720"/>
        <w:gridCol w:w="845"/>
        <w:gridCol w:w="706"/>
        <w:gridCol w:w="710"/>
        <w:gridCol w:w="629"/>
        <w:gridCol w:w="797"/>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商业银行同城票据</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影像交换业务处理</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银企对账管理系统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客户服务中心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468.29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研究开发中心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商业银行集中运营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作业平台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15,937.7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13,605.28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3,495.09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13,033.42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4,311.10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收购北京博世金信 科技有限公司部分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投资设立北京华道 征信有限公司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4,619.82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7,333.10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7,452.92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7,233.10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23,270.80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21,058.20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5,595.09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20,266.52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4,743.99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r>
      <w:tr>
        <w:trPr>
          <w:trHeight w:val="235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截至报告期末，同城票据影像交换业务处理系统项目和银企对账管理系统项目的实施均为公司创造了效益， 收益尚未达到预期收益主要是项目产品的市场需求情况低于预期。同时，上述募集资金投资项目的实施为 公司储备了相关技术、培养了研发人才，将为公司带来其他相关产品的间接收益。</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客户服务中心项目的实施为公司创造了效益，并且对公司提升产品服务质量、维护客户关系和品牌形象产 生了重要作用。项目直接收益未达到预期收益的原因是公司对相关产品进行了升级换代，使得部分服务性 收入转化为产品的销售收入。</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商业银行集中运营作业平台项目尚处于建设期，项目收益预期在项目建设完成后逐步实现。</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报告期内，项目可行性未发生重大变化。</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超募资金的金额、 用途及使用进展情 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36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公司超募资金共计</w:t>
            </w:r>
            <w:r>
              <w:rPr>
                <w:rFonts w:ascii="Times New Roman" w:eastAsia="Times New Roman" w:hAnsi="Times New Roman" w:cs="Times New Roman"/>
                <w:color w:val="000000"/>
                <w:spacing w:val="0"/>
                <w:w w:val="100"/>
                <w:position w:val="0"/>
              </w:rPr>
              <w:t>25,169.97</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日，经公司第一届董事会第十一次会议审议通过，公司 使用</w:t>
            </w:r>
            <w:r>
              <w:rPr>
                <w:rFonts w:ascii="Times New Roman" w:eastAsia="Times New Roman" w:hAnsi="Times New Roman" w:cs="Times New Roman"/>
                <w:color w:val="000000"/>
                <w:spacing w:val="0"/>
                <w:w w:val="100"/>
                <w:position w:val="0"/>
              </w:rPr>
              <w:t>4,500</w:t>
            </w:r>
            <w:r>
              <w:rPr>
                <w:color w:val="000000"/>
                <w:spacing w:val="0"/>
                <w:w w:val="100"/>
                <w:position w:val="0"/>
              </w:rPr>
              <w:t>万元超募资金永久补充流动资金。</w:t>
            </w:r>
          </w:p>
          <w:p>
            <w:pPr>
              <w:pStyle w:val="Style23"/>
              <w:keepNext w:val="0"/>
              <w:keepLines w:val="0"/>
              <w:widowControl w:val="0"/>
              <w:shd w:val="clear" w:color="auto" w:fill="auto"/>
              <w:bidi w:val="0"/>
              <w:spacing w:before="0" w:after="40" w:line="305"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日，经公司第二届董事会第七次会议审议通过，公司使用超募资金</w:t>
            </w:r>
            <w:r>
              <w:rPr>
                <w:rFonts w:ascii="Times New Roman" w:eastAsia="Times New Roman" w:hAnsi="Times New Roman" w:cs="Times New Roman"/>
                <w:color w:val="000000"/>
                <w:spacing w:val="0"/>
                <w:w w:val="100"/>
                <w:position w:val="0"/>
              </w:rPr>
              <w:t>833.10</w:t>
            </w:r>
            <w:r>
              <w:rPr>
                <w:color w:val="000000"/>
                <w:spacing w:val="0"/>
                <w:w w:val="100"/>
                <w:position w:val="0"/>
              </w:rPr>
              <w:t>万元收购北京博世 金信科技有限公司的支票打码机的</w:t>
            </w:r>
            <w:r>
              <w:rPr>
                <w:rFonts w:ascii="Times New Roman" w:eastAsia="Times New Roman" w:hAnsi="Times New Roman" w:cs="Times New Roman"/>
                <w:color w:val="000000"/>
                <w:spacing w:val="0"/>
                <w:w w:val="100"/>
                <w:position w:val="0"/>
              </w:rPr>
              <w:t>6</w:t>
            </w:r>
            <w:r>
              <w:rPr>
                <w:color w:val="000000"/>
                <w:spacing w:val="0"/>
                <w:w w:val="100"/>
                <w:position w:val="0"/>
              </w:rPr>
              <w:t>项专利技术、相关专有技术等无形资产及相关有形资产。截至报告期 末，公司本项资产收购已使用超募资金</w:t>
            </w:r>
            <w:r>
              <w:rPr>
                <w:rFonts w:ascii="Times New Roman" w:eastAsia="Times New Roman" w:hAnsi="Times New Roman" w:cs="Times New Roman"/>
                <w:color w:val="000000"/>
                <w:spacing w:val="0"/>
                <w:w w:val="100"/>
                <w:position w:val="0"/>
              </w:rPr>
              <w:t>733.10</w:t>
            </w:r>
            <w:r>
              <w:rPr>
                <w:color w:val="000000"/>
                <w:spacing w:val="0"/>
                <w:w w:val="100"/>
                <w:position w:val="0"/>
              </w:rPr>
              <w:t>万元。</w:t>
            </w:r>
          </w:p>
          <w:p>
            <w:pPr>
              <w:pStyle w:val="Style23"/>
              <w:keepNext w:val="0"/>
              <w:keepLines w:val="0"/>
              <w:widowControl w:val="0"/>
              <w:shd w:val="clear" w:color="auto" w:fill="auto"/>
              <w:bidi w:val="0"/>
              <w:spacing w:before="0" w:after="4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日，经公司第二届董事会第二十一次会议审议通过，公司使用超募资金</w:t>
            </w:r>
            <w:r>
              <w:rPr>
                <w:rFonts w:ascii="Times New Roman" w:eastAsia="Times New Roman" w:hAnsi="Times New Roman" w:cs="Times New Roman"/>
                <w:color w:val="000000"/>
                <w:spacing w:val="0"/>
                <w:w w:val="100"/>
                <w:position w:val="0"/>
              </w:rPr>
              <w:t>2,000</w:t>
            </w:r>
            <w:r>
              <w:rPr>
                <w:color w:val="000000"/>
                <w:spacing w:val="0"/>
                <w:w w:val="100"/>
                <w:position w:val="0"/>
              </w:rPr>
              <w:t>万元与易宝 支付、创恒鼎盛共同投资设立合资公司，开展征信服务业务及其相关业务。</w:t>
            </w:r>
          </w:p>
        </w:tc>
      </w:tr>
    </w:tbl>
    <w:p>
      <w:pPr>
        <w:spacing w:lineRule="exact" w:line="1"/>
        <w:rPr>
          <w:sz w:val="2"/>
          <w:szCs w:val="2"/>
        </w:rPr>
      </w:pPr>
      <w:r>
        <w:br w:type="page"/>
      </w:r>
    </w:p>
    <w:tbl>
      <w:tblPr>
        <w:tblOverlap w:val="never"/>
        <w:jc w:val="center"/>
        <w:tblLayout w:type="fixed"/>
      </w:tblPr>
      <w:tblGrid>
        <w:gridCol w:w="1565"/>
        <w:gridCol w:w="8371"/>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截至报告期末，公司其余超募资金</w:t>
            </w:r>
            <w:r>
              <w:rPr>
                <w:rFonts w:ascii="Times New Roman" w:eastAsia="Times New Roman" w:hAnsi="Times New Roman" w:cs="Times New Roman"/>
                <w:color w:val="000000"/>
                <w:spacing w:val="0"/>
                <w:w w:val="100"/>
                <w:position w:val="0"/>
              </w:rPr>
              <w:t>17,936.87</w:t>
            </w:r>
            <w:r>
              <w:rPr>
                <w:color w:val="000000"/>
                <w:spacing w:val="0"/>
                <w:w w:val="100"/>
                <w:position w:val="0"/>
              </w:rPr>
              <w:t>万元及衍生利息尚未使用。</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日第二届董事会第八次会议审议通过，公司原五个募集资金投资项目的实施地点从 深圳市科技园科发路</w:t>
            </w:r>
            <w:r>
              <w:rPr>
                <w:rFonts w:ascii="Times New Roman" w:eastAsia="Times New Roman" w:hAnsi="Times New Roman" w:cs="Times New Roman"/>
                <w:color w:val="000000"/>
                <w:spacing w:val="0"/>
                <w:w w:val="100"/>
                <w:position w:val="0"/>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6F</w:t>
            </w:r>
            <w:r>
              <w:rPr>
                <w:color w:val="000000"/>
                <w:spacing w:val="0"/>
                <w:w w:val="100"/>
                <w:position w:val="0"/>
              </w:rPr>
              <w:t>变更至深圳市福田区天安数码城天祥大厦</w:t>
            </w:r>
            <w:r>
              <w:rPr>
                <w:rFonts w:ascii="Times New Roman" w:eastAsia="Times New Roman" w:hAnsi="Times New Roman" w:cs="Times New Roman"/>
                <w:color w:val="000000"/>
                <w:spacing w:val="0"/>
                <w:w w:val="100"/>
                <w:position w:val="0"/>
              </w:rPr>
              <w:t>AB</w:t>
            </w:r>
            <w:r>
              <w:rPr>
                <w:color w:val="000000"/>
                <w:spacing w:val="0"/>
                <w:w w:val="100"/>
                <w:position w:val="0"/>
              </w:rPr>
              <w:t xml:space="preserve">座 </w:t>
            </w:r>
            <w:r>
              <w:rPr>
                <w:rFonts w:ascii="Times New Roman" w:eastAsia="Times New Roman" w:hAnsi="Times New Roman" w:cs="Times New Roman"/>
                <w:color w:val="000000"/>
                <w:spacing w:val="0"/>
                <w:w w:val="100"/>
                <w:position w:val="0"/>
              </w:rPr>
              <w:t>10A</w:t>
            </w:r>
            <w:r>
              <w:rPr>
                <w:color w:val="000000"/>
                <w:spacing w:val="0"/>
                <w:w w:val="100"/>
                <w:position w:val="0"/>
              </w:rPr>
              <w:t>。</w:t>
            </w:r>
            <w:r>
              <w:rPr>
                <w:color w:val="000000"/>
                <w:spacing w:val="0"/>
                <w:w w:val="100"/>
                <w:position w:val="0"/>
              </w:rPr>
              <w:t>独立董事和保荐机构均对本次变更发表了同意意见。</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日第一届董事会第十一次会议审议通过，公司以募集资金</w:t>
            </w:r>
            <w:r>
              <w:rPr>
                <w:rFonts w:ascii="Times New Roman" w:eastAsia="Times New Roman" w:hAnsi="Times New Roman" w:cs="Times New Roman"/>
                <w:color w:val="000000"/>
                <w:spacing w:val="0"/>
                <w:w w:val="100"/>
                <w:position w:val="0"/>
              </w:rPr>
              <w:t>8,793,875.86</w:t>
            </w:r>
            <w:r>
              <w:rPr>
                <w:color w:val="000000"/>
                <w:spacing w:val="0"/>
                <w:w w:val="100"/>
                <w:position w:val="0"/>
              </w:rPr>
              <w:t xml:space="preserve">元置换预先已 投入募投项目的自筹资金。本次置换业经深圳市鹏城会计师事务所有限公司核验并出具了深鹏所股专字 </w:t>
            </w:r>
            <w:r>
              <w:rPr>
                <w:rFonts w:ascii="Times New Roman" w:eastAsia="Times New Roman" w:hAnsi="Times New Roman" w:cs="Times New Roman"/>
                <w:color w:val="000000"/>
                <w:spacing w:val="0"/>
                <w:w w:val="100"/>
                <w:position w:val="0"/>
              </w:rPr>
              <w:t>[2010]438</w:t>
            </w:r>
            <w:r>
              <w:rPr>
                <w:color w:val="000000"/>
                <w:spacing w:val="0"/>
                <w:w w:val="100"/>
                <w:position w:val="0"/>
              </w:rPr>
              <w:t>号鉴证报告。独立董事和保荐机构均对本次置换发表了同意意见。</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尚未使用的募集资金均存放在公司募集资金专项帐户。</w:t>
            </w:r>
          </w:p>
        </w:tc>
      </w:tr>
      <w:tr>
        <w:trPr>
          <w:trHeight w:val="197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日第二届董事会第二十二次会议审议通过，公司在宁波银行股份有限公司深圳分行 开设新的募集资金专用账户，将原杭州银行股份有限公司深圳分行的募集资金专用账户余额全部转入宁波 银行股份有限公司深圳分行的募集资金专用账户，同时在资金完全转出后依法注销公司在杭州银行股份有 限公司深圳分行的原募集资金专用账户。截至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日，公司与宁波银行股份有限公司深圳分行 及第一创业摩根大通证券有限责任公司签订《募集资金三方监管协议》，完成了变更募集资金专用账户的有 关工作。</w:t>
            </w:r>
          </w:p>
        </w:tc>
      </w:tr>
    </w:tbl>
    <w:p>
      <w:pPr>
        <w:widowControl w:val="0"/>
        <w:spacing w:after="219" w:line="1" w:lineRule="exact"/>
      </w:pPr>
    </w:p>
    <w:p>
      <w:pPr>
        <w:pStyle w:val="Style28"/>
        <w:keepNext w:val="0"/>
        <w:keepLines w:val="0"/>
        <w:widowControl w:val="0"/>
        <w:numPr>
          <w:ilvl w:val="0"/>
          <w:numId w:val="13"/>
        </w:numPr>
        <w:shd w:val="clear" w:color="auto" w:fill="auto"/>
        <w:bidi w:val="0"/>
        <w:spacing w:before="0" w:after="220" w:line="240" w:lineRule="auto"/>
        <w:ind w:left="0" w:right="0" w:firstLine="140"/>
        <w:jc w:val="left"/>
      </w:pPr>
      <w:bookmarkStart w:id="116" w:name="bookmark116"/>
      <w:bookmarkEnd w:id="116"/>
      <w:r>
        <w:rPr>
          <w:color w:val="000000"/>
          <w:spacing w:val="0"/>
          <w:w w:val="100"/>
          <w:position w:val="0"/>
        </w:rPr>
        <w:t>募集资金变更项目情况</w:t>
      </w:r>
    </w:p>
    <w:p>
      <w:pPr>
        <w:pStyle w:val="Style28"/>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55"/>
        <w:gridCol w:w="960"/>
        <w:gridCol w:w="955"/>
        <w:gridCol w:w="965"/>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02"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w:t>
            </w:r>
          </w:p>
          <w:p>
            <w:pPr>
              <w:pStyle w:val="Style23"/>
              <w:keepNext w:val="0"/>
              <w:keepLines w:val="0"/>
              <w:widowControl w:val="0"/>
              <w:shd w:val="clear" w:color="auto" w:fill="auto"/>
              <w:bidi w:val="0"/>
              <w:spacing w:before="0" w:after="0" w:line="35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商业银行集 中运营作业 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商业银行全 国票据影像 交换业务处 理系统升级 改造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1,388.38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1,640.74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452.10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75"/>
        <w:gridCol w:w="6706"/>
      </w:tblGrid>
      <w:tr>
        <w:trPr>
          <w:trHeight w:val="25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因原募集资金投资项目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商业银行全国票据影像交换业务处理系统升级改造项目</w:t>
            </w:r>
            <w:r>
              <w:rPr>
                <w:rFonts w:ascii="Times New Roman" w:eastAsia="Times New Roman" w:hAnsi="Times New Roman" w:cs="Times New Roman"/>
                <w:color w:val="000000"/>
                <w:spacing w:val="0"/>
                <w:w w:val="100"/>
                <w:position w:val="0"/>
              </w:rPr>
              <w:t>”</w:t>
            </w:r>
            <w:r>
              <w:rPr>
                <w:color w:val="000000"/>
                <w:spacing w:val="0"/>
                <w:w w:val="100"/>
                <w:position w:val="0"/>
              </w:rPr>
              <w:t>的市 场环境发生了较大的变化，</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年第一次临时股东大会审议通过了</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《关于变更部分募集资金投资项目的议案》，公司将原募集资金投资项目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商业银行全 国票据影像交换业务处理系统升级改造项目</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商业银行集中运营作业平台项 目七本次募集资金用途变更涉及募集资金</w:t>
            </w:r>
            <w:r>
              <w:rPr>
                <w:rFonts w:ascii="Times New Roman" w:eastAsia="Times New Roman" w:hAnsi="Times New Roman" w:cs="Times New Roman"/>
                <w:color w:val="000000"/>
                <w:spacing w:val="0"/>
                <w:w w:val="100"/>
                <w:position w:val="0"/>
              </w:rPr>
              <w:t>2332.42</w:t>
            </w:r>
            <w:r>
              <w:rPr>
                <w:color w:val="000000"/>
                <w:spacing w:val="0"/>
                <w:w w:val="100"/>
                <w:position w:val="0"/>
              </w:rPr>
              <w:t>万元，占募集资金净额的</w:t>
            </w:r>
            <w:r>
              <w:rPr>
                <w:rFonts w:ascii="Times New Roman" w:eastAsia="Times New Roman" w:hAnsi="Times New Roman" w:cs="Times New Roman"/>
                <w:color w:val="000000"/>
                <w:spacing w:val="0"/>
                <w:w w:val="100"/>
                <w:position w:val="0"/>
              </w:rPr>
              <w:t>6.0%</w:t>
            </w:r>
            <w:r>
              <w:rPr>
                <w:color w:val="000000"/>
                <w:spacing w:val="0"/>
                <w:w w:val="100"/>
                <w:position w:val="0"/>
              </w:rPr>
              <w:t>。 变更后的投资项目</w:t>
            </w:r>
            <w:r>
              <w:rPr>
                <w:rFonts w:ascii="Times New Roman" w:eastAsia="Times New Roman" w:hAnsi="Times New Roman" w:cs="Times New Roman"/>
                <w:color w:val="000000"/>
                <w:spacing w:val="0"/>
                <w:w w:val="100"/>
                <w:position w:val="0"/>
              </w:rPr>
              <w:t>“</w:t>
            </w:r>
            <w:r>
              <w:rPr>
                <w:color w:val="000000"/>
                <w:spacing w:val="0"/>
                <w:w w:val="100"/>
                <w:position w:val="0"/>
              </w:rPr>
              <w:t>商业银行集中运营作业平台项目</w:t>
            </w:r>
            <w:r>
              <w:rPr>
                <w:rFonts w:ascii="Times New Roman" w:eastAsia="Times New Roman" w:hAnsi="Times New Roman" w:cs="Times New Roman"/>
                <w:color w:val="000000"/>
                <w:spacing w:val="0"/>
                <w:w w:val="100"/>
                <w:position w:val="0"/>
              </w:rPr>
              <w:t>”</w:t>
            </w:r>
            <w:r>
              <w:rPr>
                <w:color w:val="000000"/>
                <w:spacing w:val="0"/>
                <w:w w:val="100"/>
                <w:position w:val="0"/>
              </w:rPr>
              <w:t>拟投入资金额为</w:t>
            </w:r>
            <w:r>
              <w:rPr>
                <w:rFonts w:ascii="Times New Roman" w:eastAsia="Times New Roman" w:hAnsi="Times New Roman" w:cs="Times New Roman"/>
                <w:color w:val="000000"/>
                <w:spacing w:val="0"/>
                <w:w w:val="100"/>
                <w:position w:val="0"/>
              </w:rPr>
              <w:t>2212.60</w:t>
            </w:r>
            <w:r>
              <w:rPr>
                <w:color w:val="000000"/>
                <w:spacing w:val="0"/>
                <w:w w:val="100"/>
                <w:position w:val="0"/>
              </w:rPr>
              <w:t>万元， 其余</w:t>
            </w:r>
            <w:r>
              <w:rPr>
                <w:rFonts w:ascii="Times New Roman" w:eastAsia="Times New Roman" w:hAnsi="Times New Roman" w:cs="Times New Roman"/>
                <w:color w:val="000000"/>
                <w:spacing w:val="0"/>
                <w:w w:val="100"/>
                <w:position w:val="0"/>
              </w:rPr>
              <w:t>119.82</w:t>
            </w:r>
            <w:r>
              <w:rPr>
                <w:color w:val="000000"/>
                <w:spacing w:val="0"/>
                <w:w w:val="100"/>
                <w:position w:val="0"/>
              </w:rPr>
              <w:t>万元用于永久补充流动资金。独立董事和保荐机构均对本次变更发表了同 意意见。</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商业银行集中运营作业平台项目尚处于建设期，项目收益预期在项目建设完成后逐步 实现。</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26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7"/>
      <w:bookmarkEnd w:id="118"/>
      <w:bookmarkEnd w:id="120"/>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998"/>
        <w:gridCol w:w="1032"/>
        <w:gridCol w:w="941"/>
        <w:gridCol w:w="1570"/>
        <w:gridCol w:w="850"/>
        <w:gridCol w:w="710"/>
        <w:gridCol w:w="850"/>
        <w:gridCol w:w="989"/>
        <w:gridCol w:w="854"/>
        <w:gridCol w:w="78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主要产品或服务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注册资本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总资产</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净资产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营业收入</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营业利润</w:t>
            </w:r>
          </w:p>
          <w:p>
            <w:pPr>
              <w:pStyle w:val="Style23"/>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净利润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深圳市银之 杰金融设备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金融信息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主要为本公司提供 金融专用设备的组 装加工生产服务和 部分核心技术的开 发服务，其收入销 售对象是本公司， 再由本公司对外销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15,563,1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6,324,970.</w:t>
            </w:r>
          </w:p>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24,659,294.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2,640,027.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2,961,595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深圳市银之 杰技术开发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金融信息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主要为本公司提供 金融专业设备产品 的底层控制软件及 终端应用软件技术 的开发服务，其收 入销售对象是本公 司，再由本公司组 成产品对外销售。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3,982,60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3,847,083.</w:t>
            </w:r>
          </w:p>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7,957,606.8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6,872,364.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7,992,918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深圳票联金 融服务有限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金融信息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银行支票金融服务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业务及其派生业务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9,995,89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9,995,899.</w:t>
            </w:r>
          </w:p>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-4,100.72</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北京华道征 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征信服务 行业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征信服务业务及其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50,000,00</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widowControl w:val="0"/>
        <w:spacing w:after="299" w:line="1" w:lineRule="exact"/>
      </w:pPr>
    </w:p>
    <w:p>
      <w:pPr>
        <w:pStyle w:val="Style28"/>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无。</w:t>
      </w:r>
    </w:p>
    <w:p>
      <w:pPr>
        <w:pStyle w:val="Style28"/>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0"/>
        <w:gridCol w:w="2270"/>
        <w:gridCol w:w="2693"/>
        <w:gridCol w:w="255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对整体生产和业绩的影响</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开发银行支票金融服务市场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以自有资金</w:t>
            </w:r>
            <w:r>
              <w:rPr>
                <w:rFonts w:ascii="Times New Roman" w:eastAsia="Times New Roman" w:hAnsi="Times New Roman" w:cs="Times New Roman"/>
                <w:color w:val="000000"/>
                <w:spacing w:val="0"/>
                <w:w w:val="100"/>
                <w:position w:val="0"/>
              </w:rPr>
              <w:t>490</w:t>
            </w:r>
            <w:r>
              <w:rPr>
                <w:color w:val="000000"/>
                <w:spacing w:val="0"/>
                <w:w w:val="100"/>
                <w:position w:val="0"/>
              </w:rPr>
              <w:t>万元与联合金融 共同投资设立合资公司。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符合公司战略发展规划。报告期 内，未对公司净利润产生影响。</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开展征信服务业务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以超募资金</w:t>
            </w:r>
            <w:r>
              <w:rPr>
                <w:rFonts w:ascii="Times New Roman" w:eastAsia="Times New Roman" w:hAnsi="Times New Roman" w:cs="Times New Roman"/>
                <w:color w:val="000000"/>
                <w:spacing w:val="0"/>
                <w:w w:val="100"/>
                <w:position w:val="0"/>
              </w:rPr>
              <w:t>2000</w:t>
            </w:r>
            <w:r>
              <w:rPr>
                <w:color w:val="000000"/>
                <w:spacing w:val="0"/>
                <w:w w:val="100"/>
                <w:position w:val="0"/>
              </w:rPr>
              <w:t>万元与与易宝支 付、创恒鼎盛共同投资设立合资公 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符合公司战略发展规划。报告期 内，未对公司净利润产生影响。</w:t>
            </w:r>
          </w:p>
        </w:tc>
      </w:tr>
    </w:tbl>
    <w:p>
      <w:pPr>
        <w:widowControl w:val="0"/>
        <w:spacing w:after="279" w:line="1" w:lineRule="exact"/>
      </w:pPr>
    </w:p>
    <w:p>
      <w:pPr>
        <w:pStyle w:val="Style33"/>
        <w:keepNext/>
        <w:keepLines/>
        <w:widowControl w:val="0"/>
        <w:shd w:val="clear" w:color="auto" w:fill="auto"/>
        <w:bidi w:val="0"/>
        <w:spacing w:before="0" w:after="1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21"/>
      <w:bookmarkEnd w:id="122"/>
      <w:bookmarkEnd w:id="124"/>
    </w:p>
    <w:p>
      <w:pPr>
        <w:pStyle w:val="Style28"/>
        <w:keepNext w:val="0"/>
        <w:keepLines w:val="0"/>
        <w:widowControl w:val="0"/>
        <w:shd w:val="clear" w:color="auto" w:fill="auto"/>
        <w:bidi w:val="0"/>
        <w:spacing w:before="0" w:after="440" w:line="469" w:lineRule="exact"/>
        <w:ind w:left="0" w:right="0"/>
        <w:jc w:val="both"/>
      </w:pPr>
      <w:r>
        <w:rPr>
          <w:color w:val="000000"/>
          <w:spacing w:val="0"/>
          <w:w w:val="100"/>
          <w:position w:val="0"/>
        </w:rPr>
        <w:t>报告期内，公司不存在公司控制下的特殊目的主体。</w:t>
      </w:r>
    </w:p>
    <w:p>
      <w:pPr>
        <w:pStyle w:val="Style26"/>
        <w:keepNext/>
        <w:keepLines/>
        <w:widowControl w:val="0"/>
        <w:shd w:val="clear" w:color="auto" w:fill="auto"/>
        <w:bidi w:val="0"/>
        <w:spacing w:before="0" w:after="1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sz w:val="24"/>
          <w:szCs w:val="24"/>
        </w:rPr>
        <w:t>二</w:t>
      </w:r>
      <w:bookmarkEnd w:id="127"/>
      <w:r>
        <w:rPr>
          <w:color w:val="000000"/>
          <w:spacing w:val="0"/>
          <w:w w:val="100"/>
          <w:position w:val="0"/>
          <w:sz w:val="24"/>
          <w:szCs w:val="24"/>
        </w:rPr>
        <w:t>、公司未来发展的展望</w:t>
      </w:r>
      <w:bookmarkEnd w:id="125"/>
      <w:bookmarkEnd w:id="126"/>
      <w:bookmarkEnd w:id="128"/>
    </w:p>
    <w:p>
      <w:pPr>
        <w:pStyle w:val="Style28"/>
        <w:keepNext w:val="0"/>
        <w:keepLines w:val="0"/>
        <w:widowControl w:val="0"/>
        <w:shd w:val="clear" w:color="auto" w:fill="auto"/>
        <w:tabs>
          <w:tab w:pos="908" w:val="left"/>
        </w:tabs>
        <w:bidi w:val="0"/>
        <w:spacing w:before="0" w:after="0" w:line="469" w:lineRule="exact"/>
        <w:ind w:left="0" w:right="0"/>
        <w:jc w:val="both"/>
      </w:pPr>
      <w:bookmarkStart w:id="129" w:name="bookmark129"/>
      <w:r>
        <w:rPr>
          <w:color w:val="000000"/>
          <w:spacing w:val="0"/>
          <w:w w:val="100"/>
          <w:position w:val="0"/>
        </w:rPr>
        <w:t>（</w:t>
      </w:r>
      <w:bookmarkEnd w:id="129"/>
      <w:r>
        <w:rPr>
          <w:color w:val="000000"/>
          <w:spacing w:val="0"/>
          <w:w w:val="100"/>
          <w:position w:val="0"/>
        </w:rPr>
        <w:t>一）</w:t>
        <w:tab/>
        <w:t>外部经营环境发展现状和变化趋势</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公司属于计算机应用服务业中的软件行业、金融信息化行业。</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软件产业是国家战略性新兴产业，是国民经济和社会信息化的重要基础。</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日，国务院印发了《进一步鼓励 软件产业和集成电路产业发展的若干政策》的通知（国发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2011]4</w:t>
      </w:r>
      <w:r>
        <w:rPr>
          <w:color w:val="000000"/>
          <w:spacing w:val="0"/>
          <w:w w:val="100"/>
          <w:position w:val="0"/>
        </w:rPr>
        <w:t>号），进一步优化软件产业发展环境，提高产业发展质量 和水平，培育一批有实力和影响力的行业领先企业。公司是国家高新技术企业、软件企业，随着国发</w:t>
      </w:r>
      <w:r>
        <w:rPr>
          <w:rFonts w:ascii="Times New Roman" w:eastAsia="Times New Roman" w:hAnsi="Times New Roman" w:cs="Times New Roman"/>
          <w:color w:val="000000"/>
          <w:spacing w:val="0"/>
          <w:w w:val="100"/>
          <w:position w:val="0"/>
        </w:rPr>
        <w:t>[2011]4</w:t>
      </w:r>
      <w:r>
        <w:rPr>
          <w:color w:val="000000"/>
          <w:spacing w:val="0"/>
          <w:w w:val="100"/>
          <w:position w:val="0"/>
        </w:rPr>
        <w:t>号文件的执行, 公司将继续获得国家对于软件企业的扶持和优惠政策支持,包括继续享受软件增值税优惠政策，进一步享受营业税优惠政策, 继续享受企业所得税的优惠税率，在国家鼓励、支持软件企业通过资源整合做大做强的政策环境下，更加顺利地实施重组并 购，以及其他人才引进和知识产权保护等。这些政策的出台和执行，为公司创造了良好的经营环境，并将在较长时期内得到 保持。</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另一方面，金融信息化行业有广阔的发展前景。金融行业是现代经济的支柱行业，而金融行业也一直以来是在</w:t>
      </w:r>
      <w:r>
        <w:rPr>
          <w:rFonts w:ascii="Times New Roman" w:eastAsia="Times New Roman" w:hAnsi="Times New Roman" w:cs="Times New Roman"/>
          <w:color w:val="000000"/>
          <w:spacing w:val="0"/>
          <w:w w:val="100"/>
          <w:position w:val="0"/>
        </w:rPr>
        <w:t>IT</w:t>
      </w:r>
      <w:r>
        <w:rPr>
          <w:color w:val="000000"/>
          <w:spacing w:val="0"/>
          <w:w w:val="100"/>
          <w:position w:val="0"/>
        </w:rPr>
        <w:t>方面投 入最大的行业之一，信息化成为引领金融行业现代化建设的重要手段。金融行业层出不穷、日新月异的</w:t>
      </w:r>
      <w:r>
        <w:rPr>
          <w:rFonts w:ascii="Times New Roman" w:eastAsia="Times New Roman" w:hAnsi="Times New Roman" w:cs="Times New Roman"/>
          <w:color w:val="000000"/>
          <w:spacing w:val="0"/>
          <w:w w:val="100"/>
          <w:position w:val="0"/>
        </w:rPr>
        <w:t>IT</w:t>
      </w:r>
      <w:r>
        <w:rPr>
          <w:color w:val="000000"/>
          <w:spacing w:val="0"/>
          <w:w w:val="100"/>
          <w:position w:val="0"/>
        </w:rPr>
        <w:t>应用需求，给公司 发展提供了广阔的发展机会。</w:t>
      </w:r>
    </w:p>
    <w:p>
      <w:pPr>
        <w:pStyle w:val="Style28"/>
        <w:keepNext w:val="0"/>
        <w:keepLines w:val="0"/>
        <w:widowControl w:val="0"/>
        <w:shd w:val="clear" w:color="auto" w:fill="auto"/>
        <w:tabs>
          <w:tab w:pos="908" w:val="left"/>
        </w:tabs>
        <w:bidi w:val="0"/>
        <w:spacing w:before="0" w:after="0" w:line="469" w:lineRule="exact"/>
        <w:ind w:left="0" w:right="0"/>
        <w:jc w:val="left"/>
      </w:pPr>
      <w:bookmarkStart w:id="130" w:name="bookmark130"/>
      <w:r>
        <w:rPr>
          <w:color w:val="000000"/>
          <w:spacing w:val="0"/>
          <w:w w:val="100"/>
          <w:position w:val="0"/>
        </w:rPr>
        <w:t>（</w:t>
      </w:r>
      <w:bookmarkEnd w:id="130"/>
      <w:r>
        <w:rPr>
          <w:color w:val="000000"/>
          <w:spacing w:val="0"/>
          <w:w w:val="100"/>
          <w:position w:val="0"/>
        </w:rPr>
        <w:t>二）</w:t>
        <w:tab/>
        <w:t>市场格局及变化趋势</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在本公司主营的银行业软件产品、软件开发、金融专用设备和技术服务领域，一方面，随着我国经济快速发展、银行经 营向好，银行业信息化投入呈现稳定增长的趋势，市场机会不断涌现；另一方面，银行用户的信息化产品采购越来越市场化、 规范化，对产品性能、质量、服务的要求日益提高，行业竞争日趋激烈。</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 xml:space="preserve">在银行软件产品市场上，国外知名企业依靠强大的技术积累和品牌优势，在基础软件、通用软件、数据库产品领域占据 </w:t>
      </w:r>
      <w:r>
        <w:rPr>
          <w:color w:val="000000"/>
          <w:spacing w:val="0"/>
          <w:w w:val="100"/>
          <w:position w:val="0"/>
        </w:rPr>
        <w:t>主导地位；国内企业则依靠对国内银行业务需求针对性强、融合性好，在应用软件产品领域更具竞争力。而在银行应用软件 产品市场上，国内银行软件企业呈现群雄逐鹿的行业竞争态势，尚未形成单一或少数垄断的市场格局。但随着行业发展，国 内银行应用软件产品市场出现产业整合，市场资源向更具竞争力的企业集聚将是市场发展的必然趋势。</w:t>
      </w:r>
    </w:p>
    <w:p>
      <w:pPr>
        <w:pStyle w:val="Style28"/>
        <w:keepNext w:val="0"/>
        <w:keepLines w:val="0"/>
        <w:widowControl w:val="0"/>
        <w:shd w:val="clear" w:color="auto" w:fill="auto"/>
        <w:tabs>
          <w:tab w:pos="879" w:val="left"/>
        </w:tabs>
        <w:bidi w:val="0"/>
        <w:spacing w:before="0" w:after="0" w:line="469" w:lineRule="exact"/>
        <w:ind w:left="0" w:right="0"/>
        <w:jc w:val="both"/>
      </w:pPr>
      <w:bookmarkStart w:id="131" w:name="bookmark131"/>
      <w:r>
        <w:rPr>
          <w:color w:val="000000"/>
          <w:spacing w:val="0"/>
          <w:w w:val="100"/>
          <w:position w:val="0"/>
        </w:rPr>
        <w:t>（</w:t>
      </w:r>
      <w:bookmarkEnd w:id="131"/>
      <w:r>
        <w:rPr>
          <w:color w:val="000000"/>
          <w:spacing w:val="0"/>
          <w:w w:val="100"/>
          <w:position w:val="0"/>
        </w:rPr>
        <w:t>三）</w:t>
        <w:tab/>
        <w:t>公司市场竞争优势</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经过上市以后三年多的发展，公司进一步巩固和发展了公司在行业内的竞争优势：一是客户资源优势，公司已经为全国 </w:t>
      </w:r>
      <w:r>
        <w:rPr>
          <w:rFonts w:ascii="Times New Roman" w:eastAsia="Times New Roman" w:hAnsi="Times New Roman" w:cs="Times New Roman"/>
          <w:color w:val="000000"/>
          <w:spacing w:val="0"/>
          <w:w w:val="100"/>
          <w:position w:val="0"/>
        </w:rPr>
        <w:t>330</w:t>
      </w:r>
      <w:r>
        <w:rPr>
          <w:color w:val="000000"/>
          <w:spacing w:val="0"/>
          <w:w w:val="100"/>
          <w:position w:val="0"/>
        </w:rPr>
        <w:t>多家银行提供了产品和服务，并保持了良好的客户关系，这些宝贵的客户资源是公司今后业务持续发展的坚实基础。二 是核心技术优势，公司的一批核心技术如电脑验印技术、影像处理技术等在行业内具有领先地位，硬件产品和流程银行相关 领域的技术能力和优势也在逐步形成。三是资金优势，公司成功上市后为公司未来业务发展提供了有力的资金保障。四是品 牌优势，经过多年的行业积累，尤其是公司成功上市以后，公司在行业内具备了良好的企业品牌形象和较高的市场认知度。</w:t>
      </w:r>
    </w:p>
    <w:p>
      <w:pPr>
        <w:pStyle w:val="Style28"/>
        <w:keepNext w:val="0"/>
        <w:keepLines w:val="0"/>
        <w:widowControl w:val="0"/>
        <w:shd w:val="clear" w:color="auto" w:fill="auto"/>
        <w:tabs>
          <w:tab w:pos="879" w:val="left"/>
        </w:tabs>
        <w:bidi w:val="0"/>
        <w:spacing w:before="0" w:after="0" w:line="469" w:lineRule="exact"/>
        <w:ind w:left="0" w:right="0"/>
        <w:jc w:val="both"/>
      </w:pPr>
      <w:bookmarkStart w:id="132" w:name="bookmark132"/>
      <w:r>
        <w:rPr>
          <w:color w:val="000000"/>
          <w:spacing w:val="0"/>
          <w:w w:val="100"/>
          <w:position w:val="0"/>
        </w:rPr>
        <w:t>（</w:t>
      </w:r>
      <w:bookmarkEnd w:id="132"/>
      <w:r>
        <w:rPr>
          <w:color w:val="000000"/>
          <w:spacing w:val="0"/>
          <w:w w:val="100"/>
          <w:position w:val="0"/>
        </w:rPr>
        <w:t>四）</w:t>
        <w:tab/>
        <w:t>未来工作规划和发展展望</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基于对企业内外部环境的基本分析和判断，公司今后仍将专注金融信息化领域，走专业化发展道路，努力做金融信息化 行业的龙头企业。</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经过十五年的发展，公司规模和业务不断发展壮大，已经从银行影像应用软件细分市场的领先企业，成长为国内银行信 息化领域的主流企业。同时应该看到，从金融信息化行业整体的角度看，公司在产品服务覆盖范围、营业收入规模等方面还 有待更大的提升。为了实现公司</w:t>
      </w:r>
      <w:r>
        <w:rPr>
          <w:rFonts w:ascii="Times New Roman" w:eastAsia="Times New Roman" w:hAnsi="Times New Roman" w:cs="Times New Roman"/>
          <w:color w:val="000000"/>
          <w:spacing w:val="0"/>
          <w:w w:val="100"/>
          <w:position w:val="0"/>
        </w:rPr>
        <w:t>“</w:t>
      </w:r>
      <w:r>
        <w:rPr>
          <w:color w:val="000000"/>
          <w:spacing w:val="0"/>
          <w:w w:val="100"/>
          <w:position w:val="0"/>
        </w:rPr>
        <w:t>做中国金融信息技术领域杰出的领导企业</w:t>
      </w:r>
      <w:r>
        <w:rPr>
          <w:rFonts w:ascii="Times New Roman" w:eastAsia="Times New Roman" w:hAnsi="Times New Roman" w:cs="Times New Roman"/>
          <w:color w:val="000000"/>
          <w:spacing w:val="0"/>
          <w:w w:val="100"/>
          <w:position w:val="0"/>
        </w:rPr>
        <w:t>”</w:t>
      </w:r>
      <w:r>
        <w:rPr>
          <w:color w:val="000000"/>
          <w:spacing w:val="0"/>
          <w:w w:val="100"/>
          <w:position w:val="0"/>
        </w:rPr>
        <w:t>的发展愿景，公司近期的发展目标是首先使公司 成为一个管理科学规范、人才充分汇集、产品和服务内容比较丰富、业务快速发展的行业内优秀的上市公司。</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围绕公司近期的发展目标，2014年度公司将坚持既定发展战略，专注于金融信息化领域，并在我国深化金融改革的政策 背景下，充分发挥公司积累的行业竞争优势，积极探索和发展创新金融信息化业务。重点做好以下主要工作：</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一是继续推进新产品的研发和市场推广，努力通过不断拓宽公司产品线，支持公司未来业务的发展；</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二是着力发展流程银行软件业务，努力在国内流程银行信息化建设蓬勃发展的市场环境下，取得流程银行软件业务新的 突破；</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三是高度重视并务实推进公司合资经营的支票金融服务业务、征信服务业务，早日实现新业务模式、新业务领域的创收 和盈利；</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四是充分利用超募资金，通过并购或投资与公司主营业务相关联或互补的优质企业或产品，开拓新的业务领域和业务模 式，促进公司做大做强。</w:t>
      </w:r>
    </w:p>
    <w:p>
      <w:pPr>
        <w:pStyle w:val="Style28"/>
        <w:keepNext w:val="0"/>
        <w:keepLines w:val="0"/>
        <w:widowControl w:val="0"/>
        <w:shd w:val="clear" w:color="auto" w:fill="auto"/>
        <w:bidi w:val="0"/>
        <w:spacing w:before="0" w:after="440" w:line="469" w:lineRule="exact"/>
        <w:ind w:left="0" w:right="0"/>
        <w:jc w:val="both"/>
      </w:pPr>
      <w:r>
        <w:rPr>
          <w:color w:val="000000"/>
          <w:spacing w:val="0"/>
          <w:w w:val="100"/>
          <w:position w:val="0"/>
        </w:rPr>
        <w:t>相信随着以上工作规划的逐步落实，将显著拓展公司在银行信息化领域的产品和服务范围，提高公司业务收入规模，推 动公司经营业绩进一步向好发展。</w:t>
      </w:r>
    </w:p>
    <w:p>
      <w:pPr>
        <w:pStyle w:val="Style26"/>
        <w:keepNext/>
        <w:keepLines/>
        <w:widowControl w:val="0"/>
        <w:shd w:val="clear" w:color="auto" w:fill="auto"/>
        <w:bidi w:val="0"/>
        <w:spacing w:before="0" w:after="44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sz w:val="24"/>
          <w:szCs w:val="24"/>
        </w:rPr>
        <w:t>三</w:t>
      </w:r>
      <w:bookmarkEnd w:id="135"/>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33"/>
      <w:bookmarkEnd w:id="134"/>
      <w:bookmarkEnd w:id="136"/>
    </w:p>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报告期内，会计师事务所未出具非标准审计报告。</w:t>
      </w:r>
    </w:p>
    <w:p>
      <w:pPr>
        <w:pStyle w:val="Style26"/>
        <w:keepNext/>
        <w:keepLines/>
        <w:widowControl w:val="0"/>
        <w:shd w:val="clear" w:color="auto" w:fill="auto"/>
        <w:tabs>
          <w:tab w:pos="502" w:val="left"/>
        </w:tabs>
        <w:bidi w:val="0"/>
        <w:spacing w:before="0" w:after="1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sz w:val="24"/>
          <w:szCs w:val="24"/>
        </w:rPr>
        <w:t>四</w:t>
      </w:r>
      <w:bookmarkEnd w:id="139"/>
      <w:r>
        <w:rPr>
          <w:color w:val="000000"/>
          <w:spacing w:val="0"/>
          <w:w w:val="100"/>
          <w:position w:val="0"/>
          <w:sz w:val="24"/>
          <w:szCs w:val="24"/>
        </w:rPr>
        <w:t>、</w:t>
        <w:tab/>
        <w:t>董事会关于报告期会计政策、会计估计变更或重要前期差错更正的说明</w:t>
      </w:r>
      <w:bookmarkEnd w:id="137"/>
      <w:bookmarkEnd w:id="138"/>
      <w:bookmarkEnd w:id="140"/>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报告期内，公司依据的会计政策、会计估计未发生变更，也不存在重要前期差错的更正。</w:t>
      </w:r>
    </w:p>
    <w:p>
      <w:pPr>
        <w:pStyle w:val="Style26"/>
        <w:keepNext/>
        <w:keepLines/>
        <w:widowControl w:val="0"/>
        <w:shd w:val="clear" w:color="auto" w:fill="auto"/>
        <w:tabs>
          <w:tab w:pos="522" w:val="left"/>
        </w:tabs>
        <w:bidi w:val="0"/>
        <w:spacing w:before="0" w:after="18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sz w:val="24"/>
          <w:szCs w:val="24"/>
        </w:rPr>
        <w:t>五</w:t>
      </w:r>
      <w:bookmarkEnd w:id="143"/>
      <w:r>
        <w:rPr>
          <w:color w:val="000000"/>
          <w:spacing w:val="0"/>
          <w:w w:val="100"/>
          <w:position w:val="0"/>
          <w:sz w:val="24"/>
          <w:szCs w:val="24"/>
        </w:rPr>
        <w:t>、</w:t>
        <w:tab/>
        <w:t>公司利润分配及分红派息情况</w:t>
      </w:r>
      <w:bookmarkEnd w:id="141"/>
      <w:bookmarkEnd w:id="142"/>
      <w:bookmarkEnd w:id="144"/>
    </w:p>
    <w:p>
      <w:pPr>
        <w:pStyle w:val="Style28"/>
        <w:keepNext w:val="0"/>
        <w:keepLines w:val="0"/>
        <w:widowControl w:val="0"/>
        <w:shd w:val="clear" w:color="auto" w:fill="auto"/>
        <w:bidi w:val="0"/>
        <w:spacing w:before="0" w:after="260" w:line="470" w:lineRule="exact"/>
        <w:ind w:left="0" w:right="0" w:firstLine="0"/>
        <w:jc w:val="both"/>
      </w:pPr>
      <w:r>
        <w:rPr>
          <w:b/>
          <w:bCs/>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根据中国证监会及深圳证监局关于进一步落实上市公司现金分红有关事项的要求，上市公司应明确股东回报规划，完善 股东大会、董事会对公司利润分配事项的决策程序和机制，提高现金分红信息披露透明度。</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年第一次临时股东大会，审议通过了《关于修订〈公司章程〉的议案》，对利润分配特别是现金分红的相关条款进行了修订 完善。公司现行利润分配政策符合《公司章程》的规定和股东大会决议的要求，明确了分红标准和比例，完备了相关决策程 序和机制，明确了独立董事的职责，明确了充分听取独立董事和中小股东意见所采取的措施，切实保障了中小股东的合法权 益。</w:t>
      </w:r>
    </w:p>
    <w:p>
      <w:pPr>
        <w:pStyle w:val="Style28"/>
        <w:keepNext w:val="0"/>
        <w:keepLines w:val="0"/>
        <w:widowControl w:val="0"/>
        <w:shd w:val="clear" w:color="auto" w:fill="auto"/>
        <w:bidi w:val="0"/>
        <w:spacing w:before="0" w:after="260" w:line="470" w:lineRule="exact"/>
        <w:ind w:left="0" w:right="0"/>
        <w:jc w:val="both"/>
      </w:pPr>
      <w:r>
        <w:rPr>
          <w:color w:val="000000"/>
          <w:spacing w:val="0"/>
          <w:w w:val="100"/>
          <w:position w:val="0"/>
        </w:rPr>
        <w:t>报告期内，公司严格执行《公司章程》有关现金分红政策，《</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年度利润分配预案》经公司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日第二届董事 会第十三次会议及</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年度股东大会审议通过，以公司总股本</w:t>
      </w:r>
      <w:r>
        <w:rPr>
          <w:rFonts w:ascii="Times New Roman" w:eastAsia="Times New Roman" w:hAnsi="Times New Roman" w:cs="Times New Roman"/>
          <w:color w:val="000000"/>
          <w:spacing w:val="0"/>
          <w:w w:val="100"/>
          <w:position w:val="0"/>
        </w:rPr>
        <w:t>12,000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 红利</w:t>
      </w:r>
      <w:r>
        <w:rPr>
          <w:rFonts w:ascii="Times New Roman" w:eastAsia="Times New Roman" w:hAnsi="Times New Roman" w:cs="Times New Roman"/>
          <w:color w:val="000000"/>
          <w:spacing w:val="0"/>
          <w:w w:val="100"/>
          <w:position w:val="0"/>
        </w:rPr>
        <w:t>1.2</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rPr>
        <w:t>1,440</w:t>
      </w:r>
      <w:r>
        <w:rPr>
          <w:color w:val="000000"/>
          <w:spacing w:val="0"/>
          <w:w w:val="100"/>
          <w:position w:val="0"/>
        </w:rPr>
        <w:t>万元（含税），根据</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日实施了上述 利润分配方案。</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28"/>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121,330,000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6,066,500.00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62,561,605.51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p>
        </w:tc>
      </w:tr>
      <w:tr>
        <w:trPr>
          <w:trHeight w:val="39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35"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经瑞华会计师事务所审计，</w:t>
            </w:r>
            <w:r>
              <w:rPr>
                <w:rFonts w:ascii="Times New Roman" w:eastAsia="Times New Roman" w:hAnsi="Times New Roman" w:cs="Times New Roman"/>
                <w:color w:val="000000"/>
                <w:spacing w:val="0"/>
                <w:w w:val="100"/>
                <w:position w:val="0"/>
              </w:rPr>
              <w:t>2013</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rPr>
              <w:t>11,435,353.27</w:t>
            </w:r>
            <w:r>
              <w:rPr>
                <w:color w:val="000000"/>
                <w:spacing w:val="0"/>
                <w:w w:val="100"/>
                <w:position w:val="0"/>
              </w:rPr>
              <w:t>元，根据《公司法》和《公司章程》的有关规 定，按照实现净利润的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1,143,535.33</w:t>
            </w:r>
            <w:r>
              <w:rPr>
                <w:color w:val="000000"/>
                <w:spacing w:val="0"/>
                <w:w w:val="100"/>
                <w:position w:val="0"/>
              </w:rPr>
              <w:t>元后，加上年初未分配利润</w:t>
            </w:r>
            <w:r>
              <w:rPr>
                <w:rFonts w:ascii="Times New Roman" w:eastAsia="Times New Roman" w:hAnsi="Times New Roman" w:cs="Times New Roman"/>
                <w:color w:val="000000"/>
                <w:spacing w:val="0"/>
                <w:w w:val="100"/>
                <w:position w:val="0"/>
              </w:rPr>
              <w:t>66,669,787.57</w:t>
            </w:r>
            <w:r>
              <w:rPr>
                <w:color w:val="000000"/>
                <w:spacing w:val="0"/>
                <w:w w:val="100"/>
                <w:position w:val="0"/>
              </w:rPr>
              <w:t>元，减去</w:t>
            </w:r>
            <w:r>
              <w:rPr>
                <w:rFonts w:ascii="Times New Roman" w:eastAsia="Times New Roman" w:hAnsi="Times New Roman" w:cs="Times New Roman"/>
                <w:color w:val="000000"/>
                <w:spacing w:val="0"/>
                <w:w w:val="100"/>
                <w:position w:val="0"/>
              </w:rPr>
              <w:t>2012</w:t>
            </w:r>
            <w:r>
              <w:rPr>
                <w:color w:val="000000"/>
                <w:spacing w:val="0"/>
                <w:w w:val="100"/>
                <w:position w:val="0"/>
              </w:rPr>
              <w:t>年度 现金分红</w:t>
            </w:r>
            <w:r>
              <w:rPr>
                <w:rFonts w:ascii="Times New Roman" w:eastAsia="Times New Roman" w:hAnsi="Times New Roman" w:cs="Times New Roman"/>
                <w:color w:val="000000"/>
                <w:spacing w:val="0"/>
                <w:w w:val="100"/>
                <w:position w:val="0"/>
              </w:rPr>
              <w:t>14,400,000.00</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日，母公司可供股东分配的利润为</w:t>
            </w:r>
            <w:r>
              <w:rPr>
                <w:rFonts w:ascii="Times New Roman" w:eastAsia="Times New Roman" w:hAnsi="Times New Roman" w:cs="Times New Roman"/>
                <w:color w:val="000000"/>
                <w:spacing w:val="0"/>
                <w:w w:val="100"/>
                <w:position w:val="0"/>
              </w:rPr>
              <w:t>62,561,605.51</w:t>
            </w:r>
            <w:r>
              <w:rPr>
                <w:color w:val="000000"/>
                <w:spacing w:val="0"/>
                <w:w w:val="100"/>
                <w:position w:val="0"/>
              </w:rPr>
              <w:t>元。</w:t>
            </w:r>
          </w:p>
          <w:p>
            <w:pPr>
              <w:pStyle w:val="Style2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公司董事会拟定</w:t>
            </w:r>
            <w:r>
              <w:rPr>
                <w:rFonts w:ascii="Times New Roman" w:eastAsia="Times New Roman" w:hAnsi="Times New Roman" w:cs="Times New Roman"/>
                <w:color w:val="000000"/>
                <w:spacing w:val="0"/>
                <w:w w:val="100"/>
                <w:position w:val="0"/>
              </w:rPr>
              <w:t>2013</w:t>
            </w:r>
            <w:r>
              <w:rPr>
                <w:color w:val="000000"/>
                <w:spacing w:val="0"/>
                <w:w w:val="100"/>
                <w:position w:val="0"/>
              </w:rPr>
              <w:t>年度利润分配和资本公积金转增股本预案为：以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12,133</w:t>
            </w:r>
            <w:r>
              <w:rPr>
                <w:color w:val="000000"/>
                <w:spacing w:val="0"/>
                <w:w w:val="100"/>
                <w:position w:val="0"/>
              </w:rPr>
              <w:t>万股为基数，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元人民币现金（含税），合计派发现金股利</w:t>
            </w:r>
            <w:r>
              <w:rPr>
                <w:rFonts w:ascii="Times New Roman" w:eastAsia="Times New Roman" w:hAnsi="Times New Roman" w:cs="Times New Roman"/>
                <w:color w:val="000000"/>
                <w:spacing w:val="0"/>
                <w:w w:val="100"/>
                <w:position w:val="0"/>
              </w:rPr>
              <w:t>6,066,500.00</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rPr>
              <w:t xml:space="preserve">56,495,105.51 </w:t>
            </w:r>
            <w:r>
              <w:rPr>
                <w:color w:val="000000"/>
                <w:spacing w:val="0"/>
                <w:w w:val="100"/>
                <w:position w:val="0"/>
              </w:rPr>
              <w:t>元结转以后年度。同时，以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121,330,000</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 合计转增股本</w:t>
            </w:r>
            <w:r>
              <w:rPr>
                <w:rFonts w:ascii="Times New Roman" w:eastAsia="Times New Roman" w:hAnsi="Times New Roman" w:cs="Times New Roman"/>
                <w:color w:val="000000"/>
                <w:spacing w:val="0"/>
                <w:w w:val="100"/>
                <w:position w:val="0"/>
              </w:rPr>
              <w:t>121,330,000</w:t>
            </w:r>
            <w:r>
              <w:rPr>
                <w:color w:val="000000"/>
                <w:spacing w:val="0"/>
                <w:w w:val="100"/>
                <w:position w:val="0"/>
              </w:rPr>
              <w:t>股。截至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日，母公司资本公积金为</w:t>
            </w:r>
            <w:r>
              <w:rPr>
                <w:rFonts w:ascii="Times New Roman" w:eastAsia="Times New Roman" w:hAnsi="Times New Roman" w:cs="Times New Roman"/>
                <w:color w:val="000000"/>
                <w:spacing w:val="0"/>
                <w:w w:val="100"/>
                <w:position w:val="0"/>
              </w:rPr>
              <w:t>318,949,500.21</w:t>
            </w:r>
            <w:r>
              <w:rPr>
                <w:color w:val="000000"/>
                <w:spacing w:val="0"/>
                <w:w w:val="100"/>
                <w:position w:val="0"/>
              </w:rPr>
              <w:t>元，转增股本后，公司的资 本公积金余额为</w:t>
            </w:r>
            <w:r>
              <w:rPr>
                <w:rFonts w:ascii="Times New Roman" w:eastAsia="Times New Roman" w:hAnsi="Times New Roman" w:cs="Times New Roman"/>
                <w:color w:val="000000"/>
                <w:spacing w:val="0"/>
                <w:w w:val="100"/>
                <w:position w:val="0"/>
              </w:rPr>
              <w:t>197,619,500.21</w:t>
            </w:r>
            <w:r>
              <w:rPr>
                <w:color w:val="000000"/>
                <w:spacing w:val="0"/>
                <w:w w:val="100"/>
                <w:position w:val="0"/>
              </w:rPr>
              <w:t>元。</w:t>
            </w:r>
          </w:p>
        </w:tc>
      </w:tr>
    </w:tbl>
    <w:p>
      <w:pPr>
        <w:pStyle w:val="Style28"/>
        <w:keepNext w:val="0"/>
        <w:keepLines w:val="0"/>
        <w:widowControl w:val="0"/>
        <w:shd w:val="clear" w:color="auto" w:fill="auto"/>
        <w:bidi w:val="0"/>
        <w:spacing w:before="0" w:after="240" w:line="470" w:lineRule="exact"/>
        <w:ind w:left="0" w:right="0" w:firstLine="0"/>
        <w:jc w:val="left"/>
      </w:pPr>
      <w:r>
        <w:rPr>
          <w:b/>
          <w:bCs/>
          <w:color w:val="000000"/>
          <w:spacing w:val="0"/>
          <w:w w:val="100"/>
          <w:position w:val="0"/>
        </w:rPr>
        <w:t>公司近</w:t>
      </w:r>
      <w:r>
        <w:rPr>
          <w:rFonts w:ascii="Times New Roman" w:eastAsia="Times New Roman" w:hAnsi="Times New Roman" w:cs="Times New Roman"/>
          <w:b/>
          <w:bCs/>
          <w:color w:val="000000"/>
          <w:spacing w:val="0"/>
          <w:w w:val="100"/>
          <w:position w:val="0"/>
        </w:rPr>
        <w:t>3</w:t>
      </w:r>
      <w:r>
        <w:rPr>
          <w:b/>
          <w:bCs/>
          <w:color w:val="000000"/>
          <w:spacing w:val="0"/>
          <w:w w:val="100"/>
          <w:position w:val="0"/>
        </w:rPr>
        <w:t>年（含报告期）的利润分配方案及资本公积金转增股本方案情况</w:t>
      </w:r>
    </w:p>
    <w:p>
      <w:pPr>
        <w:pStyle w:val="Style28"/>
        <w:keepNext w:val="0"/>
        <w:keepLines w:val="0"/>
        <w:widowControl w:val="0"/>
        <w:numPr>
          <w:ilvl w:val="0"/>
          <w:numId w:val="15"/>
        </w:numPr>
        <w:shd w:val="clear" w:color="auto" w:fill="auto"/>
        <w:tabs>
          <w:tab w:pos="685" w:val="left"/>
        </w:tabs>
        <w:bidi w:val="0"/>
        <w:spacing w:before="0" w:after="0" w:line="545" w:lineRule="auto"/>
        <w:ind w:left="0" w:right="0"/>
        <w:jc w:val="left"/>
      </w:pPr>
      <w:bookmarkStart w:id="145" w:name="bookmark145"/>
      <w:bookmarkEnd w:id="145"/>
      <w:r>
        <w:rPr>
          <w:rFonts w:ascii="Times New Roman" w:eastAsia="Times New Roman" w:hAnsi="Times New Roman" w:cs="Times New Roman"/>
          <w:color w:val="000000"/>
          <w:spacing w:val="0"/>
          <w:w w:val="100"/>
          <w:position w:val="0"/>
        </w:rPr>
        <w:t>2011</w:t>
      </w:r>
      <w:r>
        <w:rPr>
          <w:color w:val="000000"/>
          <w:spacing w:val="0"/>
          <w:w w:val="100"/>
          <w:position w:val="0"/>
        </w:rPr>
        <w:t>年度利润分配情况</w:t>
      </w:r>
    </w:p>
    <w:p>
      <w:pPr>
        <w:pStyle w:val="Style28"/>
        <w:keepNext w:val="0"/>
        <w:keepLines w:val="0"/>
        <w:widowControl w:val="0"/>
        <w:shd w:val="clear" w:color="auto" w:fill="auto"/>
        <w:bidi w:val="0"/>
        <w:spacing w:before="0" w:after="240" w:line="470" w:lineRule="exact"/>
        <w:ind w:left="0" w:right="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年度，公司以经深圳市鹏城会计师事务所有限公司审计的母公司可供分配利润为基础，以</w:t>
      </w:r>
      <w:r>
        <w:rPr>
          <w:rFonts w:ascii="Times New Roman" w:eastAsia="Times New Roman" w:hAnsi="Times New Roman" w:cs="Times New Roman"/>
          <w:color w:val="000000"/>
          <w:spacing w:val="0"/>
          <w:w w:val="100"/>
          <w:position w:val="0"/>
        </w:rPr>
        <w:t>2011</w:t>
      </w:r>
      <w:r>
        <w:rPr>
          <w:color w:val="000000"/>
          <w:spacing w:val="0"/>
          <w:w w:val="100"/>
          <w:position w:val="0"/>
        </w:rPr>
        <w:t>年末总股本</w:t>
      </w:r>
      <w:r>
        <w:rPr>
          <w:rFonts w:ascii="Times New Roman" w:eastAsia="Times New Roman" w:hAnsi="Times New Roman" w:cs="Times New Roman"/>
          <w:color w:val="000000"/>
          <w:spacing w:val="0"/>
          <w:w w:val="100"/>
          <w:position w:val="0"/>
        </w:rPr>
        <w:t>12,000</w:t>
      </w:r>
      <w:r>
        <w:rPr>
          <w:color w:val="000000"/>
          <w:spacing w:val="0"/>
          <w:w w:val="100"/>
          <w:position w:val="0"/>
        </w:rPr>
        <w:t>万 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w:t>
      </w:r>
      <w:r>
        <w:rPr>
          <w:color w:val="000000"/>
          <w:spacing w:val="0"/>
          <w:w w:val="100"/>
          <w:position w:val="0"/>
        </w:rPr>
        <w:t>元现金（含税），合计派发现金股利</w:t>
      </w:r>
      <w:r>
        <w:rPr>
          <w:rFonts w:ascii="Times New Roman" w:eastAsia="Times New Roman" w:hAnsi="Times New Roman" w:cs="Times New Roman"/>
          <w:color w:val="000000"/>
          <w:spacing w:val="0"/>
          <w:w w:val="100"/>
          <w:position w:val="0"/>
        </w:rPr>
        <w:t>1,800</w:t>
      </w:r>
      <w:r>
        <w:rPr>
          <w:color w:val="000000"/>
          <w:spacing w:val="0"/>
          <w:w w:val="100"/>
          <w:position w:val="0"/>
        </w:rPr>
        <w:t>万元（含税）。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公司第二届董事会第八次会议审议通过了《</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年度股东大会审议通过上述权益分派 方案；</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日，上述方案实施完毕。</w:t>
      </w:r>
    </w:p>
    <w:p>
      <w:pPr>
        <w:pStyle w:val="Style28"/>
        <w:keepNext w:val="0"/>
        <w:keepLines w:val="0"/>
        <w:widowControl w:val="0"/>
        <w:numPr>
          <w:ilvl w:val="0"/>
          <w:numId w:val="15"/>
        </w:numPr>
        <w:shd w:val="clear" w:color="auto" w:fill="auto"/>
        <w:tabs>
          <w:tab w:pos="704" w:val="left"/>
        </w:tabs>
        <w:bidi w:val="0"/>
        <w:spacing w:before="0" w:after="0" w:line="545" w:lineRule="auto"/>
        <w:ind w:left="0" w:right="0"/>
        <w:jc w:val="left"/>
      </w:pPr>
      <w:bookmarkStart w:id="146" w:name="bookmark146"/>
      <w:bookmarkEnd w:id="146"/>
      <w:r>
        <w:rPr>
          <w:rFonts w:ascii="Times New Roman" w:eastAsia="Times New Roman" w:hAnsi="Times New Roman" w:cs="Times New Roman"/>
          <w:color w:val="000000"/>
          <w:spacing w:val="0"/>
          <w:w w:val="100"/>
          <w:position w:val="0"/>
        </w:rPr>
        <w:t>2012</w:t>
      </w:r>
      <w:r>
        <w:rPr>
          <w:color w:val="000000"/>
          <w:spacing w:val="0"/>
          <w:w w:val="100"/>
          <w:position w:val="0"/>
        </w:rPr>
        <w:t>年度利润分配情况</w:t>
      </w:r>
    </w:p>
    <w:p>
      <w:pPr>
        <w:pStyle w:val="Style28"/>
        <w:keepNext w:val="0"/>
        <w:keepLines w:val="0"/>
        <w:widowControl w:val="0"/>
        <w:shd w:val="clear" w:color="auto" w:fill="auto"/>
        <w:bidi w:val="0"/>
        <w:spacing w:before="0" w:after="240" w:line="470" w:lineRule="exact"/>
        <w:ind w:left="0" w:right="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年度，公司以经国富浩华会计师事务所审计的母公司可供分配利润为基础，以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12,000</w:t>
      </w:r>
      <w:r>
        <w:rPr>
          <w:color w:val="000000"/>
          <w:spacing w:val="0"/>
          <w:w w:val="100"/>
          <w:position w:val="0"/>
        </w:rPr>
        <w:t>万股为基数，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元现金（含税），合计派发现金股利</w:t>
      </w:r>
      <w:r>
        <w:rPr>
          <w:rFonts w:ascii="Times New Roman" w:eastAsia="Times New Roman" w:hAnsi="Times New Roman" w:cs="Times New Roman"/>
          <w:color w:val="000000"/>
          <w:spacing w:val="0"/>
          <w:w w:val="100"/>
          <w:position w:val="0"/>
        </w:rPr>
        <w:t>1,440</w:t>
      </w:r>
      <w:r>
        <w:rPr>
          <w:color w:val="000000"/>
          <w:spacing w:val="0"/>
          <w:w w:val="100"/>
          <w:position w:val="0"/>
        </w:rPr>
        <w:t>万元（含税）。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color w:val="000000"/>
          <w:spacing w:val="0"/>
          <w:w w:val="100"/>
          <w:position w:val="0"/>
        </w:rPr>
        <w:t>，</w:t>
      </w:r>
      <w:r>
        <w:rPr>
          <w:color w:val="000000"/>
          <w:spacing w:val="0"/>
          <w:w w:val="100"/>
          <w:position w:val="0"/>
        </w:rPr>
        <w:t>公司第二届董事 会第十三次会议审议通过了《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年度股东大会审议通过上述权益分派方案；</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 上述方案实施完毕。</w:t>
      </w:r>
    </w:p>
    <w:p>
      <w:pPr>
        <w:pStyle w:val="Style28"/>
        <w:keepNext w:val="0"/>
        <w:keepLines w:val="0"/>
        <w:widowControl w:val="0"/>
        <w:numPr>
          <w:ilvl w:val="0"/>
          <w:numId w:val="15"/>
        </w:numPr>
        <w:shd w:val="clear" w:color="auto" w:fill="auto"/>
        <w:tabs>
          <w:tab w:pos="704" w:val="left"/>
        </w:tabs>
        <w:bidi w:val="0"/>
        <w:spacing w:before="0" w:after="0" w:line="545" w:lineRule="auto"/>
        <w:ind w:left="0" w:right="0"/>
        <w:jc w:val="left"/>
      </w:pPr>
      <w:bookmarkStart w:id="147" w:name="bookmark147"/>
      <w:bookmarkEnd w:id="147"/>
      <w:r>
        <w:rPr>
          <w:rFonts w:ascii="Times New Roman" w:eastAsia="Times New Roman" w:hAnsi="Times New Roman" w:cs="Times New Roman"/>
          <w:color w:val="000000"/>
          <w:spacing w:val="0"/>
          <w:w w:val="100"/>
          <w:position w:val="0"/>
        </w:rPr>
        <w:t>2013</w:t>
      </w:r>
      <w:r>
        <w:rPr>
          <w:color w:val="000000"/>
          <w:spacing w:val="0"/>
          <w:w w:val="100"/>
          <w:position w:val="0"/>
        </w:rPr>
        <w:t>年度利润分配和资本公积金转增股本预案</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经瑞华会计师事务所审计，本公司母公司</w:t>
      </w:r>
      <w:r>
        <w:rPr>
          <w:rFonts w:ascii="Times New Roman" w:eastAsia="Times New Roman" w:hAnsi="Times New Roman" w:cs="Times New Roman"/>
          <w:color w:val="000000"/>
          <w:spacing w:val="0"/>
          <w:w w:val="100"/>
          <w:position w:val="0"/>
        </w:rPr>
        <w:t>2013</w:t>
      </w:r>
      <w:r>
        <w:rPr>
          <w:color w:val="000000"/>
          <w:spacing w:val="0"/>
          <w:w w:val="100"/>
          <w:position w:val="0"/>
        </w:rPr>
        <w:t>年度实现净利润</w:t>
      </w:r>
      <w:r>
        <w:rPr>
          <w:rFonts w:ascii="Times New Roman" w:eastAsia="Times New Roman" w:hAnsi="Times New Roman" w:cs="Times New Roman"/>
          <w:color w:val="000000"/>
          <w:spacing w:val="0"/>
          <w:w w:val="100"/>
          <w:position w:val="0"/>
        </w:rPr>
        <w:t>11,435,353.27</w:t>
      </w:r>
      <w:r>
        <w:rPr>
          <w:color w:val="000000"/>
          <w:spacing w:val="0"/>
          <w:w w:val="100"/>
          <w:position w:val="0"/>
        </w:rPr>
        <w:t>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日可供股东分配的利 润为</w:t>
      </w:r>
      <w:r>
        <w:rPr>
          <w:rFonts w:ascii="Times New Roman" w:eastAsia="Times New Roman" w:hAnsi="Times New Roman" w:cs="Times New Roman"/>
          <w:color w:val="000000"/>
          <w:spacing w:val="0"/>
          <w:w w:val="100"/>
          <w:position w:val="0"/>
        </w:rPr>
        <w:t>62,561,605.51</w:t>
      </w:r>
      <w:r>
        <w:rPr>
          <w:color w:val="000000"/>
          <w:spacing w:val="0"/>
          <w:w w:val="100"/>
          <w:position w:val="0"/>
        </w:rPr>
        <w:t>元。根据中国证监会关于企业分红的相关指导意见，综合考虑公司发展对流动资金的需求，并兼顾广大股 东的利益，根据《公司法》及《公司章程》的相关规定，公司董事会拟定2013年度利润分配和资本公积金转增股本预案为：</w:t>
      </w:r>
    </w:p>
    <w:p>
      <w:pPr>
        <w:pStyle w:val="Style28"/>
        <w:keepNext w:val="0"/>
        <w:keepLines w:val="0"/>
        <w:widowControl w:val="0"/>
        <w:shd w:val="clear" w:color="auto" w:fill="auto"/>
        <w:bidi w:val="0"/>
        <w:spacing w:before="0" w:after="240" w:line="470" w:lineRule="exact"/>
        <w:ind w:left="0" w:right="0"/>
        <w:jc w:val="left"/>
      </w:pPr>
      <w:r>
        <w:rPr>
          <w:color w:val="000000"/>
          <w:spacing w:val="0"/>
          <w:w w:val="100"/>
          <w:position w:val="0"/>
        </w:rPr>
        <w:t>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12,133</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0.5</w:t>
      </w:r>
      <w:r>
        <w:rPr>
          <w:color w:val="000000"/>
          <w:spacing w:val="0"/>
          <w:w w:val="100"/>
          <w:position w:val="0"/>
        </w:rPr>
        <w:t>元人民币现金（含税），合计派发现金股利</w:t>
      </w:r>
    </w:p>
    <w:p>
      <w:pPr>
        <w:pStyle w:val="Style28"/>
        <w:keepNext w:val="0"/>
        <w:keepLines w:val="0"/>
        <w:widowControl w:val="0"/>
        <w:shd w:val="clear" w:color="auto" w:fill="auto"/>
        <w:bidi w:val="0"/>
        <w:spacing w:before="0" w:after="0" w:line="469" w:lineRule="exact"/>
        <w:ind w:left="0" w:right="0" w:firstLine="0"/>
        <w:jc w:val="left"/>
      </w:pPr>
      <w:r>
        <w:rPr>
          <w:rFonts w:ascii="Times New Roman" w:eastAsia="Times New Roman" w:hAnsi="Times New Roman" w:cs="Times New Roman"/>
          <w:color w:val="000000"/>
          <w:spacing w:val="0"/>
          <w:w w:val="100"/>
          <w:position w:val="0"/>
        </w:rPr>
        <w:t>6,066,500.0</w:t>
      </w:r>
      <w:r>
        <w:rPr>
          <w:rFonts w:ascii="Times New Roman" w:eastAsia="Times New Roman" w:hAnsi="Times New Roman" w:cs="Times New Roman"/>
          <w:color w:val="000000"/>
          <w:spacing w:val="0"/>
          <w:w w:val="100"/>
          <w:position w:val="0"/>
        </w:rPr>
        <w:t>0</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rPr>
        <w:t>56,495,105.5</w:t>
      </w:r>
      <w:r>
        <w:rPr>
          <w:rFonts w:ascii="Times New Roman" w:eastAsia="Times New Roman" w:hAnsi="Times New Roman" w:cs="Times New Roman"/>
          <w:color w:val="000000"/>
          <w:spacing w:val="0"/>
          <w:w w:val="100"/>
          <w:position w:val="0"/>
        </w:rPr>
        <w:t>1</w:t>
      </w:r>
      <w:r>
        <w:rPr>
          <w:color w:val="000000"/>
          <w:spacing w:val="0"/>
          <w:w w:val="100"/>
          <w:position w:val="0"/>
        </w:rPr>
        <w:t>元结转以后年度。同时，以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121,330,000</w:t>
      </w:r>
      <w:r>
        <w:rPr>
          <w:color w:val="000000"/>
          <w:spacing w:val="0"/>
          <w:w w:val="100"/>
          <w:position w:val="0"/>
        </w:rPr>
        <w:t>股为基 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rPr>
        <w:t>121,330,000</w:t>
      </w:r>
      <w:r>
        <w:rPr>
          <w:color w:val="000000"/>
          <w:spacing w:val="0"/>
          <w:w w:val="100"/>
          <w:position w:val="0"/>
        </w:rPr>
        <w:t>股。截至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日，母公司资本公积金为 </w:t>
      </w:r>
      <w:r>
        <w:rPr>
          <w:rFonts w:ascii="Times New Roman" w:eastAsia="Times New Roman" w:hAnsi="Times New Roman" w:cs="Times New Roman"/>
          <w:color w:val="000000"/>
          <w:spacing w:val="0"/>
          <w:w w:val="100"/>
          <w:position w:val="0"/>
        </w:rPr>
        <w:t>318,949,500.21</w:t>
      </w:r>
      <w:r>
        <w:rPr>
          <w:color w:val="000000"/>
          <w:spacing w:val="0"/>
          <w:w w:val="100"/>
          <w:position w:val="0"/>
        </w:rPr>
        <w:t>元，转增股本后，公司的资本公积金余额为</w:t>
      </w:r>
      <w:r>
        <w:rPr>
          <w:rFonts w:ascii="Times New Roman" w:eastAsia="Times New Roman" w:hAnsi="Times New Roman" w:cs="Times New Roman"/>
          <w:color w:val="000000"/>
          <w:spacing w:val="0"/>
          <w:w w:val="100"/>
          <w:position w:val="0"/>
        </w:rPr>
        <w:t>197,619,500.21</w:t>
      </w:r>
      <w:r>
        <w:rPr>
          <w:color w:val="000000"/>
          <w:spacing w:val="0"/>
          <w:w w:val="100"/>
          <w:position w:val="0"/>
        </w:rPr>
        <w:t>元。</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公司独立董事认为：公司2013年度利润分配和资本公积金转增股本预案符合公司实际情况，在保证公司正常经营和长远 发展的前提下，更好地兼顾了股东的即期利益和长远利益；符合中国证监会《关于进一步落实上市公司现金分红有关事项的 通知》、《上市公司监管指引第3号</w:t>
      </w:r>
      <w:r>
        <w:rPr>
          <w:color w:val="000000"/>
          <w:spacing w:val="0"/>
          <w:w w:val="100"/>
          <w:position w:val="0"/>
        </w:rPr>
        <w:t>一一</w:t>
      </w:r>
      <w:r>
        <w:rPr>
          <w:color w:val="000000"/>
          <w:spacing w:val="0"/>
          <w:w w:val="100"/>
          <w:position w:val="0"/>
        </w:rPr>
        <w:t>上市公司现金分红》的文件精神；不存在违反法律、法规、公司章程的情形，也不 存在损害公司股东尤其是中小股东利益的情形，有利于公司的正常经营和健康发展。</w:t>
      </w:r>
    </w:p>
    <w:p>
      <w:pPr>
        <w:pStyle w:val="Style28"/>
        <w:keepNext w:val="0"/>
        <w:keepLines w:val="0"/>
        <w:widowControl w:val="0"/>
        <w:shd w:val="clear" w:color="auto" w:fill="auto"/>
        <w:bidi w:val="0"/>
        <w:spacing w:before="0" w:after="80" w:line="469" w:lineRule="exact"/>
        <w:ind w:left="0" w:right="0"/>
        <w:jc w:val="both"/>
      </w:pPr>
      <w:r>
        <w:rPr>
          <w:color w:val="000000"/>
          <w:spacing w:val="0"/>
          <w:w w:val="100"/>
          <w:position w:val="0"/>
        </w:rPr>
        <w:t>本利润分配和资本公积金转增股本预案尚需提交公司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年度股东大会审议。</w:t>
      </w:r>
    </w:p>
    <w:p>
      <w:pPr>
        <w:pStyle w:val="Style28"/>
        <w:keepNext w:val="0"/>
        <w:keepLines w:val="0"/>
        <w:widowControl w:val="0"/>
        <w:shd w:val="clear" w:color="auto" w:fill="auto"/>
        <w:bidi w:val="0"/>
        <w:spacing w:before="0" w:after="300" w:line="469" w:lineRule="exact"/>
        <w:ind w:left="0" w:right="0"/>
        <w:jc w:val="both"/>
      </w:pPr>
      <w:r>
        <w:rPr>
          <w:b/>
          <w:bCs/>
          <w:color w:val="000000"/>
          <w:spacing w:val="0"/>
          <w:w w:val="100"/>
          <w:position w:val="0"/>
        </w:rPr>
        <w:t>公司近三年现金分红情况表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14,446,722.90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18,030,617.44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20,830,897.90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86.41%</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公司报告期内盈利且母公司未分配利润为正但未提出现金红利分配预案</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18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sz w:val="24"/>
          <w:szCs w:val="24"/>
        </w:rPr>
        <w:t>六</w:t>
      </w:r>
      <w:bookmarkEnd w:id="150"/>
      <w:r>
        <w:rPr>
          <w:color w:val="000000"/>
          <w:spacing w:val="0"/>
          <w:w w:val="100"/>
          <w:position w:val="0"/>
          <w:sz w:val="24"/>
          <w:szCs w:val="24"/>
        </w:rPr>
        <w:t>、内幕信息知情人管理制度的建立和执行情况</w:t>
      </w:r>
      <w:bookmarkEnd w:id="148"/>
      <w:bookmarkEnd w:id="149"/>
      <w:bookmarkEnd w:id="151"/>
    </w:p>
    <w:p>
      <w:pPr>
        <w:pStyle w:val="Style28"/>
        <w:keepNext w:val="0"/>
        <w:keepLines w:val="0"/>
        <w:widowControl w:val="0"/>
        <w:shd w:val="clear" w:color="auto" w:fill="auto"/>
        <w:bidi w:val="0"/>
        <w:spacing w:before="0" w:after="0" w:line="471" w:lineRule="exact"/>
        <w:ind w:left="0" w:right="0"/>
        <w:jc w:val="both"/>
      </w:pPr>
      <w:bookmarkStart w:id="152" w:name="bookmark152"/>
      <w:r>
        <w:rPr>
          <w:color w:val="000000"/>
          <w:spacing w:val="0"/>
          <w:w w:val="100"/>
          <w:position w:val="0"/>
        </w:rPr>
        <w:t>（</w:t>
      </w:r>
      <w:bookmarkEnd w:id="152"/>
      <w:r>
        <w:rPr>
          <w:color w:val="000000"/>
          <w:spacing w:val="0"/>
          <w:w w:val="100"/>
          <w:position w:val="0"/>
        </w:rPr>
        <w:t>一）内幕信息知情人管理制度的建设情况</w:t>
      </w:r>
    </w:p>
    <w:p>
      <w:pPr>
        <w:pStyle w:val="Style28"/>
        <w:keepNext w:val="0"/>
        <w:keepLines w:val="0"/>
        <w:widowControl w:val="0"/>
        <w:shd w:val="clear" w:color="auto" w:fill="auto"/>
        <w:bidi w:val="0"/>
        <w:spacing w:before="0" w:after="0" w:line="471" w:lineRule="exact"/>
        <w:ind w:left="0" w:right="0" w:firstLine="46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日在深圳证券交易所创业板上市以来，十分注重公司治理水平的不断提升与完善，尤其是内幕交易 防控工作，现行与内幕交易防控相关的制度主要包括：《公司章程》、《内幕信息知情人登记制度》、《董事、监事和高级 管理人员所持本公司股份及其变动管理制度》、《信息披露管理制度》、《投资者关系管理制度》、《重大信息内部报告制 度》、《年报信息披露重大差错责任追究制度》等公司治理、信息管理制度。</w:t>
      </w:r>
    </w:p>
    <w:p>
      <w:pPr>
        <w:pStyle w:val="Style28"/>
        <w:keepNext w:val="0"/>
        <w:keepLines w:val="0"/>
        <w:widowControl w:val="0"/>
        <w:shd w:val="clear" w:color="auto" w:fill="auto"/>
        <w:bidi w:val="0"/>
        <w:spacing w:before="0" w:after="420" w:line="471" w:lineRule="exact"/>
        <w:ind w:left="0" w:right="0"/>
        <w:jc w:val="both"/>
      </w:pPr>
      <w:r>
        <w:rPr>
          <w:color w:val="000000"/>
          <w:spacing w:val="0"/>
          <w:w w:val="100"/>
          <w:position w:val="0"/>
        </w:rPr>
        <w:t>为规范公司的内幕信息管理，加强内幕信息保密工作，以维护信息披露的公开、公平、公正原则，保护广大投资者的合 法权益，根据《公司法》、《证券法》、《上市公司信息披露管理办法》、《深圳证券交易所创业板股票上市规则》、《深 圳证券交易所创业板上市公司规范运作指引》及有关法律、法规和《公司章程》的相关规定，结合公司实际情况，公司制定 了《内幕信息知情人登记制度》，作为内幕交易防控的专项制度文件。该制度明确界定了内幕信息和内幕信息知情人的范围， 完善了内幕信息事项的研究、决策和审批程序，健全了内幕信息的保密措施，建立了内幕信息知情人登记管理措施等。</w:t>
      </w:r>
    </w:p>
    <w:p>
      <w:pPr>
        <w:pStyle w:val="Style28"/>
        <w:keepNext w:val="0"/>
        <w:keepLines w:val="0"/>
        <w:widowControl w:val="0"/>
        <w:shd w:val="clear" w:color="auto" w:fill="auto"/>
        <w:bidi w:val="0"/>
        <w:spacing w:before="0" w:after="140" w:line="240" w:lineRule="auto"/>
        <w:ind w:left="0" w:right="0" w:firstLine="560"/>
        <w:jc w:val="both"/>
      </w:pPr>
      <w:bookmarkStart w:id="153" w:name="bookmark153"/>
      <w:r>
        <w:rPr>
          <w:color w:val="000000"/>
          <w:spacing w:val="0"/>
          <w:w w:val="100"/>
          <w:position w:val="0"/>
        </w:rPr>
        <w:t>（</w:t>
      </w:r>
      <w:bookmarkEnd w:id="153"/>
      <w:r>
        <w:rPr>
          <w:color w:val="000000"/>
          <w:spacing w:val="0"/>
          <w:w w:val="100"/>
          <w:position w:val="0"/>
        </w:rPr>
        <w:t>二）内幕信息知情人管理制度的执行情况</w:t>
      </w:r>
    </w:p>
    <w:p>
      <w:pPr>
        <w:pStyle w:val="Style28"/>
        <w:keepNext w:val="0"/>
        <w:keepLines w:val="0"/>
        <w:widowControl w:val="0"/>
        <w:numPr>
          <w:ilvl w:val="0"/>
          <w:numId w:val="17"/>
        </w:numPr>
        <w:shd w:val="clear" w:color="auto" w:fill="auto"/>
        <w:tabs>
          <w:tab w:pos="669" w:val="left"/>
        </w:tabs>
        <w:bidi w:val="0"/>
        <w:spacing w:before="0" w:after="0" w:line="467" w:lineRule="exact"/>
        <w:ind w:left="0" w:right="0" w:firstLine="360"/>
        <w:jc w:val="both"/>
      </w:pPr>
      <w:bookmarkStart w:id="154" w:name="bookmark154"/>
      <w:bookmarkEnd w:id="154"/>
      <w:r>
        <w:rPr>
          <w:color w:val="000000"/>
          <w:spacing w:val="0"/>
          <w:w w:val="100"/>
          <w:position w:val="0"/>
        </w:rPr>
        <w:t>定期报告披露期间的信息保密工作</w:t>
      </w:r>
    </w:p>
    <w:p>
      <w:pPr>
        <w:pStyle w:val="Style28"/>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报告期内，公司严格执行内幕信息保密制度，严格规范信息传递流程，在定期报告披露期间，对于未公开信息，公司董 事会办公室都会严格控制知情人范围并做好相关内幕信息知情人登记工作，如实、完整记录上述信息在公开前的所有内幕信 息知情人名单，以及知情人知悉内幕信息的时间。经公司董事会办公室核实无误后，按照相关法规规定在向深圳证券交易所 和深圳证监局报送定期报告相关资料的同时报备内幕信息知情人登记表。</w:t>
      </w:r>
    </w:p>
    <w:p>
      <w:pPr>
        <w:pStyle w:val="Style28"/>
        <w:keepNext w:val="0"/>
        <w:keepLines w:val="0"/>
        <w:widowControl w:val="0"/>
        <w:numPr>
          <w:ilvl w:val="0"/>
          <w:numId w:val="17"/>
        </w:numPr>
        <w:shd w:val="clear" w:color="auto" w:fill="auto"/>
        <w:tabs>
          <w:tab w:pos="688" w:val="left"/>
        </w:tabs>
        <w:bidi w:val="0"/>
        <w:spacing w:before="0" w:after="0" w:line="467" w:lineRule="exact"/>
        <w:ind w:left="0" w:right="0" w:firstLine="360"/>
        <w:jc w:val="both"/>
      </w:pPr>
      <w:bookmarkStart w:id="155" w:name="bookmark155"/>
      <w:bookmarkEnd w:id="155"/>
      <w:r>
        <w:rPr>
          <w:color w:val="000000"/>
          <w:spacing w:val="0"/>
          <w:w w:val="100"/>
          <w:position w:val="0"/>
        </w:rPr>
        <w:t>投资者调研期间的信息保密工作</w:t>
      </w:r>
    </w:p>
    <w:p>
      <w:pPr>
        <w:pStyle w:val="Style28"/>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在定期报告及重大事项披露期间，公司尽量避免接待投资者的调研，努力做好定期报告及重大事项披露期间的信息保密 工作。</w:t>
      </w:r>
    </w:p>
    <w:p>
      <w:pPr>
        <w:pStyle w:val="Style28"/>
        <w:keepNext w:val="0"/>
        <w:keepLines w:val="0"/>
        <w:widowControl w:val="0"/>
        <w:shd w:val="clear" w:color="auto" w:fill="auto"/>
        <w:bidi w:val="0"/>
        <w:spacing w:before="0" w:after="240" w:line="467" w:lineRule="exact"/>
        <w:ind w:left="0" w:right="0" w:firstLine="360"/>
        <w:jc w:val="both"/>
      </w:pPr>
      <w:r>
        <w:rPr>
          <w:color w:val="000000"/>
          <w:spacing w:val="0"/>
          <w:w w:val="100"/>
          <w:position w:val="0"/>
        </w:rPr>
        <w:t>在日常接待投资者调研时，公司董事会办公室负责履行相关的信息保密工作程序。在进行调研前，公司先对调研人员的 个人信息进行备案，同时要求其签署投资者来访调研承诺书，其中要求承诺在调研公司后形成的投资价值分析报告、新闻稿 等文件在对外发布或使用前知会本公司。在调研过程中，公司董事会办公室相关人员认真做好会议记录，并按照相关法规规 定向深交所报备。</w:t>
      </w:r>
    </w:p>
    <w:p>
      <w:pPr>
        <w:pStyle w:val="Style28"/>
        <w:keepNext w:val="0"/>
        <w:keepLines w:val="0"/>
        <w:widowControl w:val="0"/>
        <w:shd w:val="clear" w:color="auto" w:fill="auto"/>
        <w:bidi w:val="0"/>
        <w:spacing w:before="0" w:after="0" w:line="542" w:lineRule="auto"/>
        <w:ind w:left="0" w:right="0" w:firstLine="44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.其他重大事件的信息保密工作</w:t>
      </w:r>
    </w:p>
    <w:p>
      <w:pPr>
        <w:pStyle w:val="Style28"/>
        <w:keepNext w:val="0"/>
        <w:keepLines w:val="0"/>
        <w:widowControl w:val="0"/>
        <w:shd w:val="clear" w:color="auto" w:fill="auto"/>
        <w:bidi w:val="0"/>
        <w:spacing w:before="0" w:after="160" w:line="467" w:lineRule="exact"/>
        <w:ind w:left="0" w:right="0" w:firstLine="360"/>
        <w:jc w:val="both"/>
      </w:pPr>
      <w:r>
        <w:rPr>
          <w:color w:val="000000"/>
          <w:spacing w:val="0"/>
          <w:w w:val="100"/>
          <w:position w:val="0"/>
        </w:rPr>
        <w:t>在其他重大事项（如对外投资等）未披露前，公司及相关信息披露义务人采取保密措施，签订相关保密协议，以保证信 息处于可控范围。</w:t>
      </w:r>
    </w:p>
    <w:p>
      <w:pPr>
        <w:pStyle w:val="Style28"/>
        <w:keepNext w:val="0"/>
        <w:keepLines w:val="0"/>
        <w:widowControl w:val="0"/>
        <w:shd w:val="clear" w:color="auto" w:fill="auto"/>
        <w:bidi w:val="0"/>
        <w:spacing w:before="0" w:after="0" w:line="466" w:lineRule="exact"/>
        <w:ind w:left="0" w:right="0" w:firstLine="440"/>
        <w:jc w:val="both"/>
      </w:pPr>
      <w:bookmarkStart w:id="156" w:name="bookmark156"/>
      <w:r>
        <w:rPr>
          <w:color w:val="000000"/>
          <w:spacing w:val="0"/>
          <w:w w:val="100"/>
          <w:position w:val="0"/>
        </w:rPr>
        <w:t>（</w:t>
      </w:r>
      <w:bookmarkEnd w:id="156"/>
      <w:r>
        <w:rPr>
          <w:color w:val="000000"/>
          <w:spacing w:val="0"/>
          <w:w w:val="100"/>
          <w:position w:val="0"/>
        </w:rPr>
        <w:t>三）报告期内自查内幕信息知情人涉嫌内幕交易以及监管部门的查处和整改情况</w:t>
      </w:r>
    </w:p>
    <w:p>
      <w:pPr>
        <w:pStyle w:val="Style28"/>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报告期内，公司董事、监事及高级管理人员和其他相关知情人严格遵守了内幕信息知情人管理制度，未发现有内幕信息 知情人利用内幕信息买卖本公司股份的情况。报告期内公司也未发生受到监管部门查处和整改的情形。</w:t>
      </w:r>
    </w:p>
    <w:p>
      <w:pPr>
        <w:pStyle w:val="Style28"/>
        <w:keepNext w:val="0"/>
        <w:keepLines w:val="0"/>
        <w:widowControl w:val="0"/>
        <w:shd w:val="clear" w:color="auto" w:fill="auto"/>
        <w:bidi w:val="0"/>
        <w:spacing w:before="0" w:after="460" w:line="466" w:lineRule="exact"/>
        <w:ind w:left="0" w:right="0" w:firstLine="360"/>
        <w:jc w:val="both"/>
      </w:pPr>
      <w:r>
        <w:rPr>
          <w:color w:val="000000"/>
          <w:spacing w:val="0"/>
          <w:w w:val="100"/>
          <w:position w:val="0"/>
        </w:rPr>
        <w:t>公司将继续遵守有关信息披露的法律规定并严格执行本公司《信息披露管理制度》，组织有关信息披露规定的专题培训 和深化学习，不断提高公司信息披露的质量和水平。</w:t>
      </w:r>
    </w:p>
    <w:p>
      <w:pPr>
        <w:pStyle w:val="Style26"/>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color w:val="000000"/>
          <w:spacing w:val="0"/>
          <w:w w:val="100"/>
          <w:position w:val="0"/>
          <w:sz w:val="24"/>
          <w:szCs w:val="24"/>
        </w:rPr>
        <w:t>七</w:t>
      </w:r>
      <w:bookmarkEnd w:id="159"/>
      <w:r>
        <w:rPr>
          <w:color w:val="000000"/>
          <w:spacing w:val="0"/>
          <w:w w:val="100"/>
          <w:position w:val="0"/>
          <w:sz w:val="24"/>
          <w:szCs w:val="24"/>
        </w:rPr>
        <w:t>、报告期内接待调研、沟通、采访等活动登记表</w:t>
      </w:r>
      <w:bookmarkEnd w:id="157"/>
      <w:bookmarkEnd w:id="158"/>
      <w:bookmarkEnd w:id="160"/>
    </w:p>
    <w:tbl>
      <w:tblPr>
        <w:tblOverlap w:val="never"/>
        <w:jc w:val="center"/>
        <w:tblLayout w:type="fixed"/>
      </w:tblPr>
      <w:tblGrid>
        <w:gridCol w:w="1498"/>
        <w:gridCol w:w="1056"/>
        <w:gridCol w:w="850"/>
        <w:gridCol w:w="1277"/>
        <w:gridCol w:w="2803"/>
        <w:gridCol w:w="209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国泰君安、中信证券、中山证券、 深圳市中金蓝海资产管理有限公司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公司基本经营情况、新产 品开发及推广情况等</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长江证券、富国基金、兴业证券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公司基本经营情况、新产 品开发及推广情况等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银华基金、国海证券、南方基金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公司基本经营情况、新产 品开发及推广情况等</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民生证券、光大证券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公司基本经营情况、新产</w:t>
            </w:r>
          </w:p>
        </w:tc>
      </w:tr>
    </w:tbl>
    <w:p>
      <w:pPr>
        <w:spacing w:lineRule="exact" w:line="1"/>
        <w:rPr>
          <w:sz w:val="2"/>
          <w:szCs w:val="2"/>
        </w:rPr>
      </w:pPr>
      <w:r>
        <w:br w:type="page"/>
      </w:r>
    </w:p>
    <w:tbl>
      <w:tblPr>
        <w:tblOverlap w:val="never"/>
        <w:jc w:val="center"/>
        <w:tblLayout w:type="fixed"/>
      </w:tblPr>
      <w:tblGrid>
        <w:gridCol w:w="1498"/>
        <w:gridCol w:w="1056"/>
        <w:gridCol w:w="850"/>
        <w:gridCol w:w="1277"/>
        <w:gridCol w:w="2803"/>
        <w:gridCol w:w="209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品开发及推广情况等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国海证券、华商基金、招商证券、 广州金域投资有限公司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国泰君安、华商基金、财通基金、 中金公司、深圳市融捷资产管理有 限公司、深圳市金中和投资管理有 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海通证券、诺安基金管理有限公司、 瀚信资产管理有限公司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平安证券、华林证券、长城证券、 上海复星创业投资管理有限公司、 中投证券、招商基金、中竣信合、 乾元联合投资（集团）有限公司、 宝盈基金、展博投资、财通基金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招商证券、华夏基金、东莞证券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安信证券、华商基金、第一创业、 银泰证券、万家基金、方正证券、 信达证券、融通基金、明华投资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长盛基金、光大证券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中金公司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5" w:lineRule="exact"/>
              <w:ind w:left="0" w:right="0" w:firstLine="0"/>
              <w:jc w:val="both"/>
            </w:pPr>
            <w:r>
              <w:rPr>
                <w:color w:val="000000"/>
                <w:spacing w:val="0"/>
                <w:w w:val="100"/>
                <w:position w:val="0"/>
              </w:rPr>
              <w:t>南方基金、民生证券、第一创业、 太平洋证券、宝盈基金、深圳千合 资本管理有限公司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华创证券、兴业证券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湘财证券、招商证券、光大证券、 泽熙投资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公司基本经营情况、新产 品开发及推广情况等</w:t>
            </w:r>
          </w:p>
        </w:tc>
      </w:tr>
    </w:tbl>
    <w:p>
      <w:pPr>
        <w:sectPr>
          <w:footnotePr>
            <w:pos w:val="pageBottom"/>
            <w:numFmt w:val="decimal"/>
            <w:numRestart w:val="continuous"/>
          </w:footnotePr>
          <w:pgSz w:w="11900" w:h="16840"/>
          <w:pgMar w:top="1230" w:right="970" w:bottom="1456" w:left="993" w:header="0" w:footer="3" w:gutter="0"/>
          <w:cols w:space="720"/>
          <w:noEndnote/>
          <w:rtlGutter w:val="0"/>
          <w:docGrid w:linePitch="360"/>
        </w:sectPr>
      </w:pPr>
    </w:p>
    <w:p>
      <w:pPr>
        <w:pStyle w:val="Style13"/>
        <w:keepNext/>
        <w:keepLines/>
        <w:widowControl w:val="0"/>
        <w:shd w:val="clear" w:color="auto" w:fill="auto"/>
        <w:bidi w:val="0"/>
        <w:spacing w:before="660" w:line="240" w:lineRule="auto"/>
        <w:ind w:left="0" w:right="0" w:firstLine="0"/>
        <w:jc w:val="center"/>
      </w:pPr>
      <w:bookmarkStart w:id="161" w:name="bookmark161"/>
      <w:bookmarkStart w:id="162" w:name="bookmark162"/>
      <w:bookmarkStart w:id="163" w:name="bookmark163"/>
      <w:r>
        <w:rPr>
          <w:color w:val="000000"/>
          <w:spacing w:val="0"/>
          <w:w w:val="100"/>
          <w:position w:val="0"/>
        </w:rPr>
        <w:t>第五节重要事项</w:t>
      </w:r>
      <w:bookmarkEnd w:id="161"/>
      <w:bookmarkEnd w:id="162"/>
      <w:bookmarkEnd w:id="163"/>
    </w:p>
    <w:p>
      <w:pPr>
        <w:pStyle w:val="Style26"/>
        <w:keepNext/>
        <w:keepLines/>
        <w:widowControl w:val="0"/>
        <w:shd w:val="clear" w:color="auto" w:fill="auto"/>
        <w:tabs>
          <w:tab w:pos="522" w:val="left"/>
        </w:tabs>
        <w:bidi w:val="0"/>
        <w:spacing w:before="0" w:after="360" w:line="240" w:lineRule="auto"/>
        <w:ind w:left="0" w:right="0" w:firstLine="0"/>
        <w:jc w:val="both"/>
      </w:pPr>
      <w:bookmarkStart w:id="164" w:name="bookmark164"/>
      <w:bookmarkStart w:id="165" w:name="bookmark165"/>
      <w:bookmarkStart w:id="166" w:name="bookmark166"/>
      <w:bookmarkStart w:id="167" w:name="bookmark167"/>
      <w:r>
        <w:rPr>
          <w:color w:val="000000"/>
          <w:spacing w:val="0"/>
          <w:w w:val="100"/>
          <w:position w:val="0"/>
          <w:sz w:val="24"/>
          <w:szCs w:val="24"/>
        </w:rPr>
        <w:t>一</w:t>
      </w:r>
      <w:bookmarkEnd w:id="166"/>
      <w:r>
        <w:rPr>
          <w:color w:val="000000"/>
          <w:spacing w:val="0"/>
          <w:w w:val="100"/>
          <w:position w:val="0"/>
          <w:sz w:val="24"/>
          <w:szCs w:val="24"/>
        </w:rPr>
        <w:t>、</w:t>
        <w:tab/>
        <w:t>重大诉讼仲裁事项</w:t>
      </w:r>
      <w:bookmarkEnd w:id="164"/>
      <w:bookmarkEnd w:id="165"/>
      <w:bookmarkEnd w:id="167"/>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本报告期公司无重大诉讼、仲裁事项。</w:t>
      </w:r>
    </w:p>
    <w:p>
      <w:pPr>
        <w:pStyle w:val="Style26"/>
        <w:keepNext/>
        <w:keepLines/>
        <w:widowControl w:val="0"/>
        <w:shd w:val="clear" w:color="auto" w:fill="auto"/>
        <w:tabs>
          <w:tab w:pos="522" w:val="left"/>
        </w:tabs>
        <w:bidi w:val="0"/>
        <w:spacing w:before="0" w:after="3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二</w:t>
      </w:r>
      <w:bookmarkEnd w:id="170"/>
      <w:r>
        <w:rPr>
          <w:color w:val="000000"/>
          <w:spacing w:val="0"/>
          <w:w w:val="100"/>
          <w:position w:val="0"/>
          <w:sz w:val="24"/>
          <w:szCs w:val="24"/>
        </w:rPr>
        <w:t>、</w:t>
        <w:tab/>
        <w:t>上市公司发生控股股东及其关联方非经营性占用资金情况</w:t>
      </w:r>
      <w:bookmarkEnd w:id="168"/>
      <w:bookmarkEnd w:id="169"/>
      <w:bookmarkEnd w:id="171"/>
    </w:p>
    <w:p>
      <w:pPr>
        <w:pStyle w:val="Style28"/>
        <w:keepNext w:val="0"/>
        <w:keepLines w:val="0"/>
        <w:widowControl w:val="0"/>
        <w:shd w:val="clear" w:color="auto" w:fill="auto"/>
        <w:bidi w:val="0"/>
        <w:spacing w:before="0" w:after="120" w:line="54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6" w:val="left"/>
        </w:tabs>
        <w:bidi w:val="0"/>
        <w:spacing w:before="0" w:after="12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三</w:t>
      </w:r>
      <w:bookmarkEnd w:id="174"/>
      <w:r>
        <w:rPr>
          <w:color w:val="000000"/>
          <w:spacing w:val="0"/>
          <w:w w:val="100"/>
          <w:position w:val="0"/>
          <w:sz w:val="24"/>
          <w:szCs w:val="24"/>
        </w:rPr>
        <w:t>、</w:t>
        <w:tab/>
        <w:t>破产重整相关事项</w:t>
      </w:r>
      <w:bookmarkEnd w:id="172"/>
      <w:bookmarkEnd w:id="173"/>
      <w:bookmarkEnd w:id="175"/>
    </w:p>
    <w:p>
      <w:pPr>
        <w:pStyle w:val="Style28"/>
        <w:keepNext w:val="0"/>
        <w:keepLines w:val="0"/>
        <w:widowControl w:val="0"/>
        <w:shd w:val="clear" w:color="auto" w:fill="auto"/>
        <w:bidi w:val="0"/>
        <w:spacing w:before="0" w:after="360" w:line="467" w:lineRule="exact"/>
        <w:ind w:left="0" w:right="0"/>
        <w:jc w:val="left"/>
      </w:pPr>
      <w:r>
        <w:rPr>
          <w:color w:val="000000"/>
          <w:spacing w:val="0"/>
          <w:w w:val="100"/>
          <w:position w:val="0"/>
        </w:rPr>
        <w:t>报告期内，公司无破产重整相关事项。</w:t>
      </w:r>
    </w:p>
    <w:p>
      <w:pPr>
        <w:pStyle w:val="Style26"/>
        <w:keepNext/>
        <w:keepLines/>
        <w:widowControl w:val="0"/>
        <w:shd w:val="clear" w:color="auto" w:fill="auto"/>
        <w:tabs>
          <w:tab w:pos="526"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四</w:t>
      </w:r>
      <w:bookmarkEnd w:id="178"/>
      <w:r>
        <w:rPr>
          <w:color w:val="000000"/>
          <w:spacing w:val="0"/>
          <w:w w:val="100"/>
          <w:position w:val="0"/>
          <w:sz w:val="24"/>
          <w:szCs w:val="24"/>
        </w:rPr>
        <w:t>、</w:t>
        <w:tab/>
        <w:t>资产交易事项</w:t>
      </w:r>
      <w:bookmarkEnd w:id="176"/>
      <w:bookmarkEnd w:id="177"/>
      <w:bookmarkEnd w:id="179"/>
    </w:p>
    <w:p>
      <w:pPr>
        <w:pStyle w:val="Style33"/>
        <w:keepNext/>
        <w:keepLines/>
        <w:widowControl w:val="0"/>
        <w:shd w:val="clear" w:color="auto" w:fill="auto"/>
        <w:tabs>
          <w:tab w:pos="422" w:val="left"/>
        </w:tabs>
        <w:bidi w:val="0"/>
        <w:spacing w:before="0" w:after="12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w:t>
        <w:tab/>
        <w:t>收购资产情况</w:t>
      </w:r>
      <w:bookmarkEnd w:id="180"/>
      <w:bookmarkEnd w:id="181"/>
      <w:bookmarkEnd w:id="183"/>
    </w:p>
    <w:p>
      <w:pPr>
        <w:pStyle w:val="Style28"/>
        <w:keepNext w:val="0"/>
        <w:keepLines w:val="0"/>
        <w:widowControl w:val="0"/>
        <w:shd w:val="clear" w:color="auto" w:fill="auto"/>
        <w:bidi w:val="0"/>
        <w:spacing w:before="0" w:after="360" w:line="467" w:lineRule="exact"/>
        <w:ind w:left="0" w:right="0"/>
        <w:jc w:val="left"/>
      </w:pPr>
      <w:r>
        <w:rPr>
          <w:color w:val="000000"/>
          <w:spacing w:val="0"/>
          <w:w w:val="100"/>
          <w:position w:val="0"/>
        </w:rPr>
        <w:t>报告期内，公司无收购股权资产的情况。</w:t>
      </w:r>
    </w:p>
    <w:p>
      <w:pPr>
        <w:pStyle w:val="Style33"/>
        <w:keepNext/>
        <w:keepLines/>
        <w:widowControl w:val="0"/>
        <w:shd w:val="clear" w:color="auto" w:fill="auto"/>
        <w:tabs>
          <w:tab w:pos="422" w:val="left"/>
        </w:tabs>
        <w:bidi w:val="0"/>
        <w:spacing w:before="0" w:after="12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出售资产情况</w:t>
      </w:r>
      <w:bookmarkEnd w:id="184"/>
      <w:bookmarkEnd w:id="185"/>
      <w:bookmarkEnd w:id="187"/>
    </w:p>
    <w:p>
      <w:pPr>
        <w:pStyle w:val="Style28"/>
        <w:keepNext w:val="0"/>
        <w:keepLines w:val="0"/>
        <w:widowControl w:val="0"/>
        <w:shd w:val="clear" w:color="auto" w:fill="auto"/>
        <w:bidi w:val="0"/>
        <w:spacing w:before="0" w:after="360" w:line="467" w:lineRule="exact"/>
        <w:ind w:left="0" w:right="0"/>
        <w:jc w:val="both"/>
      </w:pPr>
      <w:r>
        <w:rPr>
          <w:color w:val="000000"/>
          <w:spacing w:val="0"/>
          <w:w w:val="100"/>
          <w:position w:val="0"/>
        </w:rPr>
        <w:t>报告期内，公司无出售资产情况。</w:t>
      </w:r>
    </w:p>
    <w:p>
      <w:pPr>
        <w:pStyle w:val="Style33"/>
        <w:keepNext/>
        <w:keepLines/>
        <w:widowControl w:val="0"/>
        <w:shd w:val="clear" w:color="auto" w:fill="auto"/>
        <w:tabs>
          <w:tab w:pos="422" w:val="left"/>
        </w:tabs>
        <w:bidi w:val="0"/>
        <w:spacing w:before="0" w:after="12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w:t>
        <w:tab/>
        <w:t>企业合并情况</w:t>
      </w:r>
      <w:bookmarkEnd w:id="188"/>
      <w:bookmarkEnd w:id="189"/>
      <w:bookmarkEnd w:id="191"/>
    </w:p>
    <w:p>
      <w:pPr>
        <w:pStyle w:val="Style28"/>
        <w:keepNext w:val="0"/>
        <w:keepLines w:val="0"/>
        <w:widowControl w:val="0"/>
        <w:shd w:val="clear" w:color="auto" w:fill="auto"/>
        <w:bidi w:val="0"/>
        <w:spacing w:before="0" w:after="360" w:line="467" w:lineRule="exact"/>
        <w:ind w:left="0" w:right="0"/>
        <w:jc w:val="both"/>
      </w:pPr>
      <w:r>
        <w:rPr>
          <w:color w:val="000000"/>
          <w:spacing w:val="0"/>
          <w:w w:val="100"/>
          <w:position w:val="0"/>
        </w:rPr>
        <w:t>报告期内，公司无企业合并情况。</w:t>
      </w:r>
    </w:p>
    <w:p>
      <w:pPr>
        <w:pStyle w:val="Style26"/>
        <w:keepNext/>
        <w:keepLines/>
        <w:widowControl w:val="0"/>
        <w:shd w:val="clear" w:color="auto" w:fill="auto"/>
        <w:tabs>
          <w:tab w:pos="526" w:val="left"/>
        </w:tabs>
        <w:bidi w:val="0"/>
        <w:spacing w:before="0" w:after="36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五</w:t>
      </w:r>
      <w:bookmarkEnd w:id="194"/>
      <w:r>
        <w:rPr>
          <w:color w:val="000000"/>
          <w:spacing w:val="0"/>
          <w:w w:val="100"/>
          <w:position w:val="0"/>
          <w:sz w:val="24"/>
          <w:szCs w:val="24"/>
        </w:rPr>
        <w:t>、</w:t>
        <w:tab/>
        <w:t>公司股权激励的实施情况及其影响</w:t>
      </w:r>
      <w:bookmarkEnd w:id="192"/>
      <w:bookmarkEnd w:id="193"/>
      <w:bookmarkEnd w:id="195"/>
    </w:p>
    <w:p>
      <w:pPr>
        <w:pStyle w:val="Style33"/>
        <w:keepNext/>
        <w:keepLines/>
        <w:widowControl w:val="0"/>
        <w:shd w:val="clear" w:color="auto" w:fill="auto"/>
        <w:bidi w:val="0"/>
        <w:spacing w:before="0" w:after="6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、公司股票期权与限制性股票激励计划总体情况</w:t>
      </w:r>
      <w:bookmarkEnd w:id="196"/>
      <w:bookmarkEnd w:id="197"/>
      <w:bookmarkEnd w:id="199"/>
    </w:p>
    <w:p>
      <w:pPr>
        <w:pStyle w:val="Style28"/>
        <w:keepNext w:val="0"/>
        <w:keepLines w:val="0"/>
        <w:widowControl w:val="0"/>
        <w:shd w:val="clear" w:color="auto" w:fill="auto"/>
        <w:bidi w:val="0"/>
        <w:spacing w:before="0" w:after="0" w:line="467"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月，经公司</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年第一次临时股东大会审议通过，公司实施了股票期权与限制性股票激励计划。</w:t>
      </w:r>
    </w:p>
    <w:p>
      <w:pPr>
        <w:pStyle w:val="Style28"/>
        <w:keepNext w:val="0"/>
        <w:keepLines w:val="0"/>
        <w:widowControl w:val="0"/>
        <w:shd w:val="clear" w:color="auto" w:fill="auto"/>
        <w:bidi w:val="0"/>
        <w:spacing w:before="0" w:after="300" w:line="467" w:lineRule="exact"/>
        <w:ind w:left="0" w:right="0"/>
        <w:jc w:val="left"/>
      </w:pPr>
      <w:r>
        <w:rPr>
          <w:color w:val="000000"/>
          <w:spacing w:val="0"/>
          <w:w w:val="100"/>
          <w:position w:val="0"/>
        </w:rPr>
        <w:t>公司股权激励计划包括股票期权激励计划和限制性股票激励计划两部分，其股票来源为公司向激励对象定向发行新股。 本激励计划拟向激励对象授予权益总计</w:t>
      </w:r>
      <w:r>
        <w:rPr>
          <w:rFonts w:ascii="Times New Roman" w:eastAsia="Times New Roman" w:hAnsi="Times New Roman" w:cs="Times New Roman"/>
          <w:color w:val="000000"/>
          <w:spacing w:val="0"/>
          <w:w w:val="100"/>
          <w:position w:val="0"/>
        </w:rPr>
        <w:t>220</w:t>
      </w:r>
      <w:r>
        <w:rPr>
          <w:color w:val="000000"/>
          <w:spacing w:val="0"/>
          <w:w w:val="100"/>
          <w:position w:val="0"/>
        </w:rPr>
        <w:t>万份，涉及的标的股票种类为人民币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股普通股，约占本激励计划签署时公司股 本总额</w:t>
      </w:r>
      <w:r>
        <w:rPr>
          <w:rFonts w:ascii="Times New Roman" w:eastAsia="Times New Roman" w:hAnsi="Times New Roman" w:cs="Times New Roman"/>
          <w:color w:val="000000"/>
          <w:spacing w:val="0"/>
          <w:w w:val="100"/>
          <w:position w:val="0"/>
        </w:rPr>
        <w:t>12000</w:t>
      </w:r>
      <w:r>
        <w:rPr>
          <w:color w:val="000000"/>
          <w:spacing w:val="0"/>
          <w:w w:val="100"/>
          <w:position w:val="0"/>
        </w:rPr>
        <w:t>万股的</w:t>
      </w:r>
      <w:r>
        <w:rPr>
          <w:rFonts w:ascii="Times New Roman" w:eastAsia="Times New Roman" w:hAnsi="Times New Roman" w:cs="Times New Roman"/>
          <w:color w:val="000000"/>
          <w:spacing w:val="0"/>
          <w:w w:val="100"/>
          <w:position w:val="0"/>
        </w:rPr>
        <w:t>1.8333%</w:t>
      </w:r>
      <w:r>
        <w:rPr>
          <w:color w:val="000000"/>
          <w:spacing w:val="0"/>
          <w:w w:val="100"/>
          <w:position w:val="0"/>
        </w:rPr>
        <w:t>。鉴于部分激励对象由于辞职，或者因个人原因减少或放弃本次公司授予的权益，公司董事会 对激励对象名单及其获授的权益数量进行了相应调整，调整后的具体分配如下表：</w:t>
      </w:r>
    </w:p>
    <w:tbl>
      <w:tblPr>
        <w:tblOverlap w:val="never"/>
        <w:jc w:val="center"/>
        <w:tblLayout w:type="fixed"/>
      </w:tblPr>
      <w:tblGrid>
        <w:gridCol w:w="2736"/>
        <w:gridCol w:w="1277"/>
        <w:gridCol w:w="1272"/>
        <w:gridCol w:w="1421"/>
        <w:gridCol w:w="1426"/>
      </w:tblGrid>
      <w:tr>
        <w:trPr>
          <w:trHeight w:val="4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激励对象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激励工具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占授予权益总数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占目前股本总额</w:t>
            </w:r>
          </w:p>
        </w:tc>
      </w:tr>
    </w:tbl>
    <w:tbl>
      <w:tblPr>
        <w:tblOverlap w:val="never"/>
        <w:jc w:val="center"/>
        <w:tblLayout w:type="fixed"/>
      </w:tblPr>
      <w:tblGrid>
        <w:gridCol w:w="2736"/>
        <w:gridCol w:w="1277"/>
        <w:gridCol w:w="1272"/>
        <w:gridCol w:w="1421"/>
        <w:gridCol w:w="142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万股</w:t>
            </w:r>
            <w:r>
              <w:rPr>
                <w:rFonts w:ascii="Times New Roman" w:eastAsia="Times New Roman" w:hAnsi="Times New Roman" w:cs="Times New Roman"/>
                <w:color w:val="000000"/>
                <w:spacing w:val="0"/>
                <w:w w:val="100"/>
                <w:position w:val="0"/>
              </w:rPr>
              <w:t>/</w:t>
            </w:r>
            <w:r>
              <w:rPr>
                <w:color w:val="000000"/>
                <w:spacing w:val="0"/>
                <w:w w:val="100"/>
                <w:position w:val="0"/>
              </w:rPr>
              <w:t>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r>
      <w:tr>
        <w:trPr>
          <w:trHeight w:val="34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中层管理人员、核心技术（业务） 人员，合计（</w:t>
            </w:r>
            <w:r>
              <w:rPr>
                <w:rFonts w:ascii="Times New Roman" w:eastAsia="Times New Roman" w:hAnsi="Times New Roman" w:cs="Times New Roman"/>
                <w:color w:val="000000"/>
                <w:spacing w:val="0"/>
                <w:w w:val="100"/>
                <w:position w:val="0"/>
              </w:rPr>
              <w:t>28</w:t>
            </w: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1.1083%</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0.2667%</w:t>
            </w:r>
          </w:p>
        </w:tc>
      </w:tr>
      <w:tr>
        <w:trPr>
          <w:trHeight w:val="35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预留权益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0.1833%</w:t>
            </w:r>
          </w:p>
        </w:tc>
      </w:tr>
      <w:tr>
        <w:trPr>
          <w:trHeight w:val="355"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1.5583%</w:t>
            </w:r>
          </w:p>
        </w:tc>
      </w:tr>
    </w:tbl>
    <w:p>
      <w:pPr>
        <w:pStyle w:val="Style28"/>
        <w:keepNext w:val="0"/>
        <w:keepLines w:val="0"/>
        <w:widowControl w:val="0"/>
        <w:shd w:val="clear" w:color="auto" w:fill="auto"/>
        <w:bidi w:val="0"/>
        <w:spacing w:before="0" w:after="0" w:line="466" w:lineRule="exact"/>
        <w:ind w:left="0" w:right="0"/>
        <w:jc w:val="both"/>
      </w:pPr>
      <w:r>
        <w:rPr>
          <w:color w:val="000000"/>
          <w:spacing w:val="0"/>
          <w:w w:val="100"/>
          <w:position w:val="0"/>
        </w:rPr>
        <w:t>授予日后12个月内为标的股票等待/锁定期，等待/锁定期满后为行权/解锁期。行权/解锁考核条件：在激励计划有效期 内，以2012年的净利润和营业收入为基数，公司</w:t>
      </w:r>
      <w:r>
        <w:rPr>
          <w:color w:val="000000"/>
          <w:spacing w:val="0"/>
          <w:w w:val="100"/>
          <w:position w:val="0"/>
        </w:rPr>
        <w:t>2013-2015</w:t>
      </w:r>
      <w:r>
        <w:rPr>
          <w:color w:val="000000"/>
          <w:spacing w:val="0"/>
          <w:w w:val="100"/>
          <w:position w:val="0"/>
        </w:rPr>
        <w:t>年净利润较2012年增长分别不低于46%、65%、85%；公司</w:t>
      </w:r>
      <w:r>
        <w:rPr>
          <w:color w:val="000000"/>
          <w:spacing w:val="0"/>
          <w:w w:val="100"/>
          <w:position w:val="0"/>
        </w:rPr>
        <w:t xml:space="preserve">2013-2015 </w:t>
      </w:r>
      <w:r>
        <w:rPr>
          <w:color w:val="000000"/>
          <w:spacing w:val="0"/>
          <w:w w:val="100"/>
          <w:position w:val="0"/>
        </w:rPr>
        <w:t>年营业收入较2012年增长不低于15%、25%、35%。</w:t>
      </w:r>
    </w:p>
    <w:p>
      <w:pPr>
        <w:pStyle w:val="Style28"/>
        <w:keepNext w:val="0"/>
        <w:keepLines w:val="0"/>
        <w:widowControl w:val="0"/>
        <w:shd w:val="clear" w:color="auto" w:fill="auto"/>
        <w:bidi w:val="0"/>
        <w:spacing w:before="0" w:after="120" w:line="466" w:lineRule="exact"/>
        <w:ind w:left="0" w:right="0"/>
        <w:jc w:val="both"/>
      </w:pPr>
      <w:r>
        <w:rPr>
          <w:color w:val="000000"/>
          <w:spacing w:val="0"/>
          <w:w w:val="100"/>
          <w:position w:val="0"/>
        </w:rPr>
        <w:t>授予的股票期权</w:t>
      </w:r>
      <w:r>
        <w:rPr>
          <w:rFonts w:ascii="Times New Roman" w:eastAsia="Times New Roman" w:hAnsi="Times New Roman" w:cs="Times New Roman"/>
          <w:color w:val="000000"/>
          <w:spacing w:val="0"/>
          <w:w w:val="100"/>
          <w:position w:val="0"/>
        </w:rPr>
        <w:t>/</w:t>
      </w:r>
      <w:r>
        <w:rPr>
          <w:color w:val="000000"/>
          <w:spacing w:val="0"/>
          <w:w w:val="100"/>
          <w:position w:val="0"/>
        </w:rPr>
        <w:t>限制性股票（包括首次授予部分及预留部分）等待</w:t>
      </w:r>
      <w:r>
        <w:rPr>
          <w:rFonts w:ascii="Times New Roman" w:eastAsia="Times New Roman" w:hAnsi="Times New Roman" w:cs="Times New Roman"/>
          <w:color w:val="000000"/>
          <w:spacing w:val="0"/>
          <w:w w:val="100"/>
          <w:position w:val="0"/>
        </w:rPr>
        <w:t>/</w:t>
      </w:r>
      <w:r>
        <w:rPr>
          <w:color w:val="000000"/>
          <w:spacing w:val="0"/>
          <w:w w:val="100"/>
          <w:position w:val="0"/>
        </w:rPr>
        <w:t>解锁期及各期行权</w:t>
      </w:r>
      <w:r>
        <w:rPr>
          <w:rFonts w:ascii="Times New Roman" w:eastAsia="Times New Roman" w:hAnsi="Times New Roman" w:cs="Times New Roman"/>
          <w:color w:val="000000"/>
          <w:spacing w:val="0"/>
          <w:w w:val="100"/>
          <w:position w:val="0"/>
        </w:rPr>
        <w:t>/</w:t>
      </w:r>
      <w:r>
        <w:rPr>
          <w:color w:val="000000"/>
          <w:spacing w:val="0"/>
          <w:w w:val="100"/>
          <w:position w:val="0"/>
        </w:rPr>
        <w:t>解锁时间安排如下表所示：</w:t>
      </w:r>
    </w:p>
    <w:tbl>
      <w:tblPr>
        <w:tblOverlap w:val="never"/>
        <w:jc w:val="center"/>
        <w:tblLayout w:type="fixed"/>
      </w:tblPr>
      <w:tblGrid>
        <w:gridCol w:w="1786"/>
        <w:gridCol w:w="4824"/>
        <w:gridCol w:w="1570"/>
      </w:tblGrid>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w:t>
            </w:r>
            <w:r>
              <w:rPr>
                <w:rFonts w:ascii="Times New Roman" w:eastAsia="Times New Roman" w:hAnsi="Times New Roman" w:cs="Times New Roman"/>
                <w:color w:val="000000"/>
                <w:spacing w:val="0"/>
                <w:w w:val="100"/>
                <w:position w:val="0"/>
              </w:rPr>
              <w:t>/</w:t>
            </w:r>
            <w:r>
              <w:rPr>
                <w:color w:val="000000"/>
                <w:spacing w:val="0"/>
                <w:w w:val="100"/>
                <w:position w:val="0"/>
              </w:rPr>
              <w:t>解锁安排</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w:t>
            </w:r>
            <w:r>
              <w:rPr>
                <w:rFonts w:ascii="Times New Roman" w:eastAsia="Times New Roman" w:hAnsi="Times New Roman" w:cs="Times New Roman"/>
                <w:color w:val="000000"/>
                <w:spacing w:val="0"/>
                <w:w w:val="100"/>
                <w:position w:val="0"/>
              </w:rPr>
              <w:t>/</w:t>
            </w:r>
            <w:r>
              <w:rPr>
                <w:color w:val="000000"/>
                <w:spacing w:val="0"/>
                <w:w w:val="100"/>
                <w:position w:val="0"/>
              </w:rPr>
              <w:t>解锁时间</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w:t>
            </w:r>
            <w:r>
              <w:rPr>
                <w:rFonts w:ascii="Times New Roman" w:eastAsia="Times New Roman" w:hAnsi="Times New Roman" w:cs="Times New Roman"/>
                <w:color w:val="000000"/>
                <w:spacing w:val="0"/>
                <w:w w:val="100"/>
                <w:position w:val="0"/>
              </w:rPr>
              <w:t>/</w:t>
            </w:r>
            <w:r>
              <w:rPr>
                <w:color w:val="000000"/>
                <w:spacing w:val="0"/>
                <w:w w:val="100"/>
                <w:position w:val="0"/>
              </w:rPr>
              <w:t>解锁比例</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第一次行权</w:t>
            </w:r>
            <w:r>
              <w:rPr>
                <w:rFonts w:ascii="Times New Roman" w:eastAsia="Times New Roman" w:hAnsi="Times New Roman" w:cs="Times New Roman"/>
                <w:color w:val="000000"/>
                <w:spacing w:val="0"/>
                <w:w w:val="100"/>
                <w:position w:val="0"/>
              </w:rPr>
              <w:t>/</w:t>
            </w:r>
            <w:r>
              <w:rPr>
                <w:color w:val="000000"/>
                <w:spacing w:val="0"/>
                <w:w w:val="100"/>
                <w:position w:val="0"/>
              </w:rPr>
              <w:t>解锁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rPr>
              <w:t>24</w:t>
            </w:r>
            <w:r>
              <w:rPr>
                <w:color w:val="000000"/>
                <w:spacing w:val="0"/>
                <w:w w:val="100"/>
                <w:position w:val="0"/>
              </w:rPr>
              <w:t>个月内的 最后一个交易日当日止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第二次行权</w:t>
            </w:r>
            <w:r>
              <w:rPr>
                <w:rFonts w:ascii="Times New Roman" w:eastAsia="Times New Roman" w:hAnsi="Times New Roman" w:cs="Times New Roman"/>
                <w:color w:val="000000"/>
                <w:spacing w:val="0"/>
                <w:w w:val="100"/>
                <w:position w:val="0"/>
              </w:rPr>
              <w:t>/</w:t>
            </w:r>
            <w:r>
              <w:rPr>
                <w:color w:val="000000"/>
                <w:spacing w:val="0"/>
                <w:w w:val="100"/>
                <w:position w:val="0"/>
              </w:rPr>
              <w:t>解锁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rPr>
              <w:t>36</w:t>
            </w:r>
            <w:r>
              <w:rPr>
                <w:color w:val="000000"/>
                <w:spacing w:val="0"/>
                <w:w w:val="100"/>
                <w:position w:val="0"/>
              </w:rPr>
              <w:t>个月内的 最后一个交易日当日止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r>
      <w:tr>
        <w:trPr>
          <w:trHeight w:val="6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第三次行权</w:t>
            </w:r>
            <w:r>
              <w:rPr>
                <w:rFonts w:ascii="Times New Roman" w:eastAsia="Times New Roman" w:hAnsi="Times New Roman" w:cs="Times New Roman"/>
                <w:color w:val="000000"/>
                <w:spacing w:val="0"/>
                <w:w w:val="100"/>
                <w:position w:val="0"/>
              </w:rPr>
              <w:t>/</w:t>
            </w:r>
            <w:r>
              <w:rPr>
                <w:color w:val="000000"/>
                <w:spacing w:val="0"/>
                <w:w w:val="100"/>
                <w:position w:val="0"/>
              </w:rPr>
              <w:t>解锁</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个月后的首个交易日起至授予日起</w:t>
            </w:r>
            <w:r>
              <w:rPr>
                <w:rFonts w:ascii="Times New Roman" w:eastAsia="Times New Roman" w:hAnsi="Times New Roman" w:cs="Times New Roman"/>
                <w:color w:val="000000"/>
                <w:spacing w:val="0"/>
                <w:w w:val="100"/>
                <w:position w:val="0"/>
              </w:rPr>
              <w:t>48</w:t>
            </w:r>
            <w:r>
              <w:rPr>
                <w:color w:val="000000"/>
                <w:spacing w:val="0"/>
                <w:w w:val="100"/>
                <w:position w:val="0"/>
              </w:rPr>
              <w:t>个月内的 最后一个交易日当日止</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r>
    </w:tbl>
    <w:p>
      <w:pPr>
        <w:widowControl w:val="0"/>
        <w:spacing w:after="239" w:line="1" w:lineRule="exact"/>
      </w:pPr>
    </w:p>
    <w:p>
      <w:pPr>
        <w:pStyle w:val="Style33"/>
        <w:keepNext/>
        <w:keepLines/>
        <w:widowControl w:val="0"/>
        <w:shd w:val="clear" w:color="auto" w:fill="auto"/>
        <w:bidi w:val="0"/>
        <w:spacing w:before="0" w:after="6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、公司股票期权与限制性股票激励计划已履行的相关审批程序</w:t>
      </w:r>
      <w:bookmarkEnd w:id="200"/>
      <w:bookmarkEnd w:id="201"/>
      <w:bookmarkEnd w:id="203"/>
    </w:p>
    <w:p>
      <w:pPr>
        <w:pStyle w:val="Style28"/>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日，公司分别召开了第二届董事会第十五次会议和第二届监事会第十三次会议，审议通过了《股票期权与 限制性股票激励计划（草案）及其摘要》，公司独立董事已对此事项发表了独立意见，公司监事会对本次股权激励计划激励 对象名单发表了核查意见。其后公司向中国证监会上报了申请备案材料。</w:t>
      </w:r>
    </w:p>
    <w:p>
      <w:pPr>
        <w:pStyle w:val="Style28"/>
        <w:keepNext w:val="0"/>
        <w:keepLines w:val="0"/>
        <w:widowControl w:val="0"/>
        <w:shd w:val="clear" w:color="auto" w:fill="auto"/>
        <w:bidi w:val="0"/>
        <w:spacing w:before="0" w:after="0" w:line="473" w:lineRule="exact"/>
        <w:ind w:left="0" w:right="0"/>
        <w:jc w:val="both"/>
      </w:pPr>
      <w:r>
        <w:rPr>
          <w:color w:val="000000"/>
          <w:spacing w:val="0"/>
          <w:w w:val="100"/>
          <w:position w:val="0"/>
        </w:rPr>
        <w:t>根据中国证监会的反馈意见，公司对股票期权与限制性股票激励计划（草案）及其摘要的部分条款进行了相应修改，并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日召开第二届董事会第十六次会议和第二届监事会第十四次会议，审议通过了《股票期权与限制性股票激励 计划（修订案）及其摘要》，公司独立董事对激励计划发表了独立意见。该激励计划经中国证监会备案无异议。</w:t>
      </w:r>
    </w:p>
    <w:p>
      <w:pPr>
        <w:pStyle w:val="Style28"/>
        <w:keepNext w:val="0"/>
        <w:keepLines w:val="0"/>
        <w:widowControl w:val="0"/>
        <w:shd w:val="clear" w:color="auto" w:fill="auto"/>
        <w:bidi w:val="0"/>
        <w:spacing w:before="0" w:after="0" w:line="47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年第一次临时股东大会审议通过了《股票期权与限制性股票激励计划（修订案）及其摘 要》、《股权激励计划实施考核管理办法》及《关于提请股东大会授权董事会办理股票期权与限制性股票激励计划相关事宜 的议案》。董事会被授权确定股票期权和限制性股票授予日、在激励对象符合条件时向激励对象授予股票期权与限制性股票 并办理授予股票期权与限制性股票所必须的全部事宜。</w:t>
      </w:r>
    </w:p>
    <w:p>
      <w:pPr>
        <w:pStyle w:val="Style28"/>
        <w:keepNext w:val="0"/>
        <w:keepLines w:val="0"/>
        <w:widowControl w:val="0"/>
        <w:shd w:val="clear" w:color="auto" w:fill="auto"/>
        <w:bidi w:val="0"/>
        <w:spacing w:before="0" w:after="0" w:line="47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日召开第二届董事会第十八次会议审议通过了《关于调整股权激励对象名单及授予数量的议案》以 及《关于向激励对象授予股票期权与限制性股票的议案》，并于当日召开第二届监事会第十六次会议，审议通过了《关于核 实公司股票期权与限制性股票激励计划激励对象名单的议案》。公司独立董事对此发表了独立意见，认为激励对象主体资格 确认办法合法有效，确定的授权日符合相关规定。</w:t>
      </w:r>
    </w:p>
    <w:p>
      <w:pPr>
        <w:pStyle w:val="Style28"/>
        <w:keepNext w:val="0"/>
        <w:keepLines w:val="0"/>
        <w:widowControl w:val="0"/>
        <w:shd w:val="clear" w:color="auto" w:fill="auto"/>
        <w:bidi w:val="0"/>
        <w:spacing w:before="0" w:after="100" w:line="472"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日，公司发布了《关于股票期权与限制性股票授予登记完成的公告》。本次激励计划的授予日为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p>
    <w:p>
      <w:pPr>
        <w:pStyle w:val="Style28"/>
        <w:keepNext w:val="0"/>
        <w:keepLines w:val="0"/>
        <w:widowControl w:val="0"/>
        <w:shd w:val="clear" w:color="auto" w:fill="auto"/>
        <w:bidi w:val="0"/>
        <w:spacing w:before="0" w:after="220" w:line="467"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日，授予限制性股票的上市日期为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33"/>
        <w:keepNext/>
        <w:keepLines/>
        <w:widowControl w:val="0"/>
        <w:shd w:val="clear" w:color="auto" w:fill="auto"/>
        <w:bidi w:val="0"/>
        <w:spacing w:before="0" w:after="10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、实施股权激励计划对公司本报告期及以后年度财务状况和经营成果的影响</w:t>
      </w:r>
      <w:bookmarkEnd w:id="204"/>
      <w:bookmarkEnd w:id="205"/>
      <w:bookmarkEnd w:id="207"/>
    </w:p>
    <w:p>
      <w:pPr>
        <w:pStyle w:val="Style28"/>
        <w:keepNext w:val="0"/>
        <w:keepLines w:val="0"/>
        <w:widowControl w:val="0"/>
        <w:shd w:val="clear" w:color="auto" w:fill="auto"/>
        <w:bidi w:val="0"/>
        <w:spacing w:before="0" w:after="220" w:line="467" w:lineRule="exact"/>
        <w:ind w:left="0" w:right="0" w:firstLine="36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号一股份支付》和《企业会计准则第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号——金融工具确认和计量》中关于公允价值确定的 相关规定，企业需要选择适当的估值模型对股票期权与限制性股票的公允价值进行计算，公司激励计划中股票期权与限制性 股票的首次授予对公司相关年度的财务状况和经营成果将产生一定的影响。董事会已确定激励计划的首次授予日为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日，根据授予日股票期权与限制性股票的公允价值总额分别确认股票期权与限制性股票激励成本。</w:t>
      </w:r>
    </w:p>
    <w:p>
      <w:pPr>
        <w:pStyle w:val="Style39"/>
        <w:keepNext w:val="0"/>
        <w:keepLines w:val="0"/>
        <w:widowControl w:val="0"/>
        <w:shd w:val="clear" w:color="auto" w:fill="auto"/>
        <w:bidi w:val="0"/>
        <w:spacing w:before="0" w:after="0" w:line="240" w:lineRule="auto"/>
        <w:ind w:left="14" w:right="0" w:firstLine="0"/>
        <w:jc w:val="left"/>
      </w:pPr>
      <w:r>
        <w:rPr>
          <w:color w:val="000000"/>
          <w:spacing w:val="0"/>
          <w:w w:val="100"/>
          <w:position w:val="0"/>
        </w:rPr>
        <w:t>经测算，激励计划的股份支付费用总额约为</w:t>
      </w:r>
      <w:r>
        <w:rPr>
          <w:rFonts w:ascii="Times New Roman" w:eastAsia="Times New Roman" w:hAnsi="Times New Roman" w:cs="Times New Roman"/>
          <w:color w:val="000000"/>
          <w:spacing w:val="0"/>
          <w:w w:val="100"/>
          <w:position w:val="0"/>
        </w:rPr>
        <w:t>606.23</w:t>
      </w:r>
      <w:r>
        <w:rPr>
          <w:color w:val="000000"/>
          <w:spacing w:val="0"/>
          <w:w w:val="100"/>
          <w:position w:val="0"/>
        </w:rPr>
        <w:t>万元，根据中国会计准则要求，对各期会计成本的影响如下表所示:</w:t>
      </w:r>
    </w:p>
    <w:tbl>
      <w:tblPr>
        <w:tblOverlap w:val="never"/>
        <w:jc w:val="center"/>
        <w:tblLayout w:type="fixed"/>
      </w:tblPr>
      <w:tblGrid>
        <w:gridCol w:w="2208"/>
        <w:gridCol w:w="1008"/>
        <w:gridCol w:w="1277"/>
        <w:gridCol w:w="1118"/>
        <w:gridCol w:w="1118"/>
        <w:gridCol w:w="1123"/>
        <w:gridCol w:w="1133"/>
      </w:tblGrid>
      <w:tr>
        <w:trPr>
          <w:trHeight w:val="67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本次授予权益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需摊销的费用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2013 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2014 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2015 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2016 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限制性股票（万股）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112.39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股票期权（万份）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22.33</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134.72</w:t>
            </w:r>
          </w:p>
        </w:tc>
      </w:tr>
    </w:tbl>
    <w:p>
      <w:pPr>
        <w:pStyle w:val="Style28"/>
        <w:keepNext w:val="0"/>
        <w:keepLines w:val="0"/>
        <w:widowControl w:val="0"/>
        <w:shd w:val="clear" w:color="auto" w:fill="auto"/>
        <w:bidi w:val="0"/>
        <w:spacing w:before="0" w:after="0" w:line="470" w:lineRule="exact"/>
        <w:ind w:left="0" w:right="0" w:firstLine="360"/>
        <w:jc w:val="left"/>
      </w:pPr>
      <w:r>
        <w:rPr>
          <w:color w:val="000000"/>
          <w:spacing w:val="0"/>
          <w:w w:val="100"/>
          <w:position w:val="0"/>
        </w:rPr>
        <w:t>激励计划股票期权与限制性股票的成本将在经常性损益中列支。上述对公司财务状况和经营成果的影响仅为测算数据, 应以会计师事务所出具的年度审计报告为准。</w:t>
      </w:r>
    </w:p>
    <w:p>
      <w:pPr>
        <w:pStyle w:val="Style28"/>
        <w:keepNext w:val="0"/>
        <w:keepLines w:val="0"/>
        <w:widowControl w:val="0"/>
        <w:shd w:val="clear" w:color="auto" w:fill="auto"/>
        <w:bidi w:val="0"/>
        <w:spacing w:before="0" w:after="440" w:line="480" w:lineRule="exact"/>
        <w:ind w:left="0" w:right="0" w:firstLine="360"/>
        <w:jc w:val="left"/>
      </w:pPr>
      <w:r>
        <w:rPr>
          <w:color w:val="000000"/>
          <w:spacing w:val="0"/>
          <w:w w:val="100"/>
          <w:position w:val="0"/>
        </w:rPr>
        <w:t>经瑞华会计师事务所审计，公司</w:t>
      </w:r>
      <w:r>
        <w:rPr>
          <w:rFonts w:ascii="Times New Roman" w:eastAsia="Times New Roman" w:hAnsi="Times New Roman" w:cs="Times New Roman"/>
          <w:color w:val="000000"/>
          <w:spacing w:val="0"/>
          <w:w w:val="100"/>
          <w:position w:val="0"/>
        </w:rPr>
        <w:t>2013</w:t>
      </w:r>
      <w:r>
        <w:rPr>
          <w:color w:val="000000"/>
          <w:spacing w:val="0"/>
          <w:w w:val="100"/>
          <w:position w:val="0"/>
        </w:rPr>
        <w:t>年度经营业绩未达到激励计划行权</w:t>
      </w:r>
      <w:r>
        <w:rPr>
          <w:rFonts w:ascii="Times New Roman" w:eastAsia="Times New Roman" w:hAnsi="Times New Roman" w:cs="Times New Roman"/>
          <w:color w:val="000000"/>
          <w:spacing w:val="0"/>
          <w:w w:val="100"/>
          <w:position w:val="0"/>
        </w:rPr>
        <w:t>/</w:t>
      </w:r>
      <w:r>
        <w:rPr>
          <w:color w:val="000000"/>
          <w:spacing w:val="0"/>
          <w:w w:val="100"/>
          <w:position w:val="0"/>
        </w:rPr>
        <w:t>解锁考核条件，故实施该股权激励计划对公司 本报告期的财务状况和经营成果无影响。</w:t>
      </w:r>
    </w:p>
    <w:p>
      <w:pPr>
        <w:pStyle w:val="Style26"/>
        <w:keepNext/>
        <w:keepLines/>
        <w:widowControl w:val="0"/>
        <w:shd w:val="clear" w:color="auto" w:fill="auto"/>
        <w:bidi w:val="0"/>
        <w:spacing w:before="0" w:after="3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六</w:t>
      </w:r>
      <w:bookmarkEnd w:id="210"/>
      <w:r>
        <w:rPr>
          <w:color w:val="000000"/>
          <w:spacing w:val="0"/>
          <w:w w:val="100"/>
          <w:position w:val="0"/>
          <w:sz w:val="24"/>
          <w:szCs w:val="24"/>
        </w:rPr>
        <w:t>、重大关联交易</w:t>
      </w:r>
      <w:bookmarkEnd w:id="208"/>
      <w:bookmarkEnd w:id="209"/>
      <w:bookmarkEnd w:id="211"/>
    </w:p>
    <w:p>
      <w:pPr>
        <w:pStyle w:val="Style33"/>
        <w:keepNext/>
        <w:keepLines/>
        <w:widowControl w:val="0"/>
        <w:shd w:val="clear" w:color="auto" w:fill="auto"/>
        <w:tabs>
          <w:tab w:pos="373" w:val="left"/>
        </w:tabs>
        <w:bidi w:val="0"/>
        <w:spacing w:before="0" w:after="10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与日常经营相关的关联交易</w:t>
      </w:r>
      <w:bookmarkEnd w:id="212"/>
      <w:bookmarkEnd w:id="213"/>
      <w:bookmarkEnd w:id="215"/>
    </w:p>
    <w:p>
      <w:pPr>
        <w:pStyle w:val="Style28"/>
        <w:keepNext w:val="0"/>
        <w:keepLines w:val="0"/>
        <w:widowControl w:val="0"/>
        <w:shd w:val="clear" w:color="auto" w:fill="auto"/>
        <w:bidi w:val="0"/>
        <w:spacing w:before="0" w:after="360" w:line="480" w:lineRule="exact"/>
        <w:ind w:left="0" w:right="0" w:firstLine="340"/>
        <w:jc w:val="both"/>
      </w:pPr>
      <w:r>
        <w:rPr>
          <w:color w:val="000000"/>
          <w:spacing w:val="0"/>
          <w:w w:val="100"/>
          <w:position w:val="0"/>
        </w:rPr>
        <w:t>报告期内，公司无与日常经营相关的关联交易。</w:t>
      </w:r>
    </w:p>
    <w:p>
      <w:pPr>
        <w:pStyle w:val="Style33"/>
        <w:keepNext/>
        <w:keepLines/>
        <w:widowControl w:val="0"/>
        <w:shd w:val="clear" w:color="auto" w:fill="auto"/>
        <w:tabs>
          <w:tab w:pos="382" w:val="left"/>
        </w:tabs>
        <w:bidi w:val="0"/>
        <w:spacing w:before="0" w:after="10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资产收购、出售发生的关联交易</w:t>
      </w:r>
      <w:bookmarkEnd w:id="216"/>
      <w:bookmarkEnd w:id="217"/>
      <w:bookmarkEnd w:id="219"/>
    </w:p>
    <w:p>
      <w:pPr>
        <w:pStyle w:val="Style28"/>
        <w:keepNext w:val="0"/>
        <w:keepLines w:val="0"/>
        <w:widowControl w:val="0"/>
        <w:shd w:val="clear" w:color="auto" w:fill="auto"/>
        <w:bidi w:val="0"/>
        <w:spacing w:before="0" w:after="360" w:line="480" w:lineRule="exact"/>
        <w:ind w:left="0" w:right="0" w:firstLine="340"/>
        <w:jc w:val="both"/>
      </w:pPr>
      <w:r>
        <w:rPr>
          <w:color w:val="000000"/>
          <w:spacing w:val="0"/>
          <w:w w:val="100"/>
          <w:position w:val="0"/>
        </w:rPr>
        <w:t>报告期内，公司无资产收购、出售发生的关联交易。</w:t>
      </w:r>
    </w:p>
    <w:p>
      <w:pPr>
        <w:pStyle w:val="Style33"/>
        <w:keepNext/>
        <w:keepLines/>
        <w:widowControl w:val="0"/>
        <w:shd w:val="clear" w:color="auto" w:fill="auto"/>
        <w:tabs>
          <w:tab w:pos="382" w:val="left"/>
        </w:tabs>
        <w:bidi w:val="0"/>
        <w:spacing w:before="0" w:after="10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w:t>
        <w:tab/>
        <w:t>共同对外投资的重大关联交易</w:t>
      </w:r>
      <w:bookmarkEnd w:id="220"/>
      <w:bookmarkEnd w:id="221"/>
      <w:bookmarkEnd w:id="223"/>
    </w:p>
    <w:p>
      <w:pPr>
        <w:pStyle w:val="Style28"/>
        <w:keepNext w:val="0"/>
        <w:keepLines w:val="0"/>
        <w:widowControl w:val="0"/>
        <w:shd w:val="clear" w:color="auto" w:fill="auto"/>
        <w:bidi w:val="0"/>
        <w:spacing w:before="0" w:after="360" w:line="480" w:lineRule="exact"/>
        <w:ind w:left="0" w:right="0" w:firstLine="340"/>
        <w:jc w:val="both"/>
      </w:pPr>
      <w:r>
        <w:rPr>
          <w:color w:val="000000"/>
          <w:spacing w:val="0"/>
          <w:w w:val="100"/>
          <w:position w:val="0"/>
        </w:rPr>
        <w:t>报告期内，公司无共同对外投资的重大关联交易。</w:t>
      </w:r>
    </w:p>
    <w:p>
      <w:pPr>
        <w:pStyle w:val="Style33"/>
        <w:keepNext/>
        <w:keepLines/>
        <w:widowControl w:val="0"/>
        <w:shd w:val="clear" w:color="auto" w:fill="auto"/>
        <w:tabs>
          <w:tab w:pos="382" w:val="left"/>
        </w:tabs>
        <w:bidi w:val="0"/>
        <w:spacing w:before="0" w:after="360" w:line="240" w:lineRule="auto"/>
        <w:ind w:left="0" w:right="0" w:firstLine="0"/>
        <w:jc w:val="both"/>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w:t>
        <w:tab/>
        <w:t>关联债权债务往来</w:t>
      </w:r>
      <w:bookmarkEnd w:id="224"/>
      <w:bookmarkEnd w:id="225"/>
      <w:bookmarkEnd w:id="227"/>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3"/>
        <w:keepNext/>
        <w:keepLines/>
        <w:widowControl w:val="0"/>
        <w:shd w:val="clear" w:color="auto" w:fill="auto"/>
        <w:bidi w:val="0"/>
        <w:spacing w:before="0" w:after="14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5</w:t>
      </w:r>
      <w:bookmarkEnd w:id="230"/>
      <w:r>
        <w:rPr>
          <w:color w:val="000000"/>
          <w:spacing w:val="0"/>
          <w:w w:val="100"/>
          <w:position w:val="0"/>
        </w:rPr>
        <w:t>、其他重大关联交易</w:t>
      </w:r>
      <w:bookmarkEnd w:id="228"/>
      <w:bookmarkEnd w:id="229"/>
      <w:bookmarkEnd w:id="231"/>
    </w:p>
    <w:p>
      <w:pPr>
        <w:pStyle w:val="Style28"/>
        <w:keepNext w:val="0"/>
        <w:keepLines w:val="0"/>
        <w:widowControl w:val="0"/>
        <w:shd w:val="clear" w:color="auto" w:fill="auto"/>
        <w:bidi w:val="0"/>
        <w:spacing w:before="0" w:after="340" w:line="467"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七</w:t>
      </w:r>
      <w:bookmarkEnd w:id="234"/>
      <w:r>
        <w:rPr>
          <w:color w:val="000000"/>
          <w:spacing w:val="0"/>
          <w:w w:val="100"/>
          <w:position w:val="0"/>
          <w:sz w:val="24"/>
          <w:szCs w:val="24"/>
        </w:rPr>
        <w:t>、重大合同及其履行情况</w:t>
      </w:r>
      <w:bookmarkEnd w:id="232"/>
      <w:bookmarkEnd w:id="233"/>
      <w:bookmarkEnd w:id="235"/>
    </w:p>
    <w:p>
      <w:pPr>
        <w:pStyle w:val="Style33"/>
        <w:keepNext/>
        <w:keepLines/>
        <w:widowControl w:val="0"/>
        <w:shd w:val="clear" w:color="auto" w:fill="auto"/>
        <w:bidi w:val="0"/>
        <w:spacing w:before="0" w:after="34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、托管、承包、租赁事项情况</w:t>
      </w:r>
      <w:bookmarkEnd w:id="236"/>
      <w:bookmarkEnd w:id="237"/>
      <w:bookmarkEnd w:id="239"/>
    </w:p>
    <w:p>
      <w:pPr>
        <w:pStyle w:val="Style33"/>
        <w:keepNext/>
        <w:keepLines/>
        <w:widowControl w:val="0"/>
        <w:shd w:val="clear" w:color="auto" w:fill="auto"/>
        <w:tabs>
          <w:tab w:pos="493" w:val="left"/>
        </w:tabs>
        <w:bidi w:val="0"/>
        <w:spacing w:before="0" w:after="140" w:line="240" w:lineRule="auto"/>
        <w:ind w:left="0" w:right="0" w:firstLine="0"/>
        <w:jc w:val="left"/>
      </w:pPr>
      <w:bookmarkStart w:id="236" w:name="bookmark236"/>
      <w:bookmarkStart w:id="237" w:name="bookmark237"/>
      <w:bookmarkStart w:id="240" w:name="bookmark240"/>
      <w:bookmarkStart w:id="241" w:name="bookmark241"/>
      <w:r>
        <w:rPr>
          <w:color w:val="000000"/>
          <w:spacing w:val="0"/>
          <w:w w:val="100"/>
          <w:position w:val="0"/>
        </w:rPr>
        <w:t>（</w:t>
      </w:r>
      <w:bookmarkEnd w:id="24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36"/>
      <w:bookmarkEnd w:id="237"/>
      <w:bookmarkEnd w:id="241"/>
    </w:p>
    <w:p>
      <w:pPr>
        <w:pStyle w:val="Style28"/>
        <w:keepNext w:val="0"/>
        <w:keepLines w:val="0"/>
        <w:widowControl w:val="0"/>
        <w:shd w:val="clear" w:color="auto" w:fill="auto"/>
        <w:bidi w:val="0"/>
        <w:spacing w:before="0" w:after="340" w:line="467" w:lineRule="exact"/>
        <w:ind w:left="0" w:right="0"/>
        <w:jc w:val="both"/>
      </w:pPr>
      <w:r>
        <w:rPr>
          <w:color w:val="000000"/>
          <w:spacing w:val="0"/>
          <w:w w:val="100"/>
          <w:position w:val="0"/>
        </w:rPr>
        <w:t>公司不存在报告期内发生或以前期间发生但延续到报告期的托管其他公司资产或其他公司向公司托管资产的情况。</w:t>
      </w:r>
    </w:p>
    <w:p>
      <w:pPr>
        <w:pStyle w:val="Style33"/>
        <w:keepNext/>
        <w:keepLines/>
        <w:widowControl w:val="0"/>
        <w:shd w:val="clear" w:color="auto" w:fill="auto"/>
        <w:tabs>
          <w:tab w:pos="493" w:val="left"/>
        </w:tabs>
        <w:bidi w:val="0"/>
        <w:spacing w:before="0" w:after="14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w:t>
      </w:r>
      <w:bookmarkEnd w:id="24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42"/>
      <w:bookmarkEnd w:id="243"/>
      <w:bookmarkEnd w:id="245"/>
    </w:p>
    <w:p>
      <w:pPr>
        <w:pStyle w:val="Style28"/>
        <w:keepNext w:val="0"/>
        <w:keepLines w:val="0"/>
        <w:widowControl w:val="0"/>
        <w:shd w:val="clear" w:color="auto" w:fill="auto"/>
        <w:bidi w:val="0"/>
        <w:spacing w:before="0" w:after="340" w:line="467" w:lineRule="exact"/>
        <w:ind w:left="0" w:right="0"/>
        <w:jc w:val="both"/>
      </w:pPr>
      <w:r>
        <w:rPr>
          <w:color w:val="000000"/>
          <w:spacing w:val="0"/>
          <w:w w:val="100"/>
          <w:position w:val="0"/>
        </w:rPr>
        <w:t>公司不存在报告期内发生或以前期间发生但延续到报告期的承包其他公司资产或其他公司承包公司资产的情况。</w:t>
      </w:r>
    </w:p>
    <w:p>
      <w:pPr>
        <w:pStyle w:val="Style33"/>
        <w:keepNext/>
        <w:keepLines/>
        <w:widowControl w:val="0"/>
        <w:shd w:val="clear" w:color="auto" w:fill="auto"/>
        <w:tabs>
          <w:tab w:pos="493" w:val="left"/>
        </w:tabs>
        <w:bidi w:val="0"/>
        <w:spacing w:before="0" w:after="20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46"/>
      <w:bookmarkEnd w:id="247"/>
      <w:bookmarkEnd w:id="249"/>
    </w:p>
    <w:p>
      <w:pPr>
        <w:pStyle w:val="Style28"/>
        <w:keepNext w:val="0"/>
        <w:keepLines w:val="0"/>
        <w:widowControl w:val="0"/>
        <w:shd w:val="clear" w:color="auto" w:fill="auto"/>
        <w:bidi w:val="0"/>
        <w:spacing w:before="0" w:after="0" w:line="467" w:lineRule="exact"/>
        <w:ind w:left="0" w:right="0"/>
        <w:jc w:val="left"/>
      </w:pPr>
      <w:r>
        <w:rPr>
          <w:color w:val="000000"/>
          <w:spacing w:val="0"/>
          <w:w w:val="100"/>
          <w:position w:val="0"/>
        </w:rPr>
        <w:t>租赁情况说明</w:t>
      </w:r>
    </w:p>
    <w:p>
      <w:pPr>
        <w:pStyle w:val="Style28"/>
        <w:keepNext w:val="0"/>
        <w:keepLines w:val="0"/>
        <w:widowControl w:val="0"/>
        <w:numPr>
          <w:ilvl w:val="0"/>
          <w:numId w:val="19"/>
        </w:numPr>
        <w:shd w:val="clear" w:color="auto" w:fill="auto"/>
        <w:tabs>
          <w:tab w:pos="670" w:val="left"/>
        </w:tabs>
        <w:bidi w:val="0"/>
        <w:spacing w:before="0" w:after="0" w:line="467" w:lineRule="exact"/>
        <w:ind w:left="0" w:right="0"/>
        <w:jc w:val="left"/>
      </w:pPr>
      <w:bookmarkStart w:id="250" w:name="bookmark250"/>
      <w:bookmarkEnd w:id="250"/>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月，公司与咏传电子科技（上海）有限公司深圳分公司签署深（福）</w:t>
      </w:r>
      <w:r>
        <w:rPr>
          <w:rFonts w:ascii="Times New Roman" w:eastAsia="Times New Roman" w:hAnsi="Times New Roman" w:cs="Times New Roman"/>
          <w:color w:val="000000"/>
          <w:spacing w:val="0"/>
          <w:w w:val="100"/>
          <w:position w:val="0"/>
        </w:rPr>
        <w:t>0205343</w:t>
      </w:r>
      <w:r>
        <w:rPr>
          <w:color w:val="000000"/>
          <w:spacing w:val="0"/>
          <w:w w:val="100"/>
          <w:position w:val="0"/>
        </w:rPr>
        <w:t>号《深圳市房地产租赁合同》， 约定将公司位于深圳市福田区深南中路的金运世纪大厦</w:t>
      </w:r>
      <w:r>
        <w:rPr>
          <w:rFonts w:ascii="Times New Roman" w:eastAsia="Times New Roman" w:hAnsi="Times New Roman" w:cs="Times New Roman"/>
          <w:color w:val="000000"/>
          <w:spacing w:val="0"/>
          <w:w w:val="100"/>
          <w:position w:val="0"/>
        </w:rPr>
        <w:t>10</w:t>
      </w:r>
      <w:r>
        <w:rPr>
          <w:color w:val="000000"/>
          <w:spacing w:val="0"/>
          <w:w w:val="100"/>
          <w:position w:val="0"/>
        </w:rPr>
        <w:t>层</w:t>
      </w:r>
      <w:r>
        <w:rPr>
          <w:rFonts w:ascii="Times New Roman" w:eastAsia="Times New Roman" w:hAnsi="Times New Roman" w:cs="Times New Roman"/>
          <w:color w:val="000000"/>
          <w:spacing w:val="0"/>
          <w:w w:val="100"/>
          <w:position w:val="0"/>
        </w:rPr>
        <w:t>A—L</w:t>
      </w:r>
      <w:r>
        <w:rPr>
          <w:color w:val="000000"/>
          <w:spacing w:val="0"/>
          <w:w w:val="100"/>
          <w:position w:val="0"/>
        </w:rPr>
        <w:t>号共</w:t>
      </w:r>
      <w:r>
        <w:rPr>
          <w:rFonts w:ascii="Times New Roman" w:eastAsia="Times New Roman" w:hAnsi="Times New Roman" w:cs="Times New Roman"/>
          <w:color w:val="000000"/>
          <w:spacing w:val="0"/>
          <w:w w:val="100"/>
          <w:position w:val="0"/>
        </w:rPr>
        <w:t>12</w:t>
      </w:r>
      <w:r>
        <w:rPr>
          <w:color w:val="000000"/>
          <w:spacing w:val="0"/>
          <w:w w:val="100"/>
          <w:position w:val="0"/>
        </w:rPr>
        <w:t>套房产出租给咏传电子科技（上海）有限公司深圳 分公司，租赁面积为</w:t>
      </w:r>
      <w:r>
        <w:rPr>
          <w:rFonts w:ascii="Times New Roman" w:eastAsia="Times New Roman" w:hAnsi="Times New Roman" w:cs="Times New Roman"/>
          <w:color w:val="000000"/>
          <w:spacing w:val="0"/>
          <w:w w:val="100"/>
          <w:position w:val="0"/>
        </w:rPr>
        <w:t>1,722.6</w:t>
      </w:r>
      <w:r>
        <w:rPr>
          <w:rFonts w:ascii="Times New Roman" w:eastAsia="Times New Roman" w:hAnsi="Times New Roman" w:cs="Times New Roman"/>
          <w:color w:val="000000"/>
          <w:spacing w:val="0"/>
          <w:w w:val="100"/>
          <w:position w:val="0"/>
        </w:rPr>
        <w:t>0</w:t>
      </w:r>
      <w:r>
        <w:rPr>
          <w:color w:val="000000"/>
          <w:spacing w:val="0"/>
          <w:w w:val="100"/>
          <w:position w:val="0"/>
        </w:rPr>
        <w:t>平方米，月租金为</w:t>
      </w:r>
      <w:r>
        <w:rPr>
          <w:rFonts w:ascii="Times New Roman" w:eastAsia="Times New Roman" w:hAnsi="Times New Roman" w:cs="Times New Roman"/>
          <w:color w:val="000000"/>
          <w:spacing w:val="0"/>
          <w:w w:val="100"/>
          <w:position w:val="0"/>
        </w:rPr>
        <w:t>163,647.00</w:t>
      </w:r>
      <w:r>
        <w:rPr>
          <w:color w:val="000000"/>
          <w:spacing w:val="0"/>
          <w:w w:val="100"/>
          <w:position w:val="0"/>
        </w:rPr>
        <w:t>元，并约定第四年月租金调整为</w:t>
      </w:r>
      <w:r>
        <w:rPr>
          <w:rFonts w:ascii="Times New Roman" w:eastAsia="Times New Roman" w:hAnsi="Times New Roman" w:cs="Times New Roman"/>
          <w:color w:val="000000"/>
          <w:spacing w:val="0"/>
          <w:w w:val="100"/>
          <w:position w:val="0"/>
        </w:rPr>
        <w:t>180,011.7</w:t>
      </w:r>
      <w:r>
        <w:rPr>
          <w:rFonts w:ascii="Times New Roman" w:eastAsia="Times New Roman" w:hAnsi="Times New Roman" w:cs="Times New Roman"/>
          <w:color w:val="000000"/>
          <w:spacing w:val="0"/>
          <w:w w:val="100"/>
          <w:position w:val="0"/>
        </w:rPr>
        <w:t>0</w:t>
      </w:r>
      <w:r>
        <w:rPr>
          <w:color w:val="000000"/>
          <w:spacing w:val="0"/>
          <w:w w:val="100"/>
          <w:position w:val="0"/>
        </w:rPr>
        <w:t>元，第五年月租金调整 为</w:t>
      </w:r>
      <w:r>
        <w:rPr>
          <w:rFonts w:ascii="Times New Roman" w:eastAsia="Times New Roman" w:hAnsi="Times New Roman" w:cs="Times New Roman"/>
          <w:color w:val="000000"/>
          <w:spacing w:val="0"/>
          <w:w w:val="100"/>
          <w:position w:val="0"/>
        </w:rPr>
        <w:t>198,099.00</w:t>
      </w:r>
      <w:r>
        <w:rPr>
          <w:color w:val="000000"/>
          <w:spacing w:val="0"/>
          <w:w w:val="100"/>
          <w:position w:val="0"/>
        </w:rPr>
        <w:t>元，租赁期自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8"/>
        <w:keepNext w:val="0"/>
        <w:keepLines w:val="0"/>
        <w:widowControl w:val="0"/>
        <w:shd w:val="clear" w:color="auto" w:fill="auto"/>
        <w:bidi w:val="0"/>
        <w:spacing w:before="0" w:after="140" w:line="467"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月，公司与咏传电子科技（上海）有限公司深圳分公司签订了《房屋租赁合同》，约定将公司位于深圳市福田 区深南中路的金运世纪大厦</w:t>
      </w:r>
      <w:r>
        <w:rPr>
          <w:rFonts w:ascii="Times New Roman" w:eastAsia="Times New Roman" w:hAnsi="Times New Roman" w:cs="Times New Roman"/>
          <w:color w:val="000000"/>
          <w:spacing w:val="0"/>
          <w:w w:val="100"/>
          <w:position w:val="0"/>
        </w:rPr>
        <w:t>10</w:t>
      </w:r>
      <w:r>
        <w:rPr>
          <w:color w:val="000000"/>
          <w:spacing w:val="0"/>
          <w:w w:val="100"/>
          <w:position w:val="0"/>
        </w:rPr>
        <w:t>层</w:t>
      </w:r>
      <w:r>
        <w:rPr>
          <w:rFonts w:ascii="Times New Roman" w:eastAsia="Times New Roman" w:hAnsi="Times New Roman" w:cs="Times New Roman"/>
          <w:color w:val="000000"/>
          <w:spacing w:val="0"/>
          <w:w w:val="100"/>
          <w:position w:val="0"/>
        </w:rPr>
        <w:t>A—L</w:t>
      </w:r>
      <w:r>
        <w:rPr>
          <w:color w:val="000000"/>
          <w:spacing w:val="0"/>
          <w:w w:val="100"/>
          <w:position w:val="0"/>
        </w:rPr>
        <w:t>号共</w:t>
      </w:r>
      <w:r>
        <w:rPr>
          <w:rFonts w:ascii="Times New Roman" w:eastAsia="Times New Roman" w:hAnsi="Times New Roman" w:cs="Times New Roman"/>
          <w:color w:val="000000"/>
          <w:spacing w:val="0"/>
          <w:w w:val="100"/>
          <w:position w:val="0"/>
        </w:rPr>
        <w:t>12</w:t>
      </w:r>
      <w:r>
        <w:rPr>
          <w:color w:val="000000"/>
          <w:spacing w:val="0"/>
          <w:w w:val="100"/>
          <w:position w:val="0"/>
        </w:rPr>
        <w:t>套房产出租给咏传电子科技（上海）有限公司深圳分公司，租赁面积为</w:t>
      </w:r>
      <w:r>
        <w:rPr>
          <w:rFonts w:ascii="Times New Roman" w:eastAsia="Times New Roman" w:hAnsi="Times New Roman" w:cs="Times New Roman"/>
          <w:color w:val="000000"/>
          <w:spacing w:val="0"/>
          <w:w w:val="100"/>
          <w:position w:val="0"/>
        </w:rPr>
        <w:t xml:space="preserve">1,853.96 </w:t>
      </w:r>
      <w:r>
        <w:rPr>
          <w:color w:val="000000"/>
          <w:spacing w:val="0"/>
          <w:w w:val="100"/>
          <w:position w:val="0"/>
        </w:rPr>
        <w:t>平方米，月租金为</w:t>
      </w:r>
      <w:r>
        <w:rPr>
          <w:rFonts w:ascii="Times New Roman" w:eastAsia="Times New Roman" w:hAnsi="Times New Roman" w:cs="Times New Roman"/>
          <w:color w:val="000000"/>
          <w:spacing w:val="0"/>
          <w:w w:val="100"/>
          <w:position w:val="0"/>
        </w:rPr>
        <w:t>315,173.20</w:t>
      </w:r>
      <w:r>
        <w:rPr>
          <w:color w:val="000000"/>
          <w:spacing w:val="0"/>
          <w:w w:val="100"/>
          <w:position w:val="0"/>
        </w:rPr>
        <w:t>元，租赁期自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日止。该房屋租赁合同已经深圳市福田区房屋租 赁管理局备案，合同登记备案号为</w:t>
      </w:r>
      <w:r>
        <w:rPr>
          <w:rFonts w:ascii="Times New Roman" w:eastAsia="Times New Roman" w:hAnsi="Times New Roman" w:cs="Times New Roman"/>
          <w:color w:val="000000"/>
          <w:spacing w:val="0"/>
          <w:w w:val="100"/>
          <w:position w:val="0"/>
        </w:rPr>
        <w:t>“</w:t>
      </w:r>
      <w:r>
        <w:rPr>
          <w:color w:val="000000"/>
          <w:spacing w:val="0"/>
          <w:w w:val="100"/>
          <w:position w:val="0"/>
        </w:rPr>
        <w:t>福</w:t>
      </w:r>
      <w:r>
        <w:rPr>
          <w:rFonts w:ascii="Times New Roman" w:eastAsia="Times New Roman" w:hAnsi="Times New Roman" w:cs="Times New Roman"/>
          <w:color w:val="000000"/>
          <w:spacing w:val="0"/>
          <w:w w:val="100"/>
          <w:position w:val="0"/>
        </w:rPr>
        <w:t>EK050596”</w:t>
      </w:r>
      <w:r>
        <w:rPr>
          <w:color w:val="000000"/>
          <w:spacing w:val="0"/>
          <w:w w:val="100"/>
          <w:position w:val="0"/>
        </w:rPr>
        <w:t>。</w:t>
      </w:r>
    </w:p>
    <w:p>
      <w:pPr>
        <w:pStyle w:val="Style28"/>
        <w:keepNext w:val="0"/>
        <w:keepLines w:val="0"/>
        <w:widowControl w:val="0"/>
        <w:numPr>
          <w:ilvl w:val="0"/>
          <w:numId w:val="19"/>
        </w:numPr>
        <w:shd w:val="clear" w:color="auto" w:fill="auto"/>
        <w:tabs>
          <w:tab w:pos="670" w:val="left"/>
        </w:tabs>
        <w:bidi w:val="0"/>
        <w:spacing w:before="0" w:after="0" w:line="466" w:lineRule="exact"/>
        <w:ind w:left="0" w:right="0"/>
        <w:jc w:val="left"/>
      </w:pPr>
      <w:bookmarkStart w:id="251" w:name="bookmark251"/>
      <w:bookmarkEnd w:id="251"/>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月，公司与廖珊怡、廖珊雯签订了《房屋租赁合同》</w:t>
      </w:r>
      <w:r>
        <w:rPr>
          <w:i/>
          <w:iCs/>
          <w:color w:val="000000"/>
          <w:spacing w:val="0"/>
          <w:w w:val="100"/>
          <w:position w:val="0"/>
        </w:rPr>
        <w:t>，</w:t>
      </w:r>
      <w:r>
        <w:rPr>
          <w:color w:val="000000"/>
          <w:spacing w:val="0"/>
          <w:w w:val="100"/>
          <w:position w:val="0"/>
        </w:rPr>
        <w:t>约定将廖珊怡、廖珊雯位于深圳市福田区车公庙天安 数码城天祥大厦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5B2</w:t>
      </w:r>
      <w:r>
        <w:rPr>
          <w:color w:val="000000"/>
          <w:spacing w:val="0"/>
          <w:w w:val="100"/>
          <w:position w:val="0"/>
        </w:rPr>
        <w:t>的房产出租给公司办公，租赁面积为</w:t>
      </w:r>
      <w:r>
        <w:rPr>
          <w:rFonts w:ascii="Times New Roman" w:eastAsia="Times New Roman" w:hAnsi="Times New Roman" w:cs="Times New Roman"/>
          <w:color w:val="000000"/>
          <w:spacing w:val="0"/>
          <w:w w:val="100"/>
          <w:position w:val="0"/>
        </w:rPr>
        <w:t>588.82</w:t>
      </w:r>
      <w:r>
        <w:rPr>
          <w:color w:val="000000"/>
          <w:spacing w:val="0"/>
          <w:w w:val="100"/>
          <w:position w:val="0"/>
        </w:rPr>
        <w:t>平方米，月租金</w:t>
      </w:r>
      <w:r>
        <w:rPr>
          <w:rFonts w:ascii="Times New Roman" w:eastAsia="Times New Roman" w:hAnsi="Times New Roman" w:cs="Times New Roman"/>
          <w:color w:val="000000"/>
          <w:spacing w:val="0"/>
          <w:w w:val="100"/>
          <w:position w:val="0"/>
        </w:rPr>
        <w:t>76,546.00</w:t>
      </w:r>
      <w:r>
        <w:rPr>
          <w:color w:val="000000"/>
          <w:spacing w:val="0"/>
          <w:w w:val="100"/>
          <w:position w:val="0"/>
        </w:rPr>
        <w:t>元，并约定第二年租金在原租 金基础上递增</w:t>
      </w:r>
      <w:r>
        <w:rPr>
          <w:rFonts w:ascii="Times New Roman" w:eastAsia="Times New Roman" w:hAnsi="Times New Roman" w:cs="Times New Roman"/>
          <w:color w:val="000000"/>
          <w:spacing w:val="0"/>
          <w:w w:val="100"/>
          <w:position w:val="0"/>
        </w:rPr>
        <w:t>5%</w:t>
      </w:r>
      <w:r>
        <w:rPr>
          <w:color w:val="000000"/>
          <w:spacing w:val="0"/>
          <w:w w:val="100"/>
          <w:position w:val="0"/>
        </w:rPr>
        <w:t>,租赁期自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w:t>
      </w:r>
    </w:p>
    <w:p>
      <w:pPr>
        <w:pStyle w:val="Style28"/>
        <w:keepNext w:val="0"/>
        <w:keepLines w:val="0"/>
        <w:widowControl w:val="0"/>
        <w:shd w:val="clear" w:color="auto" w:fill="auto"/>
        <w:bidi w:val="0"/>
        <w:spacing w:before="0" w:after="140" w:line="466"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月，公司与廖珊怡签订了《房屋租赁合同》，约定将廖珊怡位于深圳市福田区车公庙天安数码城天祥大厦</w:t>
      </w:r>
      <w:r>
        <w:rPr>
          <w:rFonts w:ascii="Times New Roman" w:eastAsia="Times New Roman" w:hAnsi="Times New Roman" w:cs="Times New Roman"/>
          <w:color w:val="000000"/>
          <w:spacing w:val="0"/>
          <w:w w:val="100"/>
          <w:position w:val="0"/>
        </w:rPr>
        <w:t xml:space="preserve">AB </w:t>
      </w:r>
      <w:r>
        <w:rPr>
          <w:color w:val="000000"/>
          <w:spacing w:val="0"/>
          <w:w w:val="100"/>
          <w:position w:val="0"/>
        </w:rPr>
        <w:t>座</w:t>
      </w:r>
      <w:r>
        <w:rPr>
          <w:rFonts w:ascii="Times New Roman" w:eastAsia="Times New Roman" w:hAnsi="Times New Roman" w:cs="Times New Roman"/>
          <w:color w:val="000000"/>
          <w:spacing w:val="0"/>
          <w:w w:val="100"/>
          <w:position w:val="0"/>
        </w:rPr>
        <w:t>5B2</w:t>
      </w:r>
      <w:r>
        <w:rPr>
          <w:color w:val="000000"/>
          <w:spacing w:val="0"/>
          <w:w w:val="100"/>
          <w:position w:val="0"/>
        </w:rPr>
        <w:t>的房产出租给公司办公，租赁面积为</w:t>
      </w:r>
      <w:r>
        <w:rPr>
          <w:rFonts w:ascii="Times New Roman" w:eastAsia="Times New Roman" w:hAnsi="Times New Roman" w:cs="Times New Roman"/>
          <w:color w:val="000000"/>
          <w:spacing w:val="0"/>
          <w:w w:val="100"/>
          <w:position w:val="0"/>
        </w:rPr>
        <w:t>588.8</w:t>
      </w:r>
      <w:r>
        <w:rPr>
          <w:rFonts w:ascii="Times New Roman" w:eastAsia="Times New Roman" w:hAnsi="Times New Roman" w:cs="Times New Roman"/>
          <w:color w:val="000000"/>
          <w:spacing w:val="0"/>
          <w:w w:val="100"/>
          <w:position w:val="0"/>
        </w:rPr>
        <w:t>2</w:t>
      </w:r>
      <w:r>
        <w:rPr>
          <w:color w:val="000000"/>
          <w:spacing w:val="0"/>
          <w:w w:val="100"/>
          <w:position w:val="0"/>
        </w:rPr>
        <w:t>平方米，月租金为</w:t>
      </w:r>
      <w:r>
        <w:rPr>
          <w:rFonts w:ascii="Times New Roman" w:eastAsia="Times New Roman" w:hAnsi="Times New Roman" w:cs="Times New Roman"/>
          <w:color w:val="000000"/>
          <w:spacing w:val="0"/>
          <w:w w:val="100"/>
          <w:position w:val="0"/>
        </w:rPr>
        <w:t>82,435.00</w:t>
      </w:r>
      <w:r>
        <w:rPr>
          <w:color w:val="000000"/>
          <w:spacing w:val="0"/>
          <w:w w:val="100"/>
          <w:position w:val="0"/>
        </w:rPr>
        <w:t>元，并约定第二年月租金调整为</w:t>
      </w:r>
      <w:r>
        <w:rPr>
          <w:rFonts w:ascii="Times New Roman" w:eastAsia="Times New Roman" w:hAnsi="Times New Roman" w:cs="Times New Roman"/>
          <w:color w:val="000000"/>
          <w:spacing w:val="0"/>
          <w:w w:val="100"/>
          <w:position w:val="0"/>
        </w:rPr>
        <w:t>85,379.00</w:t>
      </w:r>
      <w:r>
        <w:rPr>
          <w:color w:val="000000"/>
          <w:spacing w:val="0"/>
          <w:w w:val="100"/>
          <w:position w:val="0"/>
        </w:rPr>
        <w:t>元， 租赁期自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日止。该房屋租赁合同已经深圳市福田区房屋租赁管理局备案，合同登记备案号 为</w:t>
      </w:r>
      <w:r>
        <w:rPr>
          <w:rFonts w:ascii="Times New Roman" w:eastAsia="Times New Roman" w:hAnsi="Times New Roman" w:cs="Times New Roman"/>
          <w:color w:val="000000"/>
          <w:spacing w:val="0"/>
          <w:w w:val="100"/>
          <w:position w:val="0"/>
        </w:rPr>
        <w:t>“</w:t>
      </w:r>
      <w:r>
        <w:rPr>
          <w:color w:val="000000"/>
          <w:spacing w:val="0"/>
          <w:w w:val="100"/>
          <w:position w:val="0"/>
        </w:rPr>
        <w:t xml:space="preserve">福 </w:t>
      </w:r>
      <w:r>
        <w:rPr>
          <w:rFonts w:ascii="Times New Roman" w:eastAsia="Times New Roman" w:hAnsi="Times New Roman" w:cs="Times New Roman"/>
          <w:color w:val="000000"/>
          <w:spacing w:val="0"/>
          <w:w w:val="100"/>
          <w:position w:val="0"/>
        </w:rPr>
        <w:t>EK050774"</w:t>
      </w:r>
      <w:r>
        <w:rPr>
          <w:color w:val="000000"/>
          <w:spacing w:val="0"/>
          <w:w w:val="100"/>
          <w:position w:val="0"/>
        </w:rPr>
        <w:t>。</w:t>
      </w:r>
    </w:p>
    <w:p>
      <w:pPr>
        <w:pStyle w:val="Style28"/>
        <w:keepNext w:val="0"/>
        <w:keepLines w:val="0"/>
        <w:widowControl w:val="0"/>
        <w:numPr>
          <w:ilvl w:val="0"/>
          <w:numId w:val="19"/>
        </w:numPr>
        <w:shd w:val="clear" w:color="auto" w:fill="auto"/>
        <w:tabs>
          <w:tab w:pos="320" w:val="left"/>
        </w:tabs>
        <w:bidi w:val="0"/>
        <w:spacing w:before="0" w:after="0" w:line="467" w:lineRule="exact"/>
        <w:ind w:left="0" w:right="0"/>
        <w:jc w:val="left"/>
      </w:pPr>
      <w:bookmarkStart w:id="252" w:name="bookmark252"/>
      <w:bookmarkEnd w:id="252"/>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月，公司与杨春葵、冯苏军签订了《房屋租赁合同》，约定将杨春葵、冯苏军位于深圳市福田区车公庙天安 </w:t>
      </w:r>
      <w:r>
        <w:rPr>
          <w:color w:val="000000"/>
          <w:spacing w:val="0"/>
          <w:w w:val="100"/>
          <w:position w:val="0"/>
        </w:rPr>
        <w:t>数码城天祥大厦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0A-1</w:t>
      </w:r>
      <w:r>
        <w:rPr>
          <w:color w:val="000000"/>
          <w:spacing w:val="0"/>
          <w:w w:val="100"/>
          <w:position w:val="0"/>
        </w:rPr>
        <w:t>、</w:t>
      </w:r>
      <w:r>
        <w:rPr>
          <w:rFonts w:ascii="Times New Roman" w:eastAsia="Times New Roman" w:hAnsi="Times New Roman" w:cs="Times New Roman"/>
          <w:color w:val="000000"/>
          <w:spacing w:val="0"/>
          <w:w w:val="100"/>
          <w:position w:val="0"/>
        </w:rPr>
        <w:t>10A-2</w:t>
      </w:r>
      <w:r>
        <w:rPr>
          <w:color w:val="000000"/>
          <w:spacing w:val="0"/>
          <w:w w:val="100"/>
          <w:position w:val="0"/>
        </w:rPr>
        <w:t>的房产出租给公司办公，租赁面积分别为</w:t>
      </w:r>
      <w:r>
        <w:rPr>
          <w:rFonts w:ascii="Times New Roman" w:eastAsia="Times New Roman" w:hAnsi="Times New Roman" w:cs="Times New Roman"/>
          <w:color w:val="000000"/>
          <w:spacing w:val="0"/>
          <w:w w:val="100"/>
          <w:position w:val="0"/>
        </w:rPr>
        <w:t>400</w:t>
      </w:r>
      <w:r>
        <w:rPr>
          <w:color w:val="000000"/>
          <w:spacing w:val="0"/>
          <w:w w:val="100"/>
          <w:position w:val="0"/>
        </w:rPr>
        <w:t>平方米、</w:t>
      </w:r>
      <w:r>
        <w:rPr>
          <w:rFonts w:ascii="Times New Roman" w:eastAsia="Times New Roman" w:hAnsi="Times New Roman" w:cs="Times New Roman"/>
          <w:color w:val="000000"/>
          <w:spacing w:val="0"/>
          <w:w w:val="100"/>
          <w:position w:val="0"/>
        </w:rPr>
        <w:t>812.48</w:t>
      </w:r>
      <w:r>
        <w:rPr>
          <w:color w:val="000000"/>
          <w:spacing w:val="0"/>
          <w:w w:val="100"/>
          <w:position w:val="0"/>
        </w:rPr>
        <w:t xml:space="preserve">平方米，月租金分别为 </w:t>
      </w:r>
      <w:r>
        <w:rPr>
          <w:rFonts w:ascii="Times New Roman" w:eastAsia="Times New Roman" w:hAnsi="Times New Roman" w:cs="Times New Roman"/>
          <w:color w:val="000000"/>
          <w:spacing w:val="0"/>
          <w:w w:val="100"/>
          <w:position w:val="0"/>
        </w:rPr>
        <w:t>50,000.00</w:t>
      </w:r>
      <w:r>
        <w:rPr>
          <w:color w:val="000000"/>
          <w:spacing w:val="0"/>
          <w:w w:val="100"/>
          <w:position w:val="0"/>
        </w:rPr>
        <w:t>元、</w:t>
      </w:r>
      <w:r>
        <w:rPr>
          <w:rFonts w:ascii="Times New Roman" w:eastAsia="Times New Roman" w:hAnsi="Times New Roman" w:cs="Times New Roman"/>
          <w:color w:val="000000"/>
          <w:spacing w:val="0"/>
          <w:w w:val="100"/>
          <w:position w:val="0"/>
        </w:rPr>
        <w:t>101,560.00</w:t>
      </w:r>
      <w:r>
        <w:rPr>
          <w:color w:val="000000"/>
          <w:spacing w:val="0"/>
          <w:w w:val="100"/>
          <w:position w:val="0"/>
        </w:rPr>
        <w:t>元，并约定第二年租金在原租金基础上递增</w:t>
      </w:r>
      <w:r>
        <w:rPr>
          <w:rFonts w:ascii="Times New Roman" w:eastAsia="Times New Roman" w:hAnsi="Times New Roman" w:cs="Times New Roman"/>
          <w:color w:val="000000"/>
          <w:spacing w:val="0"/>
          <w:w w:val="100"/>
          <w:position w:val="0"/>
        </w:rPr>
        <w:t>6%</w:t>
      </w:r>
      <w:r>
        <w:rPr>
          <w:color w:val="000000"/>
          <w:spacing w:val="0"/>
          <w:w w:val="100"/>
          <w:position w:val="0"/>
        </w:rPr>
        <w:t>,租赁期自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8"/>
        <w:keepNext w:val="0"/>
        <w:keepLines w:val="0"/>
        <w:widowControl w:val="0"/>
        <w:shd w:val="clear" w:color="auto" w:fill="auto"/>
        <w:bidi w:val="0"/>
        <w:spacing w:before="0" w:after="140" w:line="469"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月，公司与杨春葵、冯苏军签订了《房屋租赁合同》，约定将杨春葵、冯苏军位于深圳市福田区车公庙天安数 码城天祥大厦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0A-1</w:t>
      </w:r>
      <w:r>
        <w:rPr>
          <w:color w:val="000000"/>
          <w:spacing w:val="0"/>
          <w:w w:val="100"/>
          <w:position w:val="0"/>
        </w:rPr>
        <w:t>、</w:t>
      </w:r>
      <w:r>
        <w:rPr>
          <w:rFonts w:ascii="Times New Roman" w:eastAsia="Times New Roman" w:hAnsi="Times New Roman" w:cs="Times New Roman"/>
          <w:color w:val="000000"/>
          <w:spacing w:val="0"/>
          <w:w w:val="100"/>
          <w:position w:val="0"/>
        </w:rPr>
        <w:t>10A-2</w:t>
      </w:r>
      <w:r>
        <w:rPr>
          <w:color w:val="000000"/>
          <w:spacing w:val="0"/>
          <w:w w:val="100"/>
          <w:position w:val="0"/>
        </w:rPr>
        <w:t>的房产出租给公司办公，租赁面积分别为</w:t>
      </w:r>
      <w:r>
        <w:rPr>
          <w:rFonts w:ascii="Times New Roman" w:eastAsia="Times New Roman" w:hAnsi="Times New Roman" w:cs="Times New Roman"/>
          <w:color w:val="000000"/>
          <w:spacing w:val="0"/>
          <w:w w:val="100"/>
          <w:position w:val="0"/>
        </w:rPr>
        <w:t>400</w:t>
      </w:r>
      <w:r>
        <w:rPr>
          <w:color w:val="000000"/>
          <w:spacing w:val="0"/>
          <w:w w:val="100"/>
          <w:position w:val="0"/>
        </w:rPr>
        <w:t>平方米、</w:t>
      </w:r>
      <w:r>
        <w:rPr>
          <w:rFonts w:ascii="Times New Roman" w:eastAsia="Times New Roman" w:hAnsi="Times New Roman" w:cs="Times New Roman"/>
          <w:color w:val="000000"/>
          <w:spacing w:val="0"/>
          <w:w w:val="100"/>
          <w:position w:val="0"/>
        </w:rPr>
        <w:t>812.48</w:t>
      </w:r>
      <w:r>
        <w:rPr>
          <w:color w:val="000000"/>
          <w:spacing w:val="0"/>
          <w:w w:val="100"/>
          <w:position w:val="0"/>
        </w:rPr>
        <w:t>平方米，月租金分别为</w:t>
      </w:r>
      <w:r>
        <w:rPr>
          <w:rFonts w:ascii="Times New Roman" w:eastAsia="Times New Roman" w:hAnsi="Times New Roman" w:cs="Times New Roman"/>
          <w:color w:val="000000"/>
          <w:spacing w:val="0"/>
          <w:w w:val="100"/>
          <w:position w:val="0"/>
        </w:rPr>
        <w:t xml:space="preserve">53,200.00 </w:t>
      </w:r>
      <w:r>
        <w:rPr>
          <w:color w:val="000000"/>
          <w:spacing w:val="0"/>
          <w:w w:val="100"/>
          <w:position w:val="0"/>
        </w:rPr>
        <w:t>元、</w:t>
      </w:r>
      <w:r>
        <w:rPr>
          <w:rFonts w:ascii="Times New Roman" w:eastAsia="Times New Roman" w:hAnsi="Times New Roman" w:cs="Times New Roman"/>
          <w:color w:val="000000"/>
          <w:spacing w:val="0"/>
          <w:w w:val="100"/>
          <w:position w:val="0"/>
        </w:rPr>
        <w:t>108,059.84</w:t>
      </w:r>
      <w:r>
        <w:rPr>
          <w:color w:val="000000"/>
          <w:spacing w:val="0"/>
          <w:w w:val="100"/>
          <w:position w:val="0"/>
        </w:rPr>
        <w:t>元，租赁期自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日止。该房屋租赁合同已经深圳市福田区房屋租赁管理局备案，合 同登记备案号分别为</w:t>
      </w:r>
      <w:r>
        <w:rPr>
          <w:rFonts w:ascii="Times New Roman" w:eastAsia="Times New Roman" w:hAnsi="Times New Roman" w:cs="Times New Roman"/>
          <w:color w:val="000000"/>
          <w:spacing w:val="0"/>
          <w:w w:val="100"/>
          <w:position w:val="0"/>
        </w:rPr>
        <w:t>“</w:t>
      </w:r>
      <w:r>
        <w:rPr>
          <w:color w:val="000000"/>
          <w:spacing w:val="0"/>
          <w:w w:val="100"/>
          <w:position w:val="0"/>
        </w:rPr>
        <w:t>福</w:t>
      </w:r>
      <w:r>
        <w:rPr>
          <w:rFonts w:ascii="Times New Roman" w:eastAsia="Times New Roman" w:hAnsi="Times New Roman" w:cs="Times New Roman"/>
          <w:color w:val="000000"/>
          <w:spacing w:val="0"/>
          <w:w w:val="100"/>
          <w:position w:val="0"/>
        </w:rPr>
        <w:t>EK051138”</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福</w:t>
      </w:r>
      <w:r>
        <w:rPr>
          <w:rFonts w:ascii="Times New Roman" w:eastAsia="Times New Roman" w:hAnsi="Times New Roman" w:cs="Times New Roman"/>
          <w:color w:val="000000"/>
          <w:spacing w:val="0"/>
          <w:w w:val="100"/>
          <w:position w:val="0"/>
        </w:rPr>
        <w:t>EK051139”</w:t>
      </w:r>
      <w:r>
        <w:rPr>
          <w:color w:val="000000"/>
          <w:spacing w:val="0"/>
          <w:w w:val="100"/>
          <w:position w:val="0"/>
        </w:rPr>
        <w:t>。</w:t>
      </w:r>
    </w:p>
    <w:p>
      <w:pPr>
        <w:pStyle w:val="Style28"/>
        <w:keepNext w:val="0"/>
        <w:keepLines w:val="0"/>
        <w:widowControl w:val="0"/>
        <w:numPr>
          <w:ilvl w:val="0"/>
          <w:numId w:val="19"/>
        </w:numPr>
        <w:shd w:val="clear" w:color="auto" w:fill="auto"/>
        <w:tabs>
          <w:tab w:pos="666" w:val="left"/>
        </w:tabs>
        <w:bidi w:val="0"/>
        <w:spacing w:before="0" w:after="140" w:line="467" w:lineRule="exact"/>
        <w:ind w:left="0" w:right="0"/>
        <w:jc w:val="both"/>
      </w:pPr>
      <w:bookmarkStart w:id="253" w:name="bookmark253"/>
      <w:bookmarkEnd w:id="253"/>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月，公司全资子公司深圳市银之杰金融设备有限公司与深圳市大浪颐丰华股份合作公司签订了《房屋租赁合 同》，约定将深圳市大浪颐丰华股份合作公司位于深圳市宝安区大浪街道大浪社区华宁路华联工业区</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楼的房产出租给公 司全资子公司深圳市银之杰金融设备有限公司办公，租赁面积为</w:t>
      </w:r>
      <w:r>
        <w:rPr>
          <w:rFonts w:ascii="Times New Roman" w:eastAsia="Times New Roman" w:hAnsi="Times New Roman" w:cs="Times New Roman"/>
          <w:color w:val="000000"/>
          <w:spacing w:val="0"/>
          <w:w w:val="100"/>
          <w:position w:val="0"/>
        </w:rPr>
        <w:t>1,800</w:t>
      </w:r>
      <w:r>
        <w:rPr>
          <w:color w:val="000000"/>
          <w:spacing w:val="0"/>
          <w:w w:val="100"/>
          <w:position w:val="0"/>
        </w:rPr>
        <w:t>平方米，月租金为</w:t>
      </w:r>
      <w:r>
        <w:rPr>
          <w:rFonts w:ascii="Times New Roman" w:eastAsia="Times New Roman" w:hAnsi="Times New Roman" w:cs="Times New Roman"/>
          <w:color w:val="000000"/>
          <w:spacing w:val="0"/>
          <w:w w:val="100"/>
          <w:position w:val="0"/>
        </w:rPr>
        <w:t>18,000.00</w:t>
      </w:r>
      <w:r>
        <w:rPr>
          <w:color w:val="000000"/>
          <w:spacing w:val="0"/>
          <w:w w:val="100"/>
          <w:position w:val="0"/>
        </w:rPr>
        <w:t>元，租赁期自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日止。该房屋租赁合同已经深圳市宝安区房屋租赁管理办公室备案，合同登记备案号</w:t>
      </w:r>
      <w:r>
        <w:rPr>
          <w:rFonts w:ascii="Times New Roman" w:eastAsia="Times New Roman" w:hAnsi="Times New Roman" w:cs="Times New Roman"/>
          <w:color w:val="000000"/>
          <w:spacing w:val="0"/>
          <w:w w:val="100"/>
          <w:position w:val="0"/>
        </w:rPr>
        <w:t>“</w:t>
      </w:r>
      <w:r>
        <w:rPr>
          <w:color w:val="000000"/>
          <w:spacing w:val="0"/>
          <w:w w:val="100"/>
          <w:position w:val="0"/>
        </w:rPr>
        <w:t>宝</w:t>
      </w:r>
      <w:r>
        <w:rPr>
          <w:rFonts w:ascii="Times New Roman" w:eastAsia="Times New Roman" w:hAnsi="Times New Roman" w:cs="Times New Roman"/>
          <w:color w:val="000000"/>
          <w:spacing w:val="0"/>
          <w:w w:val="100"/>
          <w:position w:val="0"/>
        </w:rPr>
        <w:t>LA014209</w:t>
      </w:r>
      <w:r>
        <w:rPr>
          <w:color w:val="000000"/>
          <w:spacing w:val="0"/>
          <w:w w:val="100"/>
          <w:position w:val="0"/>
        </w:rPr>
        <w:t>（备）七</w:t>
      </w:r>
    </w:p>
    <w:p>
      <w:pPr>
        <w:pStyle w:val="Style28"/>
        <w:keepNext w:val="0"/>
        <w:keepLines w:val="0"/>
        <w:widowControl w:val="0"/>
        <w:shd w:val="clear" w:color="auto" w:fill="auto"/>
        <w:bidi w:val="0"/>
        <w:spacing w:before="0" w:after="180" w:line="469" w:lineRule="exact"/>
        <w:ind w:left="0" w:right="0" w:firstLine="0"/>
        <w:jc w:val="both"/>
      </w:pPr>
      <w:r>
        <w:rPr>
          <w:b/>
          <w:bCs/>
          <w:color w:val="000000"/>
          <w:spacing w:val="0"/>
          <w:w w:val="100"/>
          <w:position w:val="0"/>
        </w:rPr>
        <w:t>为公司带来的损益达到公司报告期利润总额</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以上的项目</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出租方名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 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租赁资产 涉及金额</w:t>
            </w:r>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租赁起始 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租赁终止 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租赁收益</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租赁收益</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租赁收益 对公司影</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r>
      <w:tr>
        <w:trPr>
          <w:trHeight w:val="22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深圳市银 之杰科技 股份有限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咏传电子 科技（上 海）有限公 司深圳分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深圳市福 田区深南 中路的金 运世纪大 厦</w:t>
            </w:r>
            <w:r>
              <w:rPr>
                <w:rFonts w:ascii="Times New Roman" w:eastAsia="Times New Roman" w:hAnsi="Times New Roman" w:cs="Times New Roman"/>
                <w:color w:val="000000"/>
                <w:spacing w:val="0"/>
                <w:w w:val="100"/>
                <w:position w:val="0"/>
              </w:rPr>
              <w:t>10</w:t>
            </w:r>
            <w:r>
              <w:rPr>
                <w:color w:val="000000"/>
                <w:spacing w:val="0"/>
                <w:w w:val="100"/>
                <w:position w:val="0"/>
              </w:rPr>
              <w:t xml:space="preserve">层 </w:t>
            </w:r>
            <w:r>
              <w:rPr>
                <w:rFonts w:ascii="Times New Roman" w:eastAsia="Times New Roman" w:hAnsi="Times New Roman" w:cs="Times New Roman"/>
                <w:color w:val="000000"/>
                <w:spacing w:val="0"/>
                <w:w w:val="100"/>
                <w:position w:val="0"/>
              </w:rPr>
              <w:t>A-L</w:t>
            </w:r>
            <w:r>
              <w:rPr>
                <w:color w:val="000000"/>
                <w:spacing w:val="0"/>
                <w:w w:val="100"/>
                <w:position w:val="0"/>
              </w:rPr>
              <w:t xml:space="preserve">号共 </w:t>
            </w:r>
            <w:r>
              <w:rPr>
                <w:rFonts w:ascii="Times New Roman" w:eastAsia="Times New Roman" w:hAnsi="Times New Roman" w:cs="Times New Roman"/>
                <w:color w:val="000000"/>
                <w:spacing w:val="0"/>
                <w:w w:val="100"/>
                <w:position w:val="0"/>
              </w:rPr>
              <w:t>12</w:t>
            </w:r>
            <w:r>
              <w:rPr>
                <w:color w:val="000000"/>
                <w:spacing w:val="0"/>
                <w:w w:val="100"/>
                <w:position w:val="0"/>
              </w:rPr>
              <w:t>套房产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4,286.31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租赁合同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占公司净 利润的 </w:t>
            </w:r>
            <w:r>
              <w:rPr>
                <w:rFonts w:ascii="Times New Roman" w:eastAsia="Times New Roman" w:hAnsi="Times New Roman" w:cs="Times New Roman"/>
                <w:color w:val="000000"/>
                <w:spacing w:val="0"/>
                <w:w w:val="100"/>
                <w:position w:val="0"/>
              </w:rPr>
              <w:t>7.92%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3"/>
        <w:keepNext/>
        <w:keepLines/>
        <w:widowControl w:val="0"/>
        <w:shd w:val="clear" w:color="auto" w:fill="auto"/>
        <w:tabs>
          <w:tab w:pos="382" w:val="left"/>
        </w:tabs>
        <w:bidi w:val="0"/>
        <w:spacing w:before="0" w:after="360" w:line="240" w:lineRule="auto"/>
        <w:ind w:left="0" w:right="0" w:firstLine="0"/>
        <w:jc w:val="both"/>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担保情况</w:t>
      </w:r>
      <w:bookmarkEnd w:id="254"/>
      <w:bookmarkEnd w:id="255"/>
      <w:bookmarkEnd w:id="257"/>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报告期内，公司无对外担保情况。</w:t>
      </w:r>
    </w:p>
    <w:p>
      <w:pPr>
        <w:pStyle w:val="Style33"/>
        <w:keepNext/>
        <w:keepLines/>
        <w:widowControl w:val="0"/>
        <w:shd w:val="clear" w:color="auto" w:fill="auto"/>
        <w:tabs>
          <w:tab w:pos="382" w:val="left"/>
        </w:tabs>
        <w:bidi w:val="0"/>
        <w:spacing w:before="0" w:after="36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3</w:t>
      </w:r>
      <w:bookmarkEnd w:id="260"/>
      <w:r>
        <w:rPr>
          <w:color w:val="000000"/>
          <w:spacing w:val="0"/>
          <w:w w:val="100"/>
          <w:position w:val="0"/>
        </w:rPr>
        <w:t>、</w:t>
        <w:tab/>
        <w:t>委托理财、衍生品投资和委托贷款情况</w:t>
      </w:r>
      <w:bookmarkEnd w:id="258"/>
      <w:bookmarkEnd w:id="259"/>
      <w:bookmarkEnd w:id="261"/>
    </w:p>
    <w:p>
      <w:pPr>
        <w:pStyle w:val="Style33"/>
        <w:keepNext/>
        <w:keepLines/>
        <w:widowControl w:val="0"/>
        <w:shd w:val="clear" w:color="auto" w:fill="auto"/>
        <w:tabs>
          <w:tab w:pos="493" w:val="left"/>
        </w:tabs>
        <w:bidi w:val="0"/>
        <w:spacing w:before="0" w:after="360" w:line="240" w:lineRule="auto"/>
        <w:ind w:left="0" w:right="0" w:firstLine="0"/>
        <w:jc w:val="left"/>
      </w:pPr>
      <w:bookmarkStart w:id="258" w:name="bookmark258"/>
      <w:bookmarkStart w:id="259" w:name="bookmark259"/>
      <w:bookmarkStart w:id="262" w:name="bookmark262"/>
      <w:bookmarkStart w:id="263" w:name="bookmark263"/>
      <w:r>
        <w:rPr>
          <w:color w:val="000000"/>
          <w:spacing w:val="0"/>
          <w:w w:val="100"/>
          <w:position w:val="0"/>
        </w:rPr>
        <w:t>（</w:t>
      </w:r>
      <w:bookmarkEnd w:id="26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258"/>
      <w:bookmarkEnd w:id="259"/>
      <w:bookmarkEnd w:id="263"/>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报告期内，公司无委托理财情况。</w:t>
      </w:r>
    </w:p>
    <w:p>
      <w:pPr>
        <w:pStyle w:val="Style33"/>
        <w:keepNext/>
        <w:keepLines/>
        <w:widowControl w:val="0"/>
        <w:shd w:val="clear" w:color="auto" w:fill="auto"/>
        <w:tabs>
          <w:tab w:pos="493" w:val="left"/>
        </w:tabs>
        <w:bidi w:val="0"/>
        <w:spacing w:before="0" w:after="3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rPr>
        <w:t>（</w:t>
      </w:r>
      <w:bookmarkEnd w:id="266"/>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64"/>
      <w:bookmarkEnd w:id="265"/>
      <w:bookmarkEnd w:id="267"/>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报告期内，公司无衍生品投资情况。</w:t>
      </w:r>
    </w:p>
    <w:p>
      <w:pPr>
        <w:pStyle w:val="Style33"/>
        <w:keepNext/>
        <w:keepLines/>
        <w:widowControl w:val="0"/>
        <w:shd w:val="clear" w:color="auto" w:fill="auto"/>
        <w:bidi w:val="0"/>
        <w:spacing w:before="0" w:after="380" w:line="240" w:lineRule="auto"/>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w:t>
      </w:r>
      <w:bookmarkEnd w:id="270"/>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268"/>
      <w:bookmarkEnd w:id="269"/>
      <w:bookmarkEnd w:id="271"/>
    </w:p>
    <w:p>
      <w:pPr>
        <w:pStyle w:val="Style28"/>
        <w:keepNext w:val="0"/>
        <w:keepLines w:val="0"/>
        <w:widowControl w:val="0"/>
        <w:shd w:val="clear" w:color="auto" w:fill="auto"/>
        <w:bidi w:val="0"/>
        <w:spacing w:before="0" w:after="720" w:line="240" w:lineRule="auto"/>
        <w:ind w:left="0" w:right="0"/>
        <w:jc w:val="both"/>
      </w:pPr>
      <w:r>
        <w:rPr>
          <w:color w:val="000000"/>
          <w:spacing w:val="0"/>
          <w:w w:val="100"/>
          <w:position w:val="0"/>
        </w:rPr>
        <w:t>报告期内，公司无委托贷款情况。</w:t>
      </w:r>
    </w:p>
    <w:p>
      <w:pPr>
        <w:pStyle w:val="Style33"/>
        <w:keepNext/>
        <w:keepLines/>
        <w:widowControl w:val="0"/>
        <w:shd w:val="clear" w:color="auto" w:fill="auto"/>
        <w:bidi w:val="0"/>
        <w:spacing w:before="0" w:after="380" w:line="240" w:lineRule="auto"/>
        <w:ind w:left="0" w:right="0" w:firstLine="0"/>
        <w:jc w:val="both"/>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4</w:t>
      </w:r>
      <w:bookmarkEnd w:id="274"/>
      <w:r>
        <w:rPr>
          <w:color w:val="000000"/>
          <w:spacing w:val="0"/>
          <w:w w:val="100"/>
          <w:position w:val="0"/>
        </w:rPr>
        <w:t>、其他重大合同</w:t>
      </w:r>
      <w:bookmarkEnd w:id="272"/>
      <w:bookmarkEnd w:id="273"/>
      <w:bookmarkEnd w:id="275"/>
    </w:p>
    <w:p>
      <w:pPr>
        <w:pStyle w:val="Style28"/>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sz w:val="24"/>
          <w:szCs w:val="24"/>
        </w:rPr>
        <w:t>八</w:t>
      </w:r>
      <w:bookmarkEnd w:id="278"/>
      <w:r>
        <w:rPr>
          <w:color w:val="000000"/>
          <w:spacing w:val="0"/>
          <w:w w:val="100"/>
          <w:position w:val="0"/>
          <w:sz w:val="24"/>
          <w:szCs w:val="24"/>
        </w:rPr>
        <w:t>、承诺事项履行情况</w:t>
      </w:r>
      <w:bookmarkEnd w:id="276"/>
      <w:bookmarkEnd w:id="277"/>
      <w:bookmarkEnd w:id="279"/>
    </w:p>
    <w:p>
      <w:pPr>
        <w:pStyle w:val="Style33"/>
        <w:keepNext/>
        <w:keepLines/>
        <w:widowControl w:val="0"/>
        <w:shd w:val="clear" w:color="auto" w:fill="auto"/>
        <w:bidi w:val="0"/>
        <w:spacing w:before="0" w:after="320" w:line="240" w:lineRule="auto"/>
        <w:ind w:left="0" w:right="0" w:firstLine="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80"/>
      <w:bookmarkEnd w:id="281"/>
      <w:bookmarkEnd w:id="283"/>
    </w:p>
    <w:tbl>
      <w:tblPr>
        <w:tblOverlap w:val="never"/>
        <w:jc w:val="center"/>
        <w:tblLayout w:type="fixed"/>
      </w:tblPr>
      <w:tblGrid>
        <w:gridCol w:w="3197"/>
        <w:gridCol w:w="1272"/>
        <w:gridCol w:w="1282"/>
        <w:gridCol w:w="1277"/>
        <w:gridCol w:w="1277"/>
        <w:gridCol w:w="127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上市前股东、共 同实际控制人</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514" w:val="left"/>
              </w:tabs>
              <w:bidi w:val="0"/>
              <w:spacing w:before="0" w:after="0" w:line="321" w:lineRule="exact"/>
              <w:ind w:left="0" w:right="0" w:firstLine="0"/>
              <w:jc w:val="left"/>
            </w:pPr>
            <w:r>
              <w:rPr>
                <w:color w:val="000000"/>
                <w:spacing w:val="0"/>
                <w:w w:val="100"/>
                <w:position w:val="0"/>
              </w:rPr>
              <w:t>（一）</w:t>
              <w:tab/>
              <w:t>公司股票 上市前股东所 持股份的流通 限制和自愿锁 定股份的承诺 注</w:t>
            </w:r>
            <w:r>
              <w:rPr>
                <w:rFonts w:ascii="Times New Roman" w:eastAsia="Times New Roman" w:hAnsi="Times New Roman" w:cs="Times New Roman"/>
                <w:color w:val="000000"/>
                <w:spacing w:val="0"/>
                <w:w w:val="100"/>
                <w:position w:val="0"/>
              </w:rPr>
              <w:t>1</w:t>
            </w:r>
          </w:p>
          <w:p>
            <w:pPr>
              <w:pStyle w:val="Style23"/>
              <w:keepNext w:val="0"/>
              <w:keepLines w:val="0"/>
              <w:widowControl w:val="0"/>
              <w:shd w:val="clear" w:color="auto" w:fill="auto"/>
              <w:tabs>
                <w:tab w:pos="499" w:val="left"/>
              </w:tabs>
              <w:bidi w:val="0"/>
              <w:spacing w:before="0" w:after="0" w:line="322" w:lineRule="exact"/>
              <w:ind w:left="0" w:right="0" w:firstLine="0"/>
              <w:jc w:val="left"/>
            </w:pPr>
            <w:r>
              <w:rPr>
                <w:color w:val="000000"/>
                <w:spacing w:val="0"/>
                <w:w w:val="100"/>
                <w:position w:val="0"/>
              </w:rPr>
              <w:t>（二）</w:t>
              <w:tab/>
              <w:t>避免同业 竞争的承诺</w:t>
            </w:r>
          </w:p>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tabs>
                <w:tab w:pos="509" w:val="left"/>
              </w:tabs>
              <w:bidi w:val="0"/>
              <w:spacing w:before="0" w:after="0" w:line="313" w:lineRule="exact"/>
              <w:ind w:left="0" w:right="0" w:firstLine="0"/>
              <w:jc w:val="both"/>
            </w:pPr>
            <w:r>
              <w:rPr>
                <w:color w:val="000000"/>
                <w:spacing w:val="0"/>
                <w:w w:val="100"/>
                <w:position w:val="0"/>
              </w:rPr>
              <w:t>（一）</w:t>
              <w:tab/>
              <w:t>公司股票 上市前股东所 持股份的流通 限制和自愿锁 定股份的承诺： 三十六个月；</w:t>
            </w:r>
          </w:p>
          <w:p>
            <w:pPr>
              <w:pStyle w:val="Style23"/>
              <w:keepNext w:val="0"/>
              <w:keepLines w:val="0"/>
              <w:widowControl w:val="0"/>
              <w:shd w:val="clear" w:color="auto" w:fill="auto"/>
              <w:tabs>
                <w:tab w:pos="499" w:val="left"/>
              </w:tabs>
              <w:bidi w:val="0"/>
              <w:spacing w:before="0" w:after="0" w:line="313" w:lineRule="exact"/>
              <w:ind w:left="0" w:right="0" w:firstLine="0"/>
              <w:jc w:val="both"/>
            </w:pPr>
            <w:r>
              <w:rPr>
                <w:color w:val="000000"/>
                <w:spacing w:val="0"/>
                <w:w w:val="100"/>
                <w:position w:val="0"/>
              </w:rPr>
              <w:t>（二）</w:t>
              <w:tab/>
              <w:t>避免同业 竞争的承诺：长 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截止报告期末， 公司上述股东 均遵守以上承 诺，未发生违反 上述承诺的情 况。</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未完成履行的具体原因及下一步计划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8"/>
        <w:keepNext w:val="0"/>
        <w:keepLines w:val="0"/>
        <w:widowControl w:val="0"/>
        <w:numPr>
          <w:ilvl w:val="0"/>
          <w:numId w:val="21"/>
        </w:numPr>
        <w:shd w:val="clear" w:color="auto" w:fill="auto"/>
        <w:tabs>
          <w:tab w:pos="690" w:val="left"/>
        </w:tabs>
        <w:bidi w:val="0"/>
        <w:spacing w:before="0" w:after="0" w:line="474" w:lineRule="exact"/>
        <w:ind w:left="0" w:right="0"/>
        <w:jc w:val="both"/>
      </w:pPr>
      <w:bookmarkStart w:id="284" w:name="bookmark284"/>
      <w:bookmarkEnd w:id="284"/>
      <w:r>
        <w:rPr>
          <w:color w:val="000000"/>
          <w:spacing w:val="0"/>
          <w:w w:val="100"/>
          <w:position w:val="0"/>
        </w:rPr>
        <w:t>本公司持有公司股份</w:t>
      </w:r>
      <w:r>
        <w:rPr>
          <w:rFonts w:ascii="Times New Roman" w:eastAsia="Times New Roman" w:hAnsi="Times New Roman" w:cs="Times New Roman"/>
          <w:color w:val="000000"/>
          <w:spacing w:val="0"/>
          <w:w w:val="100"/>
          <w:position w:val="0"/>
        </w:rPr>
        <w:t>5%</w:t>
      </w:r>
      <w:r>
        <w:rPr>
          <w:color w:val="000000"/>
          <w:spacing w:val="0"/>
          <w:w w:val="100"/>
          <w:position w:val="0"/>
        </w:rPr>
        <w:t>以上的股东的张学君、陈向军、李军、何晔均承诺：自公司股票上市之日起三十六个月内， 不转让或者委托他人管理其公司首次公开发行股票发行前所直接和间接持有的本公司股份，也不由公司回购其持有的股份。 同时，作为公司董事或高级管理人员，张学君、陈向军、李军、何晔还承诺：三十六个月的锁定期满后，在本人任职期间， 每年转让所持有的公司股份不超过本人所持公司股份数的百分之二十五；本人离职后半年内，不转让所持有的公司股份。</w:t>
      </w:r>
    </w:p>
    <w:p>
      <w:pPr>
        <w:pStyle w:val="Style28"/>
        <w:keepNext w:val="0"/>
        <w:keepLines w:val="0"/>
        <w:widowControl w:val="0"/>
        <w:numPr>
          <w:ilvl w:val="0"/>
          <w:numId w:val="21"/>
        </w:numPr>
        <w:shd w:val="clear" w:color="auto" w:fill="auto"/>
        <w:tabs>
          <w:tab w:pos="694" w:val="left"/>
        </w:tabs>
        <w:bidi w:val="0"/>
        <w:spacing w:before="0" w:after="0" w:line="474" w:lineRule="exact"/>
        <w:ind w:left="0" w:right="0"/>
        <w:jc w:val="both"/>
      </w:pPr>
      <w:bookmarkStart w:id="285" w:name="bookmark285"/>
      <w:bookmarkEnd w:id="285"/>
      <w:r>
        <w:rPr>
          <w:color w:val="000000"/>
          <w:spacing w:val="0"/>
          <w:w w:val="100"/>
          <w:position w:val="0"/>
        </w:rPr>
        <w:t xml:space="preserve">本公司监事周峰和李玫臻，高级管理人员刘奕、许秋江承诺：自公司股票上市之日起十二个月内，不转让或者委托 他人管理其公司首次公开发行股票发行前所直接和间接持有的公司股份，也不由公司回购其持有的股份；在本人任职期间每 </w:t>
      </w:r>
      <w:r>
        <w:rPr>
          <w:color w:val="000000"/>
          <w:spacing w:val="0"/>
          <w:w w:val="100"/>
          <w:position w:val="0"/>
        </w:rPr>
        <w:t>年转让所持有的公司股份不超过本人所持公司股份总数的百分之二十五；本人离职后半年内，不转让所持有的公司股份。 注</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公司共同控制人张学君、陈向军和李军，以及持有公司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以上股份的股东何晔，就避免同业竞争作出了以下承诺：</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、本人目前没有在中国境内任何地方或中国境外，直接或间接发展、经营或协助经营或参与与公司业务存在竞争的 任何活动，亦没有在任何与公司业务有直接或间接竞争关系的公司或企业拥有任何直接或间接权益。</w:t>
      </w:r>
    </w:p>
    <w:p>
      <w:pPr>
        <w:pStyle w:val="Style28"/>
        <w:keepNext w:val="0"/>
        <w:keepLines w:val="0"/>
        <w:widowControl w:val="0"/>
        <w:shd w:val="clear" w:color="auto" w:fill="auto"/>
        <w:tabs>
          <w:tab w:pos="699" w:val="left"/>
        </w:tabs>
        <w:bidi w:val="0"/>
        <w:spacing w:before="0" w:after="220" w:line="494" w:lineRule="exact"/>
        <w:ind w:left="0" w:right="0"/>
        <w:jc w:val="both"/>
      </w:pPr>
      <w:bookmarkStart w:id="286" w:name="bookmark286"/>
      <w:r>
        <w:rPr>
          <w:rFonts w:ascii="Times New Roman" w:eastAsia="Times New Roman" w:hAnsi="Times New Roman" w:cs="Times New Roman"/>
          <w:color w:val="000000"/>
          <w:spacing w:val="0"/>
          <w:w w:val="100"/>
          <w:position w:val="0"/>
        </w:rPr>
        <w:t>2</w:t>
      </w:r>
      <w:bookmarkEnd w:id="286"/>
      <w:r>
        <w:rPr>
          <w:color w:val="000000"/>
          <w:spacing w:val="0"/>
          <w:w w:val="100"/>
          <w:position w:val="0"/>
        </w:rPr>
        <w:t>、</w:t>
        <w:tab/>
        <w:t>自本承诺函签署之日起，本人将不直接或间接经营任何与股份公司经营的业务构成竞争或可能构成竞争的业务，也 不参与投资任何与股份公司生产的产品或经营的业务构成竞争或可能构成竞争的其他企业。</w:t>
      </w:r>
    </w:p>
    <w:p>
      <w:pPr>
        <w:pStyle w:val="Style28"/>
        <w:keepNext w:val="0"/>
        <w:keepLines w:val="0"/>
        <w:widowControl w:val="0"/>
        <w:shd w:val="clear" w:color="auto" w:fill="auto"/>
        <w:tabs>
          <w:tab w:pos="734" w:val="left"/>
        </w:tabs>
        <w:bidi w:val="0"/>
        <w:spacing w:before="0" w:after="220" w:line="240" w:lineRule="auto"/>
        <w:ind w:left="0" w:right="0"/>
        <w:jc w:val="both"/>
      </w:pPr>
      <w:bookmarkStart w:id="287" w:name="bookmark287"/>
      <w:r>
        <w:rPr>
          <w:rFonts w:ascii="Times New Roman" w:eastAsia="Times New Roman" w:hAnsi="Times New Roman" w:cs="Times New Roman"/>
          <w:color w:val="000000"/>
          <w:spacing w:val="0"/>
          <w:w w:val="100"/>
          <w:position w:val="0"/>
        </w:rPr>
        <w:t>3</w:t>
      </w:r>
      <w:bookmarkEnd w:id="287"/>
      <w:r>
        <w:rPr>
          <w:color w:val="000000"/>
          <w:spacing w:val="0"/>
          <w:w w:val="100"/>
          <w:position w:val="0"/>
        </w:rPr>
        <w:t>、</w:t>
        <w:tab/>
        <w:t>自本承诺函签署之日起，本人将不会利用公司股东的身份进行损害公司及其它股东利益的经营活动。</w:t>
      </w:r>
    </w:p>
    <w:p>
      <w:pPr>
        <w:pStyle w:val="Style28"/>
        <w:keepNext w:val="0"/>
        <w:keepLines w:val="0"/>
        <w:widowControl w:val="0"/>
        <w:shd w:val="clear" w:color="auto" w:fill="auto"/>
        <w:tabs>
          <w:tab w:pos="734" w:val="left"/>
        </w:tabs>
        <w:bidi w:val="0"/>
        <w:spacing w:before="0" w:after="140" w:line="574" w:lineRule="auto"/>
        <w:ind w:left="0" w:right="0"/>
        <w:jc w:val="both"/>
      </w:pPr>
      <w:bookmarkStart w:id="288" w:name="bookmark288"/>
      <w:r>
        <w:rPr>
          <w:rFonts w:ascii="Times New Roman" w:eastAsia="Times New Roman" w:hAnsi="Times New Roman" w:cs="Times New Roman"/>
          <w:color w:val="000000"/>
          <w:spacing w:val="0"/>
          <w:w w:val="100"/>
          <w:position w:val="0"/>
        </w:rPr>
        <w:t>4</w:t>
      </w:r>
      <w:bookmarkEnd w:id="288"/>
      <w:r>
        <w:rPr>
          <w:color w:val="000000"/>
          <w:spacing w:val="0"/>
          <w:w w:val="100"/>
          <w:position w:val="0"/>
        </w:rPr>
        <w:t>、</w:t>
        <w:tab/>
        <w:t>如上述承诺被证明是不真实的或未被遵守，本人将向公司赔偿一切直接或间接的损失，并承担相应法律责任。”</w:t>
      </w:r>
    </w:p>
    <w:p>
      <w:pPr>
        <w:pStyle w:val="Style26"/>
        <w:keepNext/>
        <w:keepLines/>
        <w:widowControl w:val="0"/>
        <w:shd w:val="clear" w:color="auto" w:fill="auto"/>
        <w:bidi w:val="0"/>
        <w:spacing w:before="0" w:after="360" w:line="240" w:lineRule="auto"/>
        <w:ind w:left="0" w:right="0" w:firstLine="0"/>
        <w:jc w:val="both"/>
      </w:pPr>
      <w:bookmarkStart w:id="289" w:name="bookmark289"/>
      <w:bookmarkStart w:id="290" w:name="bookmark290"/>
      <w:bookmarkStart w:id="291" w:name="bookmark291"/>
      <w:bookmarkStart w:id="292" w:name="bookmark292"/>
      <w:r>
        <w:rPr>
          <w:color w:val="000000"/>
          <w:spacing w:val="0"/>
          <w:w w:val="100"/>
          <w:position w:val="0"/>
          <w:sz w:val="24"/>
          <w:szCs w:val="24"/>
        </w:rPr>
        <w:t>九</w:t>
      </w:r>
      <w:bookmarkEnd w:id="291"/>
      <w:r>
        <w:rPr>
          <w:color w:val="000000"/>
          <w:spacing w:val="0"/>
          <w:w w:val="100"/>
          <w:position w:val="0"/>
          <w:sz w:val="24"/>
          <w:szCs w:val="24"/>
        </w:rPr>
        <w:t>、聘任、解聘会计师事务所情况</w:t>
      </w:r>
      <w:bookmarkEnd w:id="289"/>
      <w:bookmarkEnd w:id="290"/>
      <w:bookmarkEnd w:id="292"/>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杨春盛、梅月欣</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6"/>
        <w:keepNext/>
        <w:keepLines/>
        <w:widowControl w:val="0"/>
        <w:shd w:val="clear" w:color="auto" w:fill="auto"/>
        <w:bidi w:val="0"/>
        <w:spacing w:before="0" w:after="360" w:line="302" w:lineRule="exact"/>
        <w:ind w:left="0" w:right="0" w:firstLine="0"/>
        <w:jc w:val="both"/>
      </w:pPr>
      <w:bookmarkStart w:id="293" w:name="bookmark293"/>
      <w:bookmarkStart w:id="294" w:name="bookmark294"/>
      <w:bookmarkStart w:id="295" w:name="bookmark295"/>
      <w:r>
        <w:rPr>
          <w:color w:val="000000"/>
          <w:spacing w:val="0"/>
          <w:w w:val="100"/>
          <w:position w:val="0"/>
          <w:sz w:val="24"/>
          <w:szCs w:val="24"/>
        </w:rPr>
        <w:t>十、上市公司及其董事、监事、高级管理人员、公司股东、实际控制人和收购人处罚及整改 情况</w:t>
      </w:r>
      <w:bookmarkEnd w:id="293"/>
      <w:bookmarkEnd w:id="294"/>
      <w:bookmarkEnd w:id="295"/>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上市公司及其子公司是否被列入环保部门公布的污染严重企业名单</w:t>
      </w:r>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报告期内是否被行政处罚</w:t>
      </w:r>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after="360" w:line="302" w:lineRule="exact"/>
        <w:ind w:left="0" w:right="0" w:firstLine="0"/>
        <w:jc w:val="both"/>
      </w:pPr>
      <w:bookmarkStart w:id="296" w:name="bookmark296"/>
      <w:bookmarkStart w:id="297" w:name="bookmark297"/>
      <w:bookmarkStart w:id="298" w:name="bookmark298"/>
      <w:r>
        <w:rPr>
          <w:color w:val="000000"/>
          <w:spacing w:val="0"/>
          <w:w w:val="100"/>
          <w:position w:val="0"/>
          <w:sz w:val="24"/>
          <w:szCs w:val="24"/>
        </w:rPr>
        <w:t>十一、公司股东及其一致行动人在报告期提出或实施股份增持计划的情况</w:t>
      </w:r>
      <w:bookmarkEnd w:id="296"/>
      <w:bookmarkEnd w:id="297"/>
      <w:bookmarkEnd w:id="298"/>
    </w:p>
    <w:p>
      <w:pPr>
        <w:pStyle w:val="Style28"/>
        <w:keepNext w:val="0"/>
        <w:keepLines w:val="0"/>
        <w:widowControl w:val="0"/>
        <w:shd w:val="clear" w:color="auto" w:fill="auto"/>
        <w:bidi w:val="0"/>
        <w:spacing w:before="0" w:after="260" w:line="240" w:lineRule="auto"/>
        <w:ind w:left="0" w:right="0"/>
        <w:jc w:val="both"/>
      </w:pPr>
      <w:r>
        <w:rPr>
          <w:color w:val="000000"/>
          <w:spacing w:val="0"/>
          <w:w w:val="100"/>
          <w:position w:val="0"/>
        </w:rPr>
        <w:t>报告期内，公司股东及其一致行动人没有提出或实施股份增持计划的情况。</w:t>
      </w:r>
    </w:p>
    <w:p>
      <w:pPr>
        <w:pStyle w:val="Style26"/>
        <w:keepNext/>
        <w:keepLines/>
        <w:widowControl w:val="0"/>
        <w:shd w:val="clear" w:color="auto" w:fill="auto"/>
        <w:bidi w:val="0"/>
        <w:spacing w:before="0" w:after="16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十二、其他重大事项的说明</w:t>
      </w:r>
      <w:bookmarkEnd w:id="299"/>
      <w:bookmarkEnd w:id="300"/>
      <w:bookmarkEnd w:id="301"/>
    </w:p>
    <w:p>
      <w:pPr>
        <w:pStyle w:val="Style28"/>
        <w:keepNext w:val="0"/>
        <w:keepLines w:val="0"/>
        <w:widowControl w:val="0"/>
        <w:shd w:val="clear" w:color="auto" w:fill="auto"/>
        <w:tabs>
          <w:tab w:pos="656" w:val="left"/>
        </w:tabs>
        <w:bidi w:val="0"/>
        <w:spacing w:before="0" w:after="0" w:line="470" w:lineRule="exact"/>
        <w:ind w:left="0" w:right="0"/>
        <w:jc w:val="both"/>
      </w:pPr>
      <w:bookmarkStart w:id="302" w:name="bookmark302"/>
      <w:r>
        <w:rPr>
          <w:rFonts w:ascii="Times New Roman" w:eastAsia="Times New Roman" w:hAnsi="Times New Roman" w:cs="Times New Roman"/>
          <w:color w:val="000000"/>
          <w:spacing w:val="0"/>
          <w:w w:val="100"/>
          <w:position w:val="0"/>
        </w:rPr>
        <w:t>1</w:t>
      </w:r>
      <w:bookmarkEnd w:id="302"/>
      <w:r>
        <w:rPr>
          <w:color w:val="000000"/>
          <w:spacing w:val="0"/>
          <w:w w:val="100"/>
          <w:position w:val="0"/>
        </w:rPr>
        <w:t>、</w:t>
        <w:tab/>
        <w:t>公司与深圳联合金融服务集团有限公司成立合资公司的进展情况</w:t>
      </w:r>
    </w:p>
    <w:p>
      <w:pPr>
        <w:pStyle w:val="Style28"/>
        <w:keepNext w:val="0"/>
        <w:keepLines w:val="0"/>
        <w:widowControl w:val="0"/>
        <w:shd w:val="clear" w:color="auto" w:fill="auto"/>
        <w:bidi w:val="0"/>
        <w:spacing w:before="0" w:after="160" w:line="470"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日，公司召开了第二届董事会第十九次会议，审议通过了《关于公司与深圳联合金融服务集团有限公司 投资成立合资公司的议案》，同日，公司与深圳联合金融服务集团有限公司（以下简称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联合金融</w:t>
      </w:r>
      <w:r>
        <w:rPr>
          <w:rFonts w:ascii="Times New Roman" w:eastAsia="Times New Roman" w:hAnsi="Times New Roman" w:cs="Times New Roman"/>
          <w:color w:val="000000"/>
          <w:spacing w:val="0"/>
          <w:w w:val="100"/>
          <w:position w:val="0"/>
        </w:rPr>
        <w:t>”</w:t>
      </w:r>
      <w:r>
        <w:rPr>
          <w:color w:val="000000"/>
          <w:spacing w:val="0"/>
          <w:w w:val="100"/>
          <w:position w:val="0"/>
        </w:rPr>
        <w:t>）签署了《投资合作框架 协议》，协议核心内容是公司与联合金融公司共同出资设立合资公司，共同开发银行支票金融服务市场。中心目标是建设和 运营深圳地区以及全国其他地区统一的票据跨行信息交换网络，提供先进的票据支付技术和与票据跨行信息交换相关的专业 化服务（详细内容见公司在中国证监会指定信息披露网站巨潮资讯网上公布的相关公告）。新设合资公司深圳票联金融服务 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日完成工商注册登记。目前公司及合作方正按照框架协议内容落实技术方案的设计与开发、对 盈利模式进行具体的市场分析与规划等事宜。</w:t>
      </w:r>
    </w:p>
    <w:p>
      <w:pPr>
        <w:pStyle w:val="Style28"/>
        <w:keepNext w:val="0"/>
        <w:keepLines w:val="0"/>
        <w:widowControl w:val="0"/>
        <w:shd w:val="clear" w:color="auto" w:fill="auto"/>
        <w:tabs>
          <w:tab w:pos="674" w:val="left"/>
        </w:tabs>
        <w:bidi w:val="0"/>
        <w:spacing w:before="0" w:after="0" w:line="472" w:lineRule="exact"/>
        <w:ind w:left="0" w:right="0"/>
        <w:jc w:val="left"/>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t>公司与易宝支付有限公司、北京创恒鼎盛科技有限公司设立合资公司的进展情况</w:t>
      </w:r>
    </w:p>
    <w:p>
      <w:pPr>
        <w:pStyle w:val="Style28"/>
        <w:keepNext w:val="0"/>
        <w:keepLines w:val="0"/>
        <w:widowControl w:val="0"/>
        <w:shd w:val="clear" w:color="auto" w:fill="auto"/>
        <w:bidi w:val="0"/>
        <w:spacing w:before="0" w:after="160" w:line="472" w:lineRule="exact"/>
        <w:ind w:left="0" w:right="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日，公司召开了第二届董事会第二十一次会议，审议通过了《关于使用超募资金投资设立合资公司开 展征信服务业务的议案》，同意公司与易宝支付有限公司、北京创恒鼎盛科技有限公司共同投资人民币</w:t>
      </w:r>
      <w:r>
        <w:rPr>
          <w:rFonts w:ascii="Times New Roman" w:eastAsia="Times New Roman" w:hAnsi="Times New Roman" w:cs="Times New Roman"/>
          <w:color w:val="000000"/>
          <w:spacing w:val="0"/>
          <w:w w:val="100"/>
          <w:position w:val="0"/>
        </w:rPr>
        <w:t>5000</w:t>
      </w:r>
      <w:r>
        <w:rPr>
          <w:color w:val="000000"/>
          <w:spacing w:val="0"/>
          <w:w w:val="100"/>
          <w:position w:val="0"/>
        </w:rPr>
        <w:t>万元设立合资 公司，共同开发征信服务业务。同日，公司与易宝支付有限公司、北京创恒鼎盛科技有限公司签署《投资合作框架协议》。 新设合资公司北京华道征信有限公司于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日完成工商注册登记。目前公司及合作各方正按照框架协议内容积 极开展个人征信业务许可的申报工作等。</w:t>
      </w:r>
      <w:r>
        <w:br w:type="page"/>
      </w:r>
    </w:p>
    <w:p>
      <w:pPr>
        <w:pStyle w:val="Style13"/>
        <w:keepNext/>
        <w:keepLines/>
        <w:widowControl w:val="0"/>
        <w:shd w:val="clear" w:color="auto" w:fill="auto"/>
        <w:bidi w:val="0"/>
        <w:spacing w:before="0" w:line="240" w:lineRule="auto"/>
        <w:ind w:left="0" w:right="0" w:firstLine="0"/>
        <w:jc w:val="center"/>
      </w:pPr>
      <w:bookmarkStart w:id="304" w:name="bookmark304"/>
      <w:bookmarkStart w:id="305" w:name="bookmark305"/>
      <w:bookmarkStart w:id="306" w:name="bookmark306"/>
      <w:r>
        <w:rPr>
          <w:color w:val="000000"/>
          <w:spacing w:val="0"/>
          <w:w w:val="100"/>
          <w:position w:val="0"/>
        </w:rPr>
        <w:t>第六节股份变动及股东情况</w:t>
      </w:r>
      <w:bookmarkEnd w:id="304"/>
      <w:bookmarkEnd w:id="305"/>
      <w:bookmarkEnd w:id="306"/>
    </w:p>
    <w:p>
      <w:pPr>
        <w:pStyle w:val="Style26"/>
        <w:keepNext/>
        <w:keepLines/>
        <w:widowControl w:val="0"/>
        <w:shd w:val="clear" w:color="auto" w:fill="auto"/>
        <w:bidi w:val="0"/>
        <w:spacing w:before="0" w:after="34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一</w:t>
      </w:r>
      <w:bookmarkEnd w:id="309"/>
      <w:r>
        <w:rPr>
          <w:color w:val="000000"/>
          <w:spacing w:val="0"/>
          <w:w w:val="100"/>
          <w:position w:val="0"/>
          <w:sz w:val="24"/>
          <w:szCs w:val="24"/>
        </w:rPr>
        <w:t>、股份变动情况</w:t>
      </w:r>
      <w:bookmarkEnd w:id="307"/>
      <w:bookmarkEnd w:id="308"/>
      <w:bookmarkEnd w:id="310"/>
    </w:p>
    <w:p>
      <w:pPr>
        <w:pStyle w:val="Style33"/>
        <w:keepNext/>
        <w:keepLines/>
        <w:widowControl w:val="0"/>
        <w:shd w:val="clear" w:color="auto" w:fill="auto"/>
        <w:bidi w:val="0"/>
        <w:spacing w:before="0" w:after="340" w:line="240" w:lineRule="auto"/>
        <w:ind w:left="0" w:right="0" w:firstLine="0"/>
        <w:jc w:val="both"/>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、股份变动情况</w:t>
      </w:r>
      <w:bookmarkEnd w:id="311"/>
      <w:bookmarkEnd w:id="312"/>
      <w:bookmarkEnd w:id="3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994"/>
        <w:gridCol w:w="744"/>
        <w:gridCol w:w="845"/>
        <w:gridCol w:w="538"/>
        <w:gridCol w:w="994"/>
        <w:gridCol w:w="989"/>
        <w:gridCol w:w="994"/>
        <w:gridCol w:w="994"/>
        <w:gridCol w:w="71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81,374,562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-22,163,828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59,210,734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81,374,562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-22,163,828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59,210,734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81,374,562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-22,163,828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59,210,734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38,625,438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62,119,266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38,625,438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62,119,266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121,330,000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报告期内，依照《深圳证券交易所创业板上市公司规范运作指引》的相关规定，解除高管锁定股568,578股。</w:t>
      </w:r>
    </w:p>
    <w:p>
      <w:pPr>
        <w:pStyle w:val="Style28"/>
        <w:keepNext w:val="0"/>
        <w:keepLines w:val="0"/>
        <w:widowControl w:val="0"/>
        <w:shd w:val="clear" w:color="auto" w:fill="auto"/>
        <w:bidi w:val="0"/>
        <w:spacing w:before="0" w:after="0" w:line="467" w:lineRule="exact"/>
        <w:ind w:left="0" w:right="0" w:firstLine="360"/>
        <w:jc w:val="both"/>
      </w:pPr>
      <w:r>
        <w:rPr>
          <w:color w:val="000000"/>
          <w:spacing w:val="0"/>
          <w:w w:val="100"/>
          <w:position w:val="0"/>
        </w:rPr>
        <w:t>2013年5月27日，公司首次公开发行前已发行股份79,740,000股解除限售，实际上市流通数量为22,925,250股，其余 56,814,750股转为高管锁定股。公司股东张学君、何晔、陈向军、李军为公司现任董事、高级管理人员，其所持限售股份解 除限售后，在其任职期间每年转让的股份不超过其所持有公司股份总数的25%，离职后半年内，不转让其所持有的公司股份。</w:t>
      </w:r>
    </w:p>
    <w:p>
      <w:pPr>
        <w:pStyle w:val="Style28"/>
        <w:keepNext w:val="0"/>
        <w:keepLines w:val="0"/>
        <w:widowControl w:val="0"/>
        <w:shd w:val="clear" w:color="auto" w:fill="auto"/>
        <w:bidi w:val="0"/>
        <w:spacing w:before="0" w:after="280" w:line="467" w:lineRule="exact"/>
        <w:ind w:left="0" w:right="0" w:firstLine="360"/>
        <w:jc w:val="both"/>
      </w:pPr>
      <w:r>
        <w:rPr>
          <w:color w:val="000000"/>
          <w:spacing w:val="0"/>
          <w:w w:val="100"/>
          <w:position w:val="0"/>
        </w:rPr>
        <w:t>报告期内，公司实施股权激励计划，完成了公司股权激励计划首次授予所涉133万股限制性股票和32万份股票期权的授 予登记工作，公司总股本由120,000,000股增加至121,330,000股。</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474" w:lineRule="exact"/>
        <w:ind w:left="0" w:right="0"/>
        <w:jc w:val="both"/>
      </w:pPr>
      <w:r>
        <w:rPr>
          <w:color w:val="000000"/>
          <w:spacing w:val="0"/>
          <w:w w:val="100"/>
          <w:position w:val="0"/>
        </w:rPr>
        <w:t>2013年5月24日，公司分别召开了第二届董事会第十五次会议和第二届监事会第十三次会议，审议通过了《股票期权与 限制性股票激励计划（草案）及其摘要》，公司独立董事已对此事项发表了独立意见，公司监事会对本次股权激励计划激励 对象名单发表了核查意见。其后公司向中国证监会上报了申请备案材料。</w:t>
      </w:r>
    </w:p>
    <w:p>
      <w:pPr>
        <w:pStyle w:val="Style28"/>
        <w:keepNext w:val="0"/>
        <w:keepLines w:val="0"/>
        <w:widowControl w:val="0"/>
        <w:shd w:val="clear" w:color="auto" w:fill="auto"/>
        <w:bidi w:val="0"/>
        <w:spacing w:before="0" w:after="0" w:line="474" w:lineRule="exact"/>
        <w:ind w:left="0" w:right="0"/>
        <w:jc w:val="both"/>
      </w:pPr>
      <w:r>
        <w:rPr>
          <w:color w:val="000000"/>
          <w:spacing w:val="0"/>
          <w:w w:val="100"/>
          <w:position w:val="0"/>
        </w:rPr>
        <w:t>根据中国证监会的反馈意见，公司对股票期权与限制性股票激励计划（草案）及其摘要的部分条款进行了相应修改，并 于2013年7月29日召开第二届董事会第十六次会议和第二届监事会第十四次会议，审议通过了《股票期权与限制性股票激励 计划（修订案）及其摘要》，公司独立董事对激励计划发表了独立意见。该激励计划经中国证监会备案无异议。</w:t>
      </w:r>
    </w:p>
    <w:p>
      <w:pPr>
        <w:pStyle w:val="Style28"/>
        <w:keepNext w:val="0"/>
        <w:keepLines w:val="0"/>
        <w:widowControl w:val="0"/>
        <w:shd w:val="clear" w:color="auto" w:fill="auto"/>
        <w:bidi w:val="0"/>
        <w:spacing w:before="0" w:after="0" w:line="474" w:lineRule="exact"/>
        <w:ind w:left="0" w:right="0"/>
        <w:jc w:val="both"/>
      </w:pPr>
      <w:r>
        <w:rPr>
          <w:color w:val="000000"/>
          <w:spacing w:val="0"/>
          <w:w w:val="100"/>
          <w:position w:val="0"/>
        </w:rPr>
        <w:t>公司于2013年8月14日召开2013年第一次临时股东大会审议通过了《股票期权与限制性股票激励计划（修订案）及其摘 要》、《股权激励计划实施考核管理办法》及《关于提请股东大会授权董事会办理股票期权与限制性股票激励计划相关事宜 的议案》。董事会被授权确定股票期权和限制性股票授予日、在激励对象符合条件时向激励对象授予股票期权与限制性股票 并办理授予股票期权与限制性股票所必须的全部事宜。</w:t>
      </w:r>
    </w:p>
    <w:p>
      <w:pPr>
        <w:pStyle w:val="Style28"/>
        <w:keepNext w:val="0"/>
        <w:keepLines w:val="0"/>
        <w:widowControl w:val="0"/>
        <w:shd w:val="clear" w:color="auto" w:fill="auto"/>
        <w:bidi w:val="0"/>
        <w:spacing w:before="0" w:after="380" w:line="472" w:lineRule="exact"/>
        <w:ind w:left="0" w:right="0"/>
        <w:jc w:val="both"/>
      </w:pPr>
      <w:r>
        <w:rPr>
          <w:color w:val="000000"/>
          <w:spacing w:val="0"/>
          <w:w w:val="100"/>
          <w:position w:val="0"/>
        </w:rPr>
        <w:t>公司于2013年8月20日召开第二届董事会第十八次会议审议通过了《关于调整股权激励对象名单及授予数量的议案》以 及《关于向激励对象授予股票期权与限制性股票的议案》，并于当日召开第二届监事会第十六次会议，审议通过了《关于核 实公司股票期权与限制性股票激励计划激励对象名单的议案》。公司独立董事对此发表了独立意见，认为激励对象主体资格 确认办法合法有效，确定的授权日符合相关规定。</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380" w:line="470" w:lineRule="exact"/>
        <w:ind w:left="0" w:right="0"/>
        <w:jc w:val="both"/>
      </w:pPr>
      <w:r>
        <w:rPr>
          <w:color w:val="000000"/>
          <w:spacing w:val="0"/>
          <w:w w:val="100"/>
          <w:position w:val="0"/>
        </w:rPr>
        <w:t>2013年10月11日，公司完成了 133万股限制性股票和32万份股票期权的授予登记工作。根据深圳证券交易所安排，上述 133万股限制性股票于2013年10月15日上市。公司总股本由120,000,000股增加至121,330,000股。</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、限售股份变动情况</w:t>
      </w:r>
      <w:bookmarkEnd w:id="315"/>
      <w:bookmarkEnd w:id="316"/>
      <w:bookmarkEnd w:id="3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181"/>
        <w:gridCol w:w="1560"/>
        <w:gridCol w:w="1560"/>
        <w:gridCol w:w="1166"/>
        <w:gridCol w:w="1368"/>
        <w:gridCol w:w="13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27,909,000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27,909,000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20,931,750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20,931,750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bl>
    <w:p>
      <w:pPr>
        <w:spacing w:lineRule="exact" w:line="1"/>
        <w:rPr>
          <w:sz w:val="2"/>
          <w:szCs w:val="2"/>
        </w:rPr>
      </w:pPr>
      <w:r>
        <w:br w:type="page"/>
      </w:r>
    </w:p>
    <w:tbl>
      <w:tblPr>
        <w:tblOverlap w:val="never"/>
        <w:jc w:val="center"/>
        <w:tblLayout w:type="fixed"/>
      </w:tblPr>
      <w:tblGrid>
        <w:gridCol w:w="1373"/>
        <w:gridCol w:w="1181"/>
        <w:gridCol w:w="1560"/>
        <w:gridCol w:w="1560"/>
        <w:gridCol w:w="1166"/>
        <w:gridCol w:w="1368"/>
        <w:gridCol w:w="1378"/>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23,922,000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23,922,000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17,941,500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日解除限售</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3,987,000 </w:t>
            </w:r>
            <w:r>
              <w:rPr>
                <w:color w:val="000000"/>
                <w:spacing w:val="0"/>
                <w:w w:val="100"/>
                <w:position w:val="0"/>
              </w:rPr>
              <w:t>股</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彭建文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502,250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解除限售</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502,250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每年按照上年末 持有股份数的 </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 解除限售</w:t>
            </w:r>
            <w:r>
              <w:rPr>
                <w:rFonts w:ascii="Times New Roman" w:eastAsia="Times New Roman" w:hAnsi="Times New Roman" w:cs="Times New Roman"/>
                <w:color w:val="000000"/>
                <w:spacing w:val="0"/>
                <w:w w:val="100"/>
                <w:position w:val="0"/>
              </w:rPr>
              <w:t xml:space="preserve">60,000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股权激励对象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在满足解锁条件 下，分三期进行 解锁。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81,374,562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80,308,578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58,144,750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59,210,734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二</w:t>
      </w:r>
      <w:bookmarkEnd w:id="321"/>
      <w:r>
        <w:rPr>
          <w:color w:val="000000"/>
          <w:spacing w:val="0"/>
          <w:w w:val="100"/>
          <w:position w:val="0"/>
          <w:sz w:val="24"/>
          <w:szCs w:val="24"/>
        </w:rPr>
        <w:t>、证券发行与上市情况</w:t>
      </w:r>
      <w:bookmarkEnd w:id="319"/>
      <w:bookmarkEnd w:id="320"/>
      <w:bookmarkEnd w:id="322"/>
    </w:p>
    <w:p>
      <w:pPr>
        <w:pStyle w:val="Style33"/>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、报告期内证券发行情况</w:t>
      </w:r>
      <w:bookmarkEnd w:id="323"/>
      <w:bookmarkEnd w:id="324"/>
      <w:bookmarkEnd w:id="326"/>
    </w:p>
    <w:tbl>
      <w:tblPr>
        <w:tblOverlap w:val="never"/>
        <w:jc w:val="center"/>
        <w:tblLayout w:type="fixed"/>
      </w:tblPr>
      <w:tblGrid>
        <w:gridCol w:w="1565"/>
        <w:gridCol w:w="1555"/>
        <w:gridCol w:w="994"/>
        <w:gridCol w:w="1133"/>
        <w:gridCol w:w="1594"/>
        <w:gridCol w:w="1526"/>
        <w:gridCol w:w="121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股票及其衍生证券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发行价格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获准上市交易数量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交易终止日期</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银之杰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463" w:lineRule="exact"/>
        <w:ind w:left="0" w:right="0" w:firstLine="0"/>
        <w:jc w:val="both"/>
      </w:pPr>
      <w:r>
        <w:rPr>
          <w:color w:val="000000"/>
          <w:spacing w:val="0"/>
          <w:w w:val="100"/>
          <w:position w:val="0"/>
        </w:rPr>
        <w:t>证券发行情况的说明</w:t>
      </w:r>
    </w:p>
    <w:p>
      <w:pPr>
        <w:pStyle w:val="Style28"/>
        <w:keepNext w:val="0"/>
        <w:keepLines w:val="0"/>
        <w:widowControl w:val="0"/>
        <w:shd w:val="clear" w:color="auto" w:fill="auto"/>
        <w:bidi w:val="0"/>
        <w:spacing w:before="0" w:after="460" w:line="463" w:lineRule="exact"/>
        <w:ind w:left="0" w:right="0"/>
        <w:jc w:val="both"/>
      </w:pPr>
      <w:r>
        <w:rPr>
          <w:color w:val="000000"/>
          <w:spacing w:val="0"/>
          <w:w w:val="100"/>
          <w:position w:val="0"/>
        </w:rPr>
        <w:t>根据中国证监会《上市公司股权激励管理办法（试行）》的有关规定，经中国证监会备案无异议和公司股东大会审议通 过后，公司按照《股票期权与限制性股票激励计划（修订案）》，首次授予28名激励对象133万股限制性股票和32万份股票 期权。公司授予的限制性股票的授予价格为</w:t>
      </w:r>
      <w:r>
        <w:rPr>
          <w:color w:val="000000"/>
          <w:spacing w:val="0"/>
          <w:w w:val="100"/>
          <w:position w:val="0"/>
        </w:rPr>
        <w:t>4.74</w:t>
      </w:r>
      <w:r>
        <w:rPr>
          <w:color w:val="000000"/>
          <w:spacing w:val="0"/>
          <w:w w:val="100"/>
          <w:position w:val="0"/>
        </w:rPr>
        <w:t>元，股票期权的行权价格为</w:t>
      </w:r>
      <w:r>
        <w:rPr>
          <w:color w:val="000000"/>
          <w:spacing w:val="0"/>
          <w:w w:val="100"/>
          <w:position w:val="0"/>
        </w:rPr>
        <w:t>11.39</w:t>
      </w:r>
      <w:r>
        <w:rPr>
          <w:color w:val="000000"/>
          <w:spacing w:val="0"/>
          <w:w w:val="100"/>
          <w:position w:val="0"/>
        </w:rPr>
        <w:t>元。</w:t>
      </w:r>
    </w:p>
    <w:p>
      <w:pPr>
        <w:pStyle w:val="Style33"/>
        <w:keepNext/>
        <w:keepLines/>
        <w:widowControl w:val="0"/>
        <w:shd w:val="clear" w:color="auto" w:fill="auto"/>
        <w:bidi w:val="0"/>
        <w:spacing w:before="0" w:after="20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2</w:t>
      </w:r>
      <w:bookmarkEnd w:id="329"/>
      <w:r>
        <w:rPr>
          <w:color w:val="000000"/>
          <w:spacing w:val="0"/>
          <w:w w:val="100"/>
          <w:position w:val="0"/>
        </w:rPr>
        <w:t>、公司股份总数及股东结构的变动、公司资产和负债结构的变动情况说明</w:t>
      </w:r>
      <w:bookmarkEnd w:id="327"/>
      <w:bookmarkEnd w:id="328"/>
      <w:bookmarkEnd w:id="330"/>
    </w:p>
    <w:p>
      <w:pPr>
        <w:pStyle w:val="Style28"/>
        <w:keepNext w:val="0"/>
        <w:keepLines w:val="0"/>
        <w:widowControl w:val="0"/>
        <w:shd w:val="clear" w:color="auto" w:fill="auto"/>
        <w:bidi w:val="0"/>
        <w:spacing w:before="0" w:after="460" w:line="456" w:lineRule="exact"/>
        <w:ind w:left="0" w:right="0"/>
        <w:jc w:val="both"/>
      </w:pPr>
      <w:r>
        <w:rPr>
          <w:color w:val="000000"/>
          <w:spacing w:val="0"/>
          <w:w w:val="100"/>
          <w:position w:val="0"/>
        </w:rPr>
        <w:t>报告期内，公司实施股权激励计划，完成了公司股权激励计划首次授予所涉133万股限制性股票和32万份股票期权的授 予登记工作，公司总股本由120,000,000股增加至121,330,000股。</w:t>
      </w:r>
    </w:p>
    <w:p>
      <w:pPr>
        <w:pStyle w:val="Style26"/>
        <w:keepNext/>
        <w:keepLines/>
        <w:widowControl w:val="0"/>
        <w:shd w:val="clear" w:color="auto" w:fill="auto"/>
        <w:bidi w:val="0"/>
        <w:spacing w:before="0" w:after="32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sz w:val="24"/>
          <w:szCs w:val="24"/>
        </w:rPr>
        <w:t>三</w:t>
      </w:r>
      <w:bookmarkEnd w:id="333"/>
      <w:r>
        <w:rPr>
          <w:color w:val="000000"/>
          <w:spacing w:val="0"/>
          <w:w w:val="100"/>
          <w:position w:val="0"/>
          <w:sz w:val="24"/>
          <w:szCs w:val="24"/>
        </w:rPr>
        <w:t>、股东和实际控制人情况</w:t>
      </w:r>
      <w:bookmarkEnd w:id="331"/>
      <w:bookmarkEnd w:id="332"/>
      <w:bookmarkEnd w:id="334"/>
    </w:p>
    <w:p>
      <w:pPr>
        <w:pStyle w:val="Style33"/>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、公司股东数量及持股情况</w:t>
      </w:r>
      <w:bookmarkEnd w:id="335"/>
      <w:bookmarkEnd w:id="336"/>
      <w:bookmarkEnd w:id="33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1416"/>
        <w:gridCol w:w="854"/>
        <w:gridCol w:w="1133"/>
        <w:gridCol w:w="850"/>
        <w:gridCol w:w="994"/>
        <w:gridCol w:w="989"/>
        <w:gridCol w:w="854"/>
        <w:gridCol w:w="787"/>
      </w:tblGrid>
      <w:tr>
        <w:trPr>
          <w:trHeight w:val="408" w:hRule="exact"/>
        </w:trPr>
        <w:tc>
          <w:tcPr>
            <w:gridSpan w:val="7"/>
            <w:tcBorders>
              <w:top w:val="single" w:sz="4"/>
              <w:left w:val="single" w:sz="4"/>
            </w:tcBorders>
            <w:shd w:val="clear" w:color="auto" w:fill="D3D3D3"/>
            <w:vAlign w:val="center"/>
          </w:tcPr>
          <w:p>
            <w:pPr>
              <w:pStyle w:val="Style23"/>
              <w:keepNext w:val="0"/>
              <w:keepLines w:val="0"/>
              <w:widowControl w:val="0"/>
              <w:shd w:val="clear" w:color="auto" w:fill="auto"/>
              <w:tabs>
                <w:tab w:pos="3926" w:val="left"/>
              </w:tabs>
              <w:bidi w:val="0"/>
              <w:spacing w:before="0" w:after="0" w:line="240" w:lineRule="auto"/>
              <w:ind w:left="0" w:right="0" w:firstLine="0"/>
              <w:jc w:val="left"/>
            </w:pPr>
            <w:r>
              <w:rPr>
                <w:color w:val="000000"/>
                <w:spacing w:val="0"/>
                <w:w w:val="100"/>
                <w:position w:val="0"/>
              </w:rPr>
              <w:t>报告期末股东总数</w:t>
              <w:tab/>
            </w:r>
            <w:r>
              <w:rPr>
                <w:rFonts w:ascii="Times New Roman" w:eastAsia="Times New Roman" w:hAnsi="Times New Roman" w:cs="Times New Roman"/>
                <w:color w:val="000000"/>
                <w:spacing w:val="0"/>
                <w:w w:val="100"/>
                <w:position w:val="0"/>
              </w:rPr>
              <w:t>3,361</w:t>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 条件的股份 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27,909,000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20,931,750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6,977,250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23,922,000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2,990,250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2,990,250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3,987,000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中国建设银行一华商 盛世成长股票型证券 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3,722,545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3,722,545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汉盛证券投资基金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2,550,818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2,550,818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中国建设银行一富国 宏观策略灵活配置混 合型证券投资基金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1,768,517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1,768,517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交通银行一富国天益 价值证券投资基金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1,708,105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中国建设银行一华夏 红利混合型开放式证 券投资基金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1,317,908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1,317,908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1,317,908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0"/>
        <w:gridCol w:w="1138"/>
        <w:gridCol w:w="2832"/>
        <w:gridCol w:w="1421"/>
        <w:gridCol w:w="10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公司前十名股东之间，张学君、陈向军、李军三人为公司共同实际控制人、一致行 动人。除此以外，公司未知前十名股东之间是否存在关联关系，也未知是否属于一 致行动人。</w:t>
            </w:r>
          </w:p>
        </w:tc>
      </w:tr>
      <w:tr>
        <w:trPr>
          <w:trHeight w:val="403" w:hRule="exact"/>
        </w:trPr>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6,977,250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6,977,250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5,980,500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5,980,500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3,987,000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3,987,000</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中国建设银行一华商盛世成长股票型证券投资基金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3,722,545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3,722,545</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2,990,250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2,990,250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2,990,250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2,990,250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汉盛证券投资基金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2,550,818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2,550,818</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中国建设银行一富国宏观策略灵活配置混合型证券投 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1,768,517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1,768,517</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交通银行一富国天益价值证券投资基金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1,708,105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1,708,105</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中国建设银行一华夏红利混合型开放式证券投资基金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1,317,908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1,317,908</w:t>
            </w:r>
          </w:p>
        </w:tc>
      </w:tr>
      <w:tr>
        <w:trPr>
          <w:trHeight w:val="1349"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名股东之间关联关系或一致行动的 说明</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公司前十名无限售股股东之间，张学君、陈向军、李军三人为公司 共同实际控制人、一致行动人。除此以外，公司未知前十名无限售 股股东之间，以及前十名无限售股股东和前十名股东之间是否存在 关联关系，也未知是否属于一致行动人。</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、公司控股股东情况</w:t>
      </w:r>
      <w:bookmarkEnd w:id="339"/>
      <w:bookmarkEnd w:id="340"/>
      <w:bookmarkEnd w:id="342"/>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336"/>
        <w:gridCol w:w="2059"/>
        <w:gridCol w:w="41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05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张学君女士，</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月至今任公司董事。</w:t>
            </w:r>
          </w:p>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陈向军先生，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月起任北京华道征信 有限公司董事、总经理。</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李军先生，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月起任公司董事、总经理，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月起任深圳票联金 融服务有限公司董事，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月起任公司参股子公司北京华道征信有限公司 董事。</w:t>
            </w:r>
          </w:p>
        </w:tc>
      </w:tr>
    </w:tbl>
    <w:p>
      <w:pPr>
        <w:spacing w:lineRule="exact" w:line="1"/>
        <w:rPr>
          <w:sz w:val="2"/>
          <w:szCs w:val="2"/>
        </w:rPr>
      </w:pPr>
      <w:r>
        <w:br w:type="page"/>
      </w:r>
    </w:p>
    <w:tbl>
      <w:tblPr>
        <w:tblOverlap w:val="never"/>
        <w:jc w:val="center"/>
        <w:tblLayout w:type="fixed"/>
      </w:tblPr>
      <w:tblGrid>
        <w:gridCol w:w="3336"/>
        <w:gridCol w:w="624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、公司实际控制人情况</w:t>
      </w:r>
      <w:bookmarkEnd w:id="343"/>
      <w:bookmarkEnd w:id="344"/>
      <w:bookmarkEnd w:id="346"/>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226"/>
        <w:gridCol w:w="2227"/>
        <w:gridCol w:w="41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0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张学君女士，</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月至今任公司董事。</w:t>
            </w:r>
          </w:p>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陈向军先生，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月起任北京华道征信有 限公司董事、总经理。</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李军先生，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月起任公司董事、总经理，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月起任深圳票联金 融服务有限公司董事，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月起任公司参股子公司北京华道征信有限公司 董事。</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02990" cy="134747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602990" cy="1347470"/>
                    </a:xfrm>
                    <a:prstGeom prst="rect"/>
                  </pic:spPr>
                </pic:pic>
              </a:graphicData>
            </a:graphic>
          </wp:inline>
        </w:drawing>
      </w:r>
    </w:p>
    <w:p>
      <w:pPr>
        <w:widowControl w:val="0"/>
        <w:spacing w:after="59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47"/>
      <w:bookmarkEnd w:id="348"/>
      <w:bookmarkEnd w:id="350"/>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新增可上市交易股份数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20,931,750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任大鹏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按照公司《股票期权与限制性股票激励计划（修 订案）》的相关规定进行解锁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张保斌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按照公司《股票期权与限制性股票激励计划（修 订案）》的相关规定进行解锁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蔡超伟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按照公司《股票期权与限制性股票激励计划（修 订案）》的相关规定进行解锁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100,000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按照公司《股票期权与限制性股票激励计划（修 订案）》的相关规定进行解锁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351" w:name="bookmark351"/>
      <w:bookmarkStart w:id="352" w:name="bookmark352"/>
      <w:bookmarkStart w:id="353" w:name="bookmark353"/>
      <w:r>
        <w:rPr>
          <w:color w:val="000000"/>
          <w:spacing w:val="0"/>
          <w:w w:val="100"/>
          <w:position w:val="0"/>
        </w:rPr>
        <w:t>第七节董事、监事、高级管理人员和员工情况</w:t>
      </w:r>
      <w:bookmarkEnd w:id="351"/>
      <w:bookmarkEnd w:id="352"/>
      <w:bookmarkEnd w:id="353"/>
    </w:p>
    <w:p>
      <w:pPr>
        <w:pStyle w:val="Style26"/>
        <w:keepNext/>
        <w:keepLines/>
        <w:widowControl w:val="0"/>
        <w:shd w:val="clear" w:color="auto" w:fill="auto"/>
        <w:bidi w:val="0"/>
        <w:spacing w:before="0" w:line="240" w:lineRule="auto"/>
        <w:ind w:left="0" w:right="0" w:firstLine="140"/>
        <w:jc w:val="left"/>
      </w:pPr>
      <w:bookmarkStart w:id="354" w:name="bookmark354"/>
      <w:bookmarkStart w:id="355" w:name="bookmark355"/>
      <w:bookmarkStart w:id="356" w:name="bookmark356"/>
      <w:bookmarkStart w:id="357" w:name="bookmark357"/>
      <w:r>
        <w:rPr>
          <w:color w:val="000000"/>
          <w:spacing w:val="0"/>
          <w:w w:val="100"/>
          <w:position w:val="0"/>
          <w:sz w:val="24"/>
          <w:szCs w:val="24"/>
        </w:rPr>
        <w:t>一</w:t>
      </w:r>
      <w:bookmarkEnd w:id="356"/>
      <w:r>
        <w:rPr>
          <w:color w:val="000000"/>
          <w:spacing w:val="0"/>
          <w:w w:val="100"/>
          <w:position w:val="0"/>
          <w:sz w:val="24"/>
          <w:szCs w:val="24"/>
        </w:rPr>
        <w:t>、董事、监事和高级管理人员持股变动</w:t>
      </w:r>
      <w:bookmarkEnd w:id="354"/>
      <w:bookmarkEnd w:id="355"/>
      <w:bookmarkEnd w:id="357"/>
    </w:p>
    <w:p>
      <w:pPr>
        <w:pStyle w:val="Style33"/>
        <w:keepNext/>
        <w:keepLines/>
        <w:widowControl w:val="0"/>
        <w:shd w:val="clear" w:color="auto" w:fill="auto"/>
        <w:bidi w:val="0"/>
        <w:spacing w:before="0" w:after="300" w:line="240" w:lineRule="auto"/>
        <w:ind w:left="0" w:right="0" w:firstLine="14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、持股情况</w:t>
      </w:r>
      <w:bookmarkEnd w:id="358"/>
      <w:bookmarkEnd w:id="359"/>
      <w:bookmarkEnd w:id="361"/>
    </w:p>
    <w:tbl>
      <w:tblPr>
        <w:tblOverlap w:val="never"/>
        <w:jc w:val="center"/>
        <w:tblLayout w:type="fixed"/>
      </w:tblPr>
      <w:tblGrid>
        <w:gridCol w:w="715"/>
        <w:gridCol w:w="994"/>
        <w:gridCol w:w="480"/>
        <w:gridCol w:w="509"/>
        <w:gridCol w:w="566"/>
        <w:gridCol w:w="974"/>
        <w:gridCol w:w="686"/>
        <w:gridCol w:w="682"/>
        <w:gridCol w:w="1061"/>
        <w:gridCol w:w="710"/>
        <w:gridCol w:w="706"/>
        <w:gridCol w:w="710"/>
        <w:gridCol w:w="710"/>
        <w:gridCol w:w="720"/>
      </w:tblGrid>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期末持股数</w:t>
            </w:r>
          </w:p>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期初持</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有的股 权激励 获授予 限制性 股票数 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有的股 权激励 获授予 限制性 股票数 量（股）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 动原因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27,909,000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23,922,000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宋靖雁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单怀光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无变动</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 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77,174,312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236,328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76,937,984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6"/>
        <w:keepNext/>
        <w:keepLines/>
        <w:widowControl w:val="0"/>
        <w:shd w:val="clear" w:color="auto" w:fill="auto"/>
        <w:bidi w:val="0"/>
        <w:spacing w:before="0" w:after="420" w:line="240" w:lineRule="auto"/>
        <w:ind w:left="0" w:right="0" w:firstLine="140"/>
        <w:jc w:val="left"/>
      </w:pPr>
      <w:bookmarkStart w:id="362" w:name="bookmark362"/>
      <w:bookmarkStart w:id="363" w:name="bookmark363"/>
      <w:bookmarkStart w:id="364" w:name="bookmark364"/>
      <w:bookmarkStart w:id="365" w:name="bookmark365"/>
      <w:r>
        <w:rPr>
          <w:color w:val="000000"/>
          <w:spacing w:val="0"/>
          <w:w w:val="100"/>
          <w:position w:val="0"/>
          <w:sz w:val="24"/>
          <w:szCs w:val="24"/>
        </w:rPr>
        <w:t>二</w:t>
      </w:r>
      <w:bookmarkEnd w:id="364"/>
      <w:r>
        <w:rPr>
          <w:color w:val="000000"/>
          <w:spacing w:val="0"/>
          <w:w w:val="100"/>
          <w:position w:val="0"/>
          <w:sz w:val="24"/>
          <w:szCs w:val="24"/>
        </w:rPr>
        <w:t>、任职情况</w:t>
      </w:r>
      <w:bookmarkEnd w:id="362"/>
      <w:bookmarkEnd w:id="363"/>
      <w:bookmarkEnd w:id="365"/>
    </w:p>
    <w:p>
      <w:pPr>
        <w:pStyle w:val="Style28"/>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8"/>
        <w:keepNext w:val="0"/>
        <w:keepLines w:val="0"/>
        <w:widowControl w:val="0"/>
        <w:numPr>
          <w:ilvl w:val="0"/>
          <w:numId w:val="23"/>
        </w:numPr>
        <w:shd w:val="clear" w:color="auto" w:fill="auto"/>
        <w:bidi w:val="0"/>
        <w:spacing w:before="0" w:after="300" w:line="240" w:lineRule="auto"/>
        <w:ind w:left="0" w:right="0" w:firstLine="500"/>
        <w:jc w:val="left"/>
      </w:pPr>
      <w:bookmarkStart w:id="366" w:name="bookmark366"/>
      <w:bookmarkEnd w:id="366"/>
      <w:r>
        <w:rPr>
          <w:color w:val="000000"/>
          <w:spacing w:val="0"/>
          <w:w w:val="100"/>
          <w:position w:val="0"/>
        </w:rPr>
        <w:t>董事</w:t>
      </w:r>
    </w:p>
    <w:p>
      <w:pPr>
        <w:pStyle w:val="Style28"/>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名，具体如下：</w:t>
      </w:r>
    </w:p>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陈向军先生，公司董事长，中国籍，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月起任公司董事长，2008年11月起任公司 </w:t>
      </w:r>
      <w:r>
        <w:rPr>
          <w:color w:val="000000"/>
          <w:spacing w:val="0"/>
          <w:w w:val="100"/>
          <w:position w:val="0"/>
        </w:rPr>
        <w:t>全资子公司深圳市银之杰金融设备有限公司执行（常务）董事，2011年5月起任公司全资子公司深圳市银之杰技术开发有 限公司执行（常务）董事，2013年12月起任公司参股子公司北京华道征信有限公司董事。</w:t>
      </w:r>
    </w:p>
    <w:p>
      <w:pPr>
        <w:pStyle w:val="Style28"/>
        <w:keepNext w:val="0"/>
        <w:keepLines w:val="0"/>
        <w:widowControl w:val="0"/>
        <w:shd w:val="clear" w:color="auto" w:fill="auto"/>
        <w:bidi w:val="0"/>
        <w:spacing w:before="0" w:after="0" w:line="472" w:lineRule="exact"/>
        <w:ind w:left="140" w:right="0" w:firstLine="360"/>
        <w:jc w:val="both"/>
      </w:pPr>
      <w:r>
        <w:rPr>
          <w:color w:val="000000"/>
          <w:spacing w:val="0"/>
          <w:w w:val="100"/>
          <w:position w:val="0"/>
        </w:rPr>
        <w:t>李军先生，公司董事、总经理，中国籍，</w:t>
      </w:r>
      <w:r>
        <w:rPr>
          <w:rFonts w:ascii="Times New Roman" w:eastAsia="Times New Roman" w:hAnsi="Times New Roman" w:cs="Times New Roman"/>
          <w:color w:val="000000"/>
          <w:spacing w:val="0"/>
          <w:w w:val="100"/>
          <w:position w:val="0"/>
        </w:rPr>
        <w:t>1970</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月起任公司董事、总经理，2008年11 月起任公司全资子公司深圳市银之杰金融设备有限公司总经理，2011年5月起任公司全资子公司深圳市银之杰技术开发有 限公司总经理，2013年10月起任公司参股子公司深圳票联金融服务有限公司董事，2013年12月起任公司参股子公司北京 华道征信有限公司董事。</w:t>
      </w:r>
    </w:p>
    <w:p>
      <w:pPr>
        <w:pStyle w:val="Style28"/>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张学君女士，公司董事，中国籍，</w:t>
      </w:r>
      <w:r>
        <w:rPr>
          <w:rFonts w:ascii="Times New Roman" w:eastAsia="Times New Roman" w:hAnsi="Times New Roman" w:cs="Times New Roman"/>
          <w:color w:val="000000"/>
          <w:spacing w:val="0"/>
          <w:w w:val="100"/>
          <w:position w:val="0"/>
        </w:rPr>
        <w:t>1940</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月至今任公司董事。</w:t>
      </w:r>
    </w:p>
    <w:p>
      <w:pPr>
        <w:pStyle w:val="Style28"/>
        <w:keepNext w:val="0"/>
        <w:keepLines w:val="0"/>
        <w:widowControl w:val="0"/>
        <w:shd w:val="clear" w:color="auto" w:fill="auto"/>
        <w:bidi w:val="0"/>
        <w:spacing w:before="0" w:after="0" w:line="466" w:lineRule="exact"/>
        <w:ind w:left="140" w:right="0" w:firstLine="360"/>
        <w:jc w:val="both"/>
      </w:pPr>
      <w:r>
        <w:rPr>
          <w:color w:val="000000"/>
          <w:spacing w:val="0"/>
          <w:w w:val="100"/>
          <w:position w:val="0"/>
        </w:rPr>
        <w:t>何晔女士，公司董事，中国籍，</w:t>
      </w:r>
      <w:r>
        <w:rPr>
          <w:rFonts w:ascii="Times New Roman" w:eastAsia="Times New Roman" w:hAnsi="Times New Roman" w:cs="Times New Roman"/>
          <w:color w:val="000000"/>
          <w:spacing w:val="0"/>
          <w:w w:val="100"/>
          <w:position w:val="0"/>
        </w:rPr>
        <w:t>1970</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月起在联合证券有限责任公司（华泰联合证券有限 责任公司）工作，历任计划财务部职员、基金业务小组组长助理、销售交易部总经理助理、销售交易部副总经理，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月离职。</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w:t>
      </w:r>
    </w:p>
    <w:p>
      <w:pPr>
        <w:pStyle w:val="Style28"/>
        <w:keepNext w:val="0"/>
        <w:keepLines w:val="0"/>
        <w:widowControl w:val="0"/>
        <w:shd w:val="clear" w:color="auto" w:fill="auto"/>
        <w:bidi w:val="0"/>
        <w:spacing w:before="0" w:after="0" w:line="470" w:lineRule="exact"/>
        <w:ind w:left="140" w:right="0" w:firstLine="360"/>
        <w:jc w:val="both"/>
      </w:pPr>
      <w:r>
        <w:rPr>
          <w:color w:val="000000"/>
          <w:spacing w:val="0"/>
          <w:w w:val="100"/>
          <w:position w:val="0"/>
        </w:rPr>
        <w:t>单怀光先生，公司独立董事，中国籍，</w:t>
      </w:r>
      <w:r>
        <w:rPr>
          <w:rFonts w:ascii="Times New Roman" w:eastAsia="Times New Roman" w:hAnsi="Times New Roman" w:cs="Times New Roman"/>
          <w:color w:val="000000"/>
          <w:spacing w:val="0"/>
          <w:w w:val="100"/>
          <w:position w:val="0"/>
        </w:rPr>
        <w:t>1941</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月任通联支付网络服务股份有 限公司常务副总裁。</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月至今任公司独立董事。</w:t>
      </w:r>
    </w:p>
    <w:p>
      <w:pPr>
        <w:pStyle w:val="Style28"/>
        <w:keepNext w:val="0"/>
        <w:keepLines w:val="0"/>
        <w:widowControl w:val="0"/>
        <w:shd w:val="clear" w:color="auto" w:fill="auto"/>
        <w:bidi w:val="0"/>
        <w:spacing w:before="0" w:after="0" w:line="475" w:lineRule="exact"/>
        <w:ind w:left="140" w:right="0" w:firstLine="360"/>
        <w:jc w:val="both"/>
      </w:pPr>
      <w:r>
        <w:rPr>
          <w:color w:val="000000"/>
          <w:spacing w:val="0"/>
          <w:w w:val="100"/>
          <w:position w:val="0"/>
        </w:rPr>
        <w:t>宋靖雁先生，公司独立董事，中国籍，</w:t>
      </w:r>
      <w:r>
        <w:rPr>
          <w:rFonts w:ascii="Times New Roman" w:eastAsia="Times New Roman" w:hAnsi="Times New Roman" w:cs="Times New Roman"/>
          <w:color w:val="000000"/>
          <w:spacing w:val="0"/>
          <w:w w:val="100"/>
          <w:position w:val="0"/>
        </w:rPr>
        <w:t>1964</w:t>
      </w:r>
      <w:r>
        <w:rPr>
          <w:color w:val="000000"/>
          <w:spacing w:val="0"/>
          <w:w w:val="100"/>
          <w:position w:val="0"/>
        </w:rPr>
        <w:t>年出生，博士学历。</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月至今在清华大学工作，历任清华大学自动 化系助教、讲师、副教授、教授、副系主任，现任清华大学自动化系教授。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月至今任公司独立董事。</w:t>
      </w:r>
    </w:p>
    <w:p>
      <w:pPr>
        <w:pStyle w:val="Style28"/>
        <w:keepNext w:val="0"/>
        <w:keepLines w:val="0"/>
        <w:widowControl w:val="0"/>
        <w:shd w:val="clear" w:color="auto" w:fill="auto"/>
        <w:bidi w:val="0"/>
        <w:spacing w:before="0" w:after="300" w:line="466" w:lineRule="exact"/>
        <w:ind w:left="140" w:right="0" w:firstLine="360"/>
        <w:jc w:val="both"/>
      </w:pPr>
      <w:r>
        <w:rPr>
          <w:color w:val="000000"/>
          <w:spacing w:val="0"/>
          <w:w w:val="100"/>
          <w:position w:val="0"/>
        </w:rPr>
        <w:t>朱厚佳先生，公司独立董事，中国籍，</w:t>
      </w:r>
      <w:r>
        <w:rPr>
          <w:rFonts w:ascii="Times New Roman" w:eastAsia="Times New Roman" w:hAnsi="Times New Roman" w:cs="Times New Roman"/>
          <w:color w:val="000000"/>
          <w:spacing w:val="0"/>
          <w:w w:val="100"/>
          <w:position w:val="0"/>
        </w:rPr>
        <w:t>1965</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月至今任天健会计师事务所深圳分所副主 任。</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月至今任公司独立董事。</w:t>
      </w:r>
    </w:p>
    <w:p>
      <w:pPr>
        <w:pStyle w:val="Style28"/>
        <w:keepNext w:val="0"/>
        <w:keepLines w:val="0"/>
        <w:widowControl w:val="0"/>
        <w:numPr>
          <w:ilvl w:val="0"/>
          <w:numId w:val="23"/>
        </w:numPr>
        <w:shd w:val="clear" w:color="auto" w:fill="auto"/>
        <w:bidi w:val="0"/>
        <w:spacing w:before="0" w:after="0" w:line="545" w:lineRule="auto"/>
        <w:ind w:left="0" w:right="0" w:firstLine="500"/>
        <w:jc w:val="left"/>
      </w:pPr>
      <w:bookmarkStart w:id="367" w:name="bookmark367"/>
      <w:bookmarkEnd w:id="367"/>
      <w:r>
        <w:rPr>
          <w:color w:val="000000"/>
          <w:spacing w:val="0"/>
          <w:w w:val="100"/>
          <w:position w:val="0"/>
        </w:rPr>
        <w:t>监事</w:t>
      </w:r>
    </w:p>
    <w:p>
      <w:pPr>
        <w:pStyle w:val="Style28"/>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公司监事会由三名监事组成，其中职工监事一人，具体如下：</w:t>
      </w:r>
    </w:p>
    <w:p>
      <w:pPr>
        <w:pStyle w:val="Style28"/>
        <w:keepNext w:val="0"/>
        <w:keepLines w:val="0"/>
        <w:widowControl w:val="0"/>
        <w:shd w:val="clear" w:color="auto" w:fill="auto"/>
        <w:bidi w:val="0"/>
        <w:spacing w:before="0" w:after="0" w:line="470" w:lineRule="exact"/>
        <w:ind w:left="140" w:right="0" w:firstLine="360"/>
        <w:jc w:val="both"/>
      </w:pPr>
      <w:r>
        <w:rPr>
          <w:color w:val="000000"/>
          <w:spacing w:val="0"/>
          <w:w w:val="100"/>
          <w:position w:val="0"/>
        </w:rPr>
        <w:t>汪婉欣女士，公司监事会主席，中国籍，</w:t>
      </w:r>
      <w:r>
        <w:rPr>
          <w:rFonts w:ascii="Times New Roman" w:eastAsia="Times New Roman" w:hAnsi="Times New Roman" w:cs="Times New Roman"/>
          <w:color w:val="000000"/>
          <w:spacing w:val="0"/>
          <w:w w:val="100"/>
          <w:position w:val="0"/>
        </w:rPr>
        <w:t>1975</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月任北京诺华制药有限公 司业务流程控制副总监，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月任施耐德电气</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有限公司财务经理，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月至今任辉瑞制药 有限公司中国合规经理。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月至今任本公司监事会主席，2013年10月起任公司参股子公司深圳票联金融服务有限 公司监事。</w:t>
      </w:r>
    </w:p>
    <w:p>
      <w:pPr>
        <w:pStyle w:val="Style28"/>
        <w:keepNext w:val="0"/>
        <w:keepLines w:val="0"/>
        <w:widowControl w:val="0"/>
        <w:shd w:val="clear" w:color="auto" w:fill="auto"/>
        <w:bidi w:val="0"/>
        <w:spacing w:before="0" w:after="0" w:line="470" w:lineRule="exact"/>
        <w:ind w:left="140" w:right="0" w:firstLine="360"/>
        <w:jc w:val="both"/>
      </w:pPr>
      <w:r>
        <w:rPr>
          <w:color w:val="000000"/>
          <w:spacing w:val="0"/>
          <w:w w:val="100"/>
          <w:position w:val="0"/>
        </w:rPr>
        <w:t>李玫臻女士，公司监事，中国籍，</w:t>
      </w:r>
      <w:r>
        <w:rPr>
          <w:rFonts w:ascii="Times New Roman" w:eastAsia="Times New Roman" w:hAnsi="Times New Roman" w:cs="Times New Roman"/>
          <w:color w:val="000000"/>
          <w:spacing w:val="0"/>
          <w:w w:val="100"/>
          <w:position w:val="0"/>
        </w:rPr>
        <w:t>1982</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月至今在本公司任职，历任市场企划专员、市场 部经理、总经理办公室经理。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日起任公司监事。</w:t>
      </w:r>
    </w:p>
    <w:p>
      <w:pPr>
        <w:pStyle w:val="Style28"/>
        <w:keepNext w:val="0"/>
        <w:keepLines w:val="0"/>
        <w:widowControl w:val="0"/>
        <w:shd w:val="clear" w:color="auto" w:fill="auto"/>
        <w:bidi w:val="0"/>
        <w:spacing w:before="0" w:after="300" w:line="466" w:lineRule="exact"/>
        <w:ind w:left="140" w:right="0" w:firstLine="360"/>
        <w:jc w:val="both"/>
      </w:pPr>
      <w:r>
        <w:rPr>
          <w:color w:val="000000"/>
          <w:spacing w:val="0"/>
          <w:w w:val="100"/>
          <w:position w:val="0"/>
        </w:rPr>
        <w:t>周峰先生，公司职工代表监事，中国籍，</w:t>
      </w:r>
      <w:r>
        <w:rPr>
          <w:rFonts w:ascii="Times New Roman" w:eastAsia="Times New Roman" w:hAnsi="Times New Roman" w:cs="Times New Roman"/>
          <w:color w:val="000000"/>
          <w:spacing w:val="0"/>
          <w:w w:val="100"/>
          <w:position w:val="0"/>
        </w:rPr>
        <w:t>1976</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月至今在本公司工作，历任行政人事部经 理、综合管理部经理。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月至今任公司职工代表监事，2008年11月起任公司全资子公司深圳市银之杰金融设备有 限公司监事，2011年5月起任公司全资子公司深圳市银之杰技术开发有限公司监事。</w:t>
      </w:r>
    </w:p>
    <w:p>
      <w:pPr>
        <w:pStyle w:val="Style28"/>
        <w:keepNext w:val="0"/>
        <w:keepLines w:val="0"/>
        <w:widowControl w:val="0"/>
        <w:numPr>
          <w:ilvl w:val="0"/>
          <w:numId w:val="25"/>
        </w:numPr>
        <w:shd w:val="clear" w:color="auto" w:fill="auto"/>
        <w:tabs>
          <w:tab w:pos="734" w:val="left"/>
        </w:tabs>
        <w:bidi w:val="0"/>
        <w:spacing w:before="0" w:after="0" w:line="545" w:lineRule="auto"/>
        <w:ind w:left="0" w:right="0" w:firstLine="500"/>
        <w:jc w:val="left"/>
      </w:pPr>
      <w:bookmarkStart w:id="368" w:name="bookmark368"/>
      <w:bookmarkEnd w:id="368"/>
      <w:r>
        <w:rPr>
          <w:color w:val="000000"/>
          <w:spacing w:val="0"/>
          <w:w w:val="100"/>
          <w:position w:val="0"/>
        </w:rPr>
        <w:t>.其他高级管理人员</w:t>
      </w:r>
    </w:p>
    <w:p>
      <w:pPr>
        <w:pStyle w:val="Style28"/>
        <w:keepNext w:val="0"/>
        <w:keepLines w:val="0"/>
        <w:widowControl w:val="0"/>
        <w:shd w:val="clear" w:color="auto" w:fill="auto"/>
        <w:bidi w:val="0"/>
        <w:spacing w:before="0" w:after="0" w:line="475" w:lineRule="exact"/>
        <w:ind w:left="140" w:right="0" w:firstLine="360"/>
        <w:jc w:val="left"/>
      </w:pPr>
      <w:r>
        <w:rPr>
          <w:color w:val="000000"/>
          <w:spacing w:val="0"/>
          <w:w w:val="100"/>
          <w:position w:val="0"/>
        </w:rPr>
        <w:t>刘奕先生，公司副总经理、董事会秘书，中国籍，</w:t>
      </w:r>
      <w:r>
        <w:rPr>
          <w:rFonts w:ascii="Times New Roman" w:eastAsia="Times New Roman" w:hAnsi="Times New Roman" w:cs="Times New Roman"/>
          <w:color w:val="000000"/>
          <w:spacing w:val="0"/>
          <w:w w:val="100"/>
          <w:position w:val="0"/>
        </w:rPr>
        <w:t>1971</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月至今在本公司工作，历任总 经理助理、副总经理。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月至今任公司副总经理、董事会秘书，2013年10月起任公司参股子公司深圳票联金融服 务有限公司董事、总经理。</w:t>
      </w:r>
    </w:p>
    <w:p>
      <w:pPr>
        <w:pStyle w:val="Style28"/>
        <w:keepNext w:val="0"/>
        <w:keepLines w:val="0"/>
        <w:widowControl w:val="0"/>
        <w:shd w:val="clear" w:color="auto" w:fill="auto"/>
        <w:bidi w:val="0"/>
        <w:spacing w:before="0" w:after="380" w:line="466" w:lineRule="exact"/>
        <w:ind w:left="140" w:right="0" w:firstLine="360"/>
        <w:jc w:val="left"/>
      </w:pPr>
      <w:r>
        <w:rPr>
          <w:color w:val="000000"/>
          <w:spacing w:val="0"/>
          <w:w w:val="100"/>
          <w:position w:val="0"/>
        </w:rPr>
        <w:t>许秋江先生，公司财务总监，中国籍，</w:t>
      </w:r>
      <w:r>
        <w:rPr>
          <w:rFonts w:ascii="Times New Roman" w:eastAsia="Times New Roman" w:hAnsi="Times New Roman" w:cs="Times New Roman"/>
          <w:color w:val="000000"/>
          <w:spacing w:val="0"/>
          <w:w w:val="100"/>
          <w:position w:val="0"/>
        </w:rPr>
        <w:t>1973</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月至今在本公司工作，历任公司财务经理、 财务总监。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月至今任公司财务总监。</w:t>
      </w:r>
    </w:p>
    <w:p>
      <w:pPr>
        <w:pStyle w:val="Style28"/>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20" w:line="475" w:lineRule="exact"/>
        <w:ind w:left="0" w:right="0" w:firstLine="14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0" w:line="552"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2626"/>
        <w:gridCol w:w="1416"/>
        <w:gridCol w:w="1560"/>
        <w:gridCol w:w="1171"/>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宋靖雁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天健会计师事务所深圳分所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辉瑞制药有限公司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中国合规经理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北京华道征信有限公司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140"/>
        <w:jc w:val="left"/>
      </w:pPr>
      <w:bookmarkStart w:id="369" w:name="bookmark369"/>
      <w:bookmarkStart w:id="370" w:name="bookmark370"/>
      <w:bookmarkStart w:id="371" w:name="bookmark371"/>
      <w:bookmarkStart w:id="372" w:name="bookmark372"/>
      <w:r>
        <w:rPr>
          <w:color w:val="000000"/>
          <w:spacing w:val="0"/>
          <w:w w:val="100"/>
          <w:position w:val="0"/>
          <w:sz w:val="24"/>
          <w:szCs w:val="24"/>
        </w:rPr>
        <w:t>三</w:t>
      </w:r>
      <w:bookmarkEnd w:id="371"/>
      <w:r>
        <w:rPr>
          <w:color w:val="000000"/>
          <w:spacing w:val="0"/>
          <w:w w:val="100"/>
          <w:position w:val="0"/>
          <w:sz w:val="24"/>
          <w:szCs w:val="24"/>
        </w:rPr>
        <w:t>、董事、监事、高级管理人员报酬情况</w:t>
      </w:r>
      <w:bookmarkEnd w:id="369"/>
      <w:bookmarkEnd w:id="370"/>
      <w:bookmarkEnd w:id="372"/>
    </w:p>
    <w:tbl>
      <w:tblPr>
        <w:tblOverlap w:val="never"/>
        <w:jc w:val="center"/>
        <w:tblLayout w:type="fixed"/>
      </w:tblPr>
      <w:tblGrid>
        <w:gridCol w:w="3830"/>
        <w:gridCol w:w="5750"/>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公司董事、监事报酬由股东大会决定，高级管理人员报酬由董事会决定； 在公司承担职务的董事、监事、高级管理人员报酬由公司支付，董事、监 事不另外支付津贴。独立董事津贴依据股东大会决议支付，独立董事会务 费据实报销。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依据公司盈利水平及各董事、监事、高级管理人员的分工及履行情况确定。</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公司现有董事、监事、高级管理人员共</w:t>
            </w:r>
            <w:r>
              <w:rPr>
                <w:rFonts w:ascii="Times New Roman" w:eastAsia="Times New Roman" w:hAnsi="Times New Roman" w:cs="Times New Roman"/>
                <w:color w:val="000000"/>
                <w:spacing w:val="0"/>
                <w:w w:val="100"/>
                <w:position w:val="0"/>
              </w:rPr>
              <w:t>12</w:t>
            </w:r>
            <w:r>
              <w:rPr>
                <w:color w:val="000000"/>
                <w:spacing w:val="0"/>
                <w:w w:val="100"/>
                <w:position w:val="0"/>
              </w:rPr>
              <w:t>人，</w:t>
            </w:r>
            <w:r>
              <w:rPr>
                <w:rFonts w:ascii="Times New Roman" w:eastAsia="Times New Roman" w:hAnsi="Times New Roman" w:cs="Times New Roman"/>
                <w:color w:val="000000"/>
                <w:spacing w:val="0"/>
                <w:w w:val="100"/>
                <w:position w:val="0"/>
              </w:rPr>
              <w:t>2013</w:t>
            </w:r>
            <w:r>
              <w:rPr>
                <w:color w:val="000000"/>
                <w:spacing w:val="0"/>
                <w:w w:val="100"/>
                <w:position w:val="0"/>
              </w:rPr>
              <w:t>年实际支付</w:t>
            </w:r>
            <w:r>
              <w:rPr>
                <w:rFonts w:ascii="Times New Roman" w:eastAsia="Times New Roman" w:hAnsi="Times New Roman" w:cs="Times New Roman"/>
                <w:color w:val="000000"/>
                <w:spacing w:val="0"/>
                <w:w w:val="100"/>
                <w:position w:val="0"/>
              </w:rPr>
              <w:t xml:space="preserve">133.00 </w:t>
            </w:r>
            <w:r>
              <w:rPr>
                <w:color w:val="000000"/>
                <w:spacing w:val="0"/>
                <w:w w:val="100"/>
                <w:position w:val="0"/>
              </w:rPr>
              <w:t>万元。</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宋靖雁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单怀光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朱厚佳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汪婉欣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21.37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李玫臻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许秋江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133.00</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1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440" w:line="240" w:lineRule="auto"/>
        <w:ind w:left="0" w:right="0" w:firstLine="140"/>
        <w:jc w:val="left"/>
      </w:pPr>
      <w:bookmarkStart w:id="373" w:name="bookmark373"/>
      <w:bookmarkStart w:id="374" w:name="bookmark374"/>
      <w:bookmarkStart w:id="375" w:name="bookmark375"/>
      <w:bookmarkStart w:id="376" w:name="bookmark376"/>
      <w:r>
        <w:rPr>
          <w:color w:val="000000"/>
          <w:spacing w:val="0"/>
          <w:w w:val="100"/>
          <w:position w:val="0"/>
          <w:sz w:val="24"/>
          <w:szCs w:val="24"/>
        </w:rPr>
        <w:t>四</w:t>
      </w:r>
      <w:bookmarkEnd w:id="375"/>
      <w:r>
        <w:rPr>
          <w:color w:val="000000"/>
          <w:spacing w:val="0"/>
          <w:w w:val="100"/>
          <w:position w:val="0"/>
          <w:sz w:val="24"/>
          <w:szCs w:val="24"/>
        </w:rPr>
        <w:t>、报告期核心技术团队或关键技术人员变动情况（非董事、监事、高级管理人员）</w:t>
      </w:r>
      <w:bookmarkEnd w:id="373"/>
      <w:bookmarkEnd w:id="374"/>
      <w:bookmarkEnd w:id="376"/>
    </w:p>
    <w:p>
      <w:pPr>
        <w:pStyle w:val="Style28"/>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报告期内，公司核心技术团队和关键技术人员未发生变化。</w:t>
      </w:r>
    </w:p>
    <w:p>
      <w:pPr>
        <w:pStyle w:val="Style26"/>
        <w:keepNext/>
        <w:keepLines/>
        <w:widowControl w:val="0"/>
        <w:shd w:val="clear" w:color="auto" w:fill="auto"/>
        <w:bidi w:val="0"/>
        <w:spacing w:before="0" w:after="440" w:line="240" w:lineRule="auto"/>
        <w:ind w:left="0" w:right="0" w:firstLine="140"/>
        <w:jc w:val="left"/>
      </w:pPr>
      <w:bookmarkStart w:id="377" w:name="bookmark377"/>
      <w:bookmarkStart w:id="378" w:name="bookmark378"/>
      <w:bookmarkStart w:id="379" w:name="bookmark379"/>
      <w:bookmarkStart w:id="380" w:name="bookmark380"/>
      <w:r>
        <w:rPr>
          <w:color w:val="000000"/>
          <w:spacing w:val="0"/>
          <w:w w:val="100"/>
          <w:position w:val="0"/>
          <w:sz w:val="24"/>
          <w:szCs w:val="24"/>
        </w:rPr>
        <w:t>五</w:t>
      </w:r>
      <w:bookmarkEnd w:id="379"/>
      <w:r>
        <w:rPr>
          <w:color w:val="000000"/>
          <w:spacing w:val="0"/>
          <w:w w:val="100"/>
          <w:position w:val="0"/>
          <w:sz w:val="24"/>
          <w:szCs w:val="24"/>
        </w:rPr>
        <w:t>、公司员工情况</w:t>
      </w:r>
      <w:bookmarkEnd w:id="377"/>
      <w:bookmarkEnd w:id="378"/>
      <w:bookmarkEnd w:id="380"/>
    </w:p>
    <w:p>
      <w:pPr>
        <w:pStyle w:val="Style28"/>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日，公司共有在册员工</w:t>
      </w:r>
      <w:r>
        <w:rPr>
          <w:rFonts w:ascii="Times New Roman" w:eastAsia="Times New Roman" w:hAnsi="Times New Roman" w:cs="Times New Roman"/>
          <w:color w:val="000000"/>
          <w:spacing w:val="0"/>
          <w:w w:val="100"/>
          <w:position w:val="0"/>
        </w:rPr>
        <w:t>503</w:t>
      </w:r>
      <w:r>
        <w:rPr>
          <w:color w:val="000000"/>
          <w:spacing w:val="0"/>
          <w:w w:val="100"/>
          <w:position w:val="0"/>
        </w:rPr>
        <w:t>人，较上年末减少</w:t>
      </w:r>
      <w:r>
        <w:rPr>
          <w:rFonts w:ascii="Times New Roman" w:eastAsia="Times New Roman" w:hAnsi="Times New Roman" w:cs="Times New Roman"/>
          <w:color w:val="000000"/>
          <w:spacing w:val="0"/>
          <w:w w:val="100"/>
          <w:position w:val="0"/>
        </w:rPr>
        <w:t>2</w:t>
      </w:r>
      <w:r>
        <w:rPr>
          <w:color w:val="000000"/>
          <w:spacing w:val="0"/>
          <w:w w:val="100"/>
          <w:position w:val="0"/>
        </w:rPr>
        <w:t>人，减幅</w:t>
      </w:r>
      <w:r>
        <w:rPr>
          <w:rFonts w:ascii="Times New Roman" w:eastAsia="Times New Roman" w:hAnsi="Times New Roman" w:cs="Times New Roman"/>
          <w:color w:val="000000"/>
          <w:spacing w:val="0"/>
          <w:w w:val="100"/>
          <w:position w:val="0"/>
        </w:rPr>
        <w:t>0.40%</w:t>
      </w:r>
      <w:r>
        <w:rPr>
          <w:color w:val="000000"/>
          <w:spacing w:val="0"/>
          <w:w w:val="100"/>
          <w:position w:val="0"/>
        </w:rPr>
        <w:t>。员工具体构成情况如下:</w:t>
      </w:r>
    </w:p>
    <w:p>
      <w:pPr>
        <w:pStyle w:val="Style28"/>
        <w:keepNext w:val="0"/>
        <w:keepLines w:val="0"/>
        <w:widowControl w:val="0"/>
        <w:numPr>
          <w:ilvl w:val="0"/>
          <w:numId w:val="27"/>
        </w:numPr>
        <w:shd w:val="clear" w:color="auto" w:fill="auto"/>
        <w:bidi w:val="0"/>
        <w:spacing w:before="0" w:after="140" w:line="240" w:lineRule="auto"/>
        <w:ind w:left="0" w:right="0" w:firstLine="500"/>
        <w:jc w:val="left"/>
      </w:pPr>
      <w:bookmarkStart w:id="381" w:name="bookmark381"/>
      <w:bookmarkEnd w:id="381"/>
      <w:r>
        <w:rPr>
          <w:color w:val="000000"/>
          <w:spacing w:val="0"/>
          <w:w w:val="100"/>
          <w:position w:val="0"/>
        </w:rPr>
        <w:t>专业结构</w:t>
      </w:r>
    </w:p>
    <w:tbl>
      <w:tblPr>
        <w:tblOverlap w:val="never"/>
        <w:jc w:val="center"/>
        <w:tblLayout w:type="fixed"/>
      </w:tblPr>
      <w:tblGrid>
        <w:gridCol w:w="2707"/>
        <w:gridCol w:w="2794"/>
        <w:gridCol w:w="2798"/>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占员工总人数的比例</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研发与技术人员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82.31%</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8.35%</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9.34%</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219" w:line="1" w:lineRule="exact"/>
      </w:pPr>
    </w:p>
    <w:p>
      <w:pPr>
        <w:pStyle w:val="Style28"/>
        <w:keepNext w:val="0"/>
        <w:keepLines w:val="0"/>
        <w:widowControl w:val="0"/>
        <w:numPr>
          <w:ilvl w:val="0"/>
          <w:numId w:val="27"/>
        </w:numPr>
        <w:shd w:val="clear" w:color="auto" w:fill="auto"/>
        <w:bidi w:val="0"/>
        <w:spacing w:before="0" w:after="140" w:line="240" w:lineRule="auto"/>
        <w:ind w:left="0" w:right="0" w:firstLine="500"/>
        <w:jc w:val="left"/>
      </w:pPr>
      <w:bookmarkStart w:id="382" w:name="bookmark382"/>
      <w:bookmarkEnd w:id="382"/>
      <w:r>
        <w:rPr>
          <w:color w:val="000000"/>
          <w:spacing w:val="0"/>
          <w:w w:val="100"/>
          <w:position w:val="0"/>
        </w:rPr>
        <w:t>学历结构</w:t>
      </w:r>
    </w:p>
    <w:tbl>
      <w:tblPr>
        <w:tblOverlap w:val="never"/>
        <w:jc w:val="center"/>
        <w:tblLayout w:type="fixed"/>
      </w:tblPr>
      <w:tblGrid>
        <w:gridCol w:w="2707"/>
        <w:gridCol w:w="2794"/>
        <w:gridCol w:w="2798"/>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占员工总人数的比例</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4.77%</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64.21%</w:t>
            </w:r>
          </w:p>
        </w:tc>
      </w:tr>
    </w:tbl>
    <w:p>
      <w:pPr>
        <w:spacing w:lineRule="exact" w:line="1"/>
        <w:rPr>
          <w:sz w:val="2"/>
          <w:szCs w:val="2"/>
        </w:rPr>
      </w:pPr>
      <w:r>
        <w:br w:type="page"/>
      </w:r>
    </w:p>
    <w:tbl>
      <w:tblPr>
        <w:tblOverlap w:val="never"/>
        <w:jc w:val="center"/>
        <w:tblLayout w:type="fixed"/>
      </w:tblPr>
      <w:tblGrid>
        <w:gridCol w:w="2707"/>
        <w:gridCol w:w="2794"/>
        <w:gridCol w:w="2798"/>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23.66%</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239" w:line="1" w:lineRule="exact"/>
      </w:pPr>
    </w:p>
    <w:p>
      <w:pPr>
        <w:pStyle w:val="Style28"/>
        <w:keepNext w:val="0"/>
        <w:keepLines w:val="0"/>
        <w:widowControl w:val="0"/>
        <w:numPr>
          <w:ilvl w:val="0"/>
          <w:numId w:val="27"/>
        </w:numPr>
        <w:shd w:val="clear" w:color="auto" w:fill="auto"/>
        <w:bidi w:val="0"/>
        <w:spacing w:before="0" w:after="160" w:line="240" w:lineRule="auto"/>
        <w:ind w:left="0" w:right="0" w:firstLine="480"/>
        <w:jc w:val="left"/>
      </w:pPr>
      <w:bookmarkStart w:id="383" w:name="bookmark383"/>
      <w:bookmarkEnd w:id="383"/>
      <w:r>
        <w:rPr>
          <w:color w:val="000000"/>
          <w:spacing w:val="0"/>
          <w:w w:val="100"/>
          <w:position w:val="0"/>
        </w:rPr>
        <w:t>年龄结构</w:t>
      </w:r>
    </w:p>
    <w:tbl>
      <w:tblPr>
        <w:tblOverlap w:val="never"/>
        <w:jc w:val="center"/>
        <w:tblLayout w:type="fixed"/>
      </w:tblPr>
      <w:tblGrid>
        <w:gridCol w:w="2707"/>
        <w:gridCol w:w="2794"/>
        <w:gridCol w:w="2798"/>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占员工总人数的比例</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3.78%</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27.04%</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岁</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69.18%</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pStyle w:val="Style3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278" w:right="797" w:bottom="1484" w:left="88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截止报告期末，公司没有需要承担费用的离退休职工。</w:t>
      </w:r>
    </w:p>
    <w:p>
      <w:pPr>
        <w:pStyle w:val="Style13"/>
        <w:keepNext/>
        <w:keepLines/>
        <w:widowControl w:val="0"/>
        <w:shd w:val="clear" w:color="auto" w:fill="auto"/>
        <w:bidi w:val="0"/>
        <w:spacing w:before="640" w:line="240" w:lineRule="auto"/>
        <w:ind w:left="0" w:right="0" w:firstLine="0"/>
        <w:jc w:val="center"/>
      </w:pPr>
      <w:bookmarkStart w:id="384" w:name="bookmark384"/>
      <w:bookmarkStart w:id="385" w:name="bookmark385"/>
      <w:bookmarkStart w:id="386" w:name="bookmark386"/>
      <w:r>
        <w:rPr>
          <w:color w:val="000000"/>
          <w:spacing w:val="0"/>
          <w:w w:val="100"/>
          <w:position w:val="0"/>
        </w:rPr>
        <w:t>第八节公司治理</w:t>
      </w:r>
      <w:bookmarkEnd w:id="384"/>
      <w:bookmarkEnd w:id="385"/>
      <w:bookmarkEnd w:id="386"/>
    </w:p>
    <w:p>
      <w:pPr>
        <w:pStyle w:val="Style26"/>
        <w:keepNext/>
        <w:keepLines/>
        <w:widowControl w:val="0"/>
        <w:shd w:val="clear" w:color="auto" w:fill="auto"/>
        <w:bidi w:val="0"/>
        <w:spacing w:before="0" w:after="180" w:line="240" w:lineRule="auto"/>
        <w:ind w:left="0" w:right="0" w:firstLine="140"/>
        <w:jc w:val="left"/>
      </w:pPr>
      <w:bookmarkStart w:id="387" w:name="bookmark387"/>
      <w:bookmarkStart w:id="388" w:name="bookmark388"/>
      <w:bookmarkStart w:id="389" w:name="bookmark389"/>
      <w:bookmarkStart w:id="390" w:name="bookmark390"/>
      <w:r>
        <w:rPr>
          <w:color w:val="000000"/>
          <w:spacing w:val="0"/>
          <w:w w:val="100"/>
          <w:position w:val="0"/>
          <w:sz w:val="24"/>
          <w:szCs w:val="24"/>
        </w:rPr>
        <w:t>一</w:t>
      </w:r>
      <w:bookmarkEnd w:id="389"/>
      <w:r>
        <w:rPr>
          <w:color w:val="000000"/>
          <w:spacing w:val="0"/>
          <w:w w:val="100"/>
          <w:position w:val="0"/>
          <w:sz w:val="24"/>
          <w:szCs w:val="24"/>
        </w:rPr>
        <w:t>、公司治理的基本状况</w:t>
      </w:r>
      <w:bookmarkEnd w:id="387"/>
      <w:bookmarkEnd w:id="388"/>
      <w:bookmarkEnd w:id="390"/>
    </w:p>
    <w:p>
      <w:pPr>
        <w:pStyle w:val="Style28"/>
        <w:keepNext w:val="0"/>
        <w:keepLines w:val="0"/>
        <w:widowControl w:val="0"/>
        <w:shd w:val="clear" w:color="auto" w:fill="auto"/>
        <w:bidi w:val="0"/>
        <w:spacing w:before="0" w:after="0" w:line="473" w:lineRule="exact"/>
        <w:ind w:left="140" w:right="0" w:firstLine="36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《深圳证券交易所创业板上市公司规范运作指引》等法律、法规和中国证监会有关法律法规等的要求，不断完善公司的法人 治理结构，建立健全公司内部管理和控制制度，规范运作，严格进行信息披露工作，保护广大投资者利益。</w:t>
      </w:r>
    </w:p>
    <w:p>
      <w:pPr>
        <w:pStyle w:val="Style28"/>
        <w:keepNext w:val="0"/>
        <w:keepLines w:val="0"/>
        <w:widowControl w:val="0"/>
        <w:shd w:val="clear" w:color="auto" w:fill="auto"/>
        <w:bidi w:val="0"/>
        <w:spacing w:before="0" w:after="0" w:line="480" w:lineRule="exact"/>
        <w:ind w:left="140" w:right="0" w:firstLine="360"/>
        <w:jc w:val="left"/>
      </w:pPr>
      <w:r>
        <w:rPr>
          <w:color w:val="000000"/>
          <w:spacing w:val="0"/>
          <w:w w:val="100"/>
          <w:position w:val="0"/>
        </w:rPr>
        <w:t>截至报告期末，公司治理的实际状况符合《上市公司治理准则》和《深圳证券交易所创业板上市公司规范运作指引》的 要求。</w:t>
      </w:r>
    </w:p>
    <w:p>
      <w:pPr>
        <w:pStyle w:val="Style28"/>
        <w:keepNext w:val="0"/>
        <w:keepLines w:val="0"/>
        <w:widowControl w:val="0"/>
        <w:numPr>
          <w:ilvl w:val="0"/>
          <w:numId w:val="29"/>
        </w:numPr>
        <w:shd w:val="clear" w:color="auto" w:fill="auto"/>
        <w:tabs>
          <w:tab w:pos="820" w:val="left"/>
        </w:tabs>
        <w:bidi w:val="0"/>
        <w:spacing w:before="0" w:after="0" w:line="473" w:lineRule="exact"/>
        <w:ind w:left="0" w:right="0" w:firstLine="500"/>
        <w:jc w:val="left"/>
      </w:pPr>
      <w:bookmarkStart w:id="391" w:name="bookmark391"/>
      <w:bookmarkEnd w:id="391"/>
      <w:r>
        <w:rPr>
          <w:color w:val="000000"/>
          <w:spacing w:val="0"/>
          <w:w w:val="100"/>
          <w:position w:val="0"/>
        </w:rPr>
        <w:t>关于股东与股东大会</w:t>
      </w:r>
    </w:p>
    <w:p>
      <w:pPr>
        <w:pStyle w:val="Style28"/>
        <w:keepNext w:val="0"/>
        <w:keepLines w:val="0"/>
        <w:widowControl w:val="0"/>
        <w:shd w:val="clear" w:color="auto" w:fill="auto"/>
        <w:bidi w:val="0"/>
        <w:spacing w:before="0" w:after="0" w:line="466" w:lineRule="exact"/>
        <w:ind w:left="140" w:right="0" w:firstLine="360"/>
        <w:jc w:val="left"/>
      </w:pPr>
      <w:r>
        <w:rPr>
          <w:color w:val="000000"/>
          <w:spacing w:val="0"/>
          <w:w w:val="100"/>
          <w:position w:val="0"/>
        </w:rPr>
        <w:t>公司严格按照《上市公司股东大会规则》、《公司章程》、《股东大会议事规则》等规定和要求召集、召开股东大会， 平等对待所有股东，并尽可能为股东参加股东大会提供便利，使其充分行使股东权利。</w:t>
      </w:r>
    </w:p>
    <w:p>
      <w:pPr>
        <w:pStyle w:val="Style28"/>
        <w:keepNext w:val="0"/>
        <w:keepLines w:val="0"/>
        <w:widowControl w:val="0"/>
        <w:numPr>
          <w:ilvl w:val="0"/>
          <w:numId w:val="29"/>
        </w:numPr>
        <w:shd w:val="clear" w:color="auto" w:fill="auto"/>
        <w:tabs>
          <w:tab w:pos="839" w:val="left"/>
        </w:tabs>
        <w:bidi w:val="0"/>
        <w:spacing w:before="0" w:after="0" w:line="473" w:lineRule="exact"/>
        <w:ind w:left="0" w:right="0" w:firstLine="500"/>
        <w:jc w:val="left"/>
      </w:pPr>
      <w:bookmarkStart w:id="392" w:name="bookmark392"/>
      <w:bookmarkEnd w:id="392"/>
      <w:r>
        <w:rPr>
          <w:color w:val="000000"/>
          <w:spacing w:val="0"/>
          <w:w w:val="100"/>
          <w:position w:val="0"/>
        </w:rPr>
        <w:t>关于公司与控股股东</w:t>
      </w:r>
    </w:p>
    <w:p>
      <w:pPr>
        <w:pStyle w:val="Style28"/>
        <w:keepNext w:val="0"/>
        <w:keepLines w:val="0"/>
        <w:widowControl w:val="0"/>
        <w:shd w:val="clear" w:color="auto" w:fill="auto"/>
        <w:bidi w:val="0"/>
        <w:spacing w:before="0" w:after="0" w:line="470" w:lineRule="exact"/>
        <w:ind w:left="140" w:right="0" w:firstLine="360"/>
        <w:jc w:val="left"/>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28"/>
        <w:keepNext w:val="0"/>
        <w:keepLines w:val="0"/>
        <w:widowControl w:val="0"/>
        <w:numPr>
          <w:ilvl w:val="0"/>
          <w:numId w:val="29"/>
        </w:numPr>
        <w:shd w:val="clear" w:color="auto" w:fill="auto"/>
        <w:tabs>
          <w:tab w:pos="839" w:val="left"/>
        </w:tabs>
        <w:bidi w:val="0"/>
        <w:spacing w:before="0" w:after="0" w:line="473" w:lineRule="exact"/>
        <w:ind w:left="0" w:right="0" w:firstLine="500"/>
        <w:jc w:val="left"/>
      </w:pPr>
      <w:bookmarkStart w:id="393" w:name="bookmark393"/>
      <w:bookmarkEnd w:id="393"/>
      <w:r>
        <w:rPr>
          <w:color w:val="000000"/>
          <w:spacing w:val="0"/>
          <w:w w:val="100"/>
          <w:position w:val="0"/>
        </w:rPr>
        <w:t>关于董事和董事会</w:t>
      </w:r>
    </w:p>
    <w:p>
      <w:pPr>
        <w:pStyle w:val="Style28"/>
        <w:keepNext w:val="0"/>
        <w:keepLines w:val="0"/>
        <w:widowControl w:val="0"/>
        <w:shd w:val="clear" w:color="auto" w:fill="auto"/>
        <w:bidi w:val="0"/>
        <w:spacing w:before="0" w:after="0" w:line="473" w:lineRule="exact"/>
        <w:ind w:left="140" w:right="0" w:firstLine="36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名，董事会的人数及人员构成符合法律、法规和《公司章程》的要求。公司 董事能够依据《董事会议事规则》、《独立董事制度》、《深圳证券交易所创业板上市公司规范运作指引》等开展工作，出 席董事会和股东大会，勤勉尽责地履行职责和义务，同时积极参加相关培训，熟悉相关法律法规。</w:t>
      </w:r>
    </w:p>
    <w:p>
      <w:pPr>
        <w:pStyle w:val="Style28"/>
        <w:keepNext w:val="0"/>
        <w:keepLines w:val="0"/>
        <w:widowControl w:val="0"/>
        <w:numPr>
          <w:ilvl w:val="0"/>
          <w:numId w:val="25"/>
        </w:numPr>
        <w:shd w:val="clear" w:color="auto" w:fill="auto"/>
        <w:tabs>
          <w:tab w:pos="782" w:val="left"/>
        </w:tabs>
        <w:bidi w:val="0"/>
        <w:spacing w:before="0" w:after="0" w:line="473" w:lineRule="exact"/>
        <w:ind w:left="0" w:right="0" w:firstLine="500"/>
        <w:jc w:val="left"/>
      </w:pPr>
      <w:bookmarkStart w:id="394" w:name="bookmark394"/>
      <w:bookmarkEnd w:id="394"/>
      <w:r>
        <w:rPr>
          <w:color w:val="000000"/>
          <w:spacing w:val="0"/>
          <w:w w:val="100"/>
          <w:position w:val="0"/>
        </w:rPr>
        <w:t>.关于监事和监事会</w:t>
      </w:r>
    </w:p>
    <w:p>
      <w:pPr>
        <w:pStyle w:val="Style28"/>
        <w:keepNext w:val="0"/>
        <w:keepLines w:val="0"/>
        <w:widowControl w:val="0"/>
        <w:shd w:val="clear" w:color="auto" w:fill="auto"/>
        <w:bidi w:val="0"/>
        <w:spacing w:before="0" w:after="0" w:line="473" w:lineRule="exact"/>
        <w:ind w:left="140" w:right="0" w:firstLine="36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名，监事会的人数和构成符合法律、法规的要求。公司监事能够按照《监事会 议事规则》的要求，认真履行自己的职责，对公司重大事项、关联交易、财务状况以及董事、高管人员履行职责的合法合规 性进行监督。</w:t>
      </w:r>
    </w:p>
    <w:p>
      <w:pPr>
        <w:pStyle w:val="Style28"/>
        <w:keepNext w:val="0"/>
        <w:keepLines w:val="0"/>
        <w:widowControl w:val="0"/>
        <w:numPr>
          <w:ilvl w:val="0"/>
          <w:numId w:val="25"/>
        </w:numPr>
        <w:shd w:val="clear" w:color="auto" w:fill="auto"/>
        <w:tabs>
          <w:tab w:pos="782" w:val="left"/>
        </w:tabs>
        <w:bidi w:val="0"/>
        <w:spacing w:before="0" w:after="0" w:line="473" w:lineRule="exact"/>
        <w:ind w:left="0" w:right="0" w:firstLine="500"/>
        <w:jc w:val="left"/>
      </w:pPr>
      <w:bookmarkStart w:id="395" w:name="bookmark395"/>
      <w:bookmarkEnd w:id="395"/>
      <w:r>
        <w:rPr>
          <w:color w:val="000000"/>
          <w:spacing w:val="0"/>
          <w:w w:val="100"/>
          <w:position w:val="0"/>
        </w:rPr>
        <w:t>.关于绩效评价与激励约束机制</w:t>
      </w:r>
    </w:p>
    <w:p>
      <w:pPr>
        <w:pStyle w:val="Style28"/>
        <w:keepNext w:val="0"/>
        <w:keepLines w:val="0"/>
        <w:widowControl w:val="0"/>
        <w:shd w:val="clear" w:color="auto" w:fill="auto"/>
        <w:bidi w:val="0"/>
        <w:spacing w:before="0" w:after="0" w:line="480" w:lineRule="exact"/>
        <w:ind w:left="140" w:right="0" w:firstLine="360"/>
        <w:jc w:val="left"/>
      </w:pPr>
      <w:r>
        <w:rPr>
          <w:color w:val="000000"/>
          <w:spacing w:val="0"/>
          <w:w w:val="100"/>
          <w:position w:val="0"/>
        </w:rPr>
        <w:t>公司正逐步建立和完善公正、透明的董事、监事和经理人员的绩效评价标准和激励约束机制，高层管理人员的聘任公开、 透明，符合法律法规的规定。</w:t>
      </w:r>
    </w:p>
    <w:p>
      <w:pPr>
        <w:pStyle w:val="Style28"/>
        <w:keepNext w:val="0"/>
        <w:keepLines w:val="0"/>
        <w:widowControl w:val="0"/>
        <w:numPr>
          <w:ilvl w:val="0"/>
          <w:numId w:val="31"/>
        </w:numPr>
        <w:shd w:val="clear" w:color="auto" w:fill="auto"/>
        <w:bidi w:val="0"/>
        <w:spacing w:before="0" w:after="0" w:line="480" w:lineRule="exact"/>
        <w:ind w:left="0" w:right="0" w:firstLine="500"/>
        <w:jc w:val="left"/>
      </w:pPr>
      <w:bookmarkStart w:id="396" w:name="bookmark396"/>
      <w:bookmarkEnd w:id="396"/>
      <w:r>
        <w:rPr>
          <w:color w:val="000000"/>
          <w:spacing w:val="0"/>
          <w:w w:val="100"/>
          <w:position w:val="0"/>
        </w:rPr>
        <w:t>关于信息披露与透明度</w:t>
      </w:r>
    </w:p>
    <w:p>
      <w:pPr>
        <w:pStyle w:val="Style28"/>
        <w:keepNext w:val="0"/>
        <w:keepLines w:val="0"/>
        <w:widowControl w:val="0"/>
        <w:shd w:val="clear" w:color="auto" w:fill="auto"/>
        <w:bidi w:val="0"/>
        <w:spacing w:before="0" w:after="300" w:line="473" w:lineRule="exact"/>
        <w:ind w:left="0" w:right="0" w:firstLine="500"/>
        <w:jc w:val="left"/>
      </w:pPr>
      <w:r>
        <w:rPr>
          <w:color w:val="000000"/>
          <w:spacing w:val="0"/>
          <w:w w:val="100"/>
          <w:position w:val="0"/>
        </w:rPr>
        <w:t xml:space="preserve">公司严格按照有关法律法规以及《信息披露制度》、《投资者关系管理制度》等的要求，真实、准确、及时、公平、完 </w:t>
      </w:r>
      <w:r>
        <w:rPr>
          <w:color w:val="000000"/>
          <w:spacing w:val="0"/>
          <w:w w:val="100"/>
          <w:position w:val="0"/>
        </w:rPr>
        <w:t>整地披露有关信息；并指定公司董事会秘书负责信息披露工作，协调公司与投资者的关系，接待股东来访，回答投资者咨询; 并指定《证券时报》和巨潮资讯网(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为公司信息披露的指定报纸和网站，确保公司所有股东能够以平 等的机会获得信息。</w:t>
      </w:r>
    </w:p>
    <w:p>
      <w:pPr>
        <w:pStyle w:val="Style28"/>
        <w:keepNext w:val="0"/>
        <w:keepLines w:val="0"/>
        <w:widowControl w:val="0"/>
        <w:numPr>
          <w:ilvl w:val="0"/>
          <w:numId w:val="31"/>
        </w:numPr>
        <w:shd w:val="clear" w:color="auto" w:fill="auto"/>
        <w:bidi w:val="0"/>
        <w:spacing w:before="0" w:after="0" w:line="545" w:lineRule="auto"/>
        <w:ind w:left="0" w:right="0" w:firstLine="500"/>
        <w:jc w:val="left"/>
      </w:pPr>
      <w:bookmarkStart w:id="397" w:name="bookmark397"/>
      <w:bookmarkEnd w:id="397"/>
      <w:r>
        <w:rPr>
          <w:color w:val="000000"/>
          <w:spacing w:val="0"/>
          <w:w w:val="100"/>
          <w:position w:val="0"/>
        </w:rPr>
        <w:t>关于相关利益者</w:t>
      </w:r>
    </w:p>
    <w:p>
      <w:pPr>
        <w:pStyle w:val="Style28"/>
        <w:keepNext w:val="0"/>
        <w:keepLines w:val="0"/>
        <w:widowControl w:val="0"/>
        <w:shd w:val="clear" w:color="auto" w:fill="auto"/>
        <w:bidi w:val="0"/>
        <w:spacing w:before="0" w:after="360" w:line="470" w:lineRule="exact"/>
        <w:ind w:left="140" w:right="0" w:firstLine="360"/>
        <w:jc w:val="left"/>
      </w:pPr>
      <w:r>
        <w:rPr>
          <w:color w:val="000000"/>
          <w:spacing w:val="0"/>
          <w:w w:val="100"/>
          <w:position w:val="0"/>
        </w:rPr>
        <w:t>公司充分尊重和维护相关利益者的合法权益，实现社会、股东、公司、员工等各方面利益的协调平衡，诚信对待供应商 和客户，坚持与相关利益者互利共赢的原则，共同推动公司持续、稳健发展。</w:t>
      </w:r>
    </w:p>
    <w:p>
      <w:pPr>
        <w:pStyle w:val="Style28"/>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140"/>
        <w:jc w:val="left"/>
      </w:pPr>
      <w:bookmarkStart w:id="398" w:name="bookmark398"/>
      <w:bookmarkStart w:id="399" w:name="bookmark399"/>
      <w:bookmarkStart w:id="400" w:name="bookmark400"/>
      <w:bookmarkStart w:id="401" w:name="bookmark401"/>
      <w:r>
        <w:rPr>
          <w:color w:val="000000"/>
          <w:spacing w:val="0"/>
          <w:w w:val="100"/>
          <w:position w:val="0"/>
          <w:sz w:val="24"/>
          <w:szCs w:val="24"/>
        </w:rPr>
        <w:t>二</w:t>
      </w:r>
      <w:bookmarkEnd w:id="400"/>
      <w:r>
        <w:rPr>
          <w:color w:val="000000"/>
          <w:spacing w:val="0"/>
          <w:w w:val="100"/>
          <w:position w:val="0"/>
          <w:sz w:val="24"/>
          <w:szCs w:val="24"/>
        </w:rPr>
        <w:t>、报告期内召开的年度股东大会和临时股东大会的有关情况</w:t>
      </w:r>
      <w:bookmarkEnd w:id="398"/>
      <w:bookmarkEnd w:id="399"/>
      <w:bookmarkEnd w:id="401"/>
    </w:p>
    <w:p>
      <w:pPr>
        <w:pStyle w:val="Style33"/>
        <w:keepNext/>
        <w:keepLines/>
        <w:widowControl w:val="0"/>
        <w:shd w:val="clear" w:color="auto" w:fill="auto"/>
        <w:bidi w:val="0"/>
        <w:spacing w:before="0" w:after="300" w:line="240" w:lineRule="auto"/>
        <w:ind w:left="0" w:right="0" w:firstLine="14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、本报告期年度股东大会情况</w:t>
      </w:r>
      <w:bookmarkEnd w:id="402"/>
      <w:bookmarkEnd w:id="403"/>
      <w:bookmarkEnd w:id="405"/>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14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2</w:t>
      </w:r>
      <w:bookmarkEnd w:id="408"/>
      <w:r>
        <w:rPr>
          <w:color w:val="000000"/>
          <w:spacing w:val="0"/>
          <w:w w:val="100"/>
          <w:position w:val="0"/>
        </w:rPr>
        <w:t>、本报告期临时股东大会情况</w:t>
      </w:r>
      <w:bookmarkEnd w:id="406"/>
      <w:bookmarkEnd w:id="407"/>
      <w:bookmarkEnd w:id="409"/>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140"/>
        <w:jc w:val="left"/>
      </w:pPr>
      <w:bookmarkStart w:id="410" w:name="bookmark410"/>
      <w:bookmarkStart w:id="411" w:name="bookmark411"/>
      <w:bookmarkStart w:id="412" w:name="bookmark412"/>
      <w:bookmarkStart w:id="413" w:name="bookmark413"/>
      <w:r>
        <w:rPr>
          <w:color w:val="000000"/>
          <w:spacing w:val="0"/>
          <w:w w:val="100"/>
          <w:position w:val="0"/>
          <w:sz w:val="24"/>
          <w:szCs w:val="24"/>
        </w:rPr>
        <w:t>三</w:t>
      </w:r>
      <w:bookmarkEnd w:id="412"/>
      <w:r>
        <w:rPr>
          <w:color w:val="000000"/>
          <w:spacing w:val="0"/>
          <w:w w:val="100"/>
          <w:position w:val="0"/>
          <w:sz w:val="24"/>
          <w:szCs w:val="24"/>
        </w:rPr>
        <w:t>、报告期董事会召开情况</w:t>
      </w:r>
      <w:bookmarkEnd w:id="410"/>
      <w:bookmarkEnd w:id="411"/>
      <w:bookmarkEnd w:id="413"/>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第二届董事会第十三次会议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第二届董事会第十四次会议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rPr>
              <w:t>2013</w:t>
            </w:r>
            <w:r>
              <w:rPr>
                <w:color w:val="000000"/>
                <w:spacing w:val="0"/>
                <w:w w:val="100"/>
                <w:position w:val="0"/>
              </w:rPr>
              <w:t>年第一季度报告全 文，董事会决议未单独披露</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第二届董事会第十五次会议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第二届董事会第十六次会议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bl>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第二届董事会第十七次会议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第二届董事会第十八次会议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第二届董事会第十九次会议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rPr>
              <w:t>2013</w:t>
            </w:r>
            <w:r>
              <w:rPr>
                <w:color w:val="000000"/>
                <w:spacing w:val="0"/>
                <w:w w:val="100"/>
                <w:position w:val="0"/>
              </w:rPr>
              <w:t>年第三季度报告全 文，董事会决议未单独披露</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left"/>
            </w:pPr>
            <w:r>
              <w:rPr>
                <w:color w:val="000000"/>
                <w:spacing w:val="0"/>
                <w:w w:val="100"/>
                <w:position w:val="0"/>
              </w:rPr>
              <w:t>第二届董事会第二十一次会 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after="180" w:line="240" w:lineRule="auto"/>
        <w:ind w:left="0" w:right="0" w:firstLine="140"/>
        <w:jc w:val="left"/>
      </w:pPr>
      <w:bookmarkStart w:id="414" w:name="bookmark414"/>
      <w:bookmarkStart w:id="415" w:name="bookmark415"/>
      <w:bookmarkStart w:id="416" w:name="bookmark416"/>
      <w:bookmarkStart w:id="417" w:name="bookmark417"/>
      <w:r>
        <w:rPr>
          <w:color w:val="000000"/>
          <w:spacing w:val="0"/>
          <w:w w:val="100"/>
          <w:position w:val="0"/>
          <w:sz w:val="24"/>
          <w:szCs w:val="24"/>
        </w:rPr>
        <w:t>四</w:t>
      </w:r>
      <w:bookmarkEnd w:id="416"/>
      <w:r>
        <w:rPr>
          <w:color w:val="000000"/>
          <w:spacing w:val="0"/>
          <w:w w:val="100"/>
          <w:position w:val="0"/>
          <w:sz w:val="24"/>
          <w:szCs w:val="24"/>
        </w:rPr>
        <w:t>、年度报告重大差错责任追究制度的建立与执行情况</w:t>
      </w:r>
      <w:bookmarkEnd w:id="414"/>
      <w:bookmarkEnd w:id="415"/>
      <w:bookmarkEnd w:id="417"/>
    </w:p>
    <w:p>
      <w:pPr>
        <w:pStyle w:val="Style28"/>
        <w:keepNext w:val="0"/>
        <w:keepLines w:val="0"/>
        <w:widowControl w:val="0"/>
        <w:shd w:val="clear" w:color="auto" w:fill="auto"/>
        <w:bidi w:val="0"/>
        <w:spacing w:before="0" w:after="440" w:line="469" w:lineRule="exact"/>
        <w:ind w:left="140" w:right="0" w:firstLine="360"/>
        <w:jc w:val="both"/>
      </w:pPr>
      <w:r>
        <w:rPr>
          <w:color w:val="000000"/>
          <w:spacing w:val="0"/>
          <w:w w:val="100"/>
          <w:position w:val="0"/>
        </w:rPr>
        <w:t>报告期内，公司严格按照《公司法》、《上市公司信息披露管理办法》、《深圳证券交易所创业板股票上市交易规则》等相 关法律法规的规定，规范运作。经</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日公司第一届董事会第十一次会议审议通过了《年报信息披露重大差错责 任追究制度》。该制度的建立，完善了公司内部控制，加大了对年报信息披露责任人的问责力度，提高年报信息披露的质量 和透明度，增强年报信息披露的真实性、准确性、完整性和及时性。截至报告期末，公司未发生重大会计差错更正、重大 遗漏信息补充以及业绩预告修正的情形。</w:t>
      </w:r>
    </w:p>
    <w:p>
      <w:pPr>
        <w:pStyle w:val="Style26"/>
        <w:keepNext/>
        <w:keepLines/>
        <w:widowControl w:val="0"/>
        <w:shd w:val="clear" w:color="auto" w:fill="auto"/>
        <w:tabs>
          <w:tab w:pos="685" w:val="left"/>
        </w:tabs>
        <w:bidi w:val="0"/>
        <w:spacing w:before="0" w:after="180" w:line="240" w:lineRule="auto"/>
        <w:ind w:left="0" w:right="0" w:firstLine="140"/>
        <w:jc w:val="left"/>
      </w:pPr>
      <w:bookmarkStart w:id="418" w:name="bookmark418"/>
      <w:bookmarkStart w:id="419" w:name="bookmark419"/>
      <w:bookmarkStart w:id="420" w:name="bookmark420"/>
      <w:bookmarkStart w:id="421" w:name="bookmark421"/>
      <w:r>
        <w:rPr>
          <w:color w:val="000000"/>
          <w:spacing w:val="0"/>
          <w:w w:val="100"/>
          <w:position w:val="0"/>
          <w:sz w:val="24"/>
          <w:szCs w:val="24"/>
        </w:rPr>
        <w:t>五</w:t>
      </w:r>
      <w:bookmarkEnd w:id="420"/>
      <w:r>
        <w:rPr>
          <w:color w:val="000000"/>
          <w:spacing w:val="0"/>
          <w:w w:val="100"/>
          <w:position w:val="0"/>
          <w:sz w:val="24"/>
          <w:szCs w:val="24"/>
        </w:rPr>
        <w:t>、</w:t>
        <w:tab/>
        <w:t>公司是否存在治理非规范情况说明</w:t>
      </w:r>
      <w:bookmarkEnd w:id="418"/>
      <w:bookmarkEnd w:id="419"/>
      <w:bookmarkEnd w:id="421"/>
    </w:p>
    <w:p>
      <w:pPr>
        <w:pStyle w:val="Style28"/>
        <w:keepNext w:val="0"/>
        <w:keepLines w:val="0"/>
        <w:widowControl w:val="0"/>
        <w:shd w:val="clear" w:color="auto" w:fill="auto"/>
        <w:bidi w:val="0"/>
        <w:spacing w:before="0" w:after="440" w:line="473" w:lineRule="exact"/>
        <w:ind w:left="140" w:right="0" w:firstLine="360"/>
        <w:jc w:val="both"/>
      </w:pPr>
      <w:r>
        <w:rPr>
          <w:color w:val="000000"/>
          <w:spacing w:val="0"/>
          <w:w w:val="100"/>
          <w:position w:val="0"/>
        </w:rPr>
        <w:t>报告期内，公司大股东、实际控制人严格遵守《深圳证券交易所创业板股票上市规则》、《深圳证券交易所创业板上市 公司规范运作指引》等相关法律法规的规定，不存在干预公司研发、经营、管理等治理非规范情况，公司亦不存在向大股东 提供未公开信息或存在其他治理非规范情况。</w:t>
      </w:r>
    </w:p>
    <w:p>
      <w:pPr>
        <w:pStyle w:val="Style26"/>
        <w:keepNext/>
        <w:keepLines/>
        <w:widowControl w:val="0"/>
        <w:shd w:val="clear" w:color="auto" w:fill="auto"/>
        <w:tabs>
          <w:tab w:pos="685" w:val="left"/>
        </w:tabs>
        <w:bidi w:val="0"/>
        <w:spacing w:before="0" w:after="180" w:line="240" w:lineRule="auto"/>
        <w:ind w:left="0" w:right="0" w:firstLine="140"/>
        <w:jc w:val="left"/>
      </w:pPr>
      <w:bookmarkStart w:id="422" w:name="bookmark422"/>
      <w:bookmarkStart w:id="423" w:name="bookmark423"/>
      <w:bookmarkStart w:id="424" w:name="bookmark424"/>
      <w:bookmarkStart w:id="425" w:name="bookmark425"/>
      <w:r>
        <w:rPr>
          <w:color w:val="000000"/>
          <w:spacing w:val="0"/>
          <w:w w:val="100"/>
          <w:position w:val="0"/>
          <w:sz w:val="24"/>
          <w:szCs w:val="24"/>
        </w:rPr>
        <w:t>六</w:t>
      </w:r>
      <w:bookmarkEnd w:id="424"/>
      <w:r>
        <w:rPr>
          <w:color w:val="000000"/>
          <w:spacing w:val="0"/>
          <w:w w:val="100"/>
          <w:position w:val="0"/>
          <w:sz w:val="24"/>
          <w:szCs w:val="24"/>
        </w:rPr>
        <w:t>、</w:t>
        <w:tab/>
        <w:t>监事会工作情况</w:t>
      </w:r>
      <w:bookmarkEnd w:id="422"/>
      <w:bookmarkEnd w:id="423"/>
      <w:bookmarkEnd w:id="425"/>
    </w:p>
    <w:p>
      <w:pPr>
        <w:pStyle w:val="Style28"/>
        <w:keepNext w:val="0"/>
        <w:keepLines w:val="0"/>
        <w:widowControl w:val="0"/>
        <w:shd w:val="clear" w:color="auto" w:fill="auto"/>
        <w:bidi w:val="0"/>
        <w:spacing w:before="0" w:after="180" w:line="469" w:lineRule="exact"/>
        <w:ind w:left="0" w:right="0" w:firstLine="140"/>
        <w:jc w:val="left"/>
      </w:pPr>
      <w:r>
        <w:rPr>
          <w:color w:val="000000"/>
          <w:spacing w:val="0"/>
          <w:w w:val="100"/>
          <w:position w:val="0"/>
        </w:rPr>
        <w:t>监事会在报告期内的监督活动是否发现公司存在风险</w:t>
      </w:r>
    </w:p>
    <w:p>
      <w:pPr>
        <w:pStyle w:val="Style28"/>
        <w:keepNext w:val="0"/>
        <w:keepLines w:val="0"/>
        <w:widowControl w:val="0"/>
        <w:shd w:val="clear" w:color="auto" w:fill="auto"/>
        <w:bidi w:val="0"/>
        <w:spacing w:before="0" w:after="0" w:line="545"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8"/>
        <w:keepNext w:val="0"/>
        <w:keepLines w:val="0"/>
        <w:widowControl w:val="0"/>
        <w:shd w:val="clear" w:color="auto" w:fill="auto"/>
        <w:bidi w:val="0"/>
        <w:spacing w:before="0" w:after="240" w:line="469" w:lineRule="exact"/>
        <w:ind w:left="0" w:right="0" w:firstLine="140"/>
        <w:jc w:val="left"/>
        <w:sectPr>
          <w:footnotePr>
            <w:pos w:val="pageBottom"/>
            <w:numFmt w:val="decimal"/>
            <w:numRestart w:val="continuous"/>
          </w:footnotePr>
          <w:pgSz w:w="11900" w:h="16840"/>
          <w:pgMar w:top="1306" w:right="695" w:bottom="1724" w:left="982" w:header="0" w:footer="3" w:gutter="0"/>
          <w:cols w:space="720"/>
          <w:noEndnote/>
          <w:rtlGutter w:val="0"/>
          <w:docGrid w:linePitch="360"/>
        </w:sectPr>
      </w:pPr>
      <w:r>
        <w:rPr>
          <w:color w:val="000000"/>
          <w:spacing w:val="0"/>
          <w:w w:val="100"/>
          <w:position w:val="0"/>
        </w:rPr>
        <w:t>公司监事会对报告期内的监督事项无异议。</w:t>
      </w:r>
    </w:p>
    <w:p>
      <w:pPr>
        <w:pStyle w:val="Style13"/>
        <w:keepNext/>
        <w:keepLines/>
        <w:widowControl w:val="0"/>
        <w:shd w:val="clear" w:color="auto" w:fill="auto"/>
        <w:bidi w:val="0"/>
        <w:spacing w:before="640" w:after="520" w:line="240" w:lineRule="auto"/>
        <w:ind w:left="0" w:right="0" w:firstLine="0"/>
        <w:jc w:val="center"/>
      </w:pPr>
      <w:bookmarkStart w:id="426" w:name="bookmark426"/>
      <w:bookmarkStart w:id="427" w:name="bookmark427"/>
      <w:bookmarkStart w:id="428" w:name="bookmark428"/>
      <w:r>
        <w:rPr>
          <w:color w:val="000000"/>
          <w:spacing w:val="0"/>
          <w:w w:val="100"/>
          <w:position w:val="0"/>
        </w:rPr>
        <w:t>第九节财务报告</w:t>
      </w:r>
      <w:bookmarkEnd w:id="426"/>
      <w:bookmarkEnd w:id="427"/>
      <w:bookmarkEnd w:id="428"/>
    </w:p>
    <w:p>
      <w:pPr>
        <w:pStyle w:val="Style26"/>
        <w:keepNext/>
        <w:keepLines/>
        <w:widowControl w:val="0"/>
        <w:shd w:val="clear" w:color="auto" w:fill="auto"/>
        <w:bidi w:val="0"/>
        <w:spacing w:before="0" w:after="320" w:line="240" w:lineRule="auto"/>
        <w:ind w:left="0" w:right="0" w:firstLine="140"/>
        <w:jc w:val="left"/>
      </w:pPr>
      <w:bookmarkStart w:id="429" w:name="bookmark429"/>
      <w:bookmarkStart w:id="430" w:name="bookmark430"/>
      <w:bookmarkStart w:id="431" w:name="bookmark431"/>
      <w:bookmarkStart w:id="432" w:name="bookmark432"/>
      <w:r>
        <w:rPr>
          <w:color w:val="000000"/>
          <w:spacing w:val="0"/>
          <w:w w:val="100"/>
          <w:position w:val="0"/>
          <w:sz w:val="24"/>
          <w:szCs w:val="24"/>
        </w:rPr>
        <w:t>一</w:t>
      </w:r>
      <w:bookmarkEnd w:id="431"/>
      <w:r>
        <w:rPr>
          <w:color w:val="000000"/>
          <w:spacing w:val="0"/>
          <w:w w:val="100"/>
          <w:position w:val="0"/>
          <w:sz w:val="24"/>
          <w:szCs w:val="24"/>
        </w:rPr>
        <w:t>、审计报告</w:t>
      </w:r>
      <w:bookmarkEnd w:id="429"/>
      <w:bookmarkEnd w:id="430"/>
      <w:bookmarkEnd w:id="43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48020006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杨春盛、梅月欣</w:t>
            </w:r>
          </w:p>
        </w:tc>
      </w:tr>
    </w:tbl>
    <w:p>
      <w:pPr>
        <w:widowControl w:val="0"/>
        <w:spacing w:after="439" w:line="1" w:lineRule="exact"/>
      </w:pPr>
    </w:p>
    <w:p>
      <w:pPr>
        <w:pStyle w:val="Style28"/>
        <w:keepNext w:val="0"/>
        <w:keepLines w:val="0"/>
        <w:widowControl w:val="0"/>
        <w:shd w:val="clear" w:color="auto" w:fill="auto"/>
        <w:bidi w:val="0"/>
        <w:spacing w:before="0" w:after="180" w:line="311" w:lineRule="exact"/>
        <w:ind w:left="0" w:right="0" w:firstLine="0"/>
        <w:jc w:val="center"/>
      </w:pPr>
      <w:r>
        <w:rPr>
          <w:color w:val="000000"/>
          <w:spacing w:val="0"/>
          <w:w w:val="100"/>
          <w:position w:val="0"/>
        </w:rPr>
        <w:t>审计报告正文</w:t>
      </w:r>
    </w:p>
    <w:p>
      <w:pPr>
        <w:pStyle w:val="Style28"/>
        <w:keepNext w:val="0"/>
        <w:keepLines w:val="0"/>
        <w:widowControl w:val="0"/>
        <w:shd w:val="clear" w:color="auto" w:fill="auto"/>
        <w:bidi w:val="0"/>
        <w:spacing w:before="0" w:after="120" w:line="311" w:lineRule="exact"/>
        <w:ind w:left="0" w:right="0" w:firstLine="140"/>
        <w:jc w:val="left"/>
      </w:pPr>
      <w:r>
        <w:rPr>
          <w:color w:val="000000"/>
          <w:spacing w:val="0"/>
          <w:w w:val="100"/>
          <w:position w:val="0"/>
        </w:rPr>
        <w:t>深圳市银之杰科技股份有限公司全体股东：</w:t>
      </w:r>
    </w:p>
    <w:p>
      <w:pPr>
        <w:pStyle w:val="Style28"/>
        <w:keepNext w:val="0"/>
        <w:keepLines w:val="0"/>
        <w:widowControl w:val="0"/>
        <w:shd w:val="clear" w:color="auto" w:fill="auto"/>
        <w:bidi w:val="0"/>
        <w:spacing w:before="0" w:after="120" w:line="314" w:lineRule="exact"/>
        <w:ind w:left="140" w:right="0" w:firstLine="360"/>
        <w:jc w:val="both"/>
      </w:pPr>
      <w:r>
        <w:rPr>
          <w:color w:val="000000"/>
          <w:spacing w:val="0"/>
          <w:w w:val="100"/>
          <w:position w:val="0"/>
        </w:rPr>
        <w:t>我们审计了后附的深圳市银之杰科技股份有限公司（以下简称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银之杰公司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 母公司的资产负债表，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年度合并及母公司的利润表、合并及母公司的现金流量表和合并及母公司的所有者权益变动表以 及财务报表附注。</w:t>
      </w:r>
    </w:p>
    <w:p>
      <w:pPr>
        <w:pStyle w:val="Style28"/>
        <w:keepNext w:val="0"/>
        <w:keepLines w:val="0"/>
        <w:widowControl w:val="0"/>
        <w:shd w:val="clear" w:color="auto" w:fill="auto"/>
        <w:tabs>
          <w:tab w:pos="935" w:val="left"/>
        </w:tabs>
        <w:bidi w:val="0"/>
        <w:spacing w:before="0" w:after="120" w:line="311" w:lineRule="exact"/>
        <w:ind w:left="0" w:right="0" w:firstLine="500"/>
        <w:jc w:val="left"/>
      </w:pPr>
      <w:bookmarkStart w:id="433" w:name="bookmark433"/>
      <w:r>
        <w:rPr>
          <w:color w:val="000000"/>
          <w:spacing w:val="0"/>
          <w:w w:val="100"/>
          <w:position w:val="0"/>
        </w:rPr>
        <w:t>一</w:t>
      </w:r>
      <w:bookmarkEnd w:id="433"/>
      <w:r>
        <w:rPr>
          <w:color w:val="000000"/>
          <w:spacing w:val="0"/>
          <w:w w:val="100"/>
          <w:position w:val="0"/>
        </w:rPr>
        <w:t>、</w:t>
        <w:tab/>
        <w:t>管理层对财务报表的责任</w:t>
      </w:r>
    </w:p>
    <w:p>
      <w:pPr>
        <w:pStyle w:val="Style28"/>
        <w:keepNext w:val="0"/>
        <w:keepLines w:val="0"/>
        <w:widowControl w:val="0"/>
        <w:shd w:val="clear" w:color="auto" w:fill="auto"/>
        <w:bidi w:val="0"/>
        <w:spacing w:before="0" w:after="120" w:line="307" w:lineRule="exact"/>
        <w:ind w:left="140" w:right="0" w:firstLine="360"/>
        <w:jc w:val="both"/>
      </w:pPr>
      <w:r>
        <w:rPr>
          <w:color w:val="000000"/>
          <w:spacing w:val="0"/>
          <w:w w:val="100"/>
          <w:position w:val="0"/>
        </w:rPr>
        <w:t>编制和公允列报财务报表是银之杰公司管理层的责任。这种责任包括：（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935" w:val="left"/>
        </w:tabs>
        <w:bidi w:val="0"/>
        <w:spacing w:before="0" w:after="120" w:line="311" w:lineRule="exact"/>
        <w:ind w:left="0" w:right="0" w:firstLine="500"/>
        <w:jc w:val="left"/>
      </w:pPr>
      <w:bookmarkStart w:id="434" w:name="bookmark434"/>
      <w:r>
        <w:rPr>
          <w:color w:val="000000"/>
          <w:spacing w:val="0"/>
          <w:w w:val="100"/>
          <w:position w:val="0"/>
        </w:rPr>
        <w:t>二</w:t>
      </w:r>
      <w:bookmarkEnd w:id="434"/>
      <w:r>
        <w:rPr>
          <w:color w:val="000000"/>
          <w:spacing w:val="0"/>
          <w:w w:val="100"/>
          <w:position w:val="0"/>
        </w:rPr>
        <w:t>、</w:t>
        <w:tab/>
        <w:t>注册会计师的责任</w:t>
      </w:r>
    </w:p>
    <w:p>
      <w:pPr>
        <w:pStyle w:val="Style28"/>
        <w:keepNext w:val="0"/>
        <w:keepLines w:val="0"/>
        <w:widowControl w:val="0"/>
        <w:shd w:val="clear" w:color="auto" w:fill="auto"/>
        <w:bidi w:val="0"/>
        <w:spacing w:before="0" w:after="120" w:line="312" w:lineRule="exact"/>
        <w:ind w:left="14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120" w:line="310" w:lineRule="exact"/>
        <w:ind w:left="14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120" w:line="311" w:lineRule="exact"/>
        <w:ind w:left="0" w:right="0" w:firstLine="500"/>
        <w:jc w:val="left"/>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935" w:val="left"/>
        </w:tabs>
        <w:bidi w:val="0"/>
        <w:spacing w:before="0" w:after="120" w:line="311" w:lineRule="exact"/>
        <w:ind w:left="0" w:right="0" w:firstLine="500"/>
        <w:jc w:val="left"/>
      </w:pPr>
      <w:bookmarkStart w:id="435" w:name="bookmark435"/>
      <w:r>
        <w:rPr>
          <w:color w:val="000000"/>
          <w:spacing w:val="0"/>
          <w:w w:val="100"/>
          <w:position w:val="0"/>
        </w:rPr>
        <w:t>三</w:t>
      </w:r>
      <w:bookmarkEnd w:id="435"/>
      <w:r>
        <w:rPr>
          <w:color w:val="000000"/>
          <w:spacing w:val="0"/>
          <w:w w:val="100"/>
          <w:position w:val="0"/>
        </w:rPr>
        <w:t>、</w:t>
        <w:tab/>
        <w:t>审计意见</w:t>
      </w:r>
    </w:p>
    <w:p>
      <w:pPr>
        <w:pStyle w:val="Style28"/>
        <w:keepNext w:val="0"/>
        <w:keepLines w:val="0"/>
        <w:widowControl w:val="0"/>
        <w:shd w:val="clear" w:color="auto" w:fill="auto"/>
        <w:bidi w:val="0"/>
        <w:spacing w:before="0" w:after="440" w:line="302" w:lineRule="exact"/>
        <w:ind w:left="140" w:right="0" w:firstLine="360"/>
        <w:jc w:val="both"/>
      </w:pPr>
      <w:r>
        <w:rPr>
          <w:color w:val="000000"/>
          <w:spacing w:val="0"/>
          <w:w w:val="100"/>
          <w:position w:val="0"/>
        </w:rPr>
        <w:t>我们认为，上述财务报表在所有重大方面按照企业会计准则的规定编制，公允反映了银之杰公司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 母公司的财务状况以及</w:t>
      </w:r>
      <w:r>
        <w:rPr>
          <w:rFonts w:ascii="Times New Roman" w:eastAsia="Times New Roman" w:hAnsi="Times New Roman" w:cs="Times New Roman"/>
          <w:color w:val="000000"/>
          <w:spacing w:val="0"/>
          <w:w w:val="100"/>
          <w:position w:val="0"/>
        </w:rPr>
        <w:t>2 013</w:t>
      </w:r>
      <w:r>
        <w:rPr>
          <w:color w:val="000000"/>
          <w:spacing w:val="0"/>
          <w:w w:val="100"/>
          <w:position w:val="0"/>
        </w:rPr>
        <w:t>年度合并及公司的经营成果和现金流量。</w:t>
      </w:r>
    </w:p>
    <w:p>
      <w:pPr>
        <w:pStyle w:val="Style28"/>
        <w:keepNext w:val="0"/>
        <w:keepLines w:val="0"/>
        <w:widowControl w:val="0"/>
        <w:shd w:val="clear" w:color="auto" w:fill="auto"/>
        <w:tabs>
          <w:tab w:pos="5434" w:val="left"/>
        </w:tabs>
        <w:bidi w:val="0"/>
        <w:spacing w:before="0" w:after="120" w:line="311" w:lineRule="exact"/>
        <w:ind w:left="0" w:right="0" w:firstLine="140"/>
        <w:jc w:val="left"/>
      </w:pPr>
      <w:r>
        <w:rPr>
          <w:color w:val="000000"/>
          <w:spacing w:val="0"/>
          <w:w w:val="100"/>
          <w:position w:val="0"/>
        </w:rPr>
        <w:t>瑞华会计师事务所（特殊普通合伙）</w:t>
        <w:tab/>
        <w:t>中国注册会计师 梅月欣</w:t>
      </w:r>
    </w:p>
    <w:p>
      <w:pPr>
        <w:pStyle w:val="Style28"/>
        <w:keepNext w:val="0"/>
        <w:keepLines w:val="0"/>
        <w:widowControl w:val="0"/>
        <w:shd w:val="clear" w:color="auto" w:fill="auto"/>
        <w:tabs>
          <w:tab w:pos="1704" w:val="left"/>
        </w:tabs>
        <w:bidi w:val="0"/>
        <w:spacing w:before="0" w:after="120" w:line="311" w:lineRule="exact"/>
        <w:ind w:left="0" w:right="0" w:firstLine="0"/>
        <w:jc w:val="center"/>
      </w:pPr>
      <w:r>
        <w:rPr>
          <w:color w:val="000000"/>
          <w:spacing w:val="0"/>
          <w:w w:val="100"/>
          <w:position w:val="0"/>
        </w:rPr>
        <w:t>中国注册会计师</w:t>
        <w:tab/>
        <w:t>杨春盛</w:t>
      </w:r>
    </w:p>
    <w:p>
      <w:pPr>
        <w:pStyle w:val="Style28"/>
        <w:keepNext w:val="0"/>
        <w:keepLines w:val="0"/>
        <w:widowControl w:val="0"/>
        <w:shd w:val="clear" w:color="auto" w:fill="auto"/>
        <w:bidi w:val="0"/>
        <w:spacing w:before="0" w:after="120" w:line="317" w:lineRule="exact"/>
        <w:ind w:left="8120" w:right="420" w:firstLine="0"/>
        <w:jc w:val="right"/>
      </w:pPr>
      <w:r>
        <w:rPr>
          <w:color w:val="000000"/>
          <w:spacing w:val="0"/>
          <w:w w:val="100"/>
          <w:position w:val="0"/>
        </w:rPr>
        <w:t>二。一四年三月五日 中国</w:t>
      </w:r>
      <w:r>
        <w:rPr>
          <w:rFonts w:ascii="Times New Roman" w:eastAsia="Times New Roman" w:hAnsi="Times New Roman" w:cs="Times New Roman"/>
          <w:color w:val="000000"/>
          <w:spacing w:val="0"/>
          <w:w w:val="100"/>
          <w:position w:val="0"/>
        </w:rPr>
        <w:t>•</w:t>
      </w:r>
      <w:r>
        <w:rPr>
          <w:color w:val="000000"/>
          <w:spacing w:val="0"/>
          <w:w w:val="100"/>
          <w:position w:val="0"/>
        </w:rPr>
        <w:t>北京</w:t>
      </w:r>
      <w:r>
        <w:br w:type="page"/>
      </w:r>
    </w:p>
    <w:p>
      <w:pPr>
        <w:pStyle w:val="Style26"/>
        <w:keepNext/>
        <w:keepLines/>
        <w:widowControl w:val="0"/>
        <w:shd w:val="clear" w:color="auto" w:fill="auto"/>
        <w:bidi w:val="0"/>
        <w:spacing w:before="0" w:after="360" w:line="240" w:lineRule="auto"/>
        <w:ind w:left="0" w:right="0" w:firstLine="140"/>
        <w:jc w:val="left"/>
      </w:pPr>
      <w:bookmarkStart w:id="436" w:name="bookmark436"/>
      <w:bookmarkStart w:id="437" w:name="bookmark437"/>
      <w:bookmarkStart w:id="438" w:name="bookmark438"/>
      <w:bookmarkStart w:id="439" w:name="bookmark439"/>
      <w:r>
        <w:rPr>
          <w:color w:val="000000"/>
          <w:spacing w:val="0"/>
          <w:w w:val="100"/>
          <w:position w:val="0"/>
          <w:sz w:val="24"/>
          <w:szCs w:val="24"/>
        </w:rPr>
        <w:t>二</w:t>
      </w:r>
      <w:bookmarkEnd w:id="438"/>
      <w:r>
        <w:rPr>
          <w:color w:val="000000"/>
          <w:spacing w:val="0"/>
          <w:w w:val="100"/>
          <w:position w:val="0"/>
          <w:sz w:val="24"/>
          <w:szCs w:val="24"/>
        </w:rPr>
        <w:t>、财务报表</w:t>
      </w:r>
      <w:bookmarkEnd w:id="436"/>
      <w:bookmarkEnd w:id="437"/>
      <w:bookmarkEnd w:id="439"/>
    </w:p>
    <w:p>
      <w:pPr>
        <w:pStyle w:val="Style28"/>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60" w:line="240" w:lineRule="auto"/>
        <w:ind w:left="0" w:right="0" w:firstLine="140"/>
        <w:jc w:val="left"/>
      </w:pPr>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440"/>
      <w:bookmarkEnd w:id="441"/>
      <w:bookmarkEnd w:id="442"/>
    </w:p>
    <w:p>
      <w:pPr>
        <w:pStyle w:val="Style2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编制单位：深圳市银之杰科技股份有限公司</w:t>
      </w:r>
    </w:p>
    <w:p>
      <w:pPr>
        <w:pStyle w:val="Style28"/>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295,732,521.77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353,108,632.82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91,468,105.74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67,521,521.03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8,076,300.69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7,096,996.51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8,357,709.70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6,361,871.55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13,340,520.30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11,468,637.78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333,715.65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1,286,540.02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418,260,007.18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446,844,199.71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24,897,990.65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42,863,094.15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44,020,938.63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6,009,551.99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6,123,625.10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27,246,464.15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12,300,113.82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12,676,949.14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15,929,451.30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1,543,294.26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2,029,870.77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1,615,024.83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1,067,193.03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116,852,369.17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81,471,192.65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535,112,376.35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528,315,392.36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7,033,233.21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6,610,847.21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4,670,292.47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5,513,728.28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1,337,260.31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452,149.41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13,049,322.53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12,603,261.44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13,049,322.53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12,603,261.44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121,330,000.00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318,949,500.21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313,975,300.21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16,638,005.05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14,759,761.35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65,145,548.56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66,977,069.36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522,063,053.82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515,712,130.92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522,063,053.82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515,712,130.92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535,112,376.35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528,315,392.36</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78" behindDoc="0" locked="0" layoutInCell="1" allowOverlap="1">
                <wp:simplePos x="0" y="0"/>
                <wp:positionH relativeFrom="page">
                  <wp:posOffset>715010</wp:posOffset>
                </wp:positionH>
                <wp:positionV relativeFrom="margin">
                  <wp:posOffset>6897370</wp:posOffset>
                </wp:positionV>
                <wp:extent cx="1054735" cy="149225"/>
                <wp:wrapTopAndBottom/>
                <wp:docPr id="13" name="Shape 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39" type="#_x0000_t202" style="position:absolute;margin-left:56.300000000000004pt;margin-top:543.10000000000002pt;width:83.049999999999997pt;height:11.75pt;z-index:-125829375;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0" distL="2290445" distR="2513330" simplePos="0" relativeHeight="125829380" behindDoc="0" locked="0" layoutInCell="1" allowOverlap="1">
                <wp:simplePos x="0" y="0"/>
                <wp:positionH relativeFrom="page">
                  <wp:posOffset>2891155</wp:posOffset>
                </wp:positionH>
                <wp:positionV relativeFrom="margin">
                  <wp:posOffset>6897370</wp:posOffset>
                </wp:positionV>
                <wp:extent cx="1508760" cy="149225"/>
                <wp:wrapTopAndBottom/>
                <wp:docPr id="15" name="Shape 15"/>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wps:txbx>
                      <wps:bodyPr wrap="none" lIns="0" tIns="0" rIns="0" bIns="0">
                        <a:noAutoFit/>
                      </wps:bodyPr>
                    </wps:wsp>
                  </a:graphicData>
                </a:graphic>
              </wp:anchor>
            </w:drawing>
          </mc:Choice>
          <mc:Fallback>
            <w:pict>
              <v:shape id="_x0000_s1041" type="#_x0000_t202" style="position:absolute;margin-left:227.65000000000001pt;margin-top:543.10000000000002pt;width:118.8pt;height:11.75pt;z-index:-125829373;mso-wrap-distance-left:180.34999999999999pt;mso-wrap-distance-top:12.pt;mso-wrap-distance-right:197.9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v:textbox>
                <w10:wrap type="topAndBottom" anchorx="page" anchory="margin"/>
              </v:shape>
            </w:pict>
          </mc:Fallback>
        </mc:AlternateContent>
      </w:r>
      <w:r>
        <mc:AlternateContent>
          <mc:Choice Requires="wps">
            <w:drawing>
              <wp:anchor distT="152400" distB="0" distL="4911725" distR="114300" simplePos="0" relativeHeight="125829382" behindDoc="0" locked="0" layoutInCell="1" allowOverlap="1">
                <wp:simplePos x="0" y="0"/>
                <wp:positionH relativeFrom="page">
                  <wp:posOffset>5512435</wp:posOffset>
                </wp:positionH>
                <wp:positionV relativeFrom="margin">
                  <wp:posOffset>6897370</wp:posOffset>
                </wp:positionV>
                <wp:extent cx="1286510" cy="149225"/>
                <wp:wrapTopAndBottom/>
                <wp:docPr id="17" name="Shape 1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43" type="#_x0000_t202" style="position:absolute;margin-left:434.05000000000001pt;margin-top:543.10000000000002pt;width:101.3pt;height:11.75pt;z-index:-125829371;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、母公司资产负债表</w:t>
      </w:r>
      <w:bookmarkEnd w:id="443"/>
      <w:bookmarkEnd w:id="444"/>
      <w:bookmarkEnd w:id="4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编制单位：深圳市银之杰科技股份有限公司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290,804,381.54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337,491,332.43</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91,468,105.74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67,521,521.03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5,660,146.27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10,094,466.42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8,031,311.65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5,986,331.05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8,401,514.51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6,021,365.37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333,715.65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1,286,540.02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405,650,308.69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436,401,556.32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28,897,990.65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42,863,094.15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44,020,938.63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5,181,036.60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5,784,227.20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27,237,546.01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12,289,585.64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12,676,949.14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15,987,703.73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1,300,758.99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1,744,338.75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1,446,803.52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1,066,078.62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119,604,179.06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84,892,872.57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525,254,487.75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521,294,428.89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4" behindDoc="0" locked="0" layoutInCell="1" allowOverlap="1">
                <wp:simplePos x="0" y="0"/>
                <wp:positionH relativeFrom="page">
                  <wp:posOffset>735965</wp:posOffset>
                </wp:positionH>
                <wp:positionV relativeFrom="margin">
                  <wp:posOffset>8686800</wp:posOffset>
                </wp:positionV>
                <wp:extent cx="1054735" cy="149225"/>
                <wp:wrapTopAndBottom/>
                <wp:docPr id="19" name="Shape 1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45" type="#_x0000_t202" style="position:absolute;margin-left:57.950000000000003pt;margin-top:684.pt;width:83.049999999999997pt;height:11.75pt;z-index:-125829369;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0" distL="2290445" distR="2513330" simplePos="0" relativeHeight="125829386" behindDoc="0" locked="0" layoutInCell="1" allowOverlap="1">
                <wp:simplePos x="0" y="0"/>
                <wp:positionH relativeFrom="page">
                  <wp:posOffset>2912110</wp:posOffset>
                </wp:positionH>
                <wp:positionV relativeFrom="margin">
                  <wp:posOffset>8686800</wp:posOffset>
                </wp:positionV>
                <wp:extent cx="1508760" cy="149225"/>
                <wp:wrapTopAndBottom/>
                <wp:docPr id="21" name="Shape 21"/>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wps:txbx>
                      <wps:bodyPr wrap="none" lIns="0" tIns="0" rIns="0" bIns="0">
                        <a:noAutoFit/>
                      </wps:bodyPr>
                    </wps:wsp>
                  </a:graphicData>
                </a:graphic>
              </wp:anchor>
            </w:drawing>
          </mc:Choice>
          <mc:Fallback>
            <w:pict>
              <v:shape id="_x0000_s1047" type="#_x0000_t202" style="position:absolute;margin-left:229.30000000000001pt;margin-top:684.pt;width:118.8pt;height:11.75pt;z-index:-125829367;mso-wrap-distance-left:180.34999999999999pt;mso-wrap-distance-top:12.pt;mso-wrap-distance-right:197.9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5533390</wp:posOffset>
                </wp:positionH>
                <wp:positionV relativeFrom="margin">
                  <wp:posOffset>8686800</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49" type="#_x0000_t202" style="position:absolute;margin-left:435.69999999999999pt;margin-top:684.pt;width:101.3pt;height:11.75pt;z-index:-125829365;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p>
    <w:tbl>
      <w:tblPr>
        <w:tblOverlap w:val="never"/>
        <w:jc w:val="center"/>
        <w:tblLayout w:type="fixed"/>
      </w:tblPr>
      <w:tblGrid>
        <w:gridCol w:w="2966"/>
        <w:gridCol w:w="3302"/>
        <w:gridCol w:w="3312"/>
      </w:tblGrid>
      <w:tr>
        <w:trPr>
          <w:trHeight w:val="408"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2,783,829.51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2,536,226.34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6,453.00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24,453.00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2,083.54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3,743,666.86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4,228,571.19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1,326,059.60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450,252.85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7,862,092.51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7,241,586.92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7,862,092.51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7,241,586.92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121,330,000.00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318,949,500.21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313,975,300.21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14,551,289.52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13,407,754.19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62,561,605.51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66,669,787.57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517,392,395.24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514,052,841.97</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525,254,487.75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521,294,428.89</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、合并利润表</w:t>
      </w:r>
      <w:bookmarkEnd w:id="447"/>
      <w:bookmarkEnd w:id="448"/>
      <w:bookmarkEnd w:id="45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编制单位：深圳市银之杰科技股份有限公司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110,074,729.26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100,527,997.61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110,074,729.26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100,527,997.61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101,594,824.79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89,377,192.38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51,116,498.03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47,136,736.37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1,057,438.01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1,146,151.23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22,718,310.81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20,466,965.97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34,676,402.39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29,848,601.36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-10,509,771.74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-10,263,615.96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2,535,947.29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1,042,353.41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8,477,895.12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11,150,805.23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6,057,707.82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9,119,311.08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2,122.86</w:t>
            </w:r>
          </w:p>
        </w:tc>
      </w:tr>
    </w:tbl>
    <w:p>
      <w:pPr>
        <w:widowControl w:val="0"/>
        <w:spacing w:line="1" w:lineRule="exact"/>
      </w:pPr>
      <w:r>
        <w:br w:type="page"/>
      </w:r>
    </w:p>
    <w:tbl>
      <w:tblPr>
        <w:tblOverlap w:val="never"/>
        <w:jc w:val="center"/>
        <w:tblLayout w:type="fixed"/>
      </w:tblPr>
      <w:tblGrid>
        <w:gridCol w:w="2971"/>
        <w:gridCol w:w="3298"/>
        <w:gridCol w:w="3312"/>
      </w:tblGrid>
      <w:tr>
        <w:trPr>
          <w:trHeight w:val="370"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14,534,135.98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20,267,993.45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87,413.08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2,237,376.01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14,446,722.90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18,030,617.44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14,446,722.90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18,030,617.44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14,446,722.90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18,030,617.44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14,446,722.90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18,030,617.44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715010</wp:posOffset>
                </wp:positionH>
                <wp:positionV relativeFrom="margin">
                  <wp:posOffset>4462145</wp:posOffset>
                </wp:positionV>
                <wp:extent cx="1054735" cy="149225"/>
                <wp:wrapTopAndBottom/>
                <wp:docPr id="25" name="Shape 2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51" type="#_x0000_t202" style="position:absolute;margin-left:56.300000000000004pt;margin-top:351.35000000000002pt;width:83.049999999999997pt;height:11.75pt;z-index:-125829363;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0" distL="2290445" distR="2513330" simplePos="0" relativeHeight="125829392" behindDoc="0" locked="0" layoutInCell="1" allowOverlap="1">
                <wp:simplePos x="0" y="0"/>
                <wp:positionH relativeFrom="page">
                  <wp:posOffset>2891155</wp:posOffset>
                </wp:positionH>
                <wp:positionV relativeFrom="margin">
                  <wp:posOffset>4462145</wp:posOffset>
                </wp:positionV>
                <wp:extent cx="1508760" cy="149225"/>
                <wp:wrapTopAndBottom/>
                <wp:docPr id="27" name="Shape 2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wps:txbx>
                      <wps:bodyPr wrap="none" lIns="0" tIns="0" rIns="0" bIns="0">
                        <a:noAutoFit/>
                      </wps:bodyPr>
                    </wps:wsp>
                  </a:graphicData>
                </a:graphic>
              </wp:anchor>
            </w:drawing>
          </mc:Choice>
          <mc:Fallback>
            <w:pict>
              <v:shape id="_x0000_s1053" type="#_x0000_t202" style="position:absolute;margin-left:227.65000000000001pt;margin-top:351.35000000000002pt;width:118.8pt;height:11.75pt;z-index:-125829361;mso-wrap-distance-left:180.34999999999999pt;mso-wrap-distance-top:12.pt;mso-wrap-distance-right:197.9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v:textbox>
                <w10:wrap type="topAndBottom" anchorx="page" anchory="margin"/>
              </v:shape>
            </w:pict>
          </mc:Fallback>
        </mc:AlternateContent>
      </w:r>
      <w:r>
        <mc:AlternateContent>
          <mc:Choice Requires="wps">
            <w:drawing>
              <wp:anchor distT="152400" distB="0" distL="4911725" distR="114300" simplePos="0" relativeHeight="125829394" behindDoc="0" locked="0" layoutInCell="1" allowOverlap="1">
                <wp:simplePos x="0" y="0"/>
                <wp:positionH relativeFrom="page">
                  <wp:posOffset>5512435</wp:posOffset>
                </wp:positionH>
                <wp:positionV relativeFrom="margin">
                  <wp:posOffset>4462145</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55" type="#_x0000_t202" style="position:absolute;margin-left:434.05000000000001pt;margin-top:351.35000000000002pt;width:101.3pt;height:11.75pt;z-index:-125829359;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4</w:t>
      </w:r>
      <w:bookmarkEnd w:id="453"/>
      <w:r>
        <w:rPr>
          <w:color w:val="000000"/>
          <w:spacing w:val="0"/>
          <w:w w:val="100"/>
          <w:position w:val="0"/>
        </w:rPr>
        <w:t>、母公司利润表</w:t>
      </w:r>
      <w:bookmarkEnd w:id="451"/>
      <w:bookmarkEnd w:id="452"/>
      <w:bookmarkEnd w:id="45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编制单位：深圳市银之杰科技股份有限公司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115,583,331.77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101,244,580.28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68,093,162.25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56,867,703.42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771,220.05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920,020.15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22,718,310.81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20,466,965.97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31,343,353.55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27,694,671.46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-10,458,358.42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-10,229,612.09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2,538,165.94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1,037,935.97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6,497,990.65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66"/>
        <w:gridCol w:w="3302"/>
        <w:gridCol w:w="3312"/>
      </w:tblGrid>
      <w:tr>
        <w:trPr>
          <w:trHeight w:val="370"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7,075,468.24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12,486,895.40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4,286,071.95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6,594,746.96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11,360,073.23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19,079,519.50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-75,280.04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1,278,999.96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11,435,353.27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17,800,519.54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11,435,353.27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17,800,519.54</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96" behindDoc="0" locked="0" layoutInCell="1" allowOverlap="1">
                <wp:simplePos x="0" y="0"/>
                <wp:positionH relativeFrom="page">
                  <wp:posOffset>715010</wp:posOffset>
                </wp:positionH>
                <wp:positionV relativeFrom="margin">
                  <wp:posOffset>3810000</wp:posOffset>
                </wp:positionV>
                <wp:extent cx="1054735" cy="149225"/>
                <wp:wrapTopAndBottom/>
                <wp:docPr id="31" name="Shape 3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57" type="#_x0000_t202" style="position:absolute;margin-left:56.300000000000004pt;margin-top:300.pt;width:83.049999999999997pt;height:11.75pt;z-index:-125829357;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0" distL="2290445" distR="2513330" simplePos="0" relativeHeight="125829398" behindDoc="0" locked="0" layoutInCell="1" allowOverlap="1">
                <wp:simplePos x="0" y="0"/>
                <wp:positionH relativeFrom="page">
                  <wp:posOffset>2891155</wp:posOffset>
                </wp:positionH>
                <wp:positionV relativeFrom="margin">
                  <wp:posOffset>3810000</wp:posOffset>
                </wp:positionV>
                <wp:extent cx="1508760" cy="149225"/>
                <wp:wrapTopAndBottom/>
                <wp:docPr id="33" name="Shape 33"/>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wps:txbx>
                      <wps:bodyPr wrap="none" lIns="0" tIns="0" rIns="0" bIns="0">
                        <a:noAutoFit/>
                      </wps:bodyPr>
                    </wps:wsp>
                  </a:graphicData>
                </a:graphic>
              </wp:anchor>
            </w:drawing>
          </mc:Choice>
          <mc:Fallback>
            <w:pict>
              <v:shape id="_x0000_s1059" type="#_x0000_t202" style="position:absolute;margin-left:227.65000000000001pt;margin-top:300.pt;width:118.8pt;height:11.75pt;z-index:-125829355;mso-wrap-distance-left:180.34999999999999pt;mso-wrap-distance-top:12.pt;mso-wrap-distance-right:197.9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v:textbox>
                <w10:wrap type="topAndBottom" anchorx="page" anchory="margin"/>
              </v:shape>
            </w:pict>
          </mc:Fallback>
        </mc:AlternateContent>
      </w:r>
      <w:r>
        <mc:AlternateContent>
          <mc:Choice Requires="wps">
            <w:drawing>
              <wp:anchor distT="152400" distB="0" distL="4911725" distR="114300" simplePos="0" relativeHeight="125829400" behindDoc="0" locked="0" layoutInCell="1" allowOverlap="1">
                <wp:simplePos x="0" y="0"/>
                <wp:positionH relativeFrom="page">
                  <wp:posOffset>5512435</wp:posOffset>
                </wp:positionH>
                <wp:positionV relativeFrom="margin">
                  <wp:posOffset>3810000</wp:posOffset>
                </wp:positionV>
                <wp:extent cx="1286510" cy="149225"/>
                <wp:wrapTopAndBottom/>
                <wp:docPr id="35" name="Shape 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61" type="#_x0000_t202" style="position:absolute;margin-left:434.05000000000001pt;margin-top:300.pt;width:101.3pt;height:11.75pt;z-index:-125829353;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5</w:t>
      </w:r>
      <w:bookmarkEnd w:id="457"/>
      <w:r>
        <w:rPr>
          <w:color w:val="000000"/>
          <w:spacing w:val="0"/>
          <w:w w:val="100"/>
          <w:position w:val="0"/>
        </w:rPr>
        <w:t>、合并现金流量表</w:t>
      </w:r>
      <w:bookmarkEnd w:id="455"/>
      <w:bookmarkEnd w:id="456"/>
      <w:bookmarkEnd w:id="45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编制单位：深圳市银之杰科技股份有限公司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93,021,605.09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104,908,766.17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4,548,697.05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4,045,976.93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15,506,594.76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19,330,924.84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113,076,896.90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128,285,667.94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27,677,448.46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29,241,873.54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32,885,072.75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37,386,928.06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13,176,808.59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13,608,225.20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43,473,445.53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42,499,613.67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117,212,775.33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122,736,640.47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-4,135,878.43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5,549,027.47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20,235,370.62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21,591,259.16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77,135,370.62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21,591,259.16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-77,131,210.62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-21,548,159.16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6,094,268.41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6,304,200.00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6,094,268.41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14,400,002.65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18,000,002.51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6,778,011.91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14,413,222.00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24,778,014.42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-8,109,022.00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-18,683,746.01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-89,376,111.05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-34,682,877.70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353,108,632.82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387,791,510.52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263,732,521.77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353,108,632.82</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2" behindDoc="0" locked="0" layoutInCell="1" allowOverlap="1">
                <wp:simplePos x="0" y="0"/>
                <wp:positionH relativeFrom="page">
                  <wp:posOffset>715010</wp:posOffset>
                </wp:positionH>
                <wp:positionV relativeFrom="margin">
                  <wp:posOffset>4940935</wp:posOffset>
                </wp:positionV>
                <wp:extent cx="1054735" cy="149225"/>
                <wp:wrapTopAndBottom/>
                <wp:docPr id="37" name="Shape 3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63" type="#_x0000_t202" style="position:absolute;margin-left:56.300000000000004pt;margin-top:389.05000000000001pt;width:83.049999999999997pt;height:11.75pt;z-index:-125829351;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0" distL="2290445" distR="2513330" simplePos="0" relativeHeight="125829404" behindDoc="0" locked="0" layoutInCell="1" allowOverlap="1">
                <wp:simplePos x="0" y="0"/>
                <wp:positionH relativeFrom="page">
                  <wp:posOffset>2891155</wp:posOffset>
                </wp:positionH>
                <wp:positionV relativeFrom="margin">
                  <wp:posOffset>4940935</wp:posOffset>
                </wp:positionV>
                <wp:extent cx="1508760" cy="149225"/>
                <wp:wrapTopAndBottom/>
                <wp:docPr id="39" name="Shape 39"/>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wps:txbx>
                      <wps:bodyPr wrap="none" lIns="0" tIns="0" rIns="0" bIns="0">
                        <a:noAutoFit/>
                      </wps:bodyPr>
                    </wps:wsp>
                  </a:graphicData>
                </a:graphic>
              </wp:anchor>
            </w:drawing>
          </mc:Choice>
          <mc:Fallback>
            <w:pict>
              <v:shape id="_x0000_s1065" type="#_x0000_t202" style="position:absolute;margin-left:227.65000000000001pt;margin-top:389.05000000000001pt;width:118.8pt;height:11.75pt;z-index:-125829349;mso-wrap-distance-left:180.34999999999999pt;mso-wrap-distance-top:12.pt;mso-wrap-distance-right:197.9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v:textbox>
                <w10:wrap type="topAndBottom" anchorx="page" anchory="margin"/>
              </v:shape>
            </w:pict>
          </mc:Fallback>
        </mc:AlternateContent>
      </w:r>
      <w:r>
        <mc:AlternateContent>
          <mc:Choice Requires="wps">
            <w:drawing>
              <wp:anchor distT="152400" distB="0" distL="4911725" distR="114300" simplePos="0" relativeHeight="125829406" behindDoc="0" locked="0" layoutInCell="1" allowOverlap="1">
                <wp:simplePos x="0" y="0"/>
                <wp:positionH relativeFrom="page">
                  <wp:posOffset>5512435</wp:posOffset>
                </wp:positionH>
                <wp:positionV relativeFrom="margin">
                  <wp:posOffset>4940935</wp:posOffset>
                </wp:positionV>
                <wp:extent cx="1286510" cy="149225"/>
                <wp:wrapTopAndBottom/>
                <wp:docPr id="41" name="Shape 4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67" type="#_x0000_t202" style="position:absolute;margin-left:434.05000000000001pt;margin-top:389.05000000000001pt;width:101.3pt;height:11.75pt;z-index:-125829347;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6</w:t>
      </w:r>
      <w:bookmarkEnd w:id="461"/>
      <w:r>
        <w:rPr>
          <w:color w:val="000000"/>
          <w:spacing w:val="0"/>
          <w:w w:val="100"/>
          <w:position w:val="0"/>
        </w:rPr>
        <w:t>、母公司现金流量表</w:t>
      </w:r>
      <w:bookmarkEnd w:id="459"/>
      <w:bookmarkEnd w:id="460"/>
      <w:bookmarkEnd w:id="46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编制单位：深圳市银之杰科技股份有限公司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93,021,605.09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104,908,766.17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2,774,873.13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1,751,221.36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15,422,229.52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19,268,760.44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111,218,707.74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125,928,747.97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39,630,882.50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43,013,718.78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28,951,841.95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35,236,465.76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8,862,576.88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10,093,120.66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41,786,539.92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41,176,196.92</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119,231,841.25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129,519,502.12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-8,013,133.51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-3,590,754.15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14,504,160.00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20,168,955.38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20,324,496.16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77,068,955.38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20,324,496.16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-62,564,795.38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-20,281,396.16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6,304,200.00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6,094,268.41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6,304,200.00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6,094,268.41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14,400,002.65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18,000,002.51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6,778,011.91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14,413,222.00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24,778,014.42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-8,109,022.00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-18,683,746.01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-78,686,950.89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-42,555,896.32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337,491,332.43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380,047,228.75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258,804,381.54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337,491,332.43</w:t>
            </w:r>
          </w:p>
        </w:tc>
      </w:tr>
    </w:tbl>
    <w:p>
      <w:pPr>
        <w:spacing w:lineRule="exact" w:line="1"/>
        <w:rPr>
          <w:sz w:val="2"/>
          <w:szCs w:val="2"/>
        </w:rPr>
      </w:pPr>
      <w:r>
        <w:br w:type="page"/>
      </w:r>
    </w:p>
    <w:p>
      <w:pPr>
        <w:widowControl w:val="0"/>
        <w:spacing w:line="1" w:lineRule="exact"/>
      </w:pPr>
      <w:r>
        <mc:AlternateContent>
          <mc:Choice Requires="wps">
            <w:drawing>
              <wp:anchor distT="0" distB="152400" distL="0" distR="0" simplePos="0" relativeHeight="125829408" behindDoc="0" locked="0" layoutInCell="1" allowOverlap="1">
                <wp:simplePos x="0" y="0"/>
                <wp:positionH relativeFrom="page">
                  <wp:posOffset>708660</wp:posOffset>
                </wp:positionH>
                <wp:positionV relativeFrom="paragraph">
                  <wp:posOffset>0</wp:posOffset>
                </wp:positionV>
                <wp:extent cx="1054735" cy="149225"/>
                <wp:wrapTopAndBottom/>
                <wp:docPr id="43" name="Shape 4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69" type="#_x0000_t202" style="position:absolute;margin-left:55.800000000000004pt;margin-top:0;width:83.049999999999997pt;height:11.75pt;z-index:-125829345;mso-wrap-distance-left:0;mso-wrap-distance-right:0;mso-wrap-distance-bottom:1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v:shape>
            </w:pict>
          </mc:Fallback>
        </mc:AlternateContent>
      </w:r>
      <w:r>
        <mc:AlternateContent>
          <mc:Choice Requires="wps">
            <w:drawing>
              <wp:anchor distT="0" distB="152400" distL="0" distR="0" simplePos="0" relativeHeight="125829410" behindDoc="0" locked="0" layoutInCell="1" allowOverlap="1">
                <wp:simplePos x="0" y="0"/>
                <wp:positionH relativeFrom="page">
                  <wp:posOffset>2884805</wp:posOffset>
                </wp:positionH>
                <wp:positionV relativeFrom="paragraph">
                  <wp:posOffset>0</wp:posOffset>
                </wp:positionV>
                <wp:extent cx="1508760" cy="149225"/>
                <wp:wrapTopAndBottom/>
                <wp:docPr id="45" name="Shape 45"/>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wps:txbx>
                      <wps:bodyPr wrap="none" lIns="0" tIns="0" rIns="0" bIns="0">
                        <a:noAutoFit/>
                      </wps:bodyPr>
                    </wps:wsp>
                  </a:graphicData>
                </a:graphic>
              </wp:anchor>
            </w:drawing>
          </mc:Choice>
          <mc:Fallback>
            <w:pict>
              <v:shape id="_x0000_s1071" type="#_x0000_t202" style="position:absolute;margin-left:227.15000000000001pt;margin-top:0;width:118.8pt;height:11.75pt;z-index:-125829343;mso-wrap-distance-left:0;mso-wrap-distance-right:0;mso-wrap-distance-bottom:1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v:textbox>
                <w10:wrap type="topAndBottom" anchorx="page"/>
              </v:shape>
            </w:pict>
          </mc:Fallback>
        </mc:AlternateContent>
      </w:r>
      <w:r>
        <mc:AlternateContent>
          <mc:Choice Requires="wps">
            <w:drawing>
              <wp:anchor distT="0" distB="152400" distL="0" distR="0" simplePos="0" relativeHeight="125829412" behindDoc="0" locked="0" layoutInCell="1" allowOverlap="1">
                <wp:simplePos x="0" y="0"/>
                <wp:positionH relativeFrom="page">
                  <wp:posOffset>5506085</wp:posOffset>
                </wp:positionH>
                <wp:positionV relativeFrom="paragraph">
                  <wp:posOffset>0</wp:posOffset>
                </wp:positionV>
                <wp:extent cx="1286510" cy="149225"/>
                <wp:wrapTopAndBottom/>
                <wp:docPr id="47" name="Shape 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73" type="#_x0000_t202" style="position:absolute;margin-left:433.55000000000001pt;margin-top:0;width:101.3pt;height:11.75pt;z-index:-125829341;mso-wrap-distance-left:0;mso-wrap-distance-right:0;mso-wrap-distance-bottom:12.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v:shape>
            </w:pict>
          </mc:Fallback>
        </mc:AlternateContent>
      </w:r>
    </w:p>
    <w:p>
      <w:pPr>
        <w:pStyle w:val="Style33"/>
        <w:keepNext/>
        <w:keepLines/>
        <w:widowControl w:val="0"/>
        <w:shd w:val="clear" w:color="auto" w:fill="auto"/>
        <w:bidi w:val="0"/>
        <w:spacing w:before="0" w:after="36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7</w:t>
      </w:r>
      <w:bookmarkEnd w:id="465"/>
      <w:r>
        <w:rPr>
          <w:color w:val="000000"/>
          <w:spacing w:val="0"/>
          <w:w w:val="100"/>
          <w:position w:val="0"/>
        </w:rPr>
        <w:t>、合并所有者权益变动表</w:t>
      </w:r>
      <w:bookmarkEnd w:id="463"/>
      <w:bookmarkEnd w:id="464"/>
      <w:bookmarkEnd w:id="46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编制单位：深圳市银之杰科技股份有限公司 </w:t>
      </w: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313,975,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66,977,0</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515,712,13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120,000</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313,975,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66,977,0</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515,712,13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1,330,0</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4,974,20</w:t>
            </w:r>
          </w:p>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1,878,2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-1,831,5</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6,350,922.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14,446,7</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14,446,722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14,446,7</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14,446,722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1,330,0</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4,974,20</w:t>
            </w:r>
          </w:p>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6,304,200.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1,330,0</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4,974,20</w:t>
            </w:r>
          </w:p>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6,304,200.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1,878,2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-16,278,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-14,400,00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1,878,2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-1,878,2</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-14,400,00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121,330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318,949,</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16,638,</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65,145,5</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522,063,05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313,975,</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68,727,1</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515,681,51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313,975,</w:t>
            </w:r>
          </w:p>
          <w:p>
            <w:pPr>
              <w:pStyle w:val="Style23"/>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68,727,1</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515,681,51</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-1,750,0</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30,617.44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18,030,6</w:t>
            </w:r>
          </w:p>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18,030,617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18,030,6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18,030,617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-19,780,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-1,780,6</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313,975,</w:t>
            </w:r>
          </w:p>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14,759,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66,977,0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515,712,13</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14" behindDoc="0" locked="0" layoutInCell="1" allowOverlap="1">
                <wp:simplePos x="0" y="0"/>
                <wp:positionH relativeFrom="page">
                  <wp:posOffset>715010</wp:posOffset>
                </wp:positionH>
                <wp:positionV relativeFrom="margin">
                  <wp:posOffset>7010400</wp:posOffset>
                </wp:positionV>
                <wp:extent cx="1054735" cy="149225"/>
                <wp:wrapTopAndBottom/>
                <wp:docPr id="49" name="Shape 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wps:txbx>
                      <wps:bodyPr wrap="none" lIns="0" tIns="0" rIns="0" bIns="0">
                        <a:noAutoFit/>
                      </wps:bodyPr>
                    </wps:wsp>
                  </a:graphicData>
                </a:graphic>
              </wp:anchor>
            </w:drawing>
          </mc:Choice>
          <mc:Fallback>
            <w:pict>
              <v:shape id="_x0000_s1075" type="#_x0000_t202" style="position:absolute;margin-left:56.300000000000004pt;margin-top:552.pt;width:83.049999999999997pt;height:11.75pt;z-index:-125829339;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法定代表人：陈向军</w:t>
                      </w:r>
                    </w:p>
                  </w:txbxContent>
                </v:textbox>
                <w10:wrap type="topAndBottom" anchorx="page" anchory="margin"/>
              </v:shape>
            </w:pict>
          </mc:Fallback>
        </mc:AlternateContent>
      </w:r>
      <w:r>
        <mc:AlternateContent>
          <mc:Choice Requires="wps">
            <w:drawing>
              <wp:anchor distT="152400" distB="0" distL="2290445" distR="2513330" simplePos="0" relativeHeight="125829416" behindDoc="0" locked="0" layoutInCell="1" allowOverlap="1">
                <wp:simplePos x="0" y="0"/>
                <wp:positionH relativeFrom="page">
                  <wp:posOffset>2891155</wp:posOffset>
                </wp:positionH>
                <wp:positionV relativeFrom="margin">
                  <wp:posOffset>7010400</wp:posOffset>
                </wp:positionV>
                <wp:extent cx="1508760" cy="149225"/>
                <wp:wrapTopAndBottom/>
                <wp:docPr id="51" name="Shape 51"/>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wps:txbx>
                      <wps:bodyPr wrap="none" lIns="0" tIns="0" rIns="0" bIns="0">
                        <a:noAutoFit/>
                      </wps:bodyPr>
                    </wps:wsp>
                  </a:graphicData>
                </a:graphic>
              </wp:anchor>
            </w:drawing>
          </mc:Choice>
          <mc:Fallback>
            <w:pict>
              <v:shape id="_x0000_s1077" type="#_x0000_t202" style="position:absolute;margin-left:227.65000000000001pt;margin-top:552.pt;width:118.8pt;height:11.75pt;z-index:-125829337;mso-wrap-distance-left:180.34999999999999pt;mso-wrap-distance-top:12.pt;mso-wrap-distance-right:197.9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主管会计工作负责人：许秋江</w:t>
                      </w:r>
                    </w:p>
                  </w:txbxContent>
                </v:textbox>
                <w10:wrap type="topAndBottom" anchorx="page" anchory="margin"/>
              </v:shape>
            </w:pict>
          </mc:Fallback>
        </mc:AlternateContent>
      </w:r>
      <w:r>
        <mc:AlternateContent>
          <mc:Choice Requires="wps">
            <w:drawing>
              <wp:anchor distT="152400" distB="0" distL="4911725" distR="114300" simplePos="0" relativeHeight="125829418" behindDoc="0" locked="0" layoutInCell="1" allowOverlap="1">
                <wp:simplePos x="0" y="0"/>
                <wp:positionH relativeFrom="page">
                  <wp:posOffset>5512435</wp:posOffset>
                </wp:positionH>
                <wp:positionV relativeFrom="margin">
                  <wp:posOffset>7010400</wp:posOffset>
                </wp:positionV>
                <wp:extent cx="1286510" cy="149225"/>
                <wp:wrapTopAndBottom/>
                <wp:docPr id="53" name="Shape 5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wps:txbx>
                      <wps:bodyPr wrap="none" lIns="0" tIns="0" rIns="0" bIns="0">
                        <a:noAutoFit/>
                      </wps:bodyPr>
                    </wps:wsp>
                  </a:graphicData>
                </a:graphic>
              </wp:anchor>
            </w:drawing>
          </mc:Choice>
          <mc:Fallback>
            <w:pict>
              <v:shape id="_x0000_s1079" type="#_x0000_t202" style="position:absolute;margin-left:434.05000000000001pt;margin-top:552.pt;width:101.3pt;height:11.75pt;z-index:-125829335;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会计机构负责人：张春雷</w:t>
                      </w:r>
                    </w:p>
                  </w:txbxContent>
                </v:textbox>
                <w10:wrap type="topAndBottom" anchorx="page" anchory="margin"/>
              </v:shape>
            </w:pict>
          </mc:Fallback>
        </mc:AlternateContent>
      </w: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8</w:t>
      </w:r>
      <w:bookmarkEnd w:id="469"/>
      <w:r>
        <w:rPr>
          <w:color w:val="000000"/>
          <w:spacing w:val="0"/>
          <w:w w:val="100"/>
          <w:position w:val="0"/>
        </w:rPr>
        <w:t>、母公司所有者权益变动表</w:t>
      </w:r>
      <w:bookmarkEnd w:id="467"/>
      <w:bookmarkEnd w:id="468"/>
      <w:bookmarkEnd w:id="47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编制单位：深圳市银之杰科技股份有限公司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润</w:t>
            </w: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313,975,30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13,407,754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66,669,787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514,052,84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313,975,30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13,407,754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66,669,787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514,052,84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r>
        <w:trPr>
          <w:trHeight w:val="36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-4,108,182.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3,339,553.</w:t>
            </w:r>
          </w:p>
        </w:tc>
      </w:tr>
      <w:tr>
        <w:trPr>
          <w:trHeight w:val="350"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11,435,353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11,435,353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11,435,353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11,435,353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6,304,200.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6,304,200.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-15,543,53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1,143,535.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-1,143,535.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121,330,00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318,949,50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14,551,289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62,561,605</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517,392,39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888"/>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313,975,30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11,627,054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68,649,967</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514,252,32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313,975,30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11,627,054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68,649,967</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514,252,32</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三、本期增减变动金额（减少以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1,780,699.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-1,980,179.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-199,480.4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17,800,519</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17,800,519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17,800,519</w:t>
            </w:r>
          </w:p>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17,800,519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1,780,699.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-19,780,69</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1,780,699.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-1,780,699.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-18,000,00</w:t>
            </w:r>
          </w:p>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313,975,30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13,407,754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66,669,787</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514,052,84</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w:t>
            </w:r>
          </w:p>
        </w:tc>
      </w:tr>
    </w:tbl>
    <w:p>
      <w:pPr>
        <w:widowControl w:val="0"/>
        <w:spacing w:after="79" w:line="1" w:lineRule="exact"/>
      </w:pPr>
    </w:p>
    <w:p>
      <w:pPr>
        <w:pStyle w:val="Style28"/>
        <w:keepNext w:val="0"/>
        <w:keepLines w:val="0"/>
        <w:widowControl w:val="0"/>
        <w:shd w:val="clear" w:color="auto" w:fill="auto"/>
        <w:tabs>
          <w:tab w:pos="3355" w:val="left"/>
          <w:tab w:pos="7517" w:val="left"/>
        </w:tabs>
        <w:bidi w:val="0"/>
        <w:spacing w:before="0" w:after="360" w:line="470" w:lineRule="exact"/>
        <w:ind w:left="0" w:right="0" w:firstLine="0"/>
        <w:jc w:val="both"/>
      </w:pPr>
      <w:r>
        <w:rPr>
          <w:color w:val="000000"/>
          <w:spacing w:val="0"/>
          <w:w w:val="100"/>
          <w:position w:val="0"/>
        </w:rPr>
        <w:t>法定代表人：陈向军</w:t>
        <w:tab/>
        <w:t>主管会计工作负责人：许秋江</w:t>
        <w:tab/>
        <w:t>会计机构负责人：张春雷</w:t>
      </w:r>
    </w:p>
    <w:p>
      <w:pPr>
        <w:pStyle w:val="Style26"/>
        <w:keepNext/>
        <w:keepLines/>
        <w:widowControl w:val="0"/>
        <w:shd w:val="clear" w:color="auto" w:fill="auto"/>
        <w:bidi w:val="0"/>
        <w:spacing w:before="0" w:after="18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sz w:val="24"/>
          <w:szCs w:val="24"/>
        </w:rPr>
        <w:t>三</w:t>
      </w:r>
      <w:bookmarkEnd w:id="473"/>
      <w:r>
        <w:rPr>
          <w:color w:val="000000"/>
          <w:spacing w:val="0"/>
          <w:w w:val="100"/>
          <w:position w:val="0"/>
          <w:sz w:val="24"/>
          <w:szCs w:val="24"/>
        </w:rPr>
        <w:t>、公司基本情况</w:t>
      </w:r>
      <w:bookmarkEnd w:id="471"/>
      <w:bookmarkEnd w:id="472"/>
      <w:bookmarkEnd w:id="474"/>
    </w:p>
    <w:p>
      <w:pPr>
        <w:pStyle w:val="Style28"/>
        <w:keepNext w:val="0"/>
        <w:keepLines w:val="0"/>
        <w:widowControl w:val="0"/>
        <w:shd w:val="clear" w:color="auto" w:fill="auto"/>
        <w:tabs>
          <w:tab w:pos="911" w:val="left"/>
        </w:tabs>
        <w:bidi w:val="0"/>
        <w:spacing w:before="0" w:after="0" w:line="470" w:lineRule="exact"/>
        <w:ind w:left="0" w:right="0"/>
        <w:jc w:val="both"/>
      </w:pPr>
      <w:bookmarkStart w:id="475" w:name="bookmark475"/>
      <w:r>
        <w:rPr>
          <w:color w:val="000000"/>
          <w:spacing w:val="0"/>
          <w:w w:val="100"/>
          <w:position w:val="0"/>
        </w:rPr>
        <w:t>（</w:t>
      </w:r>
      <w:bookmarkEnd w:id="475"/>
      <w:r>
        <w:rPr>
          <w:color w:val="000000"/>
          <w:spacing w:val="0"/>
          <w:w w:val="100"/>
          <w:position w:val="0"/>
        </w:rPr>
        <w:t>一）</w:t>
        <w:tab/>
        <w:t>公司概况</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公司名称：深圳市银之杰科技股份有限公司</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注册地址：深圳市福田区车公庙天安数码城天祥大厦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5B2</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注册资本：人民币12133万元</w:t>
      </w:r>
    </w:p>
    <w:p>
      <w:pPr>
        <w:pStyle w:val="Style36"/>
        <w:keepNext w:val="0"/>
        <w:keepLines w:val="0"/>
        <w:widowControl w:val="0"/>
        <w:shd w:val="clear" w:color="auto" w:fill="auto"/>
        <w:bidi w:val="0"/>
        <w:spacing w:before="0" w:after="0" w:line="470" w:lineRule="exact"/>
        <w:ind w:left="0" w:right="0" w:firstLine="380"/>
        <w:jc w:val="both"/>
      </w:pPr>
      <w:r>
        <w:rPr>
          <w:rFonts w:ascii="SimSun" w:eastAsia="SimSun" w:hAnsi="SimSun" w:cs="SimSun"/>
          <w:color w:val="000000"/>
          <w:spacing w:val="0"/>
          <w:w w:val="100"/>
          <w:position w:val="0"/>
        </w:rPr>
        <w:t>企业法人营业执照注册号：</w:t>
      </w:r>
      <w:r>
        <w:rPr>
          <w:color w:val="000000"/>
          <w:spacing w:val="0"/>
          <w:w w:val="100"/>
          <w:position w:val="0"/>
        </w:rPr>
        <w:t>440301102955880</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法定代表人：陈向军</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经营期限：永续经营</w:t>
      </w:r>
    </w:p>
    <w:p>
      <w:pPr>
        <w:pStyle w:val="Style28"/>
        <w:keepNext w:val="0"/>
        <w:keepLines w:val="0"/>
        <w:widowControl w:val="0"/>
        <w:shd w:val="clear" w:color="auto" w:fill="auto"/>
        <w:tabs>
          <w:tab w:pos="911" w:val="left"/>
        </w:tabs>
        <w:bidi w:val="0"/>
        <w:spacing w:before="0" w:after="0" w:line="470" w:lineRule="exact"/>
        <w:ind w:left="0" w:right="0"/>
        <w:jc w:val="both"/>
      </w:pPr>
      <w:bookmarkStart w:id="476" w:name="bookmark476"/>
      <w:r>
        <w:rPr>
          <w:color w:val="000000"/>
          <w:spacing w:val="0"/>
          <w:w w:val="100"/>
          <w:position w:val="0"/>
        </w:rPr>
        <w:t>（</w:t>
      </w:r>
      <w:bookmarkEnd w:id="476"/>
      <w:r>
        <w:rPr>
          <w:color w:val="000000"/>
          <w:spacing w:val="0"/>
          <w:w w:val="100"/>
          <w:position w:val="0"/>
        </w:rPr>
        <w:t>二）</w:t>
        <w:tab/>
        <w:t>经营范围及主营业务</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经营范围：计算机软硬件、计算机外围设备、金融专用设备、金融机具的技术开发、销售、技术服务；网络技术的开发、 技术服务；信息技术研发、技术咨询及技术转让；计算机系统集成；兴办实业（具体项目另行申报），国内贸易（不含专营、 专控、专卖商品），经营进出口业务。</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主营业务：为银行等金融机构提供与支付结算、风险防控、业务流程再造、自助服务等业务相关的软件产品、软件开发、 金融专用设备、技术服务并提供相应的系统集成。</w:t>
      </w:r>
    </w:p>
    <w:p>
      <w:pPr>
        <w:pStyle w:val="Style28"/>
        <w:keepNext w:val="0"/>
        <w:keepLines w:val="0"/>
        <w:widowControl w:val="0"/>
        <w:shd w:val="clear" w:color="auto" w:fill="auto"/>
        <w:tabs>
          <w:tab w:pos="911" w:val="left"/>
        </w:tabs>
        <w:bidi w:val="0"/>
        <w:spacing w:before="0" w:after="0" w:line="470" w:lineRule="exact"/>
        <w:ind w:left="0" w:right="0"/>
        <w:jc w:val="both"/>
      </w:pPr>
      <w:bookmarkStart w:id="477" w:name="bookmark477"/>
      <w:r>
        <w:rPr>
          <w:color w:val="000000"/>
          <w:spacing w:val="0"/>
          <w:w w:val="100"/>
          <w:position w:val="0"/>
        </w:rPr>
        <w:t>（</w:t>
      </w:r>
      <w:bookmarkEnd w:id="477"/>
      <w:r>
        <w:rPr>
          <w:color w:val="000000"/>
          <w:spacing w:val="0"/>
          <w:w w:val="100"/>
          <w:position w:val="0"/>
        </w:rPr>
        <w:t>三）</w:t>
        <w:tab/>
        <w:t>公司历史沿革及设立情况</w:t>
      </w:r>
    </w:p>
    <w:p>
      <w:pPr>
        <w:pStyle w:val="Style28"/>
        <w:keepNext w:val="0"/>
        <w:keepLines w:val="0"/>
        <w:widowControl w:val="0"/>
        <w:shd w:val="clear" w:color="auto" w:fill="auto"/>
        <w:bidi w:val="0"/>
        <w:spacing w:before="0" w:after="120" w:line="470" w:lineRule="exact"/>
        <w:ind w:left="0" w:right="0"/>
        <w:jc w:val="both"/>
      </w:pPr>
      <w:r>
        <w:rPr>
          <w:color w:val="000000"/>
          <w:spacing w:val="0"/>
          <w:w w:val="100"/>
          <w:position w:val="0"/>
        </w:rPr>
        <w:t>公司前身为深圳市银之杰科技有限公司（以下简称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银之杰有限</w:t>
      </w:r>
      <w:r>
        <w:rPr>
          <w:rFonts w:ascii="Times New Roman" w:eastAsia="Times New Roman" w:hAnsi="Times New Roman" w:cs="Times New Roman"/>
          <w:color w:val="000000"/>
          <w:spacing w:val="0"/>
          <w:w w:val="100"/>
          <w:position w:val="0"/>
        </w:rPr>
        <w:t>”</w:t>
      </w:r>
      <w:r>
        <w:rPr>
          <w:color w:val="000000"/>
          <w:spacing w:val="0"/>
          <w:w w:val="100"/>
          <w:position w:val="0"/>
        </w:rPr>
        <w:t>），银之杰有限成立于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日，系张学君、何 晔、李军、陈向军四人出资设立的有限责任公司，四人分别以货币资金</w:t>
      </w:r>
      <w:r>
        <w:rPr>
          <w:rFonts w:ascii="Times New Roman" w:eastAsia="Times New Roman" w:hAnsi="Times New Roman" w:cs="Times New Roman"/>
          <w:color w:val="000000"/>
          <w:spacing w:val="0"/>
          <w:w w:val="100"/>
          <w:position w:val="0"/>
        </w:rPr>
        <w:t>50</w:t>
      </w:r>
      <w:r>
        <w:rPr>
          <w:color w:val="000000"/>
          <w:spacing w:val="0"/>
          <w:w w:val="100"/>
          <w:position w:val="0"/>
        </w:rPr>
        <w:t>万元、</w:t>
      </w:r>
      <w:r>
        <w:rPr>
          <w:rFonts w:ascii="Times New Roman" w:eastAsia="Times New Roman" w:hAnsi="Times New Roman" w:cs="Times New Roman"/>
          <w:color w:val="000000"/>
          <w:spacing w:val="0"/>
          <w:w w:val="100"/>
          <w:position w:val="0"/>
        </w:rPr>
        <w:t>30</w:t>
      </w:r>
      <w:r>
        <w:rPr>
          <w:color w:val="000000"/>
          <w:spacing w:val="0"/>
          <w:w w:val="100"/>
          <w:position w:val="0"/>
        </w:rPr>
        <w:t>万元、</w:t>
      </w:r>
      <w:r>
        <w:rPr>
          <w:rFonts w:ascii="Times New Roman" w:eastAsia="Times New Roman" w:hAnsi="Times New Roman" w:cs="Times New Roman"/>
          <w:color w:val="000000"/>
          <w:spacing w:val="0"/>
          <w:w w:val="100"/>
          <w:position w:val="0"/>
        </w:rPr>
        <w:t>10</w:t>
      </w:r>
      <w:r>
        <w:rPr>
          <w:color w:val="000000"/>
          <w:spacing w:val="0"/>
          <w:w w:val="100"/>
          <w:position w:val="0"/>
        </w:rPr>
        <w:t>万元、</w:t>
      </w:r>
      <w:r>
        <w:rPr>
          <w:rFonts w:ascii="Times New Roman" w:eastAsia="Times New Roman" w:hAnsi="Times New Roman" w:cs="Times New Roman"/>
          <w:color w:val="000000"/>
          <w:spacing w:val="0"/>
          <w:w w:val="100"/>
          <w:position w:val="0"/>
        </w:rPr>
        <w:t>10</w:t>
      </w:r>
      <w:r>
        <w:rPr>
          <w:color w:val="000000"/>
          <w:spacing w:val="0"/>
          <w:w w:val="100"/>
          <w:position w:val="0"/>
        </w:rPr>
        <w:t>万元出资。深圳中法会 计师事务所对上述出资进行了验证，并于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日出具的深中法验字（</w:t>
      </w:r>
      <w:r>
        <w:rPr>
          <w:rFonts w:ascii="Times New Roman" w:eastAsia="Times New Roman" w:hAnsi="Times New Roman" w:cs="Times New Roman"/>
          <w:color w:val="000000"/>
          <w:spacing w:val="0"/>
          <w:w w:val="100"/>
          <w:position w:val="0"/>
        </w:rPr>
        <w:t>1998</w:t>
      </w:r>
      <w:r>
        <w:rPr>
          <w:color w:val="000000"/>
          <w:spacing w:val="0"/>
          <w:w w:val="100"/>
          <w:position w:val="0"/>
        </w:rPr>
        <w:t>）第</w:t>
      </w:r>
      <w:r>
        <w:rPr>
          <w:rFonts w:ascii="Times New Roman" w:eastAsia="Times New Roman" w:hAnsi="Times New Roman" w:cs="Times New Roman"/>
          <w:color w:val="000000"/>
          <w:spacing w:val="0"/>
          <w:w w:val="100"/>
          <w:position w:val="0"/>
        </w:rPr>
        <w:t>073</w:t>
      </w:r>
      <w:r>
        <w:rPr>
          <w:color w:val="000000"/>
          <w:spacing w:val="0"/>
          <w:w w:val="100"/>
          <w:position w:val="0"/>
        </w:rPr>
        <w:t>号验资报告。</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 </w:t>
      </w:r>
      <w:r>
        <w:rPr>
          <w:color w:val="000000"/>
          <w:spacing w:val="0"/>
          <w:w w:val="100"/>
          <w:position w:val="0"/>
        </w:rPr>
        <w:t>银之杰有限领取了深圳市工商行政管理局颁发的注册号为</w:t>
      </w:r>
      <w:r>
        <w:rPr>
          <w:rFonts w:ascii="Times New Roman" w:eastAsia="Times New Roman" w:hAnsi="Times New Roman" w:cs="Times New Roman"/>
          <w:color w:val="000000"/>
          <w:spacing w:val="0"/>
          <w:w w:val="100"/>
          <w:position w:val="0"/>
        </w:rPr>
        <w:t>4403012009512</w:t>
      </w:r>
      <w:r>
        <w:rPr>
          <w:color w:val="000000"/>
          <w:spacing w:val="0"/>
          <w:w w:val="100"/>
          <w:position w:val="0"/>
        </w:rPr>
        <w:t>的企业法人营业执照，注册资本</w:t>
      </w:r>
      <w:r>
        <w:rPr>
          <w:rFonts w:ascii="Times New Roman" w:eastAsia="Times New Roman" w:hAnsi="Times New Roman" w:cs="Times New Roman"/>
          <w:color w:val="000000"/>
          <w:spacing w:val="0"/>
          <w:w w:val="100"/>
          <w:position w:val="0"/>
        </w:rPr>
        <w:t>10 0</w:t>
      </w:r>
      <w:r>
        <w:rPr>
          <w:color w:val="000000"/>
          <w:spacing w:val="0"/>
          <w:w w:val="100"/>
          <w:position w:val="0"/>
        </w:rPr>
        <w:t>万元。</w:t>
      </w:r>
    </w:p>
    <w:p>
      <w:pPr>
        <w:pStyle w:val="Style28"/>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日，银之杰有限股东会通过了增加公司注册资本至人民币</w:t>
      </w:r>
      <w:r>
        <w:rPr>
          <w:rFonts w:ascii="Times New Roman" w:eastAsia="Times New Roman" w:hAnsi="Times New Roman" w:cs="Times New Roman"/>
          <w:color w:val="000000"/>
          <w:spacing w:val="0"/>
          <w:w w:val="100"/>
          <w:position w:val="0"/>
        </w:rPr>
        <w:t>500</w:t>
      </w:r>
      <w:r>
        <w:rPr>
          <w:color w:val="000000"/>
          <w:spacing w:val="0"/>
          <w:w w:val="100"/>
          <w:position w:val="0"/>
        </w:rPr>
        <w:t>万元的决议，其中新增注册资本由张学君、何 晔、李军、陈向军分别以货币资金</w:t>
      </w:r>
      <w:r>
        <w:rPr>
          <w:rFonts w:ascii="Times New Roman" w:eastAsia="Times New Roman" w:hAnsi="Times New Roman" w:cs="Times New Roman"/>
          <w:color w:val="000000"/>
          <w:spacing w:val="0"/>
          <w:w w:val="100"/>
          <w:position w:val="0"/>
        </w:rPr>
        <w:t>200</w:t>
      </w:r>
      <w:r>
        <w:rPr>
          <w:color w:val="000000"/>
          <w:spacing w:val="0"/>
          <w:w w:val="100"/>
          <w:position w:val="0"/>
        </w:rPr>
        <w:t>万元、120万元、</w:t>
      </w:r>
      <w:r>
        <w:rPr>
          <w:rFonts w:ascii="Times New Roman" w:eastAsia="Times New Roman" w:hAnsi="Times New Roman" w:cs="Times New Roman"/>
          <w:color w:val="000000"/>
          <w:spacing w:val="0"/>
          <w:w w:val="100"/>
          <w:position w:val="0"/>
        </w:rPr>
        <w:t>40</w:t>
      </w:r>
      <w:r>
        <w:rPr>
          <w:color w:val="000000"/>
          <w:spacing w:val="0"/>
          <w:w w:val="100"/>
          <w:position w:val="0"/>
        </w:rPr>
        <w:t>万元、</w:t>
      </w:r>
      <w:r>
        <w:rPr>
          <w:rFonts w:ascii="Times New Roman" w:eastAsia="Times New Roman" w:hAnsi="Times New Roman" w:cs="Times New Roman"/>
          <w:color w:val="000000"/>
          <w:spacing w:val="0"/>
          <w:w w:val="100"/>
          <w:position w:val="0"/>
        </w:rPr>
        <w:t>40</w:t>
      </w:r>
      <w:r>
        <w:rPr>
          <w:color w:val="000000"/>
          <w:spacing w:val="0"/>
          <w:w w:val="100"/>
          <w:position w:val="0"/>
        </w:rPr>
        <w:t>万元出资。深圳中法会计师事务所对上述出资进行了验证， 并于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日出具深中法验字</w:t>
      </w:r>
      <w:r>
        <w:rPr>
          <w:rFonts w:ascii="Times New Roman" w:eastAsia="Times New Roman" w:hAnsi="Times New Roman" w:cs="Times New Roman"/>
          <w:color w:val="000000"/>
          <w:spacing w:val="0"/>
          <w:w w:val="100"/>
          <w:position w:val="0"/>
        </w:rPr>
        <w:t>［2004］1509</w:t>
      </w:r>
      <w:r>
        <w:rPr>
          <w:color w:val="000000"/>
          <w:spacing w:val="0"/>
          <w:w w:val="100"/>
          <w:position w:val="0"/>
        </w:rPr>
        <w:t>号验资报告。银之杰有限于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日办理了工商变更登记，领取了深圳市 工商行政管理局核发的注册号为4403012009512的企业法人营业执照，注册资本为</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28"/>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日，银之杰有限股东会审议通过了股权转让的议案，张学君分别以人民币</w:t>
      </w:r>
      <w:r>
        <w:rPr>
          <w:rFonts w:ascii="Times New Roman" w:eastAsia="Times New Roman" w:hAnsi="Times New Roman" w:cs="Times New Roman"/>
          <w:color w:val="000000"/>
          <w:spacing w:val="0"/>
          <w:w w:val="100"/>
          <w:position w:val="0"/>
        </w:rPr>
        <w:t>25</w:t>
      </w:r>
      <w:r>
        <w:rPr>
          <w:color w:val="000000"/>
          <w:spacing w:val="0"/>
          <w:w w:val="100"/>
          <w:position w:val="0"/>
        </w:rPr>
        <w:t>万元转让</w:t>
      </w:r>
      <w:r>
        <w:rPr>
          <w:rFonts w:ascii="Times New Roman" w:eastAsia="Times New Roman" w:hAnsi="Times New Roman" w:cs="Times New Roman"/>
          <w:color w:val="000000"/>
          <w:spacing w:val="0"/>
          <w:w w:val="100"/>
          <w:position w:val="0"/>
        </w:rPr>
        <w:t>5%</w:t>
      </w:r>
      <w:r>
        <w:rPr>
          <w:color w:val="000000"/>
          <w:spacing w:val="0"/>
          <w:w w:val="100"/>
          <w:position w:val="0"/>
        </w:rPr>
        <w:t>的股权给李军，以 人民币</w:t>
      </w:r>
      <w:r>
        <w:rPr>
          <w:rFonts w:ascii="Times New Roman" w:eastAsia="Times New Roman" w:hAnsi="Times New Roman" w:cs="Times New Roman"/>
          <w:color w:val="000000"/>
          <w:spacing w:val="0"/>
          <w:w w:val="100"/>
          <w:position w:val="0"/>
        </w:rPr>
        <w:t>25</w:t>
      </w:r>
      <w:r>
        <w:rPr>
          <w:color w:val="000000"/>
          <w:spacing w:val="0"/>
          <w:w w:val="100"/>
          <w:position w:val="0"/>
        </w:rPr>
        <w:t>万元转让</w:t>
      </w:r>
      <w:r>
        <w:rPr>
          <w:rFonts w:ascii="Times New Roman" w:eastAsia="Times New Roman" w:hAnsi="Times New Roman" w:cs="Times New Roman"/>
          <w:color w:val="000000"/>
          <w:spacing w:val="0"/>
          <w:w w:val="100"/>
          <w:position w:val="0"/>
        </w:rPr>
        <w:t>5%</w:t>
      </w:r>
      <w:r>
        <w:rPr>
          <w:color w:val="000000"/>
          <w:spacing w:val="0"/>
          <w:w w:val="100"/>
          <w:position w:val="0"/>
        </w:rPr>
        <w:t>的股权给陈向军，以人民币</w:t>
      </w:r>
      <w:r>
        <w:rPr>
          <w:rFonts w:ascii="Times New Roman" w:eastAsia="Times New Roman" w:hAnsi="Times New Roman" w:cs="Times New Roman"/>
          <w:color w:val="000000"/>
          <w:spacing w:val="0"/>
          <w:w w:val="100"/>
          <w:position w:val="0"/>
        </w:rPr>
        <w:t>25</w:t>
      </w:r>
      <w:r>
        <w:rPr>
          <w:color w:val="000000"/>
          <w:spacing w:val="0"/>
          <w:w w:val="100"/>
          <w:position w:val="0"/>
        </w:rPr>
        <w:t>万元转让</w:t>
      </w:r>
      <w:r>
        <w:rPr>
          <w:rFonts w:ascii="Times New Roman" w:eastAsia="Times New Roman" w:hAnsi="Times New Roman" w:cs="Times New Roman"/>
          <w:color w:val="000000"/>
          <w:spacing w:val="0"/>
          <w:w w:val="100"/>
          <w:position w:val="0"/>
        </w:rPr>
        <w:t>5%</w:t>
      </w:r>
      <w:r>
        <w:rPr>
          <w:color w:val="000000"/>
          <w:spacing w:val="0"/>
          <w:w w:val="100"/>
          <w:position w:val="0"/>
        </w:rPr>
        <w:t>的股权给汪旻，其他股东放弃优先购买权。</w:t>
      </w:r>
    </w:p>
    <w:p>
      <w:pPr>
        <w:pStyle w:val="Style28"/>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日，银之杰有限股东会通过决议，将注册资本从</w:t>
      </w:r>
      <w:r>
        <w:rPr>
          <w:rFonts w:ascii="Times New Roman" w:eastAsia="Times New Roman" w:hAnsi="Times New Roman" w:cs="Times New Roman"/>
          <w:color w:val="000000"/>
          <w:spacing w:val="0"/>
          <w:w w:val="100"/>
          <w:position w:val="0"/>
        </w:rPr>
        <w:t>500</w:t>
      </w:r>
      <w:r>
        <w:rPr>
          <w:color w:val="000000"/>
          <w:spacing w:val="0"/>
          <w:w w:val="100"/>
          <w:position w:val="0"/>
        </w:rPr>
        <w:t>万元增至</w:t>
      </w:r>
      <w:r>
        <w:rPr>
          <w:rFonts w:ascii="Times New Roman" w:eastAsia="Times New Roman" w:hAnsi="Times New Roman" w:cs="Times New Roman"/>
          <w:color w:val="000000"/>
          <w:spacing w:val="0"/>
          <w:w w:val="100"/>
          <w:position w:val="0"/>
        </w:rPr>
        <w:t>564.334</w:t>
      </w:r>
      <w:r>
        <w:rPr>
          <w:color w:val="000000"/>
          <w:spacing w:val="0"/>
          <w:w w:val="100"/>
          <w:position w:val="0"/>
        </w:rPr>
        <w:t>万元，新增注册资本</w:t>
      </w:r>
      <w:r>
        <w:rPr>
          <w:rFonts w:ascii="Times New Roman" w:eastAsia="Times New Roman" w:hAnsi="Times New Roman" w:cs="Times New Roman"/>
          <w:color w:val="000000"/>
          <w:spacing w:val="0"/>
          <w:w w:val="100"/>
          <w:position w:val="0"/>
        </w:rPr>
        <w:t>64.334</w:t>
      </w:r>
      <w:r>
        <w:rPr>
          <w:color w:val="000000"/>
          <w:spacing w:val="0"/>
          <w:w w:val="100"/>
          <w:position w:val="0"/>
        </w:rPr>
        <w:t>万元由唐劲 星等</w:t>
      </w:r>
      <w:r>
        <w:rPr>
          <w:rFonts w:ascii="Times New Roman" w:eastAsia="Times New Roman" w:hAnsi="Times New Roman" w:cs="Times New Roman"/>
          <w:color w:val="000000"/>
          <w:spacing w:val="0"/>
          <w:w w:val="100"/>
          <w:position w:val="0"/>
        </w:rPr>
        <w:t>40</w:t>
      </w:r>
      <w:r>
        <w:rPr>
          <w:color w:val="000000"/>
          <w:spacing w:val="0"/>
          <w:w w:val="100"/>
          <w:position w:val="0"/>
        </w:rPr>
        <w:t>名自然人以货币资金</w:t>
      </w:r>
      <w:r>
        <w:rPr>
          <w:rFonts w:ascii="Times New Roman" w:eastAsia="Times New Roman" w:hAnsi="Times New Roman" w:cs="Times New Roman"/>
          <w:color w:val="000000"/>
          <w:spacing w:val="0"/>
          <w:w w:val="100"/>
          <w:position w:val="0"/>
        </w:rPr>
        <w:t>666.9</w:t>
      </w:r>
      <w:r>
        <w:rPr>
          <w:rFonts w:ascii="Times New Roman" w:eastAsia="Times New Roman" w:hAnsi="Times New Roman" w:cs="Times New Roman"/>
          <w:color w:val="000000"/>
          <w:spacing w:val="0"/>
          <w:w w:val="100"/>
          <w:position w:val="0"/>
        </w:rPr>
        <w:t>0</w:t>
      </w:r>
      <w:r>
        <w:rPr>
          <w:color w:val="000000"/>
          <w:spacing w:val="0"/>
          <w:w w:val="100"/>
          <w:position w:val="0"/>
        </w:rPr>
        <w:t>万元认缴，出资总额超过新增注册资本的部分计入银之杰有限资本公积。深圳市鹏城会计 师事务所有限公司对本次增资进行了验证，并于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日出具了深鹏所验字</w:t>
      </w:r>
      <w:r>
        <w:rPr>
          <w:rFonts w:ascii="Times New Roman" w:eastAsia="Times New Roman" w:hAnsi="Times New Roman" w:cs="Times New Roman"/>
          <w:color w:val="000000"/>
          <w:spacing w:val="0"/>
          <w:w w:val="100"/>
          <w:position w:val="0"/>
        </w:rPr>
        <w:t>［2007］131</w:t>
      </w:r>
      <w:r>
        <w:rPr>
          <w:color w:val="000000"/>
          <w:spacing w:val="0"/>
          <w:w w:val="100"/>
          <w:position w:val="0"/>
        </w:rPr>
        <w:t>号验资报告。银之杰有限于</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日办理了前述股权转让及增资的工商变更登记手续，领取了深圳市工商行政管理局核发的注册号为 </w:t>
      </w:r>
      <w:r>
        <w:rPr>
          <w:rFonts w:ascii="Times New Roman" w:eastAsia="Times New Roman" w:hAnsi="Times New Roman" w:cs="Times New Roman"/>
          <w:color w:val="000000"/>
          <w:spacing w:val="0"/>
          <w:w w:val="100"/>
          <w:position w:val="0"/>
        </w:rPr>
        <w:t>440301102955880</w:t>
      </w:r>
      <w:r>
        <w:rPr>
          <w:color w:val="000000"/>
          <w:spacing w:val="0"/>
          <w:w w:val="100"/>
          <w:position w:val="0"/>
        </w:rPr>
        <w:t>的企业法人营业执照，注册资本为</w:t>
      </w:r>
      <w:r>
        <w:rPr>
          <w:rFonts w:ascii="Times New Roman" w:eastAsia="Times New Roman" w:hAnsi="Times New Roman" w:cs="Times New Roman"/>
          <w:color w:val="000000"/>
          <w:spacing w:val="0"/>
          <w:w w:val="100"/>
          <w:position w:val="0"/>
        </w:rPr>
        <w:t>564.334</w:t>
      </w:r>
      <w:r>
        <w:rPr>
          <w:color w:val="000000"/>
          <w:spacing w:val="0"/>
          <w:w w:val="100"/>
          <w:position w:val="0"/>
        </w:rPr>
        <w:t>万元。</w:t>
      </w:r>
    </w:p>
    <w:p>
      <w:pPr>
        <w:pStyle w:val="Style28"/>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日，银之杰有限股东会通过决议，以</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日经审计的净资产</w:t>
      </w:r>
      <w:r>
        <w:rPr>
          <w:rFonts w:ascii="Times New Roman" w:eastAsia="Times New Roman" w:hAnsi="Times New Roman" w:cs="Times New Roman"/>
          <w:color w:val="000000"/>
          <w:spacing w:val="0"/>
          <w:w w:val="100"/>
          <w:position w:val="0"/>
        </w:rPr>
        <w:t>45,024,560.25</w:t>
      </w:r>
      <w:r>
        <w:rPr>
          <w:color w:val="000000"/>
          <w:spacing w:val="0"/>
          <w:w w:val="100"/>
          <w:position w:val="0"/>
        </w:rPr>
        <w:t xml:space="preserve">元为基础，将其中的 </w:t>
      </w:r>
      <w:r>
        <w:rPr>
          <w:rFonts w:ascii="Times New Roman" w:eastAsia="Times New Roman" w:hAnsi="Times New Roman" w:cs="Times New Roman"/>
          <w:color w:val="000000"/>
          <w:spacing w:val="0"/>
          <w:w w:val="100"/>
          <w:position w:val="0"/>
        </w:rPr>
        <w:t>45,000,000</w:t>
      </w:r>
      <w:r>
        <w:rPr>
          <w:color w:val="000000"/>
          <w:spacing w:val="0"/>
          <w:w w:val="100"/>
          <w:position w:val="0"/>
        </w:rPr>
        <w:t>元按照</w:t>
      </w:r>
      <w:r>
        <w:rPr>
          <w:rFonts w:ascii="Times New Roman" w:eastAsia="Times New Roman" w:hAnsi="Times New Roman" w:cs="Times New Roman"/>
          <w:color w:val="000000"/>
          <w:spacing w:val="0"/>
          <w:w w:val="100"/>
          <w:position w:val="0"/>
        </w:rPr>
        <w:t>1: 1</w:t>
      </w:r>
      <w:r>
        <w:rPr>
          <w:color w:val="000000"/>
          <w:spacing w:val="0"/>
          <w:w w:val="100"/>
          <w:position w:val="0"/>
        </w:rPr>
        <w:t>的比例折为</w:t>
      </w:r>
      <w:r>
        <w:rPr>
          <w:rFonts w:ascii="Times New Roman" w:eastAsia="Times New Roman" w:hAnsi="Times New Roman" w:cs="Times New Roman"/>
          <w:color w:val="000000"/>
          <w:spacing w:val="0"/>
          <w:w w:val="100"/>
          <w:position w:val="0"/>
        </w:rPr>
        <w:t>4,500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元，余额</w:t>
      </w:r>
      <w:r>
        <w:rPr>
          <w:rFonts w:ascii="Times New Roman" w:eastAsia="Times New Roman" w:hAnsi="Times New Roman" w:cs="Times New Roman"/>
          <w:color w:val="000000"/>
          <w:spacing w:val="0"/>
          <w:w w:val="100"/>
          <w:position w:val="0"/>
        </w:rPr>
        <w:t>24,560.25</w:t>
      </w:r>
      <w:r>
        <w:rPr>
          <w:color w:val="000000"/>
          <w:spacing w:val="0"/>
          <w:w w:val="100"/>
          <w:position w:val="0"/>
        </w:rPr>
        <w:t>元计入资本公积，整体变更为深圳市银之杰 科技股份有限公司，各发起人按原出资比例持有股份公司的股份。深圳市鹏城会计师事务所有限公司对本次出资进行了验证, 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日出具了深鹏所验字</w:t>
      </w:r>
      <w:r>
        <w:rPr>
          <w:rFonts w:ascii="Times New Roman" w:eastAsia="Times New Roman" w:hAnsi="Times New Roman" w:cs="Times New Roman"/>
          <w:color w:val="000000"/>
          <w:spacing w:val="0"/>
          <w:w w:val="100"/>
          <w:position w:val="0"/>
        </w:rPr>
        <w:t>［2007］</w:t>
      </w:r>
      <w:r>
        <w:rPr>
          <w:color w:val="000000"/>
          <w:spacing w:val="0"/>
          <w:w w:val="100"/>
          <w:position w:val="0"/>
        </w:rPr>
        <w:t>191号验资报告。</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日，经深圳市工商行政管理局核准，公司完成 整体变更登记，领取了注册号为</w:t>
      </w:r>
      <w:r>
        <w:rPr>
          <w:rFonts w:ascii="Times New Roman" w:eastAsia="Times New Roman" w:hAnsi="Times New Roman" w:cs="Times New Roman"/>
          <w:color w:val="000000"/>
          <w:spacing w:val="0"/>
          <w:w w:val="100"/>
          <w:position w:val="0"/>
        </w:rPr>
        <w:t>440301102955880</w:t>
      </w:r>
      <w:r>
        <w:rPr>
          <w:color w:val="000000"/>
          <w:spacing w:val="0"/>
          <w:w w:val="100"/>
          <w:position w:val="0"/>
        </w:rPr>
        <w:t>的企业法人营业执照，注册资本为</w:t>
      </w:r>
      <w:r>
        <w:rPr>
          <w:rFonts w:ascii="Times New Roman" w:eastAsia="Times New Roman" w:hAnsi="Times New Roman" w:cs="Times New Roman"/>
          <w:color w:val="000000"/>
          <w:spacing w:val="0"/>
          <w:w w:val="100"/>
          <w:position w:val="0"/>
        </w:rPr>
        <w:t>4,500</w:t>
      </w:r>
      <w:r>
        <w:rPr>
          <w:color w:val="000000"/>
          <w:spacing w:val="0"/>
          <w:w w:val="100"/>
          <w:position w:val="0"/>
        </w:rPr>
        <w:t>万元。</w:t>
      </w:r>
    </w:p>
    <w:p>
      <w:pPr>
        <w:pStyle w:val="Style28"/>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日，公司第一届董事会第七次会议审议通过了《关于公司申请发行股票并上市的议案》，该议案经</w:t>
      </w:r>
      <w:r>
        <w:rPr>
          <w:rFonts w:ascii="Times New Roman" w:eastAsia="Times New Roman" w:hAnsi="Times New Roman" w:cs="Times New Roman"/>
          <w:color w:val="000000"/>
          <w:spacing w:val="0"/>
          <w:w w:val="100"/>
          <w:position w:val="0"/>
        </w:rPr>
        <w:t>2009</w:t>
      </w:r>
      <w:r>
        <w:rPr>
          <w:color w:val="000000"/>
          <w:spacing w:val="0"/>
          <w:w w:val="100"/>
          <w:position w:val="0"/>
        </w:rPr>
        <w:t>年 第二次临时股东大会审议通过。</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2010］548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文核准，核准公司向社 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1500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元，发行价格为</w:t>
      </w:r>
      <w:r>
        <w:rPr>
          <w:rFonts w:ascii="Times New Roman" w:eastAsia="Times New Roman" w:hAnsi="Times New Roman" w:cs="Times New Roman"/>
          <w:color w:val="000000"/>
          <w:spacing w:val="0"/>
          <w:w w:val="100"/>
          <w:position w:val="0"/>
        </w:rPr>
        <w:t>28.00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股，发行后公司股本为</w:t>
      </w:r>
      <w:r>
        <w:rPr>
          <w:rFonts w:ascii="Times New Roman" w:eastAsia="Times New Roman" w:hAnsi="Times New Roman" w:cs="Times New Roman"/>
          <w:color w:val="000000"/>
          <w:spacing w:val="0"/>
          <w:w w:val="100"/>
          <w:position w:val="0"/>
        </w:rPr>
        <w:t>6,000</w:t>
      </w:r>
      <w:r>
        <w:rPr>
          <w:color w:val="000000"/>
          <w:spacing w:val="0"/>
          <w:w w:val="100"/>
          <w:position w:val="0"/>
        </w:rPr>
        <w:t>万股。</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公司本次发行募集资金总额为</w:t>
      </w:r>
      <w:r>
        <w:rPr>
          <w:rFonts w:ascii="Times New Roman" w:eastAsia="Times New Roman" w:hAnsi="Times New Roman" w:cs="Times New Roman"/>
          <w:color w:val="000000"/>
          <w:spacing w:val="0"/>
          <w:w w:val="100"/>
          <w:position w:val="0"/>
        </w:rPr>
        <w:t>420,000,000.00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31,049,260.04</w:t>
      </w:r>
      <w:r>
        <w:rPr>
          <w:color w:val="000000"/>
          <w:spacing w:val="0"/>
          <w:w w:val="100"/>
          <w:position w:val="0"/>
        </w:rPr>
        <w:t>元，实际募集资金净额为</w:t>
      </w:r>
      <w:r>
        <w:rPr>
          <w:rFonts w:ascii="Times New Roman" w:eastAsia="Times New Roman" w:hAnsi="Times New Roman" w:cs="Times New Roman"/>
          <w:color w:val="000000"/>
          <w:spacing w:val="0"/>
          <w:w w:val="100"/>
          <w:position w:val="0"/>
        </w:rPr>
        <w:t>388,950,739.96</w:t>
      </w:r>
      <w:r>
        <w:rPr>
          <w:color w:val="000000"/>
          <w:spacing w:val="0"/>
          <w:w w:val="100"/>
          <w:position w:val="0"/>
        </w:rPr>
        <w:t>元。 深圳市鹏城会计师事务有限公司已于</w:t>
      </w:r>
      <w:r>
        <w:rPr>
          <w:rFonts w:ascii="Times New Roman" w:eastAsia="Times New Roman" w:hAnsi="Times New Roman" w:cs="Times New Roman"/>
          <w:color w:val="000000"/>
          <w:spacing w:val="0"/>
          <w:w w:val="100"/>
          <w:position w:val="0"/>
        </w:rPr>
        <w:t>2 010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日对公司本次发行募集资金到位情况进行了审验，并出具了深鹏所验字 </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184</w:t>
      </w:r>
      <w:r>
        <w:rPr>
          <w:color w:val="000000"/>
          <w:spacing w:val="0"/>
          <w:w w:val="100"/>
          <w:position w:val="0"/>
        </w:rPr>
        <w:t>号《验资报告》。公司股票于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日在深圳证券交易所创业板上市，股票简称</w:t>
      </w:r>
      <w:r>
        <w:rPr>
          <w:rFonts w:ascii="Times New Roman" w:eastAsia="Times New Roman" w:hAnsi="Times New Roman" w:cs="Times New Roman"/>
          <w:color w:val="000000"/>
          <w:spacing w:val="0"/>
          <w:w w:val="100"/>
          <w:position w:val="0"/>
        </w:rPr>
        <w:t>“</w:t>
      </w:r>
      <w:r>
        <w:rPr>
          <w:color w:val="000000"/>
          <w:spacing w:val="0"/>
          <w:w w:val="100"/>
          <w:position w:val="0"/>
        </w:rPr>
        <w:t>银之杰</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“300085”</w:t>
      </w:r>
      <w:r>
        <w:rPr>
          <w:color w:val="000000"/>
          <w:spacing w:val="0"/>
          <w:w w:val="100"/>
          <w:position w:val="0"/>
        </w:rPr>
        <w:t>。</w:t>
      </w:r>
    </w:p>
    <w:p>
      <w:pPr>
        <w:pStyle w:val="Style28"/>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w:t>
      </w:r>
      <w:r>
        <w:rPr>
          <w:rFonts w:ascii="Times New Roman" w:eastAsia="Times New Roman" w:hAnsi="Times New Roman" w:cs="Times New Roman"/>
          <w:color w:val="000000"/>
          <w:spacing w:val="0"/>
          <w:w w:val="100"/>
          <w:position w:val="0"/>
        </w:rPr>
        <w:t>2010</w:t>
      </w:r>
      <w:r>
        <w:rPr>
          <w:color w:val="000000"/>
          <w:spacing w:val="0"/>
          <w:w w:val="100"/>
          <w:position w:val="0"/>
        </w:rPr>
        <w:t>年年度股东大会通过决议，以</w:t>
      </w:r>
      <w:r>
        <w:rPr>
          <w:rFonts w:ascii="Times New Roman" w:eastAsia="Times New Roman" w:hAnsi="Times New Roman" w:cs="Times New Roman"/>
          <w:color w:val="000000"/>
          <w:spacing w:val="0"/>
          <w:w w:val="100"/>
          <w:position w:val="0"/>
        </w:rPr>
        <w:t>2010</w:t>
      </w:r>
      <w:r>
        <w:rPr>
          <w:color w:val="000000"/>
          <w:spacing w:val="0"/>
          <w:w w:val="100"/>
          <w:position w:val="0"/>
        </w:rPr>
        <w:t>年末总股本</w:t>
      </w:r>
      <w:r>
        <w:rPr>
          <w:rFonts w:ascii="Times New Roman" w:eastAsia="Times New Roman" w:hAnsi="Times New Roman" w:cs="Times New Roman"/>
          <w:color w:val="000000"/>
          <w:spacing w:val="0"/>
          <w:w w:val="100"/>
          <w:position w:val="0"/>
        </w:rPr>
        <w:t>60,000,000</w:t>
      </w:r>
      <w:r>
        <w:rPr>
          <w:color w:val="000000"/>
          <w:spacing w:val="0"/>
          <w:w w:val="100"/>
          <w:position w:val="0"/>
        </w:rPr>
        <w:t>股为基数，以资本公积金转增股本，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6000</w:t>
      </w:r>
      <w:r>
        <w:rPr>
          <w:color w:val="000000"/>
          <w:spacing w:val="0"/>
          <w:w w:val="100"/>
          <w:position w:val="0"/>
        </w:rPr>
        <w:t>万股，转增后公司总股本为</w:t>
      </w:r>
      <w:r>
        <w:rPr>
          <w:rFonts w:ascii="Times New Roman" w:eastAsia="Times New Roman" w:hAnsi="Times New Roman" w:cs="Times New Roman"/>
          <w:color w:val="000000"/>
          <w:spacing w:val="0"/>
          <w:w w:val="100"/>
          <w:position w:val="0"/>
        </w:rPr>
        <w:t>120,000,000</w:t>
      </w:r>
      <w:r>
        <w:rPr>
          <w:color w:val="000000"/>
          <w:spacing w:val="0"/>
          <w:w w:val="100"/>
          <w:position w:val="0"/>
        </w:rPr>
        <w:t>股，资本公积为</w:t>
      </w:r>
      <w:r>
        <w:rPr>
          <w:rFonts w:ascii="Times New Roman" w:eastAsia="Times New Roman" w:hAnsi="Times New Roman" w:cs="Times New Roman"/>
          <w:color w:val="000000"/>
          <w:spacing w:val="0"/>
          <w:w w:val="100"/>
          <w:position w:val="0"/>
        </w:rPr>
        <w:t>313,975,300.21</w:t>
      </w:r>
      <w:r>
        <w:rPr>
          <w:color w:val="000000"/>
          <w:spacing w:val="0"/>
          <w:w w:val="100"/>
          <w:position w:val="0"/>
        </w:rPr>
        <w:t>元，并于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日经深圳市鹏城会计师事务有限公司出具了深鹏所验字</w:t>
      </w:r>
      <w:r>
        <w:rPr>
          <w:rFonts w:ascii="Times New Roman" w:eastAsia="Times New Roman" w:hAnsi="Times New Roman" w:cs="Times New Roman"/>
          <w:color w:val="000000"/>
          <w:spacing w:val="0"/>
          <w:w w:val="100"/>
          <w:position w:val="0"/>
        </w:rPr>
        <w:t>［2011］</w:t>
      </w:r>
      <w:r>
        <w:rPr>
          <w:color w:val="000000"/>
          <w:spacing w:val="0"/>
          <w:w w:val="100"/>
          <w:position w:val="0"/>
        </w:rPr>
        <w:t>第</w:t>
      </w:r>
      <w:r>
        <w:rPr>
          <w:rFonts w:ascii="Times New Roman" w:eastAsia="Times New Roman" w:hAnsi="Times New Roman" w:cs="Times New Roman"/>
          <w:color w:val="000000"/>
          <w:spacing w:val="0"/>
          <w:w w:val="100"/>
          <w:position w:val="0"/>
        </w:rPr>
        <w:t>0213</w:t>
      </w:r>
      <w:r>
        <w:rPr>
          <w:color w:val="000000"/>
          <w:spacing w:val="0"/>
          <w:w w:val="100"/>
          <w:position w:val="0"/>
        </w:rPr>
        <w:t>号《验资报告》。</w:t>
      </w:r>
    </w:p>
    <w:p>
      <w:pPr>
        <w:pStyle w:val="Style28"/>
        <w:keepNext w:val="0"/>
        <w:keepLines w:val="0"/>
        <w:widowControl w:val="0"/>
        <w:shd w:val="clear" w:color="auto" w:fill="auto"/>
        <w:bidi w:val="0"/>
        <w:spacing w:before="0" w:after="240" w:line="468"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日临时股东大会审议，通过了《股票期权与限制性股票激励计划（修订案）及其摘要》，公司以</w:t>
      </w:r>
      <w:r>
        <w:rPr>
          <w:rFonts w:ascii="Times New Roman" w:eastAsia="Times New Roman" w:hAnsi="Times New Roman" w:cs="Times New Roman"/>
          <w:color w:val="000000"/>
          <w:spacing w:val="0"/>
          <w:w w:val="100"/>
          <w:position w:val="0"/>
        </w:rPr>
        <w:t>4.74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的价格授予</w:t>
      </w:r>
      <w:r>
        <w:rPr>
          <w:rFonts w:ascii="Times New Roman" w:eastAsia="Times New Roman" w:hAnsi="Times New Roman" w:cs="Times New Roman"/>
          <w:color w:val="000000"/>
          <w:spacing w:val="0"/>
          <w:w w:val="100"/>
          <w:position w:val="0"/>
        </w:rPr>
        <w:t>25</w:t>
      </w:r>
      <w:r>
        <w:rPr>
          <w:color w:val="000000"/>
          <w:spacing w:val="0"/>
          <w:w w:val="100"/>
          <w:position w:val="0"/>
        </w:rPr>
        <w:t>位激励对象</w:t>
      </w:r>
      <w:r>
        <w:rPr>
          <w:rFonts w:ascii="Times New Roman" w:eastAsia="Times New Roman" w:hAnsi="Times New Roman" w:cs="Times New Roman"/>
          <w:color w:val="000000"/>
          <w:spacing w:val="0"/>
          <w:w w:val="100"/>
          <w:position w:val="0"/>
        </w:rPr>
        <w:t>133</w:t>
      </w:r>
      <w:r>
        <w:rPr>
          <w:color w:val="000000"/>
          <w:spacing w:val="0"/>
          <w:w w:val="100"/>
          <w:position w:val="0"/>
        </w:rPr>
        <w:t>万股限制性股票。截至</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日止，公司已收到</w:t>
      </w:r>
      <w:r>
        <w:rPr>
          <w:rFonts w:ascii="Times New Roman" w:eastAsia="Times New Roman" w:hAnsi="Times New Roman" w:cs="Times New Roman"/>
          <w:color w:val="000000"/>
          <w:spacing w:val="0"/>
          <w:w w:val="100"/>
          <w:position w:val="0"/>
        </w:rPr>
        <w:t>25</w:t>
      </w:r>
      <w:r>
        <w:rPr>
          <w:color w:val="000000"/>
          <w:spacing w:val="0"/>
          <w:w w:val="100"/>
          <w:position w:val="0"/>
        </w:rPr>
        <w:t>位激励对象认购</w:t>
      </w:r>
      <w:r>
        <w:rPr>
          <w:rFonts w:ascii="Times New Roman" w:eastAsia="Times New Roman" w:hAnsi="Times New Roman" w:cs="Times New Roman"/>
          <w:color w:val="000000"/>
          <w:spacing w:val="0"/>
          <w:w w:val="100"/>
          <w:position w:val="0"/>
        </w:rPr>
        <w:t>133</w:t>
      </w:r>
      <w:r>
        <w:rPr>
          <w:color w:val="000000"/>
          <w:spacing w:val="0"/>
          <w:w w:val="100"/>
          <w:position w:val="0"/>
        </w:rPr>
        <w:t>万股限制性股票缴 纳的货币资金出资款</w:t>
      </w:r>
      <w:r>
        <w:rPr>
          <w:rFonts w:ascii="Times New Roman" w:eastAsia="Times New Roman" w:hAnsi="Times New Roman" w:cs="Times New Roman"/>
          <w:color w:val="000000"/>
          <w:spacing w:val="0"/>
          <w:w w:val="100"/>
          <w:position w:val="0"/>
        </w:rPr>
        <w:t>630.4</w:t>
      </w:r>
      <w:r>
        <w:rPr>
          <w:rFonts w:ascii="Times New Roman" w:eastAsia="Times New Roman" w:hAnsi="Times New Roman" w:cs="Times New Roman"/>
          <w:color w:val="000000"/>
          <w:spacing w:val="0"/>
          <w:w w:val="100"/>
          <w:position w:val="0"/>
        </w:rPr>
        <w:t>2</w:t>
      </w:r>
      <w:r>
        <w:rPr>
          <w:color w:val="000000"/>
          <w:spacing w:val="0"/>
          <w:w w:val="100"/>
          <w:position w:val="0"/>
        </w:rPr>
        <w:t>万元，其中股本</w:t>
      </w:r>
      <w:r>
        <w:rPr>
          <w:rFonts w:ascii="Times New Roman" w:eastAsia="Times New Roman" w:hAnsi="Times New Roman" w:cs="Times New Roman"/>
          <w:color w:val="000000"/>
          <w:spacing w:val="0"/>
          <w:w w:val="100"/>
          <w:position w:val="0"/>
        </w:rPr>
        <w:t>133</w:t>
      </w:r>
      <w:r>
        <w:rPr>
          <w:color w:val="000000"/>
          <w:spacing w:val="0"/>
          <w:w w:val="100"/>
          <w:position w:val="0"/>
        </w:rPr>
        <w:t>万元，资本公积</w:t>
      </w:r>
      <w:r>
        <w:rPr>
          <w:rFonts w:ascii="Times New Roman" w:eastAsia="Times New Roman" w:hAnsi="Times New Roman" w:cs="Times New Roman"/>
          <w:color w:val="000000"/>
          <w:spacing w:val="0"/>
          <w:w w:val="100"/>
          <w:position w:val="0"/>
        </w:rPr>
        <w:t>497.42</w:t>
      </w:r>
      <w:r>
        <w:rPr>
          <w:color w:val="000000"/>
          <w:spacing w:val="0"/>
          <w:w w:val="100"/>
          <w:position w:val="0"/>
        </w:rPr>
        <w:t>万元，本次限制性股票授予登记完成后，公司注册资本 变更为</w:t>
      </w:r>
      <w:r>
        <w:rPr>
          <w:rFonts w:ascii="Times New Roman" w:eastAsia="Times New Roman" w:hAnsi="Times New Roman" w:cs="Times New Roman"/>
          <w:color w:val="000000"/>
          <w:spacing w:val="0"/>
          <w:w w:val="100"/>
          <w:position w:val="0"/>
        </w:rPr>
        <w:t>12,133</w:t>
      </w:r>
      <w:r>
        <w:rPr>
          <w:color w:val="000000"/>
          <w:spacing w:val="0"/>
          <w:w w:val="100"/>
          <w:position w:val="0"/>
        </w:rPr>
        <w:t>万元，并于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日经瑞华会计师事务所（特殊普通合伙）出具瑞华验字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2013 ］</w:t>
      </w:r>
      <w:r>
        <w:rPr>
          <w:color w:val="000000"/>
          <w:spacing w:val="0"/>
          <w:w w:val="100"/>
          <w:position w:val="0"/>
        </w:rPr>
        <w:t>第</w:t>
      </w:r>
      <w:r>
        <w:rPr>
          <w:rFonts w:ascii="Times New Roman" w:eastAsia="Times New Roman" w:hAnsi="Times New Roman" w:cs="Times New Roman"/>
          <w:color w:val="000000"/>
          <w:spacing w:val="0"/>
          <w:w w:val="100"/>
          <w:position w:val="0"/>
        </w:rPr>
        <w:t>816C0002</w:t>
      </w:r>
      <w:r>
        <w:rPr>
          <w:color w:val="000000"/>
          <w:spacing w:val="0"/>
          <w:w w:val="100"/>
          <w:position w:val="0"/>
        </w:rPr>
        <w:t>号《验资报</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p>
      <w:pPr>
        <w:pStyle w:val="Style26"/>
        <w:keepNext/>
        <w:keepLines/>
        <w:widowControl w:val="0"/>
        <w:shd w:val="clear" w:color="auto" w:fill="auto"/>
        <w:bidi w:val="0"/>
        <w:spacing w:before="0" w:after="34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四</w:t>
      </w:r>
      <w:bookmarkEnd w:id="480"/>
      <w:r>
        <w:rPr>
          <w:color w:val="000000"/>
          <w:spacing w:val="0"/>
          <w:w w:val="100"/>
          <w:position w:val="0"/>
          <w:sz w:val="24"/>
          <w:szCs w:val="24"/>
        </w:rPr>
        <w:t>、公司主要会计政策、会计估计和前期差错</w:t>
      </w:r>
      <w:bookmarkEnd w:id="478"/>
      <w:bookmarkEnd w:id="479"/>
      <w:bookmarkEnd w:id="481"/>
    </w:p>
    <w:p>
      <w:pPr>
        <w:pStyle w:val="Style33"/>
        <w:keepNext/>
        <w:keepLines/>
        <w:widowControl w:val="0"/>
        <w:shd w:val="clear" w:color="auto" w:fill="auto"/>
        <w:tabs>
          <w:tab w:pos="373" w:val="left"/>
        </w:tabs>
        <w:bidi w:val="0"/>
        <w:spacing w:before="0" w:after="20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1</w:t>
      </w:r>
      <w:bookmarkEnd w:id="484"/>
      <w:r>
        <w:rPr>
          <w:color w:val="000000"/>
          <w:spacing w:val="0"/>
          <w:w w:val="100"/>
          <w:position w:val="0"/>
        </w:rPr>
        <w:t>、</w:t>
        <w:tab/>
        <w:t>财务报表的编制基础</w:t>
      </w:r>
      <w:bookmarkEnd w:id="482"/>
      <w:bookmarkEnd w:id="483"/>
      <w:bookmarkEnd w:id="485"/>
    </w:p>
    <w:p>
      <w:pPr>
        <w:pStyle w:val="Style28"/>
        <w:keepNext w:val="0"/>
        <w:keepLines w:val="0"/>
        <w:widowControl w:val="0"/>
        <w:shd w:val="clear" w:color="auto" w:fill="auto"/>
        <w:bidi w:val="0"/>
        <w:spacing w:before="0" w:after="0" w:line="467" w:lineRule="exact"/>
        <w:ind w:left="0" w:right="0"/>
        <w:jc w:val="both"/>
      </w:pPr>
      <w:r>
        <w:rPr>
          <w:color w:val="000000"/>
          <w:spacing w:val="0"/>
          <w:w w:val="100"/>
          <w:position w:val="0"/>
        </w:rPr>
        <w:t>本公司申报财务报表以持续经营假设为基础，根据实际发生的交易和事项，按照财政部于2006年2月15日颁布的《企业 会计准则一本准则》和38项具体会计准则、其后颁布的企业会计准则应用指南、企业会计准则解释及其他相关规定（以 下合称“企业会计准则”）、以及中国证券监督管理委员会《公开发行证券的公司信息披露编报规则第15号</w:t>
      </w:r>
      <w:r>
        <w:rPr>
          <w:color w:val="000000"/>
          <w:spacing w:val="0"/>
          <w:w w:val="100"/>
          <w:position w:val="0"/>
        </w:rPr>
        <w:t>一一</w:t>
      </w:r>
      <w:r>
        <w:rPr>
          <w:color w:val="000000"/>
          <w:spacing w:val="0"/>
          <w:w w:val="100"/>
          <w:position w:val="0"/>
        </w:rPr>
        <w:t>财务报告的 一般规定》（2010年修订）的披露规定编制。</w:t>
      </w:r>
    </w:p>
    <w:p>
      <w:pPr>
        <w:pStyle w:val="Style28"/>
        <w:keepNext w:val="0"/>
        <w:keepLines w:val="0"/>
        <w:widowControl w:val="0"/>
        <w:shd w:val="clear" w:color="auto" w:fill="auto"/>
        <w:bidi w:val="0"/>
        <w:spacing w:before="0" w:after="440" w:line="467" w:lineRule="exact"/>
        <w:ind w:left="0" w:right="0"/>
        <w:jc w:val="both"/>
      </w:pPr>
      <w:r>
        <w:rPr>
          <w:color w:val="000000"/>
          <w:spacing w:val="0"/>
          <w:w w:val="100"/>
          <w:position w:val="0"/>
        </w:rPr>
        <w:t>根据企业会计准则的相关规定，本公司会计核算以权责发生制为基础。除某些金融工具和投资性房地产外，本财务报表 均以历史成本为计量基础。持有待售的非流动资产，按公允价值减去预计费用后的金额，以及符合持有待售条件时的原账面 价值，取两者孰低计价。资产如果发生减值，则按照相关规定计提相应的减值准备。</w:t>
      </w:r>
    </w:p>
    <w:p>
      <w:pPr>
        <w:pStyle w:val="Style33"/>
        <w:keepNext/>
        <w:keepLines/>
        <w:widowControl w:val="0"/>
        <w:shd w:val="clear" w:color="auto" w:fill="auto"/>
        <w:tabs>
          <w:tab w:pos="382" w:val="left"/>
        </w:tabs>
        <w:bidi w:val="0"/>
        <w:spacing w:before="0" w:after="20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2</w:t>
      </w:r>
      <w:bookmarkEnd w:id="488"/>
      <w:r>
        <w:rPr>
          <w:color w:val="000000"/>
          <w:spacing w:val="0"/>
          <w:w w:val="100"/>
          <w:position w:val="0"/>
        </w:rPr>
        <w:t>、</w:t>
        <w:tab/>
        <w:t>遵循企业会计准则的声明</w:t>
      </w:r>
      <w:bookmarkEnd w:id="486"/>
      <w:bookmarkEnd w:id="487"/>
      <w:bookmarkEnd w:id="489"/>
    </w:p>
    <w:p>
      <w:pPr>
        <w:pStyle w:val="Style28"/>
        <w:keepNext w:val="0"/>
        <w:keepLines w:val="0"/>
        <w:widowControl w:val="0"/>
        <w:shd w:val="clear" w:color="auto" w:fill="auto"/>
        <w:bidi w:val="0"/>
        <w:spacing w:before="0" w:after="440" w:line="468" w:lineRule="exact"/>
        <w:ind w:left="0" w:right="0"/>
        <w:jc w:val="left"/>
      </w:pPr>
      <w:r>
        <w:rPr>
          <w:color w:val="000000"/>
          <w:spacing w:val="0"/>
          <w:w w:val="100"/>
          <w:position w:val="0"/>
        </w:rPr>
        <w:t>本公司编制的申报财务报表符合企业会计准则的要求，真实、完整地反映了本公司2013年12月31日的财务状况及2013 年度的经营成果和现金流量等有关信息。此外，本公司的财务报表在所有重大方面符合中国证券监督管理委员会2010年修订 的《公开发行证券的公司信息披露编报规则第15号一财务报告的一般规定》有关财务报表及其附注的披露要求。</w:t>
      </w:r>
    </w:p>
    <w:p>
      <w:pPr>
        <w:pStyle w:val="Style33"/>
        <w:keepNext/>
        <w:keepLines/>
        <w:widowControl w:val="0"/>
        <w:shd w:val="clear" w:color="auto" w:fill="auto"/>
        <w:tabs>
          <w:tab w:pos="382" w:val="left"/>
        </w:tabs>
        <w:bidi w:val="0"/>
        <w:spacing w:before="0" w:after="20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w:t>
        <w:tab/>
        <w:t>会计期间</w:t>
      </w:r>
      <w:bookmarkEnd w:id="490"/>
      <w:bookmarkEnd w:id="491"/>
      <w:bookmarkEnd w:id="493"/>
    </w:p>
    <w:p>
      <w:pPr>
        <w:pStyle w:val="Style28"/>
        <w:keepNext w:val="0"/>
        <w:keepLines w:val="0"/>
        <w:widowControl w:val="0"/>
        <w:shd w:val="clear" w:color="auto" w:fill="auto"/>
        <w:bidi w:val="0"/>
        <w:spacing w:before="0" w:after="440" w:line="456" w:lineRule="exact"/>
        <w:ind w:left="0" w:right="0"/>
        <w:jc w:val="both"/>
      </w:pPr>
      <w:r>
        <w:rPr>
          <w:color w:val="000000"/>
          <w:spacing w:val="0"/>
          <w:w w:val="100"/>
          <w:position w:val="0"/>
        </w:rPr>
        <w:t>本公司的会计期间分为年度和中期，会计中期指短于一个完整的会计年度的报告期间。本公司会计年度采用公历年度， 即每年自1月1日起至12月31日止。</w:t>
      </w:r>
    </w:p>
    <w:p>
      <w:pPr>
        <w:pStyle w:val="Style33"/>
        <w:keepNext/>
        <w:keepLines/>
        <w:widowControl w:val="0"/>
        <w:shd w:val="clear" w:color="auto" w:fill="auto"/>
        <w:tabs>
          <w:tab w:pos="382" w:val="left"/>
        </w:tabs>
        <w:bidi w:val="0"/>
        <w:spacing w:before="0" w:after="20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记账本位币</w:t>
      </w:r>
      <w:bookmarkEnd w:id="494"/>
      <w:bookmarkEnd w:id="495"/>
      <w:bookmarkEnd w:id="497"/>
    </w:p>
    <w:p>
      <w:pPr>
        <w:pStyle w:val="Style28"/>
        <w:keepNext w:val="0"/>
        <w:keepLines w:val="0"/>
        <w:widowControl w:val="0"/>
        <w:shd w:val="clear" w:color="auto" w:fill="auto"/>
        <w:bidi w:val="0"/>
        <w:spacing w:before="0" w:after="440" w:line="468" w:lineRule="exact"/>
        <w:ind w:left="0" w:right="0"/>
        <w:jc w:val="both"/>
      </w:pPr>
      <w:r>
        <w:rPr>
          <w:color w:val="000000"/>
          <w:spacing w:val="0"/>
          <w:w w:val="100"/>
          <w:position w:val="0"/>
        </w:rPr>
        <w:t>本公司采用人民币为记账本位币。</w:t>
      </w:r>
    </w:p>
    <w:p>
      <w:pPr>
        <w:pStyle w:val="Style33"/>
        <w:keepNext/>
        <w:keepLines/>
        <w:widowControl w:val="0"/>
        <w:shd w:val="clear" w:color="auto" w:fill="auto"/>
        <w:tabs>
          <w:tab w:pos="382" w:val="left"/>
        </w:tabs>
        <w:bidi w:val="0"/>
        <w:spacing w:before="0" w:after="34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w:t>
        <w:tab/>
        <w:t>同一控制下和非同一控制下企业合并的会计处理方法</w:t>
      </w:r>
      <w:bookmarkEnd w:id="498"/>
      <w:bookmarkEnd w:id="499"/>
      <w:bookmarkEnd w:id="501"/>
    </w:p>
    <w:p>
      <w:pPr>
        <w:pStyle w:val="Style33"/>
        <w:keepNext/>
        <w:keepLines/>
        <w:widowControl w:val="0"/>
        <w:shd w:val="clear" w:color="auto" w:fill="auto"/>
        <w:bidi w:val="0"/>
        <w:spacing w:before="0" w:after="200" w:line="240" w:lineRule="auto"/>
        <w:ind w:left="0" w:right="0" w:firstLine="0"/>
        <w:jc w:val="left"/>
      </w:pPr>
      <w:bookmarkStart w:id="498" w:name="bookmark498"/>
      <w:bookmarkStart w:id="499" w:name="bookmark499"/>
      <w:bookmarkStart w:id="502" w:name="bookmark502"/>
      <w:bookmarkStart w:id="503" w:name="bookmark503"/>
      <w:r>
        <w:rPr>
          <w:color w:val="000000"/>
          <w:spacing w:val="0"/>
          <w:w w:val="100"/>
          <w:position w:val="0"/>
        </w:rPr>
        <w:t>（</w:t>
      </w:r>
      <w:bookmarkEnd w:id="502"/>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498"/>
      <w:bookmarkEnd w:id="499"/>
      <w:bookmarkEnd w:id="503"/>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8"/>
        <w:keepNext w:val="0"/>
        <w:keepLines w:val="0"/>
        <w:widowControl w:val="0"/>
        <w:shd w:val="clear" w:color="auto" w:fill="auto"/>
        <w:bidi w:val="0"/>
        <w:spacing w:before="0" w:after="260" w:line="469" w:lineRule="exact"/>
        <w:ind w:left="0" w:right="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8"/>
        <w:keepNext w:val="0"/>
        <w:keepLines w:val="0"/>
        <w:widowControl w:val="0"/>
        <w:shd w:val="clear" w:color="auto" w:fill="auto"/>
        <w:bidi w:val="0"/>
        <w:spacing w:before="0" w:after="740" w:line="468" w:lineRule="exact"/>
        <w:ind w:left="0" w:right="0"/>
        <w:jc w:val="both"/>
      </w:pPr>
      <w:r>
        <w:rPr>
          <w:color w:val="000000"/>
          <w:spacing w:val="0"/>
          <w:w w:val="100"/>
          <w:position w:val="0"/>
        </w:rPr>
        <w:t>合并方为进行企业合并发生的各项直接费用，于发生时计入当期损益。</w:t>
      </w:r>
    </w:p>
    <w:p>
      <w:pPr>
        <w:pStyle w:val="Style33"/>
        <w:keepNext/>
        <w:keepLines/>
        <w:widowControl w:val="0"/>
        <w:numPr>
          <w:ilvl w:val="0"/>
          <w:numId w:val="33"/>
        </w:numPr>
        <w:shd w:val="clear" w:color="auto" w:fill="auto"/>
        <w:bidi w:val="0"/>
        <w:spacing w:before="0" w:after="220" w:line="240" w:lineRule="auto"/>
        <w:ind w:left="0" w:right="0" w:firstLine="0"/>
        <w:jc w:val="left"/>
      </w:pPr>
      <w:bookmarkStart w:id="504" w:name="bookmark504"/>
      <w:bookmarkStart w:id="505" w:name="bookmark505"/>
      <w:bookmarkStart w:id="506" w:name="bookmark506"/>
      <w:bookmarkStart w:id="507" w:name="bookmark507"/>
      <w:bookmarkEnd w:id="506"/>
      <w:r>
        <w:rPr>
          <w:color w:val="000000"/>
          <w:spacing w:val="0"/>
          <w:w w:val="100"/>
          <w:position w:val="0"/>
        </w:rPr>
        <w:t>非同一控制下的企业合并</w:t>
      </w:r>
      <w:bookmarkEnd w:id="504"/>
      <w:bookmarkEnd w:id="505"/>
      <w:bookmarkEnd w:id="507"/>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金额。所涉及的或有对价按其在购买日的公允价值计入合并成本，购买日后12个月内出现对购买日已存在情况的新的或进一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购买方取得被购买方的可抵扣暂时性差异，在购买日因不符合递延所得税资产确认条件而未予确认的，在购买日后12 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通过多次交换交易分步实现的非同一控制下企业合并，区分个别财务报表和合并财务报表进行相关会计处理：</w:t>
      </w:r>
    </w:p>
    <w:p>
      <w:pPr>
        <w:pStyle w:val="Style28"/>
        <w:keepNext w:val="0"/>
        <w:keepLines w:val="0"/>
        <w:widowControl w:val="0"/>
        <w:numPr>
          <w:ilvl w:val="0"/>
          <w:numId w:val="35"/>
        </w:numPr>
        <w:shd w:val="clear" w:color="auto" w:fill="auto"/>
        <w:tabs>
          <w:tab w:pos="668" w:val="left"/>
        </w:tabs>
        <w:bidi w:val="0"/>
        <w:spacing w:before="0" w:after="0" w:line="468" w:lineRule="exact"/>
        <w:ind w:left="0" w:right="0"/>
        <w:jc w:val="both"/>
      </w:pPr>
      <w:bookmarkStart w:id="508" w:name="bookmark508"/>
      <w:bookmarkEnd w:id="508"/>
      <w:r>
        <w:rPr>
          <w:color w:val="000000"/>
          <w:spacing w:val="0"/>
          <w:w w:val="100"/>
          <w:position w:val="0"/>
        </w:rPr>
        <w:t>在个别财务报表中，以购买日之前所持被购买方的股权投资的账面价值与购买日新增投资成本之和，作为该项投资的 初始投资成本；购买日之前持有的被购买方的股权涉及其他综合收益的，在处置该项投资时将与其相关的其他综合收益(例 如，可供出售金融资产公允价值变动计入资本公积的部分，下同)转入当期投资收益。</w:t>
      </w:r>
    </w:p>
    <w:p>
      <w:pPr>
        <w:pStyle w:val="Style28"/>
        <w:keepNext w:val="0"/>
        <w:keepLines w:val="0"/>
        <w:widowControl w:val="0"/>
        <w:numPr>
          <w:ilvl w:val="0"/>
          <w:numId w:val="35"/>
        </w:numPr>
        <w:shd w:val="clear" w:color="auto" w:fill="auto"/>
        <w:tabs>
          <w:tab w:pos="649" w:val="left"/>
        </w:tabs>
        <w:bidi w:val="0"/>
        <w:spacing w:before="0" w:after="0" w:line="468" w:lineRule="exact"/>
        <w:ind w:left="0" w:right="0"/>
        <w:jc w:val="both"/>
      </w:pPr>
      <w:bookmarkStart w:id="509" w:name="bookmark509"/>
      <w:bookmarkEnd w:id="509"/>
      <w:r>
        <w:rPr>
          <w:color w:val="000000"/>
          <w:spacing w:val="0"/>
          <w:w w:val="100"/>
          <w:position w:val="0"/>
        </w:rPr>
        <w:t>在合并财务报表中，分别就每一单项交易的成本与该交易发生时应享有被投资单位可辨认净资产公允价值的份额进行 比较，确定每一单项交易中产生的商誉；在合并财务报表中确认的商誉为每一单项交易中应确认的商誉之和。</w:t>
      </w:r>
    </w:p>
    <w:p>
      <w:pPr>
        <w:pStyle w:val="Style28"/>
        <w:keepNext w:val="0"/>
        <w:keepLines w:val="0"/>
        <w:widowControl w:val="0"/>
        <w:shd w:val="clear" w:color="auto" w:fill="auto"/>
        <w:bidi w:val="0"/>
        <w:spacing w:before="0" w:after="100" w:line="468" w:lineRule="exact"/>
        <w:ind w:left="0" w:right="0"/>
        <w:jc w:val="both"/>
      </w:pPr>
      <w:r>
        <w:rPr>
          <w:color w:val="000000"/>
          <w:spacing w:val="0"/>
          <w:w w:val="100"/>
          <w:position w:val="0"/>
        </w:rPr>
        <w:t>对于购买日之前持有的被购买方的股权，按照该股权在购买日的公允价值进行重新计量，公允价值与其账面价值的差额 计入当期投资收益；购买日之前持有的被购买方的股权涉及其他综合收益的，与其相关的其他综合收益转为购买日所属当期 投资收益。</w:t>
      </w:r>
    </w:p>
    <w:p>
      <w:pPr>
        <w:pStyle w:val="Style33"/>
        <w:keepNext/>
        <w:keepLines/>
        <w:widowControl w:val="0"/>
        <w:shd w:val="clear" w:color="auto" w:fill="auto"/>
        <w:bidi w:val="0"/>
        <w:spacing w:before="0" w:after="34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6</w:t>
      </w:r>
      <w:bookmarkEnd w:id="512"/>
      <w:r>
        <w:rPr>
          <w:color w:val="000000"/>
          <w:spacing w:val="0"/>
          <w:w w:val="100"/>
          <w:position w:val="0"/>
        </w:rPr>
        <w:t>、分步处置股权至丧失控制权相关的具体会计政策</w:t>
      </w:r>
      <w:bookmarkEnd w:id="510"/>
      <w:bookmarkEnd w:id="511"/>
      <w:bookmarkEnd w:id="513"/>
    </w:p>
    <w:p>
      <w:pPr>
        <w:pStyle w:val="Style33"/>
        <w:keepNext/>
        <w:keepLines/>
        <w:widowControl w:val="0"/>
        <w:shd w:val="clear" w:color="auto" w:fill="auto"/>
        <w:tabs>
          <w:tab w:pos="517" w:val="left"/>
        </w:tabs>
        <w:bidi w:val="0"/>
        <w:spacing w:before="0" w:after="180" w:line="240" w:lineRule="auto"/>
        <w:ind w:left="0" w:right="0" w:firstLine="0"/>
        <w:jc w:val="left"/>
      </w:pPr>
      <w:bookmarkStart w:id="510" w:name="bookmark510"/>
      <w:bookmarkStart w:id="511" w:name="bookmark511"/>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510"/>
      <w:bookmarkEnd w:id="511"/>
      <w:bookmarkEnd w:id="515"/>
    </w:p>
    <w:p>
      <w:pPr>
        <w:pStyle w:val="Style28"/>
        <w:keepNext w:val="0"/>
        <w:keepLines w:val="0"/>
        <w:widowControl w:val="0"/>
        <w:shd w:val="clear" w:color="auto" w:fill="auto"/>
        <w:bidi w:val="0"/>
        <w:spacing w:before="0" w:after="0" w:line="466"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8"/>
        <w:keepNext w:val="0"/>
        <w:keepLines w:val="0"/>
        <w:widowControl w:val="0"/>
        <w:numPr>
          <w:ilvl w:val="0"/>
          <w:numId w:val="37"/>
        </w:numPr>
        <w:shd w:val="clear" w:color="auto" w:fill="auto"/>
        <w:tabs>
          <w:tab w:pos="753" w:val="left"/>
        </w:tabs>
        <w:bidi w:val="0"/>
        <w:spacing w:before="0" w:after="0" w:line="466" w:lineRule="exact"/>
        <w:ind w:left="0" w:right="0"/>
        <w:jc w:val="both"/>
      </w:pPr>
      <w:bookmarkStart w:id="516" w:name="bookmark516"/>
      <w:bookmarkEnd w:id="516"/>
      <w:r>
        <w:rPr>
          <w:color w:val="000000"/>
          <w:spacing w:val="0"/>
          <w:w w:val="100"/>
          <w:position w:val="0"/>
        </w:rPr>
        <w:t>这些交易是同时或者在考虑了彼此影响的情况下订立的；</w:t>
      </w:r>
    </w:p>
    <w:p>
      <w:pPr>
        <w:pStyle w:val="Style28"/>
        <w:keepNext w:val="0"/>
        <w:keepLines w:val="0"/>
        <w:widowControl w:val="0"/>
        <w:numPr>
          <w:ilvl w:val="0"/>
          <w:numId w:val="37"/>
        </w:numPr>
        <w:shd w:val="clear" w:color="auto" w:fill="auto"/>
        <w:tabs>
          <w:tab w:pos="753" w:val="left"/>
        </w:tabs>
        <w:bidi w:val="0"/>
        <w:spacing w:before="0" w:after="0" w:line="466" w:lineRule="exact"/>
        <w:ind w:left="0" w:right="0"/>
        <w:jc w:val="both"/>
      </w:pPr>
      <w:bookmarkStart w:id="517" w:name="bookmark517"/>
      <w:bookmarkEnd w:id="517"/>
      <w:r>
        <w:rPr>
          <w:color w:val="000000"/>
          <w:spacing w:val="0"/>
          <w:w w:val="100"/>
          <w:position w:val="0"/>
        </w:rPr>
        <w:t>这些交易整体才能达成一项完整的商业结果；</w:t>
      </w:r>
    </w:p>
    <w:p>
      <w:pPr>
        <w:pStyle w:val="Style28"/>
        <w:keepNext w:val="0"/>
        <w:keepLines w:val="0"/>
        <w:widowControl w:val="0"/>
        <w:numPr>
          <w:ilvl w:val="0"/>
          <w:numId w:val="37"/>
        </w:numPr>
        <w:shd w:val="clear" w:color="auto" w:fill="auto"/>
        <w:tabs>
          <w:tab w:pos="753" w:val="left"/>
        </w:tabs>
        <w:bidi w:val="0"/>
        <w:spacing w:before="0" w:after="0" w:line="466" w:lineRule="exact"/>
        <w:ind w:left="0" w:right="0"/>
        <w:jc w:val="both"/>
      </w:pPr>
      <w:bookmarkStart w:id="518" w:name="bookmark518"/>
      <w:bookmarkEnd w:id="518"/>
      <w:r>
        <w:rPr>
          <w:color w:val="000000"/>
          <w:spacing w:val="0"/>
          <w:w w:val="100"/>
          <w:position w:val="0"/>
        </w:rPr>
        <w:t>一项交易的发生取决于其他至少一项交易的发生；</w:t>
      </w:r>
    </w:p>
    <w:p>
      <w:pPr>
        <w:pStyle w:val="Style28"/>
        <w:keepNext w:val="0"/>
        <w:keepLines w:val="0"/>
        <w:widowControl w:val="0"/>
        <w:numPr>
          <w:ilvl w:val="0"/>
          <w:numId w:val="37"/>
        </w:numPr>
        <w:shd w:val="clear" w:color="auto" w:fill="auto"/>
        <w:tabs>
          <w:tab w:pos="753" w:val="left"/>
        </w:tabs>
        <w:bidi w:val="0"/>
        <w:spacing w:before="0" w:after="440" w:line="466" w:lineRule="exact"/>
        <w:ind w:left="0" w:right="0"/>
        <w:jc w:val="left"/>
      </w:pPr>
      <w:bookmarkStart w:id="519" w:name="bookmark519"/>
      <w:bookmarkEnd w:id="519"/>
      <w:r>
        <w:rPr>
          <w:color w:val="000000"/>
          <w:spacing w:val="0"/>
          <w:w w:val="100"/>
          <w:position w:val="0"/>
        </w:rPr>
        <w:t>一项交易单独看是不经济的，但是和其他交易一并考虑时是经济的。</w:t>
      </w:r>
    </w:p>
    <w:p>
      <w:pPr>
        <w:pStyle w:val="Style33"/>
        <w:keepNext/>
        <w:keepLines/>
        <w:widowControl w:val="0"/>
        <w:shd w:val="clear" w:color="auto" w:fill="auto"/>
        <w:tabs>
          <w:tab w:pos="517" w:val="left"/>
        </w:tabs>
        <w:bidi w:val="0"/>
        <w:spacing w:before="0" w:after="18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20"/>
      <w:bookmarkEnd w:id="521"/>
      <w:bookmarkEnd w:id="523"/>
    </w:p>
    <w:p>
      <w:pPr>
        <w:pStyle w:val="Style28"/>
        <w:keepNext w:val="0"/>
        <w:keepLines w:val="0"/>
        <w:widowControl w:val="0"/>
        <w:shd w:val="clear" w:color="auto" w:fill="auto"/>
        <w:bidi w:val="0"/>
        <w:spacing w:before="0" w:after="0" w:line="464" w:lineRule="exact"/>
        <w:ind w:left="0" w:right="0"/>
        <w:jc w:val="both"/>
      </w:pPr>
      <w:r>
        <w:rPr>
          <w:color w:val="000000"/>
          <w:spacing w:val="0"/>
          <w:w w:val="100"/>
          <w:position w:val="0"/>
        </w:rPr>
        <w:t>处置对子公司股权投资直至丧失控制权的各项交易属于一揽子交易的，区分个别财务报表和合并财务报表进行相关会计 处理：</w:t>
      </w:r>
    </w:p>
    <w:p>
      <w:pPr>
        <w:pStyle w:val="Style28"/>
        <w:keepNext w:val="0"/>
        <w:keepLines w:val="0"/>
        <w:widowControl w:val="0"/>
        <w:numPr>
          <w:ilvl w:val="0"/>
          <w:numId w:val="39"/>
        </w:numPr>
        <w:shd w:val="clear" w:color="auto" w:fill="auto"/>
        <w:tabs>
          <w:tab w:pos="723" w:val="left"/>
        </w:tabs>
        <w:bidi w:val="0"/>
        <w:spacing w:before="0" w:after="0" w:line="464" w:lineRule="exact"/>
        <w:ind w:left="0" w:right="0"/>
        <w:jc w:val="both"/>
      </w:pPr>
      <w:bookmarkStart w:id="524" w:name="bookmark524"/>
      <w:bookmarkEnd w:id="524"/>
      <w:r>
        <w:rPr>
          <w:color w:val="000000"/>
          <w:spacing w:val="0"/>
          <w:w w:val="100"/>
          <w:position w:val="0"/>
        </w:rPr>
        <w:t>在个别财务报表中，将各项交易作为一项处置子公司并丧失控制权的交易进行会计处理，企业处置对子公司的投资， 处置价款与处置投资对应的账面价值的差额，在母公司个别财务报表中应当确认为当期投资收益；</w:t>
      </w:r>
    </w:p>
    <w:p>
      <w:pPr>
        <w:pStyle w:val="Style28"/>
        <w:keepNext w:val="0"/>
        <w:keepLines w:val="0"/>
        <w:widowControl w:val="0"/>
        <w:numPr>
          <w:ilvl w:val="0"/>
          <w:numId w:val="39"/>
        </w:numPr>
        <w:shd w:val="clear" w:color="auto" w:fill="auto"/>
        <w:tabs>
          <w:tab w:pos="733" w:val="left"/>
        </w:tabs>
        <w:bidi w:val="0"/>
        <w:spacing w:before="0" w:after="440" w:line="464" w:lineRule="exact"/>
        <w:ind w:left="0" w:right="0"/>
        <w:jc w:val="both"/>
      </w:pPr>
      <w:bookmarkStart w:id="525" w:name="bookmark525"/>
      <w:bookmarkEnd w:id="525"/>
      <w:r>
        <w:rPr>
          <w:color w:val="000000"/>
          <w:spacing w:val="0"/>
          <w:w w:val="100"/>
          <w:position w:val="0"/>
        </w:rPr>
        <w:t>在合并财务报表中，在丧失控制权之前每一次处置价款与处置投资对应的享有该子公司净资产份额的差额，确认为其 他综合收益，在丧失控制权时一并转让丧失控制权当期的损益。</w:t>
      </w:r>
    </w:p>
    <w:p>
      <w:pPr>
        <w:pStyle w:val="Style33"/>
        <w:keepNext/>
        <w:keepLines/>
        <w:widowControl w:val="0"/>
        <w:shd w:val="clear" w:color="auto" w:fill="auto"/>
        <w:tabs>
          <w:tab w:pos="517" w:val="left"/>
        </w:tabs>
        <w:bidi w:val="0"/>
        <w:spacing w:before="0" w:after="18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526"/>
      <w:bookmarkEnd w:id="527"/>
      <w:bookmarkEnd w:id="529"/>
    </w:p>
    <w:p>
      <w:pPr>
        <w:pStyle w:val="Style28"/>
        <w:keepNext w:val="0"/>
        <w:keepLines w:val="0"/>
        <w:widowControl w:val="0"/>
        <w:shd w:val="clear" w:color="auto" w:fill="auto"/>
        <w:bidi w:val="0"/>
        <w:spacing w:before="0" w:after="0" w:line="471" w:lineRule="exact"/>
        <w:ind w:left="0" w:right="0"/>
        <w:jc w:val="both"/>
      </w:pPr>
      <w:r>
        <w:rPr>
          <w:color w:val="000000"/>
          <w:spacing w:val="0"/>
          <w:w w:val="100"/>
          <w:position w:val="0"/>
        </w:rPr>
        <w:t>企业因处置部分股权投资或其他原因丧失了对原有子公司控制权的，不属于一缆子交易的，应当区分个别财务报表和合 并财务报表进行相关会计处理：</w:t>
      </w:r>
    </w:p>
    <w:p>
      <w:pPr>
        <w:pStyle w:val="Style28"/>
        <w:keepNext w:val="0"/>
        <w:keepLines w:val="0"/>
        <w:widowControl w:val="0"/>
        <w:numPr>
          <w:ilvl w:val="0"/>
          <w:numId w:val="41"/>
        </w:numPr>
        <w:shd w:val="clear" w:color="auto" w:fill="auto"/>
        <w:tabs>
          <w:tab w:pos="728" w:val="left"/>
        </w:tabs>
        <w:bidi w:val="0"/>
        <w:spacing w:before="0" w:after="0" w:line="471" w:lineRule="exact"/>
        <w:ind w:left="0" w:right="0"/>
        <w:jc w:val="both"/>
      </w:pPr>
      <w:bookmarkStart w:id="530" w:name="bookmark530"/>
      <w:bookmarkEnd w:id="530"/>
      <w:r>
        <w:rPr>
          <w:color w:val="000000"/>
          <w:spacing w:val="0"/>
          <w:w w:val="100"/>
          <w:position w:val="0"/>
        </w:rPr>
        <w:t>在个别财务报表中，对于处置的股权，应当按照《企业会计准则第2号——长期股权投资》的规定进行会计处理；同 时，对于剩余股权，应当按其账面价值确认为长期股权投资或其他相关金融资产。处置后的剩余股权能够对原有子公司实施 共同控制或重大影响的，按有关成本法转为权益法的相关规定进行会计处理。</w:t>
      </w:r>
    </w:p>
    <w:p>
      <w:pPr>
        <w:pStyle w:val="Style28"/>
        <w:keepNext w:val="0"/>
        <w:keepLines w:val="0"/>
        <w:widowControl w:val="0"/>
        <w:numPr>
          <w:ilvl w:val="0"/>
          <w:numId w:val="41"/>
        </w:numPr>
        <w:shd w:val="clear" w:color="auto" w:fill="auto"/>
        <w:tabs>
          <w:tab w:pos="728" w:val="left"/>
        </w:tabs>
        <w:bidi w:val="0"/>
        <w:spacing w:before="0" w:after="180" w:line="471" w:lineRule="exact"/>
        <w:ind w:left="0" w:right="0"/>
        <w:jc w:val="both"/>
      </w:pPr>
      <w:bookmarkStart w:id="531" w:name="bookmark531"/>
      <w:bookmarkEnd w:id="531"/>
      <w:r>
        <w:rPr>
          <w:color w:val="000000"/>
          <w:spacing w:val="0"/>
          <w:w w:val="100"/>
          <w:position w:val="0"/>
        </w:rPr>
        <w:t>在合并财务报表中，对于剩余股权，应当按照其在丧失控制权日的公允价值进行重新计量。处置股权取得的对价与剩 余股权公允价值之和，减去按原持股比例计算应享有原有子公司自购买日开始持续计算的净资产的份额之间的差额，计入丧 失控制权当期的投资收益。与原有子公司股权投资相关的其他综合收益，应当在丧失控制权时转为当期投资收益。企业应当 在附注中披露处置后的剩余股权在丧失控制权日的公允价值、按照公允价值重新计量产生的相关利得或损失的金额。</w:t>
      </w:r>
    </w:p>
    <w:p>
      <w:pPr>
        <w:pStyle w:val="Style33"/>
        <w:keepNext/>
        <w:keepLines/>
        <w:widowControl w:val="0"/>
        <w:shd w:val="clear" w:color="auto" w:fill="auto"/>
        <w:tabs>
          <w:tab w:pos="364" w:val="left"/>
        </w:tabs>
        <w:bidi w:val="0"/>
        <w:spacing w:before="0" w:after="34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7</w:t>
      </w:r>
      <w:bookmarkEnd w:id="534"/>
      <w:r>
        <w:rPr>
          <w:color w:val="000000"/>
          <w:spacing w:val="0"/>
          <w:w w:val="100"/>
          <w:position w:val="0"/>
        </w:rPr>
        <w:t>、</w:t>
        <w:tab/>
        <w:t>合并财务报表的编制方法</w:t>
      </w:r>
      <w:bookmarkEnd w:id="532"/>
      <w:bookmarkEnd w:id="533"/>
      <w:bookmarkEnd w:id="535"/>
    </w:p>
    <w:p>
      <w:pPr>
        <w:pStyle w:val="Style33"/>
        <w:keepNext/>
        <w:keepLines/>
        <w:widowControl w:val="0"/>
        <w:shd w:val="clear" w:color="auto" w:fill="auto"/>
        <w:tabs>
          <w:tab w:pos="446" w:val="left"/>
        </w:tabs>
        <w:bidi w:val="0"/>
        <w:spacing w:before="0" w:after="180" w:line="240" w:lineRule="auto"/>
        <w:ind w:left="0" w:right="0" w:firstLine="0"/>
        <w:jc w:val="left"/>
      </w:pPr>
      <w:bookmarkStart w:id="532" w:name="bookmark532"/>
      <w:bookmarkStart w:id="533" w:name="bookmark533"/>
      <w:bookmarkStart w:id="536" w:name="bookmark536"/>
      <w:bookmarkStart w:id="537" w:name="bookmark537"/>
      <w:r>
        <w:rPr>
          <w:color w:val="000000"/>
          <w:spacing w:val="0"/>
          <w:w w:val="100"/>
          <w:position w:val="0"/>
        </w:rPr>
        <w:t>（</w:t>
      </w:r>
      <w:bookmarkEnd w:id="536"/>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合并财务报表的编制方法</w:t>
      </w:r>
      <w:bookmarkEnd w:id="532"/>
      <w:bookmarkEnd w:id="533"/>
      <w:bookmarkEnd w:id="537"/>
    </w:p>
    <w:p>
      <w:pPr>
        <w:pStyle w:val="Style28"/>
        <w:keepNext w:val="0"/>
        <w:keepLines w:val="0"/>
        <w:widowControl w:val="0"/>
        <w:shd w:val="clear" w:color="auto" w:fill="auto"/>
        <w:bidi w:val="0"/>
        <w:spacing w:before="0" w:after="440" w:line="466" w:lineRule="exact"/>
        <w:ind w:left="0" w:right="0"/>
        <w:jc w:val="both"/>
      </w:pPr>
      <w:r>
        <w:rPr>
          <w:color w:val="000000"/>
          <w:spacing w:val="0"/>
          <w:w w:val="100"/>
          <w:position w:val="0"/>
        </w:rPr>
        <w:t>合并财务报表的合并范围以控制为基础予以确定。控制是指本公司能够决定被投资单位的财务和经营政策，并能据以从 被投资单位的经营活动中获取利益的权力。合并范围包括本公司及全部子公司。子公司，是指被本公司控制的企业或主体。</w:t>
      </w:r>
    </w:p>
    <w:p>
      <w:pPr>
        <w:pStyle w:val="Style33"/>
        <w:keepNext/>
        <w:keepLines/>
        <w:widowControl w:val="0"/>
        <w:shd w:val="clear" w:color="auto" w:fill="auto"/>
        <w:tabs>
          <w:tab w:pos="446" w:val="left"/>
        </w:tabs>
        <w:bidi w:val="0"/>
        <w:spacing w:before="0" w:after="1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2</w:t>
      </w:r>
      <w:r>
        <w:rPr>
          <w:color w:val="000000"/>
          <w:spacing w:val="0"/>
          <w:w w:val="100"/>
          <w:position w:val="0"/>
        </w:rPr>
        <w:t>）</w:t>
        <w:tab/>
        <w:t>对同一子公司的股权在连续两个会计年度买入再卖出，或卖出再买入的应披露相关的会计处理方法</w:t>
      </w:r>
      <w:bookmarkEnd w:id="538"/>
      <w:bookmarkEnd w:id="539"/>
      <w:bookmarkEnd w:id="541"/>
    </w:p>
    <w:p>
      <w:pPr>
        <w:pStyle w:val="Style28"/>
        <w:keepNext w:val="0"/>
        <w:keepLines w:val="0"/>
        <w:widowControl w:val="0"/>
        <w:shd w:val="clear" w:color="auto" w:fill="auto"/>
        <w:bidi w:val="0"/>
        <w:spacing w:before="0" w:after="0" w:line="467" w:lineRule="exact"/>
        <w:ind w:left="0" w:right="0"/>
        <w:jc w:val="left"/>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8"/>
        <w:keepNext w:val="0"/>
        <w:keepLines w:val="0"/>
        <w:widowControl w:val="0"/>
        <w:shd w:val="clear" w:color="auto" w:fill="auto"/>
        <w:bidi w:val="0"/>
        <w:spacing w:before="0" w:after="0" w:line="467" w:lineRule="exact"/>
        <w:ind w:left="0" w:right="0"/>
        <w:jc w:val="left"/>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8"/>
        <w:keepNext w:val="0"/>
        <w:keepLines w:val="0"/>
        <w:widowControl w:val="0"/>
        <w:shd w:val="clear" w:color="auto" w:fill="auto"/>
        <w:bidi w:val="0"/>
        <w:spacing w:before="0" w:after="0" w:line="467" w:lineRule="exact"/>
        <w:ind w:left="0" w:right="0"/>
        <w:jc w:val="both"/>
      </w:pPr>
      <w:r>
        <w:rPr>
          <w:color w:val="000000"/>
          <w:spacing w:val="0"/>
          <w:w w:val="100"/>
          <w:position w:val="0"/>
        </w:rPr>
        <w:t>集团内所有重大往来余额、交易及未实现利润在合并财务报表编制时予以抵销。</w:t>
      </w:r>
    </w:p>
    <w:p>
      <w:pPr>
        <w:pStyle w:val="Style28"/>
        <w:keepNext w:val="0"/>
        <w:keepLines w:val="0"/>
        <w:widowControl w:val="0"/>
        <w:shd w:val="clear" w:color="auto" w:fill="auto"/>
        <w:bidi w:val="0"/>
        <w:spacing w:before="0" w:after="0" w:line="467"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股东损益”项目列示。少数股东分担的子公司的亏损超过了少数股东在该子公司期初股东权益中所享有的份额，冲减少数股 东权益。</w:t>
      </w:r>
    </w:p>
    <w:p>
      <w:pPr>
        <w:pStyle w:val="Style28"/>
        <w:keepNext w:val="0"/>
        <w:keepLines w:val="0"/>
        <w:widowControl w:val="0"/>
        <w:shd w:val="clear" w:color="auto" w:fill="auto"/>
        <w:bidi w:val="0"/>
        <w:spacing w:before="0" w:after="440" w:line="467"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制权时一并转为当期投资收益。其后，对该部分剩余股权按照《企业会计准则第2号</w:t>
      </w:r>
      <w:r>
        <w:rPr>
          <w:color w:val="000000"/>
          <w:spacing w:val="0"/>
          <w:w w:val="100"/>
          <w:position w:val="0"/>
        </w:rPr>
        <w:t>一一</w:t>
      </w:r>
      <w:r>
        <w:rPr>
          <w:color w:val="000000"/>
          <w:spacing w:val="0"/>
          <w:w w:val="100"/>
          <w:position w:val="0"/>
        </w:rPr>
        <w:t>长期股权投资》或《企业会计准则 第22号一一金融工具确认和计量》等相关规定进行后续计量。</w:t>
      </w:r>
    </w:p>
    <w:p>
      <w:pPr>
        <w:pStyle w:val="Style33"/>
        <w:keepNext/>
        <w:keepLines/>
        <w:widowControl w:val="0"/>
        <w:shd w:val="clear" w:color="auto" w:fill="auto"/>
        <w:tabs>
          <w:tab w:pos="364" w:val="left"/>
        </w:tabs>
        <w:bidi w:val="0"/>
        <w:spacing w:before="0" w:after="1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8</w:t>
      </w:r>
      <w:bookmarkEnd w:id="544"/>
      <w:r>
        <w:rPr>
          <w:color w:val="000000"/>
          <w:spacing w:val="0"/>
          <w:w w:val="100"/>
          <w:position w:val="0"/>
        </w:rPr>
        <w:t>、</w:t>
        <w:tab/>
        <w:t>现金及现金等价物的确定标准</w:t>
      </w:r>
      <w:bookmarkEnd w:id="542"/>
      <w:bookmarkEnd w:id="543"/>
      <w:bookmarkEnd w:id="545"/>
    </w:p>
    <w:p>
      <w:pPr>
        <w:pStyle w:val="Style28"/>
        <w:keepNext w:val="0"/>
        <w:keepLines w:val="0"/>
        <w:widowControl w:val="0"/>
        <w:shd w:val="clear" w:color="auto" w:fill="auto"/>
        <w:bidi w:val="0"/>
        <w:spacing w:before="0" w:after="260" w:line="466" w:lineRule="exact"/>
        <w:ind w:left="0" w:right="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3"/>
        <w:keepNext/>
        <w:keepLines/>
        <w:widowControl w:val="0"/>
        <w:shd w:val="clear" w:color="auto" w:fill="auto"/>
        <w:tabs>
          <w:tab w:pos="389" w:val="left"/>
        </w:tabs>
        <w:bidi w:val="0"/>
        <w:spacing w:before="0" w:after="34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9</w:t>
      </w:r>
      <w:bookmarkEnd w:id="548"/>
      <w:r>
        <w:rPr>
          <w:color w:val="000000"/>
          <w:spacing w:val="0"/>
          <w:w w:val="100"/>
          <w:position w:val="0"/>
        </w:rPr>
        <w:t>、</w:t>
        <w:tab/>
        <w:t>外币业务和外币报表折算</w:t>
      </w:r>
      <w:bookmarkEnd w:id="546"/>
      <w:bookmarkEnd w:id="547"/>
      <w:bookmarkEnd w:id="549"/>
    </w:p>
    <w:p>
      <w:pPr>
        <w:pStyle w:val="Style33"/>
        <w:keepNext/>
        <w:keepLines/>
        <w:widowControl w:val="0"/>
        <w:shd w:val="clear" w:color="auto" w:fill="auto"/>
        <w:tabs>
          <w:tab w:pos="472" w:val="left"/>
        </w:tabs>
        <w:bidi w:val="0"/>
        <w:spacing w:before="0" w:after="180" w:line="240" w:lineRule="auto"/>
        <w:ind w:left="0" w:right="0" w:firstLine="0"/>
        <w:jc w:val="left"/>
      </w:pPr>
      <w:bookmarkStart w:id="546" w:name="bookmark546"/>
      <w:bookmarkStart w:id="547" w:name="bookmark547"/>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46"/>
      <w:bookmarkEnd w:id="547"/>
      <w:bookmarkEnd w:id="551"/>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本公司发生的外币交易在初始确认时，按交易日的即期汇率（通常指中国人民银行公布的当日外汇牌价的中间价，下同） 折算为记账本位币金额，但公司发生的外币兑换业务或涉及外币兑换的交易事项，按照实际采用的汇率折算为记账本位币金 额。</w:t>
      </w:r>
    </w:p>
    <w:p>
      <w:pPr>
        <w:pStyle w:val="Style28"/>
        <w:keepNext w:val="0"/>
        <w:keepLines w:val="0"/>
        <w:widowControl w:val="0"/>
        <w:shd w:val="clear" w:color="auto" w:fill="auto"/>
        <w:bidi w:val="0"/>
        <w:spacing w:before="0" w:after="0" w:line="469" w:lineRule="exact"/>
        <w:ind w:left="0" w:right="0"/>
        <w:jc w:val="left"/>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8"/>
        <w:keepNext w:val="0"/>
        <w:keepLines w:val="0"/>
        <w:widowControl w:val="0"/>
        <w:shd w:val="clear" w:color="auto" w:fill="auto"/>
        <w:bidi w:val="0"/>
        <w:spacing w:before="0" w:after="440" w:line="469" w:lineRule="exact"/>
        <w:ind w:left="0" w:right="0"/>
        <w:jc w:val="left"/>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值变动（含汇率变动）处理，计入当期损益或确认为其他综合收益并计入资本公积。</w:t>
      </w:r>
    </w:p>
    <w:p>
      <w:pPr>
        <w:pStyle w:val="Style33"/>
        <w:keepNext/>
        <w:keepLines/>
        <w:widowControl w:val="0"/>
        <w:shd w:val="clear" w:color="auto" w:fill="auto"/>
        <w:tabs>
          <w:tab w:pos="472" w:val="left"/>
        </w:tabs>
        <w:bidi w:val="0"/>
        <w:spacing w:before="0" w:after="18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52"/>
      <w:bookmarkEnd w:id="553"/>
      <w:bookmarkEnd w:id="555"/>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额，列入股东权益“外币报表折算差额”项目；处置境外经营时，计入处置当期损益。</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用交易发生日的即期汇率折算。年初未分配利润为上一年折算后的年末未分配利润；年末未分配利润按折算后的利润分配各 项目计算列示；折算后资产类项目与负债类项目和股东权益类项目合计数的差额，作为外币报表折算差额，确认为其他综合 收益并在资产负债表中股东权益项目下单独列示。处置境外经营并丧失控制权时，将资产负债表中股东权益项目下列示的、 与该境外经营相关的外币报表折算差额，全部或按处置该境外经营的比例转入处置当期损益。</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年初数和上年实际数按照上年财务报表折算后的数额列示。</w:t>
      </w:r>
    </w:p>
    <w:p>
      <w:pPr>
        <w:pStyle w:val="Style33"/>
        <w:keepNext/>
        <w:keepLines/>
        <w:widowControl w:val="0"/>
        <w:shd w:val="clear" w:color="auto" w:fill="auto"/>
        <w:tabs>
          <w:tab w:pos="457" w:val="left"/>
        </w:tabs>
        <w:bidi w:val="0"/>
        <w:spacing w:before="0" w:after="18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1</w:t>
      </w:r>
      <w:bookmarkEnd w:id="55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556"/>
      <w:bookmarkEnd w:id="557"/>
      <w:bookmarkEnd w:id="559"/>
    </w:p>
    <w:p>
      <w:pPr>
        <w:pStyle w:val="Style28"/>
        <w:keepNext w:val="0"/>
        <w:keepLines w:val="0"/>
        <w:widowControl w:val="0"/>
        <w:shd w:val="clear" w:color="auto" w:fill="auto"/>
        <w:bidi w:val="0"/>
        <w:spacing w:before="0" w:after="260" w:line="470" w:lineRule="exact"/>
        <w:ind w:left="0" w:right="0"/>
        <w:jc w:val="both"/>
      </w:pPr>
      <w:r>
        <w:rPr>
          <w:color w:val="000000"/>
          <w:spacing w:val="0"/>
          <w:w w:val="100"/>
          <w:position w:val="0"/>
        </w:rPr>
        <w:t>金融工具，是指形成一个企业的金融资产，并形成其他单位的金融负债或权益工具的合同。</w:t>
      </w:r>
    </w:p>
    <w:p>
      <w:pPr>
        <w:pStyle w:val="Style33"/>
        <w:keepNext/>
        <w:keepLines/>
        <w:widowControl w:val="0"/>
        <w:shd w:val="clear" w:color="auto" w:fill="auto"/>
        <w:tabs>
          <w:tab w:pos="443" w:val="left"/>
        </w:tabs>
        <w:bidi w:val="0"/>
        <w:spacing w:before="0" w:after="18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w:t>
      </w:r>
      <w:bookmarkEnd w:id="562"/>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60"/>
      <w:bookmarkEnd w:id="561"/>
      <w:bookmarkEnd w:id="563"/>
    </w:p>
    <w:p>
      <w:pPr>
        <w:pStyle w:val="Style28"/>
        <w:keepNext w:val="0"/>
        <w:keepLines w:val="0"/>
        <w:widowControl w:val="0"/>
        <w:shd w:val="clear" w:color="auto" w:fill="auto"/>
        <w:bidi w:val="0"/>
        <w:spacing w:before="0" w:after="0" w:line="467" w:lineRule="exact"/>
        <w:ind w:left="0" w:right="0"/>
        <w:jc w:val="both"/>
      </w:pPr>
      <w:r>
        <w:rPr>
          <w:color w:val="000000"/>
          <w:spacing w:val="0"/>
          <w:w w:val="100"/>
          <w:position w:val="0"/>
        </w:rPr>
        <w:t>金融工具包括金融资产、金融负债和权益工具。</w:t>
      </w:r>
    </w:p>
    <w:p>
      <w:pPr>
        <w:pStyle w:val="Style28"/>
        <w:keepNext w:val="0"/>
        <w:keepLines w:val="0"/>
        <w:widowControl w:val="0"/>
        <w:shd w:val="clear" w:color="auto" w:fill="auto"/>
        <w:bidi w:val="0"/>
        <w:spacing w:before="0" w:after="0" w:line="467" w:lineRule="exact"/>
        <w:ind w:left="0" w:right="0"/>
        <w:jc w:val="both"/>
      </w:pPr>
      <w:r>
        <w:rPr>
          <w:color w:val="000000"/>
          <w:spacing w:val="0"/>
          <w:w w:val="100"/>
          <w:position w:val="0"/>
        </w:rPr>
        <w:t>金融资产分为：以公允价值计量且其变动计入当期损益的金融资产（包括交易性金融资产和指定为以公允价值计量且其 变动计入当期损益的金融资产）、持有至到期投资、贷款和应收款项、可供出售金融资产。除应收款项以外的金融资产的分 类取决于本公司及其子公司对金融资产的持有意图和持有能力等。</w:t>
      </w:r>
    </w:p>
    <w:p>
      <w:pPr>
        <w:pStyle w:val="Style28"/>
        <w:keepNext w:val="0"/>
        <w:keepLines w:val="0"/>
        <w:widowControl w:val="0"/>
        <w:shd w:val="clear" w:color="auto" w:fill="auto"/>
        <w:bidi w:val="0"/>
        <w:spacing w:before="0" w:after="440" w:line="467" w:lineRule="exact"/>
        <w:ind w:left="0" w:right="0"/>
        <w:jc w:val="both"/>
      </w:pPr>
      <w:r>
        <w:rPr>
          <w:color w:val="000000"/>
          <w:spacing w:val="0"/>
          <w:w w:val="100"/>
          <w:position w:val="0"/>
        </w:rPr>
        <w:t>金融负债分为：以公允价值计量且其变动计入当期损益的金融负债（包括交易性金融负债和指定为以公允价值计量且其 变动计入当期损益的金融负债）以及其他金融负债。</w:t>
      </w:r>
    </w:p>
    <w:p>
      <w:pPr>
        <w:pStyle w:val="Style33"/>
        <w:keepNext/>
        <w:keepLines/>
        <w:widowControl w:val="0"/>
        <w:shd w:val="clear" w:color="auto" w:fill="auto"/>
        <w:tabs>
          <w:tab w:pos="443" w:val="left"/>
        </w:tabs>
        <w:bidi w:val="0"/>
        <w:spacing w:before="0" w:after="18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w:t>
      </w:r>
      <w:bookmarkEnd w:id="566"/>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64"/>
      <w:bookmarkEnd w:id="565"/>
      <w:bookmarkEnd w:id="567"/>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本公司成为金融工具合同的一方时，确认为一项金融资产或金融负债。</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本公司金融资产或金融负债初始确认按公允价值计量。后续计量则分类进行处理：以公允价值计量且其变动计入当期损 益的金融资产、可供出售金融资产及以公允价值计量且其变动计入当期损益的金融负债按公允价值计量；财务担保合同及以 低于市场利率贷款的贷款承诺，在初始确认后按照《企业会计准则第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或有事项》确定的金额和初始确认金额扣除按照 《企业会计准则第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收入》的原则确定的累计摊销额后的余额之中的较高者进行后续计量；持有到期投资、贷款和应收 款项以及其他金融负债按摊余成本计量。</w:t>
      </w:r>
    </w:p>
    <w:p>
      <w:pPr>
        <w:pStyle w:val="Style28"/>
        <w:keepNext w:val="0"/>
        <w:keepLines w:val="0"/>
        <w:widowControl w:val="0"/>
        <w:shd w:val="clear" w:color="auto" w:fill="auto"/>
        <w:bidi w:val="0"/>
        <w:spacing w:before="0" w:after="440" w:line="468" w:lineRule="exact"/>
        <w:ind w:left="0" w:right="0"/>
        <w:jc w:val="both"/>
      </w:pPr>
      <w:r>
        <w:rPr>
          <w:color w:val="000000"/>
          <w:spacing w:val="0"/>
          <w:w w:val="100"/>
          <w:position w:val="0"/>
        </w:rPr>
        <w:t>本公司金融资产或金融负债后续计量中公允价值变动形成的利得或损失，除与套期保值有关外，按照如下方法处理：① 以公允价值计量且其变动计入当期损益的金融资产或金融负债公允价值变动形成的利得或损失，计入公允价值变动损益；在 资产持有期间所取得的利息或现金股利，确认为投资收益；处置时，将实际收到的金额与初始入账金额之间的差额确认为投 资收益，同时调整公允价值变动损益。②可供出售金融资产的公允价值变动计入资本公积；持有期间按实际利率法计算的利 息，计入投资收益；可供出售权益工具投资的现金股利，于被投资单位宣告发放股利时计入投资收益；处置时，将实际收到 的金额与账面价值扣除原直接计入资本公积的公允价值变动累计额之后的差额确认为投资收益。</w:t>
      </w:r>
    </w:p>
    <w:p>
      <w:pPr>
        <w:pStyle w:val="Style33"/>
        <w:keepNext/>
        <w:keepLines/>
        <w:widowControl w:val="0"/>
        <w:shd w:val="clear" w:color="auto" w:fill="auto"/>
        <w:tabs>
          <w:tab w:pos="443" w:val="left"/>
        </w:tabs>
        <w:bidi w:val="0"/>
        <w:spacing w:before="0" w:after="18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68"/>
      <w:bookmarkEnd w:id="569"/>
      <w:bookmarkEnd w:id="571"/>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公司已将金融资产所有权上几乎所有的风险和报酬转移给了转入方的，终止确认该金融资产；保留了金融资产所有权上 几乎所有的风险和报酬的，继续确认所转移的金融资产，并将收到的对价确认为一项金融负债。公司既没有转移也没有保留 金融资产所有权上几乎所有的风险和报酬的，分别下列情况处理：①放弃了对该金融资产控制的，终止确认该金融资产；② 未放弃对该金融资产控制的，按照继续涉入所转移金融资产的程度确认有关金融资产，并相应确认有关负债。</w:t>
      </w:r>
    </w:p>
    <w:p>
      <w:pPr>
        <w:pStyle w:val="Style28"/>
        <w:keepNext w:val="0"/>
        <w:keepLines w:val="0"/>
        <w:widowControl w:val="0"/>
        <w:shd w:val="clear" w:color="auto" w:fill="auto"/>
        <w:bidi w:val="0"/>
        <w:spacing w:before="0" w:after="440" w:line="469" w:lineRule="exact"/>
        <w:ind w:left="0" w:right="0"/>
        <w:jc w:val="both"/>
      </w:pPr>
      <w:r>
        <w:rPr>
          <w:color w:val="000000"/>
          <w:spacing w:val="0"/>
          <w:w w:val="100"/>
          <w:position w:val="0"/>
        </w:rPr>
        <w:t xml:space="preserve">金融资产整体转移满足终止确认条件的，将下列两项金额的差额计入当期损益：①所转移金融资产的账面价值；②因转 移而收到的对价，与原直接计入所有者权益的公允价值变动累计额之和。金融资产部分转移满足终止确认条件的，将所转移 </w:t>
      </w:r>
      <w:r>
        <w:rPr>
          <w:color w:val="000000"/>
          <w:spacing w:val="0"/>
          <w:w w:val="100"/>
          <w:position w:val="0"/>
        </w:rPr>
        <w:t>金融资产整体的账面价值，在终止确认部分和未终止确认部分之间，按照各自的相对公允价值进行分摊，并将下列两项金额 的差额计入当期损益：①终止确认部分的账面价值；②终止确认部分的对价，与原直接计入所有者权益的公允价值变动累计 额中对应终止确认部分的金额之和。</w:t>
      </w:r>
    </w:p>
    <w:p>
      <w:pPr>
        <w:pStyle w:val="Style33"/>
        <w:keepNext/>
        <w:keepLines/>
        <w:widowControl w:val="0"/>
        <w:shd w:val="clear" w:color="auto" w:fill="auto"/>
        <w:tabs>
          <w:tab w:pos="476" w:val="left"/>
        </w:tabs>
        <w:bidi w:val="0"/>
        <w:spacing w:before="0" w:after="20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72"/>
      <w:bookmarkEnd w:id="573"/>
      <w:bookmarkEnd w:id="575"/>
    </w:p>
    <w:p>
      <w:pPr>
        <w:pStyle w:val="Style28"/>
        <w:keepNext w:val="0"/>
        <w:keepLines w:val="0"/>
        <w:widowControl w:val="0"/>
        <w:shd w:val="clear" w:color="auto" w:fill="auto"/>
        <w:bidi w:val="0"/>
        <w:spacing w:before="0" w:after="440" w:line="466" w:lineRule="exact"/>
        <w:ind w:left="0" w:right="0"/>
        <w:jc w:val="both"/>
      </w:pPr>
      <w:r>
        <w:rPr>
          <w:color w:val="000000"/>
          <w:spacing w:val="0"/>
          <w:w w:val="100"/>
          <w:position w:val="0"/>
        </w:rPr>
        <w:t>金融负债终止确认，是指将金融负债从企业的账户和资产负债表内予以转销。金融工具确认和计量准则规定，金融负债 的现时义务全部或部分已经解除的，才能终止确认该金融负债或其一部分。</w:t>
      </w:r>
    </w:p>
    <w:p>
      <w:pPr>
        <w:pStyle w:val="Style33"/>
        <w:keepNext/>
        <w:keepLines/>
        <w:widowControl w:val="0"/>
        <w:shd w:val="clear" w:color="auto" w:fill="auto"/>
        <w:tabs>
          <w:tab w:pos="476" w:val="left"/>
        </w:tabs>
        <w:bidi w:val="0"/>
        <w:spacing w:before="0" w:after="20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76"/>
      <w:bookmarkEnd w:id="577"/>
      <w:bookmarkEnd w:id="579"/>
    </w:p>
    <w:p>
      <w:pPr>
        <w:pStyle w:val="Style28"/>
        <w:keepNext w:val="0"/>
        <w:keepLines w:val="0"/>
        <w:widowControl w:val="0"/>
        <w:shd w:val="clear" w:color="auto" w:fill="auto"/>
        <w:bidi w:val="0"/>
        <w:spacing w:before="0" w:after="440" w:line="472" w:lineRule="exact"/>
        <w:ind w:left="0" w:right="0"/>
        <w:jc w:val="both"/>
      </w:pPr>
      <w:r>
        <w:rPr>
          <w:color w:val="000000"/>
          <w:spacing w:val="0"/>
          <w:w w:val="100"/>
          <w:position w:val="0"/>
        </w:rPr>
        <w:t>存在活跃市场的金融资产或金融负债，以活跃市场的报价确定其公允价值；不存在活跃市场的金融资产或金融负债，采 用估值技术（包括参考熟悉情况并自愿交易的各方最近进行的市场交易中使用的价格、参照实质上相同的其他金融工具的当 前公允价值、现金流量折现法和期权定价模型等）确定其公允价值；初始取得或源生的金融资产或承担的金融负债，以市场 交易价格作为确定其公允价值的基础。</w:t>
      </w:r>
    </w:p>
    <w:p>
      <w:pPr>
        <w:pStyle w:val="Style33"/>
        <w:keepNext/>
        <w:keepLines/>
        <w:widowControl w:val="0"/>
        <w:shd w:val="clear" w:color="auto" w:fill="auto"/>
        <w:tabs>
          <w:tab w:pos="476" w:val="left"/>
        </w:tabs>
        <w:bidi w:val="0"/>
        <w:spacing w:before="0" w:after="20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w:t>
      </w:r>
      <w:bookmarkEnd w:id="582"/>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80"/>
      <w:bookmarkEnd w:id="581"/>
      <w:bookmarkEnd w:id="583"/>
    </w:p>
    <w:p>
      <w:pPr>
        <w:pStyle w:val="Style28"/>
        <w:keepNext w:val="0"/>
        <w:keepLines w:val="0"/>
        <w:widowControl w:val="0"/>
        <w:shd w:val="clear" w:color="auto" w:fill="auto"/>
        <w:bidi w:val="0"/>
        <w:spacing w:before="0" w:after="0" w:line="466" w:lineRule="exact"/>
        <w:ind w:left="0" w:right="0"/>
        <w:jc w:val="both"/>
      </w:pPr>
      <w:r>
        <w:rPr>
          <w:color w:val="000000"/>
          <w:spacing w:val="0"/>
          <w:w w:val="100"/>
          <w:position w:val="0"/>
        </w:rPr>
        <w:t>除了以公允价值计量且其变动计入当期损益的金融资产外，公司在每个资产负债表日对其他金融资产的账面价值进行检 查，有客观证据表明金融资产发生减值的，计提减值准备。</w:t>
      </w:r>
    </w:p>
    <w:p>
      <w:pPr>
        <w:pStyle w:val="Style28"/>
        <w:keepNext w:val="0"/>
        <w:keepLines w:val="0"/>
        <w:widowControl w:val="0"/>
        <w:shd w:val="clear" w:color="auto" w:fill="auto"/>
        <w:bidi w:val="0"/>
        <w:spacing w:before="0" w:after="0" w:line="466" w:lineRule="exact"/>
        <w:ind w:left="0" w:right="0"/>
        <w:jc w:val="both"/>
      </w:pPr>
      <w:r>
        <w:rPr>
          <w:color w:val="000000"/>
          <w:spacing w:val="0"/>
          <w:w w:val="100"/>
          <w:position w:val="0"/>
        </w:rPr>
        <w:t>公司对单项金额重大的金融资产单独进行减值测试；对单项金额不重大的金融资产，单独进行减值测试或包括在具有类 似信用风险特征的金融资产组合中进行减值测试。单独测试未发生减值的金融资产（包括单项金额重大和不重大的金融资 产），包括在具有类似信用风险特征的金融资产组合中再进行减值测试。</w:t>
      </w:r>
    </w:p>
    <w:p>
      <w:pPr>
        <w:pStyle w:val="Style28"/>
        <w:keepNext w:val="0"/>
        <w:keepLines w:val="0"/>
        <w:widowControl w:val="0"/>
        <w:shd w:val="clear" w:color="auto" w:fill="auto"/>
        <w:bidi w:val="0"/>
        <w:spacing w:before="0" w:after="0" w:line="466" w:lineRule="exact"/>
        <w:ind w:left="0" w:right="0"/>
        <w:jc w:val="both"/>
      </w:pPr>
      <w:r>
        <w:rPr>
          <w:color w:val="000000"/>
          <w:spacing w:val="0"/>
          <w:w w:val="100"/>
          <w:position w:val="0"/>
        </w:rPr>
        <w:t>已单项确认减值损失的金融资产，不包括在具有类似信用风险特征的金融资产组合中进行减值测试。</w:t>
      </w:r>
    </w:p>
    <w:p>
      <w:pPr>
        <w:pStyle w:val="Style28"/>
        <w:keepNext w:val="0"/>
        <w:keepLines w:val="0"/>
        <w:widowControl w:val="0"/>
        <w:numPr>
          <w:ilvl w:val="0"/>
          <w:numId w:val="43"/>
        </w:numPr>
        <w:shd w:val="clear" w:color="auto" w:fill="auto"/>
        <w:tabs>
          <w:tab w:pos="726" w:val="left"/>
        </w:tabs>
        <w:bidi w:val="0"/>
        <w:spacing w:before="0" w:after="0" w:line="466" w:lineRule="exact"/>
        <w:ind w:left="0" w:right="0"/>
        <w:jc w:val="both"/>
      </w:pPr>
      <w:bookmarkStart w:id="584" w:name="bookmark584"/>
      <w:bookmarkEnd w:id="584"/>
      <w:r>
        <w:rPr>
          <w:color w:val="000000"/>
          <w:spacing w:val="0"/>
          <w:w w:val="100"/>
          <w:position w:val="0"/>
        </w:rPr>
        <w:t>持有至到期投资、贷款和应收款项减值</w:t>
      </w:r>
    </w:p>
    <w:p>
      <w:pPr>
        <w:pStyle w:val="Style28"/>
        <w:keepNext w:val="0"/>
        <w:keepLines w:val="0"/>
        <w:widowControl w:val="0"/>
        <w:shd w:val="clear" w:color="auto" w:fill="auto"/>
        <w:bidi w:val="0"/>
        <w:spacing w:before="0" w:after="0" w:line="466" w:lineRule="exact"/>
        <w:ind w:left="0" w:right="0"/>
        <w:jc w:val="both"/>
      </w:pPr>
      <w:r>
        <w:rPr>
          <w:color w:val="000000"/>
          <w:spacing w:val="0"/>
          <w:w w:val="100"/>
          <w:position w:val="0"/>
        </w:rPr>
        <w:t>以成本或摊余成本计量的金融资产将其账面价值减记至预计未来现金流量现值，减记金额确认为减值损失，计入当期损 益；短期应收款项的预计未来现金流量与其现值相差很小的，在确定相关减值损失时，不对其预计未来现金流量进行折现。 金融资产在确认减值损失后，如有客观证据表明该金融资产价值已恢复，且客观上与确认该损失后发生的事项有关，原确认 的减值损失予以转回，金融资产转回减值损失后的账面价值不超过假定不计提减值准备情况下该金融资产在转回日的摊余成 本。</w:t>
      </w:r>
    </w:p>
    <w:p>
      <w:pPr>
        <w:pStyle w:val="Style28"/>
        <w:keepNext w:val="0"/>
        <w:keepLines w:val="0"/>
        <w:widowControl w:val="0"/>
        <w:numPr>
          <w:ilvl w:val="0"/>
          <w:numId w:val="43"/>
        </w:numPr>
        <w:shd w:val="clear" w:color="auto" w:fill="auto"/>
        <w:tabs>
          <w:tab w:pos="726" w:val="left"/>
        </w:tabs>
        <w:bidi w:val="0"/>
        <w:spacing w:before="0" w:after="0" w:line="466" w:lineRule="exact"/>
        <w:ind w:left="0" w:right="0"/>
        <w:jc w:val="both"/>
      </w:pPr>
      <w:bookmarkStart w:id="585" w:name="bookmark585"/>
      <w:bookmarkEnd w:id="585"/>
      <w:r>
        <w:rPr>
          <w:color w:val="000000"/>
          <w:spacing w:val="0"/>
          <w:w w:val="100"/>
          <w:position w:val="0"/>
        </w:rPr>
        <w:t>可供出售金融资产减值</w:t>
      </w:r>
    </w:p>
    <w:p>
      <w:pPr>
        <w:pStyle w:val="Style28"/>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可供出售金融资产出现下列情形之一表明该资产发生减值：1）发行方或债务人发生了严重财务困难；2）债务人违反了合 同条款，如偿付利息或本金发生违约或逾期等；3）债权人出于经济或法律等方面因素的考虑，对发生财务困难的债务人作出 </w:t>
      </w:r>
      <w:r>
        <w:rPr>
          <w:color w:val="000000"/>
          <w:spacing w:val="0"/>
          <w:w w:val="100"/>
          <w:position w:val="0"/>
        </w:rPr>
        <w:t>让步；4）债务人很可能倒闭或进行其他财务重组；5）因发行方发生重大财务困难，该可供出售金融资产无法在活跃市场继续 交易；6）无法辨认一组金融资产中的某项资产的现金流量是否已经减少，但根据公开的数据对其进行总体评价后发现，该组 金融资产自初始确认以来的预计未来现金流量确已减少且可计量，如该组金融资产的债务人支付能力逐步恶化，或债务人所 在国家或地区失业率提高，担保物在其所在地区的价格明显下降、所处行业不景气等；7）权益工具发行方经营所处的技术、 市场、经济或法律环境等发生重大不利变化，使权益工具投资人可能无法收回投资成本；8）权益工具投资的公允价值发生严 重或非暂时性下跌；9）其他表明可供出售金融资产发生减值的客观依据。</w:t>
      </w:r>
    </w:p>
    <w:p>
      <w:pPr>
        <w:pStyle w:val="Style2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当综合相关因素判断可供出售权益工具投资公允价值下跌是严重或非暂时性下跌时，表明该可供出售权益工具投资发生 减值。</w:t>
      </w:r>
    </w:p>
    <w:p>
      <w:pPr>
        <w:pStyle w:val="Style2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可供出售金融资产发生减值时，将原计入资本公积的因公允价值下降形成的累计损失予以转出并计入当期损益，该转出 的累计损失为该资产初始取得成本扣除已收回本金和已摊销金额、当前公允价值和原已计入损益的减值损失后的余额。</w:t>
      </w:r>
    </w:p>
    <w:p>
      <w:pPr>
        <w:pStyle w:val="Style2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8"/>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各类可供出售金融资产减值的各项认定标准</w:t>
      </w:r>
    </w:p>
    <w:p>
      <w:pPr>
        <w:pStyle w:val="Style28"/>
        <w:keepNext w:val="0"/>
        <w:keepLines w:val="0"/>
        <w:widowControl w:val="0"/>
        <w:shd w:val="clear" w:color="auto" w:fill="auto"/>
        <w:bidi w:val="0"/>
        <w:spacing w:before="0" w:after="440" w:line="468" w:lineRule="exact"/>
        <w:ind w:left="0" w:right="0" w:firstLine="360"/>
        <w:jc w:val="both"/>
      </w:pPr>
      <w:r>
        <w:rPr>
          <w:color w:val="000000"/>
          <w:spacing w:val="0"/>
          <w:w w:val="100"/>
          <w:position w:val="0"/>
        </w:rPr>
        <w:t>无。</w:t>
      </w:r>
    </w:p>
    <w:p>
      <w:pPr>
        <w:pStyle w:val="Style33"/>
        <w:keepNext/>
        <w:keepLines/>
        <w:widowControl w:val="0"/>
        <w:shd w:val="clear" w:color="auto" w:fill="auto"/>
        <w:bidi w:val="0"/>
        <w:spacing w:before="0" w:after="20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586"/>
      <w:bookmarkEnd w:id="587"/>
      <w:bookmarkEnd w:id="589"/>
    </w:p>
    <w:p>
      <w:pPr>
        <w:pStyle w:val="Style28"/>
        <w:keepNext w:val="0"/>
        <w:keepLines w:val="0"/>
        <w:widowControl w:val="0"/>
        <w:shd w:val="clear" w:color="auto" w:fill="auto"/>
        <w:bidi w:val="0"/>
        <w:spacing w:before="0" w:after="440" w:line="468" w:lineRule="exact"/>
        <w:ind w:left="0" w:right="0" w:firstLine="360"/>
        <w:jc w:val="both"/>
      </w:pPr>
      <w:r>
        <w:rPr>
          <w:color w:val="000000"/>
          <w:spacing w:val="0"/>
          <w:w w:val="100"/>
          <w:position w:val="0"/>
        </w:rPr>
        <w:t>无。</w:t>
      </w:r>
    </w:p>
    <w:p>
      <w:pPr>
        <w:pStyle w:val="Style33"/>
        <w:keepNext/>
        <w:keepLines/>
        <w:widowControl w:val="0"/>
        <w:shd w:val="clear" w:color="auto" w:fill="auto"/>
        <w:bidi w:val="0"/>
        <w:spacing w:before="0" w:after="20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90"/>
      <w:bookmarkEnd w:id="591"/>
      <w:bookmarkEnd w:id="593"/>
    </w:p>
    <w:p>
      <w:pPr>
        <w:pStyle w:val="Style28"/>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本公司应收款项主要包括应收账款、长期应收款和其他应收款。在资产负债表日有客观证据表明其发生了减值的，应当 根据其账面价值与预计未来现金流量现值之间差额确认减值损失。</w:t>
      </w:r>
    </w:p>
    <w:p>
      <w:pPr>
        <w:pStyle w:val="Style33"/>
        <w:keepNext/>
        <w:keepLines/>
        <w:widowControl w:val="0"/>
        <w:shd w:val="clear" w:color="auto" w:fill="auto"/>
        <w:bidi w:val="0"/>
        <w:spacing w:before="0" w:after="30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w:t>
      </w:r>
      <w:bookmarkEnd w:id="596"/>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94"/>
      <w:bookmarkEnd w:id="595"/>
      <w:bookmarkEnd w:id="597"/>
    </w:p>
    <w:tbl>
      <w:tblPr>
        <w:tblOverlap w:val="never"/>
        <w:jc w:val="center"/>
        <w:tblLayout w:type="fixed"/>
      </w:tblPr>
      <w:tblGrid>
        <w:gridCol w:w="5059"/>
        <w:gridCol w:w="452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本公司将在资产负债表日单个客户欠款余额在</w:t>
            </w:r>
            <w:r>
              <w:rPr>
                <w:rFonts w:ascii="Times New Roman" w:eastAsia="Times New Roman" w:hAnsi="Times New Roman" w:cs="Times New Roman"/>
                <w:color w:val="000000"/>
                <w:spacing w:val="0"/>
                <w:w w:val="100"/>
                <w:position w:val="0"/>
              </w:rPr>
              <w:t>20</w:t>
            </w:r>
            <w:r>
              <w:rPr>
                <w:color w:val="000000"/>
                <w:spacing w:val="0"/>
                <w:w w:val="100"/>
                <w:position w:val="0"/>
              </w:rPr>
              <w:t>万元 （含）以上的应收账款和</w:t>
            </w:r>
            <w:r>
              <w:rPr>
                <w:rFonts w:ascii="Times New Roman" w:eastAsia="Times New Roman" w:hAnsi="Times New Roman" w:cs="Times New Roman"/>
                <w:color w:val="000000"/>
                <w:spacing w:val="0"/>
                <w:w w:val="100"/>
                <w:position w:val="0"/>
              </w:rPr>
              <w:t>5</w:t>
            </w:r>
            <w:r>
              <w:rPr>
                <w:color w:val="000000"/>
                <w:spacing w:val="0"/>
                <w:w w:val="100"/>
                <w:position w:val="0"/>
              </w:rPr>
              <w:t>万元（含）以上其他应收款确 定为单项金额重大的应收款项。</w:t>
            </w:r>
          </w:p>
        </w:tc>
      </w:tr>
      <w:tr>
        <w:trPr>
          <w:trHeight w:val="6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单独进行减值测试，如有客观证据表明其发生了减值的， 根据其未来现金流量现值低于其账面价值的差额，确认减</w:t>
            </w:r>
          </w:p>
        </w:tc>
      </w:tr>
    </w:tbl>
    <w:p>
      <w:pPr>
        <w:widowControl w:val="0"/>
        <w:spacing w:line="1" w:lineRule="exact"/>
      </w:pPr>
      <w:r>
        <w:br w:type="page"/>
      </w:r>
    </w:p>
    <w:tbl>
      <w:tblPr>
        <w:tblOverlap w:val="never"/>
        <w:jc w:val="center"/>
        <w:tblLayout w:type="fixed"/>
      </w:tblPr>
      <w:tblGrid>
        <w:gridCol w:w="5059"/>
        <w:gridCol w:w="4522"/>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值损失，计提坏账准备。</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w:t>
      </w:r>
      <w:bookmarkEnd w:id="600"/>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598"/>
      <w:bookmarkEnd w:id="599"/>
      <w:bookmarkEnd w:id="601"/>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单项金额不重大的应收款项，与经单独测试后未减值的单项 金额重大的应收款项，以账龄为信用风险特征进行组合并结 合现实的实际损失率确定不同账龄应计提坏账准备的比例。</w:t>
            </w:r>
          </w:p>
        </w:tc>
      </w:tr>
    </w:tbl>
    <w:p>
      <w:pPr>
        <w:widowControl w:val="0"/>
        <w:spacing w:after="21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rPr>
        <w:t>（</w:t>
      </w:r>
      <w:bookmarkEnd w:id="604"/>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02"/>
      <w:bookmarkEnd w:id="603"/>
      <w:bookmarkEnd w:id="605"/>
    </w:p>
    <w:tbl>
      <w:tblPr>
        <w:tblOverlap w:val="never"/>
        <w:jc w:val="center"/>
        <w:tblLayout w:type="fixed"/>
      </w:tblPr>
      <w:tblGrid>
        <w:gridCol w:w="3355"/>
        <w:gridCol w:w="6226"/>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如有客观证据表明年末单项金额不重大的应收款项发生了减值的，根据其未来 现金流量现值低于其账面价值的差额，确认减值损失，计提坏账准备。</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根据应收款项未来现金流量现值低于其账面价值的差额计提坏账准备。</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606"/>
      <w:bookmarkEnd w:id="607"/>
      <w:bookmarkEnd w:id="609"/>
    </w:p>
    <w:p>
      <w:pPr>
        <w:pStyle w:val="Style33"/>
        <w:keepNext/>
        <w:keepLines/>
        <w:widowControl w:val="0"/>
        <w:shd w:val="clear" w:color="auto" w:fill="auto"/>
        <w:tabs>
          <w:tab w:pos="493" w:val="left"/>
        </w:tabs>
        <w:bidi w:val="0"/>
        <w:spacing w:before="0" w:after="460" w:line="240" w:lineRule="auto"/>
        <w:ind w:left="0" w:right="0" w:firstLine="0"/>
        <w:jc w:val="left"/>
      </w:pPr>
      <w:bookmarkStart w:id="606" w:name="bookmark606"/>
      <w:bookmarkStart w:id="607" w:name="bookmark607"/>
      <w:bookmarkStart w:id="610" w:name="bookmark610"/>
      <w:bookmarkStart w:id="611" w:name="bookmark611"/>
      <w:r>
        <w:rPr>
          <w:color w:val="000000"/>
          <w:spacing w:val="0"/>
          <w:w w:val="100"/>
          <w:position w:val="0"/>
        </w:rPr>
        <w:t>（</w:t>
      </w:r>
      <w:bookmarkEnd w:id="610"/>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06"/>
      <w:bookmarkEnd w:id="607"/>
      <w:bookmarkEnd w:id="611"/>
    </w:p>
    <w:p>
      <w:pPr>
        <w:pStyle w:val="Style28"/>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存货分为库存商品、原材料、低值易耗品、包装物等四大类。</w:t>
      </w:r>
    </w:p>
    <w:p>
      <w:pPr>
        <w:pStyle w:val="Style33"/>
        <w:keepNext/>
        <w:keepLines/>
        <w:widowControl w:val="0"/>
        <w:shd w:val="clear" w:color="auto" w:fill="auto"/>
        <w:tabs>
          <w:tab w:pos="493" w:val="left"/>
        </w:tabs>
        <w:bidi w:val="0"/>
        <w:spacing w:before="0" w:after="46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w:t>
      </w:r>
      <w:bookmarkEnd w:id="614"/>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12"/>
      <w:bookmarkEnd w:id="613"/>
      <w:bookmarkEnd w:id="615"/>
    </w:p>
    <w:p>
      <w:pPr>
        <w:pStyle w:val="Style28"/>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计价方法：加权平均法</w:t>
      </w:r>
    </w:p>
    <w:p>
      <w:pPr>
        <w:pStyle w:val="Style28"/>
        <w:keepNext w:val="0"/>
        <w:keepLines w:val="0"/>
        <w:widowControl w:val="0"/>
        <w:shd w:val="clear" w:color="auto" w:fill="auto"/>
        <w:bidi w:val="0"/>
        <w:spacing w:before="0" w:after="440" w:line="469" w:lineRule="exact"/>
        <w:ind w:left="0" w:right="0" w:firstLine="360"/>
        <w:jc w:val="left"/>
      </w:pPr>
      <w:r>
        <w:rPr>
          <w:color w:val="000000"/>
          <w:spacing w:val="0"/>
          <w:w w:val="100"/>
          <w:position w:val="0"/>
        </w:rPr>
        <w:t>存货发出时的成本按加权平均法核算。</w:t>
      </w:r>
    </w:p>
    <w:p>
      <w:pPr>
        <w:pStyle w:val="Style33"/>
        <w:keepNext/>
        <w:keepLines/>
        <w:widowControl w:val="0"/>
        <w:shd w:val="clear" w:color="auto" w:fill="auto"/>
        <w:tabs>
          <w:tab w:pos="493" w:val="left"/>
        </w:tabs>
        <w:bidi w:val="0"/>
        <w:spacing w:before="0" w:after="20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16"/>
      <w:bookmarkEnd w:id="617"/>
      <w:bookmarkEnd w:id="619"/>
    </w:p>
    <w:p>
      <w:pPr>
        <w:pStyle w:val="Style28"/>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8"/>
        <w:keepNext w:val="0"/>
        <w:keepLines w:val="0"/>
        <w:widowControl w:val="0"/>
        <w:shd w:val="clear" w:color="auto" w:fill="auto"/>
        <w:bidi w:val="0"/>
        <w:spacing w:before="0" w:after="440" w:line="467" w:lineRule="exact"/>
        <w:ind w:left="0" w:right="0" w:firstLine="36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备通常按单个存货项目的成本高于其可变现净值的差额提取。计提存货跌价准备后，如果以前减记存货价值的影响因素已经 消失，导致存货的可变现净值高于其账面价值的，在原已计提的存货跌价准备金额内予以转回，转回的金额计入当期损益。</w:t>
      </w:r>
    </w:p>
    <w:p>
      <w:pPr>
        <w:pStyle w:val="Style33"/>
        <w:keepNext/>
        <w:keepLines/>
        <w:widowControl w:val="0"/>
        <w:shd w:val="clear" w:color="auto" w:fill="auto"/>
        <w:tabs>
          <w:tab w:pos="493" w:val="left"/>
        </w:tabs>
        <w:bidi w:val="0"/>
        <w:spacing w:before="0" w:after="20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20"/>
      <w:bookmarkEnd w:id="621"/>
      <w:bookmarkEnd w:id="623"/>
    </w:p>
    <w:p>
      <w:pPr>
        <w:pStyle w:val="Style28"/>
        <w:keepNext w:val="0"/>
        <w:keepLines w:val="0"/>
        <w:widowControl w:val="0"/>
        <w:shd w:val="clear" w:color="auto" w:fill="auto"/>
        <w:bidi w:val="0"/>
        <w:spacing w:before="0" w:after="0" w:line="469" w:lineRule="exact"/>
        <w:ind w:left="0" w:right="0" w:firstLine="360"/>
        <w:jc w:val="left"/>
      </w:pPr>
      <w:r>
        <w:rPr>
          <w:color w:val="000000"/>
          <w:spacing w:val="0"/>
          <w:w w:val="100"/>
          <w:position w:val="0"/>
        </w:rPr>
        <w:t>盘存制度：永续盘存制</w:t>
      </w:r>
    </w:p>
    <w:p>
      <w:pPr>
        <w:pStyle w:val="Style28"/>
        <w:keepNext w:val="0"/>
        <w:keepLines w:val="0"/>
        <w:widowControl w:val="0"/>
        <w:shd w:val="clear" w:color="auto" w:fill="auto"/>
        <w:bidi w:val="0"/>
        <w:spacing w:before="0" w:after="440" w:line="469" w:lineRule="exact"/>
        <w:ind w:left="0" w:right="0" w:firstLine="360"/>
        <w:jc w:val="left"/>
      </w:pPr>
      <w:r>
        <w:rPr>
          <w:color w:val="000000"/>
          <w:spacing w:val="0"/>
          <w:w w:val="100"/>
          <w:position w:val="0"/>
        </w:rPr>
        <w:t>本公司存货的盘存制度采用永续盘存法。</w:t>
      </w:r>
    </w:p>
    <w:p>
      <w:pPr>
        <w:pStyle w:val="Style33"/>
        <w:keepNext/>
        <w:keepLines/>
        <w:widowControl w:val="0"/>
        <w:shd w:val="clear" w:color="auto" w:fill="auto"/>
        <w:tabs>
          <w:tab w:pos="493" w:val="left"/>
        </w:tabs>
        <w:bidi w:val="0"/>
        <w:spacing w:before="0" w:after="20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24"/>
      <w:bookmarkEnd w:id="625"/>
      <w:bookmarkEnd w:id="627"/>
    </w:p>
    <w:p>
      <w:pPr>
        <w:pStyle w:val="Style28"/>
        <w:keepNext w:val="0"/>
        <w:keepLines w:val="0"/>
        <w:widowControl w:val="0"/>
        <w:shd w:val="clear" w:color="auto" w:fill="auto"/>
        <w:bidi w:val="0"/>
        <w:spacing w:before="0" w:after="0" w:line="469" w:lineRule="exact"/>
        <w:ind w:left="0" w:right="0" w:firstLine="360"/>
        <w:jc w:val="left"/>
      </w:pPr>
      <w:r>
        <w:rPr>
          <w:color w:val="000000"/>
          <w:spacing w:val="0"/>
          <w:w w:val="100"/>
          <w:position w:val="0"/>
        </w:rPr>
        <w:t>低值易耗品</w:t>
      </w:r>
    </w:p>
    <w:p>
      <w:pPr>
        <w:pStyle w:val="Style2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摊销方法：一次摊销法</w:t>
      </w:r>
    </w:p>
    <w:p>
      <w:pPr>
        <w:pStyle w:val="Style2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低值易耗品于其领用时采用一次性摊销法摊销。</w:t>
      </w:r>
    </w:p>
    <w:p>
      <w:pPr>
        <w:pStyle w:val="Style2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包装物</w:t>
      </w:r>
    </w:p>
    <w:p>
      <w:pPr>
        <w:pStyle w:val="Style2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摊销方法：一次摊销法</w:t>
      </w:r>
    </w:p>
    <w:p>
      <w:pPr>
        <w:pStyle w:val="Style28"/>
        <w:keepNext w:val="0"/>
        <w:keepLines w:val="0"/>
        <w:widowControl w:val="0"/>
        <w:shd w:val="clear" w:color="auto" w:fill="auto"/>
        <w:bidi w:val="0"/>
        <w:spacing w:before="0" w:after="440" w:line="469" w:lineRule="exact"/>
        <w:ind w:left="0" w:right="0" w:firstLine="360"/>
        <w:jc w:val="both"/>
      </w:pPr>
      <w:r>
        <w:rPr>
          <w:color w:val="000000"/>
          <w:spacing w:val="0"/>
          <w:w w:val="100"/>
          <w:position w:val="0"/>
        </w:rPr>
        <w:t>包装物于其领用时采用一次性摊销法摊销。</w:t>
      </w:r>
    </w:p>
    <w:p>
      <w:pPr>
        <w:pStyle w:val="Style33"/>
        <w:keepNext/>
        <w:keepLines/>
        <w:widowControl w:val="0"/>
        <w:shd w:val="clear" w:color="auto" w:fill="auto"/>
        <w:bidi w:val="0"/>
        <w:spacing w:before="0" w:after="34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28"/>
      <w:bookmarkEnd w:id="629"/>
      <w:bookmarkEnd w:id="631"/>
    </w:p>
    <w:p>
      <w:pPr>
        <w:pStyle w:val="Style33"/>
        <w:keepNext/>
        <w:keepLines/>
        <w:widowControl w:val="0"/>
        <w:shd w:val="clear" w:color="auto" w:fill="auto"/>
        <w:bidi w:val="0"/>
        <w:spacing w:before="0" w:after="200" w:line="240" w:lineRule="auto"/>
        <w:ind w:left="0" w:right="0" w:firstLine="0"/>
        <w:jc w:val="left"/>
      </w:pPr>
      <w:bookmarkStart w:id="628" w:name="bookmark628"/>
      <w:bookmarkStart w:id="629" w:name="bookmark629"/>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28"/>
      <w:bookmarkEnd w:id="629"/>
      <w:bookmarkEnd w:id="633"/>
    </w:p>
    <w:p>
      <w:pPr>
        <w:pStyle w:val="Style28"/>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对于企业合并形成的长期股权投资，如为同一控制下的企业合并取得的长期股权投资，在合并日按照取得被合并方股东 权益账面价值的份额作为初始投资成本；通过非同一控制下的企业合并取得的长期股权投资，按照合并成本作为长期股权投 资的初始投资成本，企业合并成本包括购买方付出的资产、发生或承担的负债、发行的权益性证券的公允价值之和，购买方 为企业合并发生的审计、法律服务、评估咨询等中介费用以及其他相关管理费用，应当于发生时计入当期损益，购买方作为 合并对价发行的权益性证券或债务性证券的交易费用，应当计入权益性证券或债务性证券的初始确认金额。</w:t>
      </w:r>
    </w:p>
    <w:p>
      <w:pPr>
        <w:pStyle w:val="Style28"/>
        <w:keepNext w:val="0"/>
        <w:keepLines w:val="0"/>
        <w:widowControl w:val="0"/>
        <w:shd w:val="clear" w:color="auto" w:fill="auto"/>
        <w:bidi w:val="0"/>
        <w:spacing w:before="0" w:after="440" w:line="469" w:lineRule="exact"/>
        <w:ind w:left="0" w:right="0" w:firstLine="360"/>
        <w:jc w:val="both"/>
      </w:pPr>
      <w:r>
        <w:rPr>
          <w:color w:val="000000"/>
          <w:spacing w:val="0"/>
          <w:w w:val="100"/>
          <w:position w:val="0"/>
        </w:rPr>
        <w:t xml:space="preserve">除企业合并形成的长期股权投资外的其他股权投资，按成本进行初始计量，该成本视长期股权投资取得方式的不同，分 </w:t>
      </w:r>
      <w:r>
        <w:rPr>
          <w:color w:val="000000"/>
          <w:spacing w:val="0"/>
          <w:w w:val="100"/>
          <w:position w:val="0"/>
        </w:rPr>
        <w:t>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w:t>
      </w:r>
    </w:p>
    <w:p>
      <w:pPr>
        <w:pStyle w:val="Style33"/>
        <w:keepNext/>
        <w:keepLines/>
        <w:widowControl w:val="0"/>
        <w:numPr>
          <w:ilvl w:val="0"/>
          <w:numId w:val="45"/>
        </w:numPr>
        <w:shd w:val="clear" w:color="auto" w:fill="auto"/>
        <w:bidi w:val="0"/>
        <w:spacing w:before="0" w:after="240" w:line="240" w:lineRule="auto"/>
        <w:ind w:left="0" w:right="0" w:firstLine="0"/>
        <w:jc w:val="both"/>
      </w:pPr>
      <w:bookmarkStart w:id="634" w:name="bookmark634"/>
      <w:bookmarkStart w:id="635" w:name="bookmark635"/>
      <w:bookmarkStart w:id="636" w:name="bookmark636"/>
      <w:bookmarkStart w:id="637" w:name="bookmark637"/>
      <w:bookmarkEnd w:id="636"/>
      <w:r>
        <w:rPr>
          <w:color w:val="000000"/>
          <w:spacing w:val="0"/>
          <w:w w:val="100"/>
          <w:position w:val="0"/>
        </w:rPr>
        <w:t>后续计量及损益确认</w:t>
      </w:r>
      <w:bookmarkEnd w:id="634"/>
      <w:bookmarkEnd w:id="635"/>
      <w:bookmarkEnd w:id="637"/>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对被投资单位不具有共同控制或重大影响并且在活跃市场中没有报价、公允价值不能可靠计量的长期股权投资，采用成 本法核算；对被投资单位具有共同控制或重大影响的长期股权投资，采用权益法核算；对被投资单位不具有控制、共同控制 或重大影响并且公允价值能够可靠计量的长期股权投资，作为可供出售金融资产或以公允价值计量且其变动计入当期损益的 金融资产核算。</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此外，公司财务报表采用成本法核算能够对被投资单位实施控制的长期股权投资。</w:t>
      </w:r>
    </w:p>
    <w:p>
      <w:pPr>
        <w:pStyle w:val="Style28"/>
        <w:keepNext w:val="0"/>
        <w:keepLines w:val="0"/>
        <w:widowControl w:val="0"/>
        <w:numPr>
          <w:ilvl w:val="0"/>
          <w:numId w:val="47"/>
        </w:numPr>
        <w:shd w:val="clear" w:color="auto" w:fill="auto"/>
        <w:tabs>
          <w:tab w:pos="708" w:val="left"/>
        </w:tabs>
        <w:bidi w:val="0"/>
        <w:spacing w:before="0" w:after="0" w:line="468" w:lineRule="exact"/>
        <w:ind w:left="0" w:right="0"/>
        <w:jc w:val="both"/>
      </w:pPr>
      <w:bookmarkStart w:id="638" w:name="bookmark638"/>
      <w:bookmarkEnd w:id="638"/>
      <w:r>
        <w:rPr>
          <w:color w:val="000000"/>
          <w:spacing w:val="0"/>
          <w:w w:val="100"/>
          <w:position w:val="0"/>
        </w:rPr>
        <w:t>成本法核算的长期股权投资</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采用成本法核算时，长期股权投资按初始投资成本计价，除取得投资时实际支付的价款或者对价中包含的已宣告但尚未 发放的现金股利或者利润外，当期投资收益按照享有被投资单位宣告发放的现金股利或利润确认。</w:t>
      </w:r>
    </w:p>
    <w:p>
      <w:pPr>
        <w:pStyle w:val="Style28"/>
        <w:keepNext w:val="0"/>
        <w:keepLines w:val="0"/>
        <w:widowControl w:val="0"/>
        <w:numPr>
          <w:ilvl w:val="0"/>
          <w:numId w:val="47"/>
        </w:numPr>
        <w:shd w:val="clear" w:color="auto" w:fill="auto"/>
        <w:tabs>
          <w:tab w:pos="708" w:val="left"/>
        </w:tabs>
        <w:bidi w:val="0"/>
        <w:spacing w:before="0" w:after="0" w:line="468" w:lineRule="exact"/>
        <w:ind w:left="0" w:right="0"/>
        <w:jc w:val="both"/>
      </w:pPr>
      <w:bookmarkStart w:id="639" w:name="bookmark639"/>
      <w:bookmarkEnd w:id="639"/>
      <w:r>
        <w:rPr>
          <w:color w:val="000000"/>
          <w:spacing w:val="0"/>
          <w:w w:val="100"/>
          <w:position w:val="0"/>
        </w:rPr>
        <w:t>权益法核算的长期股权投资</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采用权益法核算时，当期投资损益为应享有或应分担的被投资单位当年实现的净损益的份额。在确认应享有被投资单位 净损益的份额时，以取得投资时被投资单位各项可辨认资产等的公允价值为基础，并按照本公司的会计政策及会计期间，对 被投资单位的净利润进行调整后确认。对于本公司与联营企业及合营之间发生的未实现内部交易损益，按照持股比例计算属 于本公司的部分予以抵销，在此基础上确认投资损益。但本公司与被投资单位发生的未实现内部交易损失，按照《企业会计 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资产减值》等规定属于所转让资产减值损失的，不予以抵销。对被投资单位的其他综合收益，相应调整长期 股权投资的账面价值确认为其他综合收益并计入资本公积。</w:t>
      </w:r>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8"/>
        <w:keepNext w:val="0"/>
        <w:keepLines w:val="0"/>
        <w:widowControl w:val="0"/>
        <w:numPr>
          <w:ilvl w:val="0"/>
          <w:numId w:val="47"/>
        </w:numPr>
        <w:shd w:val="clear" w:color="auto" w:fill="auto"/>
        <w:tabs>
          <w:tab w:pos="708" w:val="left"/>
        </w:tabs>
        <w:bidi w:val="0"/>
        <w:spacing w:before="0" w:after="0" w:line="468" w:lineRule="exact"/>
        <w:ind w:left="0" w:right="0"/>
        <w:jc w:val="both"/>
      </w:pPr>
      <w:bookmarkStart w:id="640" w:name="bookmark640"/>
      <w:bookmarkEnd w:id="640"/>
      <w:r>
        <w:rPr>
          <w:color w:val="000000"/>
          <w:spacing w:val="0"/>
          <w:w w:val="100"/>
          <w:position w:val="0"/>
        </w:rPr>
        <w:t>收购少数股权</w:t>
      </w:r>
    </w:p>
    <w:p>
      <w:pPr>
        <w:pStyle w:val="Style28"/>
        <w:keepNext w:val="0"/>
        <w:keepLines w:val="0"/>
        <w:widowControl w:val="0"/>
        <w:shd w:val="clear" w:color="auto" w:fill="auto"/>
        <w:bidi w:val="0"/>
        <w:spacing w:before="0" w:after="240" w:line="468"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8"/>
        <w:keepNext w:val="0"/>
        <w:keepLines w:val="0"/>
        <w:widowControl w:val="0"/>
        <w:numPr>
          <w:ilvl w:val="0"/>
          <w:numId w:val="47"/>
        </w:numPr>
        <w:shd w:val="clear" w:color="auto" w:fill="auto"/>
        <w:bidi w:val="0"/>
        <w:spacing w:before="0" w:after="0" w:line="240" w:lineRule="auto"/>
        <w:ind w:left="0" w:right="0"/>
        <w:jc w:val="both"/>
      </w:pPr>
      <w:bookmarkStart w:id="641" w:name="bookmark641"/>
      <w:bookmarkEnd w:id="641"/>
      <w:r>
        <w:rPr>
          <w:color w:val="000000"/>
          <w:spacing w:val="0"/>
          <w:w w:val="100"/>
          <w:position w:val="0"/>
        </w:rPr>
        <w:t>处置长期股权投资</w:t>
      </w:r>
    </w:p>
    <w:p>
      <w:pPr>
        <w:pStyle w:val="Style28"/>
        <w:keepNext w:val="0"/>
        <w:keepLines w:val="0"/>
        <w:widowControl w:val="0"/>
        <w:shd w:val="clear" w:color="auto" w:fill="auto"/>
        <w:bidi w:val="0"/>
        <w:spacing w:before="0" w:after="0" w:line="461"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“合并财务报表编制的方法”中所述的相关会计政策处理。</w:t>
      </w:r>
    </w:p>
    <w:p>
      <w:pPr>
        <w:pStyle w:val="Style28"/>
        <w:keepNext w:val="0"/>
        <w:keepLines w:val="0"/>
        <w:widowControl w:val="0"/>
        <w:shd w:val="clear" w:color="auto" w:fill="auto"/>
        <w:bidi w:val="0"/>
        <w:spacing w:before="0" w:after="440" w:line="467" w:lineRule="exact"/>
        <w:ind w:left="0" w:right="0"/>
        <w:jc w:val="both"/>
      </w:pPr>
      <w:r>
        <w:rPr>
          <w:color w:val="000000"/>
          <w:spacing w:val="0"/>
          <w:w w:val="100"/>
          <w:position w:val="0"/>
        </w:rPr>
        <w:t>其他情形下的长期股权投资处置，对于处置的股权，其账面价值与实际取得价款的差额，计入当期损益；采用权益法核 算的长期股权投资，在处置时将原计入股东权益的其他综合收益部分按相应的比例转入当期损益。对于剩余股权，按其账面 价值确认为长期股权投资或其他相关金融资产，并按前述长期股权投资或金融资产的会计政策进行后续计量。涉及对剩余股 权由成本法核算转为权益法核算的，按相关规定进行追溯调整。</w:t>
      </w:r>
    </w:p>
    <w:p>
      <w:pPr>
        <w:pStyle w:val="Style33"/>
        <w:keepNext/>
        <w:keepLines/>
        <w:widowControl w:val="0"/>
        <w:shd w:val="clear" w:color="auto" w:fill="auto"/>
        <w:tabs>
          <w:tab w:pos="516" w:val="left"/>
        </w:tabs>
        <w:bidi w:val="0"/>
        <w:spacing w:before="0" w:after="20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42"/>
      <w:bookmarkEnd w:id="643"/>
      <w:bookmarkEnd w:id="645"/>
    </w:p>
    <w:p>
      <w:pPr>
        <w:pStyle w:val="Style28"/>
        <w:keepNext w:val="0"/>
        <w:keepLines w:val="0"/>
        <w:widowControl w:val="0"/>
        <w:shd w:val="clear" w:color="auto" w:fill="auto"/>
        <w:bidi w:val="0"/>
        <w:spacing w:before="0" w:after="440" w:line="468" w:lineRule="exact"/>
        <w:ind w:left="0" w:right="0"/>
        <w:jc w:val="left"/>
      </w:pPr>
      <w:r>
        <w:rPr>
          <w:color w:val="000000"/>
          <w:spacing w:val="0"/>
          <w:w w:val="100"/>
          <w:position w:val="0"/>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定。在确定能否对被投资单位实施控制或施加重大影响时，已考虑投资企业和其他方持有的被投资单位当期可转换公司债券、 当期可执行认股权证等潜在表决权因素。</w:t>
      </w:r>
    </w:p>
    <w:p>
      <w:pPr>
        <w:pStyle w:val="Style33"/>
        <w:keepNext/>
        <w:keepLines/>
        <w:widowControl w:val="0"/>
        <w:shd w:val="clear" w:color="auto" w:fill="auto"/>
        <w:tabs>
          <w:tab w:pos="516" w:val="left"/>
        </w:tabs>
        <w:bidi w:val="0"/>
        <w:spacing w:before="0" w:after="20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46"/>
      <w:bookmarkEnd w:id="647"/>
      <w:bookmarkEnd w:id="649"/>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本公司在每一个资产负债表日检查长期股权投资是否存在可能发生减值的迹象。如果该资产存在减值迹象，则估计其可 收回金额。如果资产的可收回金额低于其账面价值，按其差额计提资产减值准备，并计入当期损益。</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长期股权投资的减值损失一经确认，在以后会计期间不予转回。</w:t>
      </w:r>
    </w:p>
    <w:p>
      <w:pPr>
        <w:pStyle w:val="Style33"/>
        <w:keepNext/>
        <w:keepLines/>
        <w:widowControl w:val="0"/>
        <w:shd w:val="clear" w:color="auto" w:fill="auto"/>
        <w:bidi w:val="0"/>
        <w:spacing w:before="0" w:after="20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650"/>
      <w:bookmarkEnd w:id="651"/>
      <w:bookmarkEnd w:id="653"/>
    </w:p>
    <w:p>
      <w:pPr>
        <w:pStyle w:val="Style28"/>
        <w:keepNext w:val="0"/>
        <w:keepLines w:val="0"/>
        <w:widowControl w:val="0"/>
        <w:shd w:val="clear" w:color="auto" w:fill="auto"/>
        <w:tabs>
          <w:tab w:pos="820" w:val="left"/>
        </w:tabs>
        <w:bidi w:val="0"/>
        <w:spacing w:before="0" w:after="0" w:line="466" w:lineRule="exact"/>
        <w:ind w:left="0" w:right="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投资性房地产，是指为赚取租金或资本增值，或两者兼有而持有的房地产。</w:t>
      </w:r>
    </w:p>
    <w:p>
      <w:pPr>
        <w:pStyle w:val="Style28"/>
        <w:keepNext w:val="0"/>
        <w:keepLines w:val="0"/>
        <w:widowControl w:val="0"/>
        <w:shd w:val="clear" w:color="auto" w:fill="auto"/>
        <w:tabs>
          <w:tab w:pos="825" w:val="left"/>
        </w:tabs>
        <w:bidi w:val="0"/>
        <w:spacing w:before="0" w:after="0" w:line="466" w:lineRule="exact"/>
        <w:ind w:left="0" w:right="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2</w:t>
      </w:r>
      <w:r>
        <w:rPr>
          <w:color w:val="000000"/>
          <w:spacing w:val="0"/>
          <w:w w:val="100"/>
          <w:position w:val="0"/>
        </w:rPr>
        <w:t>）</w:t>
        <w:tab/>
        <w:t>投资性房地产按照成本进行初始计量：</w:t>
      </w:r>
    </w:p>
    <w:p>
      <w:pPr>
        <w:pStyle w:val="Style28"/>
        <w:keepNext w:val="0"/>
        <w:keepLines w:val="0"/>
        <w:widowControl w:val="0"/>
        <w:numPr>
          <w:ilvl w:val="0"/>
          <w:numId w:val="49"/>
        </w:numPr>
        <w:shd w:val="clear" w:color="auto" w:fill="auto"/>
        <w:tabs>
          <w:tab w:pos="753" w:val="left"/>
        </w:tabs>
        <w:bidi w:val="0"/>
        <w:spacing w:before="0" w:after="0" w:line="466" w:lineRule="exact"/>
        <w:ind w:left="0" w:right="0"/>
        <w:jc w:val="both"/>
      </w:pPr>
      <w:bookmarkStart w:id="656" w:name="bookmark656"/>
      <w:bookmarkEnd w:id="656"/>
      <w:r>
        <w:rPr>
          <w:color w:val="000000"/>
          <w:spacing w:val="0"/>
          <w:w w:val="100"/>
          <w:position w:val="0"/>
        </w:rPr>
        <w:t>外购投资性房地产的成本，包括购买价款、相关税费和可直接归属于该资产的其他支出。</w:t>
      </w:r>
    </w:p>
    <w:p>
      <w:pPr>
        <w:pStyle w:val="Style28"/>
        <w:keepNext w:val="0"/>
        <w:keepLines w:val="0"/>
        <w:widowControl w:val="0"/>
        <w:numPr>
          <w:ilvl w:val="0"/>
          <w:numId w:val="49"/>
        </w:numPr>
        <w:shd w:val="clear" w:color="auto" w:fill="auto"/>
        <w:tabs>
          <w:tab w:pos="753" w:val="left"/>
        </w:tabs>
        <w:bidi w:val="0"/>
        <w:spacing w:before="0" w:after="0" w:line="466" w:lineRule="exact"/>
        <w:ind w:left="0" w:right="0"/>
        <w:jc w:val="both"/>
      </w:pPr>
      <w:bookmarkStart w:id="657" w:name="bookmark657"/>
      <w:bookmarkEnd w:id="657"/>
      <w:r>
        <w:rPr>
          <w:color w:val="000000"/>
          <w:spacing w:val="0"/>
          <w:w w:val="100"/>
          <w:position w:val="0"/>
        </w:rPr>
        <w:t>自行建造投资性房地产的成本，由建造该项资产达到预定可使用状态前所发生的必要支出构成。</w:t>
      </w:r>
    </w:p>
    <w:p>
      <w:pPr>
        <w:pStyle w:val="Style28"/>
        <w:keepNext w:val="0"/>
        <w:keepLines w:val="0"/>
        <w:widowControl w:val="0"/>
        <w:numPr>
          <w:ilvl w:val="0"/>
          <w:numId w:val="49"/>
        </w:numPr>
        <w:shd w:val="clear" w:color="auto" w:fill="auto"/>
        <w:tabs>
          <w:tab w:pos="753" w:val="left"/>
        </w:tabs>
        <w:bidi w:val="0"/>
        <w:spacing w:before="0" w:after="0" w:line="466" w:lineRule="exact"/>
        <w:ind w:left="0" w:right="0"/>
        <w:jc w:val="both"/>
      </w:pPr>
      <w:bookmarkStart w:id="658" w:name="bookmark658"/>
      <w:bookmarkEnd w:id="658"/>
      <w:r>
        <w:rPr>
          <w:color w:val="000000"/>
          <w:spacing w:val="0"/>
          <w:w w:val="100"/>
          <w:position w:val="0"/>
        </w:rPr>
        <w:t>以其他方式取得的投资性房地产的成本，按照相关会计准则的规定确定。</w:t>
      </w:r>
    </w:p>
    <w:p>
      <w:pPr>
        <w:pStyle w:val="Style28"/>
        <w:keepNext w:val="0"/>
        <w:keepLines w:val="0"/>
        <w:widowControl w:val="0"/>
        <w:shd w:val="clear" w:color="auto" w:fill="auto"/>
        <w:tabs>
          <w:tab w:pos="825" w:val="left"/>
        </w:tabs>
        <w:bidi w:val="0"/>
        <w:spacing w:before="0" w:after="0" w:line="466" w:lineRule="exact"/>
        <w:ind w:left="0" w:right="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3</w:t>
      </w:r>
      <w:r>
        <w:rPr>
          <w:color w:val="000000"/>
          <w:spacing w:val="0"/>
          <w:w w:val="100"/>
          <w:position w:val="0"/>
        </w:rPr>
        <w:t>）</w:t>
        <w:tab/>
        <w:t>后续计量</w:t>
      </w:r>
    </w:p>
    <w:p>
      <w:pPr>
        <w:pStyle w:val="Style28"/>
        <w:keepNext w:val="0"/>
        <w:keepLines w:val="0"/>
        <w:widowControl w:val="0"/>
        <w:shd w:val="clear" w:color="auto" w:fill="auto"/>
        <w:bidi w:val="0"/>
        <w:spacing w:before="0" w:after="260" w:line="466" w:lineRule="exact"/>
        <w:ind w:left="0" w:right="0"/>
        <w:jc w:val="both"/>
      </w:pPr>
      <w:r>
        <w:rPr>
          <w:color w:val="000000"/>
          <w:spacing w:val="0"/>
          <w:w w:val="100"/>
          <w:position w:val="0"/>
        </w:rPr>
        <w:t>与投资性房地产有关的后续支出，如与该投资性房地产有关的经济利益很可能流入企业且该投资性房地产的成本能够可 靠地计量，则计入投资性房地产成本；否则在发生时计入当期损益。</w:t>
      </w:r>
    </w:p>
    <w:p>
      <w:pPr>
        <w:pStyle w:val="Style28"/>
        <w:keepNext w:val="0"/>
        <w:keepLines w:val="0"/>
        <w:widowControl w:val="0"/>
        <w:shd w:val="clear" w:color="auto" w:fill="auto"/>
        <w:bidi w:val="0"/>
        <w:spacing w:before="0" w:after="200" w:line="240" w:lineRule="auto"/>
        <w:ind w:left="0" w:right="0"/>
        <w:jc w:val="both"/>
      </w:pPr>
      <w:r>
        <w:rPr>
          <w:color w:val="000000"/>
          <w:spacing w:val="0"/>
          <w:w w:val="100"/>
          <w:position w:val="0"/>
        </w:rPr>
        <w:t>公司在资产负债表日采用成本模式对投资性房地产进行后续计量。</w:t>
      </w:r>
    </w:p>
    <w:p>
      <w:pPr>
        <w:pStyle w:val="Style28"/>
        <w:keepNext w:val="0"/>
        <w:keepLines w:val="0"/>
        <w:widowControl w:val="0"/>
        <w:shd w:val="clear" w:color="auto" w:fill="auto"/>
        <w:bidi w:val="0"/>
        <w:spacing w:before="0" w:after="0" w:line="469" w:lineRule="exact"/>
        <w:ind w:left="0" w:right="0" w:firstLine="36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4</w:t>
      </w:r>
      <w:r>
        <w:rPr>
          <w:color w:val="000000"/>
          <w:spacing w:val="0"/>
          <w:w w:val="100"/>
          <w:position w:val="0"/>
        </w:rPr>
        <w:t>）折旧及减值准备</w:t>
      </w:r>
    </w:p>
    <w:p>
      <w:pPr>
        <w:pStyle w:val="Style28"/>
        <w:keepNext w:val="0"/>
        <w:keepLines w:val="0"/>
        <w:widowControl w:val="0"/>
        <w:shd w:val="clear" w:color="auto" w:fill="auto"/>
        <w:bidi w:val="0"/>
        <w:spacing w:before="0" w:after="440" w:line="469" w:lineRule="exact"/>
        <w:ind w:left="0" w:right="0" w:firstLine="360"/>
        <w:jc w:val="both"/>
      </w:pPr>
      <w:r>
        <w:rPr>
          <w:color w:val="000000"/>
          <w:spacing w:val="0"/>
          <w:w w:val="100"/>
          <w:position w:val="0"/>
        </w:rPr>
        <w:t>比照固定资产的折旧和减值准备执行。</w:t>
      </w:r>
    </w:p>
    <w:p>
      <w:pPr>
        <w:pStyle w:val="Style33"/>
        <w:keepNext/>
        <w:keepLines/>
        <w:widowControl w:val="0"/>
        <w:shd w:val="clear" w:color="auto" w:fill="auto"/>
        <w:bidi w:val="0"/>
        <w:spacing w:before="0" w:after="32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661"/>
      <w:bookmarkEnd w:id="662"/>
      <w:bookmarkEnd w:id="664"/>
    </w:p>
    <w:p>
      <w:pPr>
        <w:pStyle w:val="Style33"/>
        <w:keepNext/>
        <w:keepLines/>
        <w:widowControl w:val="0"/>
        <w:shd w:val="clear" w:color="auto" w:fill="auto"/>
        <w:tabs>
          <w:tab w:pos="493" w:val="left"/>
        </w:tabs>
        <w:bidi w:val="0"/>
        <w:spacing w:before="0" w:after="180" w:line="240" w:lineRule="auto"/>
        <w:ind w:left="0" w:right="0" w:firstLine="0"/>
        <w:jc w:val="left"/>
      </w:pPr>
      <w:bookmarkStart w:id="661" w:name="bookmark661"/>
      <w:bookmarkStart w:id="662" w:name="bookmark662"/>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61"/>
      <w:bookmarkEnd w:id="662"/>
      <w:bookmarkEnd w:id="666"/>
    </w:p>
    <w:p>
      <w:pPr>
        <w:pStyle w:val="Style28"/>
        <w:keepNext w:val="0"/>
        <w:keepLines w:val="0"/>
        <w:widowControl w:val="0"/>
        <w:shd w:val="clear" w:color="auto" w:fill="auto"/>
        <w:bidi w:val="0"/>
        <w:spacing w:before="0" w:after="440" w:line="470" w:lineRule="exact"/>
        <w:ind w:left="0" w:right="0" w:firstLine="360"/>
        <w:jc w:val="both"/>
      </w:pPr>
      <w:r>
        <w:rPr>
          <w:color w:val="000000"/>
          <w:spacing w:val="0"/>
          <w:w w:val="100"/>
          <w:position w:val="0"/>
        </w:rPr>
        <w:t>固定资产指为生产商品、提供劳务、出租或经营管理而持有的，使用寿命超过一个会计年度的有形资产。固定资产以实 际成本进行初始计量。当与该固定资产有关的经济利益很可能流入企业，且该固定资产资产的成本能够可靠地计量时，确认 固定资产。</w:t>
      </w:r>
    </w:p>
    <w:p>
      <w:pPr>
        <w:pStyle w:val="Style33"/>
        <w:keepNext/>
        <w:keepLines/>
        <w:widowControl w:val="0"/>
        <w:shd w:val="clear" w:color="auto" w:fill="auto"/>
        <w:tabs>
          <w:tab w:pos="493" w:val="left"/>
        </w:tabs>
        <w:bidi w:val="0"/>
        <w:spacing w:before="0" w:after="180" w:line="240" w:lineRule="auto"/>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67"/>
      <w:bookmarkEnd w:id="668"/>
      <w:bookmarkEnd w:id="670"/>
    </w:p>
    <w:p>
      <w:pPr>
        <w:pStyle w:val="Style28"/>
        <w:keepNext w:val="0"/>
        <w:keepLines w:val="0"/>
        <w:widowControl w:val="0"/>
        <w:shd w:val="clear" w:color="auto" w:fill="auto"/>
        <w:bidi w:val="0"/>
        <w:spacing w:before="0" w:after="440" w:line="467" w:lineRule="exact"/>
        <w:ind w:left="0" w:right="0" w:firstLine="360"/>
        <w:jc w:val="both"/>
      </w:pPr>
      <w:r>
        <w:rPr>
          <w:color w:val="000000"/>
          <w:spacing w:val="0"/>
          <w:w w:val="100"/>
          <w:position w:val="0"/>
        </w:rPr>
        <w:t>如果与某项租入固定资产有关的全部风险和报酬实质上已经转移，本公司认定为融资租赁。融资租入固定资产需按租赁 开始日租赁资产的公允价值与最低租赁付款额现值两者中的较低者，加上可直接归属于租赁项目的初始直接费用，作为租入 资产的入账价值，将最低租赁付款额作为长期应付款的入账价值，其差额作为未确认融资费用。未确认融资费用采用实际利 率法在租赁期内分摊。融资租入固定资产采用与自有固定资产相一致的折旧政策计提租赁资产折旧。</w:t>
      </w:r>
    </w:p>
    <w:p>
      <w:pPr>
        <w:pStyle w:val="Style33"/>
        <w:keepNext/>
        <w:keepLines/>
        <w:widowControl w:val="0"/>
        <w:shd w:val="clear" w:color="auto" w:fill="auto"/>
        <w:tabs>
          <w:tab w:pos="493" w:val="left"/>
        </w:tabs>
        <w:bidi w:val="0"/>
        <w:spacing w:before="0" w:after="440" w:line="240" w:lineRule="auto"/>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71"/>
      <w:bookmarkEnd w:id="672"/>
      <w:bookmarkEnd w:id="674"/>
    </w:p>
    <w:p>
      <w:pPr>
        <w:pStyle w:val="Style39"/>
        <w:keepNext w:val="0"/>
        <w:keepLines w:val="0"/>
        <w:widowControl w:val="0"/>
        <w:shd w:val="clear" w:color="auto" w:fill="auto"/>
        <w:bidi w:val="0"/>
        <w:spacing w:before="0" w:after="0" w:line="240" w:lineRule="auto"/>
        <w:ind w:left="360" w:right="0" w:firstLine="0"/>
        <w:jc w:val="left"/>
      </w:pPr>
      <w:r>
        <w:rPr>
          <w:color w:val="000000"/>
          <w:spacing w:val="0"/>
          <w:w w:val="100"/>
          <w:position w:val="0"/>
        </w:rPr>
        <w:t>固定资产折旧采用年限平均法分类计提，根据固定资产类别、预计使用寿命和预计净残值率确定折旧率。</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r>
    </w:tbl>
    <w:p>
      <w:pPr>
        <w:widowControl w:val="0"/>
        <w:spacing w:after="319" w:line="1" w:lineRule="exact"/>
      </w:pPr>
    </w:p>
    <w:p>
      <w:pPr>
        <w:pStyle w:val="Style33"/>
        <w:keepNext/>
        <w:keepLines/>
        <w:widowControl w:val="0"/>
        <w:shd w:val="clear" w:color="auto" w:fill="auto"/>
        <w:bidi w:val="0"/>
        <w:spacing w:before="0" w:after="18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rPr>
        <w:t>（</w:t>
      </w:r>
      <w:bookmarkEnd w:id="677"/>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75"/>
      <w:bookmarkEnd w:id="676"/>
      <w:bookmarkEnd w:id="678"/>
    </w:p>
    <w:p>
      <w:pPr>
        <w:pStyle w:val="Style28"/>
        <w:keepNext w:val="0"/>
        <w:keepLines w:val="0"/>
        <w:widowControl w:val="0"/>
        <w:shd w:val="clear" w:color="auto" w:fill="auto"/>
        <w:bidi w:val="0"/>
        <w:spacing w:before="0" w:after="320" w:line="469" w:lineRule="exact"/>
        <w:ind w:left="0" w:right="0" w:firstLine="360"/>
        <w:jc w:val="both"/>
      </w:pPr>
      <w:r>
        <w:rPr>
          <w:color w:val="000000"/>
          <w:spacing w:val="0"/>
          <w:w w:val="100"/>
          <w:position w:val="0"/>
        </w:rPr>
        <w:t>资产负债表日判断固定资产是否存在可能发生减值的迹象。如果存在资产市价持续下跌，或技术陈旧、损坏、长期闲置 等减值迹象的，则估计其可收回金额。可收回金额的计量结果表明，固定资产的可收回金额低于其账面价值的，将固定资产 的账面价值减记至可收回金额，减记的金额确认为资产减值损失，计入当期损益，同时计提相应的固定资产减值准备。固定 资产减值损失一经确认，在以后会计期间不再转回。</w:t>
      </w:r>
    </w:p>
    <w:p>
      <w:pPr>
        <w:pStyle w:val="Style33"/>
        <w:keepNext/>
        <w:keepLines/>
        <w:widowControl w:val="0"/>
        <w:shd w:val="clear" w:color="auto" w:fill="auto"/>
        <w:bidi w:val="0"/>
        <w:spacing w:before="0" w:after="20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rPr>
        <w:t>（</w:t>
      </w:r>
      <w:bookmarkEnd w:id="681"/>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679"/>
      <w:bookmarkEnd w:id="680"/>
      <w:bookmarkEnd w:id="682"/>
    </w:p>
    <w:p>
      <w:pPr>
        <w:pStyle w:val="Style28"/>
        <w:keepNext w:val="0"/>
        <w:keepLines w:val="0"/>
        <w:widowControl w:val="0"/>
        <w:numPr>
          <w:ilvl w:val="0"/>
          <w:numId w:val="51"/>
        </w:numPr>
        <w:shd w:val="clear" w:color="auto" w:fill="auto"/>
        <w:tabs>
          <w:tab w:pos="728" w:val="left"/>
        </w:tabs>
        <w:bidi w:val="0"/>
        <w:spacing w:before="0" w:after="0" w:line="466" w:lineRule="exact"/>
        <w:ind w:left="0" w:right="0" w:firstLine="360"/>
        <w:jc w:val="both"/>
      </w:pPr>
      <w:bookmarkStart w:id="683" w:name="bookmark683"/>
      <w:bookmarkEnd w:id="683"/>
      <w:r>
        <w:rPr>
          <w:color w:val="000000"/>
          <w:spacing w:val="0"/>
          <w:w w:val="100"/>
          <w:position w:val="0"/>
        </w:rPr>
        <w:t>每年年度终了，本公司对固定资产的使用寿命、预计净残值和折旧方法进行复核。使用寿命预计数与原先估计数有差 异的，调整固定资产使用寿命；预计净残值预计数与原先估计数有差异的，调整预计净残值。</w:t>
      </w:r>
    </w:p>
    <w:p>
      <w:pPr>
        <w:pStyle w:val="Style28"/>
        <w:keepNext w:val="0"/>
        <w:keepLines w:val="0"/>
        <w:widowControl w:val="0"/>
        <w:numPr>
          <w:ilvl w:val="0"/>
          <w:numId w:val="51"/>
        </w:numPr>
        <w:shd w:val="clear" w:color="auto" w:fill="auto"/>
        <w:tabs>
          <w:tab w:pos="728" w:val="left"/>
        </w:tabs>
        <w:bidi w:val="0"/>
        <w:spacing w:before="0" w:after="0" w:line="466" w:lineRule="exact"/>
        <w:ind w:left="0" w:right="0" w:firstLine="360"/>
        <w:jc w:val="both"/>
      </w:pPr>
      <w:bookmarkStart w:id="684" w:name="bookmark684"/>
      <w:bookmarkEnd w:id="684"/>
      <w:r>
        <w:rPr>
          <w:color w:val="000000"/>
          <w:spacing w:val="0"/>
          <w:w w:val="100"/>
          <w:position w:val="0"/>
        </w:rPr>
        <w:t>固定资产发生的修理费用，符合固定资产确认条件的计入固定资产成本，不符合规定的固定资产确认条件的在发生时 直接计入当期成本、费用。</w:t>
      </w:r>
    </w:p>
    <w:p>
      <w:pPr>
        <w:pStyle w:val="Style28"/>
        <w:keepNext w:val="0"/>
        <w:keepLines w:val="0"/>
        <w:widowControl w:val="0"/>
        <w:numPr>
          <w:ilvl w:val="0"/>
          <w:numId w:val="51"/>
        </w:numPr>
        <w:shd w:val="clear" w:color="auto" w:fill="auto"/>
        <w:tabs>
          <w:tab w:pos="728" w:val="left"/>
        </w:tabs>
        <w:bidi w:val="0"/>
        <w:spacing w:before="0" w:after="440" w:line="466" w:lineRule="exact"/>
        <w:ind w:left="0" w:right="0" w:firstLine="360"/>
        <w:jc w:val="both"/>
      </w:pPr>
      <w:bookmarkStart w:id="685" w:name="bookmark685"/>
      <w:bookmarkEnd w:id="685"/>
      <w:r>
        <w:rPr>
          <w:color w:val="000000"/>
          <w:spacing w:val="0"/>
          <w:w w:val="100"/>
          <w:position w:val="0"/>
        </w:rPr>
        <w:t>符合资本化条件的固定资产装修费用：在两次装修期间与固定资产尚可使用年限两者中较短的期间内，采用年限平均 法单独计提折旧。</w:t>
      </w:r>
    </w:p>
    <w:p>
      <w:pPr>
        <w:pStyle w:val="Style33"/>
        <w:keepNext/>
        <w:keepLines/>
        <w:widowControl w:val="0"/>
        <w:shd w:val="clear" w:color="auto" w:fill="auto"/>
        <w:bidi w:val="0"/>
        <w:spacing w:before="0" w:after="34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686"/>
      <w:bookmarkEnd w:id="687"/>
      <w:bookmarkEnd w:id="689"/>
    </w:p>
    <w:p>
      <w:pPr>
        <w:pStyle w:val="Style33"/>
        <w:keepNext/>
        <w:keepLines/>
        <w:widowControl w:val="0"/>
        <w:shd w:val="clear" w:color="auto" w:fill="auto"/>
        <w:tabs>
          <w:tab w:pos="509" w:val="left"/>
        </w:tabs>
        <w:bidi w:val="0"/>
        <w:spacing w:before="0" w:after="200" w:line="240" w:lineRule="auto"/>
        <w:ind w:left="0" w:right="0" w:firstLine="0"/>
        <w:jc w:val="left"/>
      </w:pPr>
      <w:bookmarkStart w:id="686" w:name="bookmark686"/>
      <w:bookmarkStart w:id="687" w:name="bookmark687"/>
      <w:bookmarkStart w:id="690" w:name="bookmark690"/>
      <w:bookmarkStart w:id="691" w:name="bookmark691"/>
      <w:r>
        <w:rPr>
          <w:color w:val="000000"/>
          <w:spacing w:val="0"/>
          <w:w w:val="100"/>
          <w:position w:val="0"/>
        </w:rPr>
        <w:t>（</w:t>
      </w:r>
      <w:bookmarkEnd w:id="690"/>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86"/>
      <w:bookmarkEnd w:id="687"/>
      <w:bookmarkEnd w:id="691"/>
    </w:p>
    <w:p>
      <w:pPr>
        <w:pStyle w:val="Style28"/>
        <w:keepNext w:val="0"/>
        <w:keepLines w:val="0"/>
        <w:widowControl w:val="0"/>
        <w:shd w:val="clear" w:color="auto" w:fill="auto"/>
        <w:bidi w:val="0"/>
        <w:spacing w:before="0" w:after="440" w:line="468" w:lineRule="exact"/>
        <w:ind w:left="0" w:right="0" w:firstLine="360"/>
        <w:jc w:val="both"/>
      </w:pPr>
      <w:r>
        <w:rPr>
          <w:color w:val="000000"/>
          <w:spacing w:val="0"/>
          <w:w w:val="100"/>
          <w:position w:val="0"/>
        </w:rPr>
        <w:t>本公司在建工程分为自营方式建造和出包方式建造两种。</w:t>
      </w:r>
    </w:p>
    <w:p>
      <w:pPr>
        <w:pStyle w:val="Style33"/>
        <w:keepNext/>
        <w:keepLines/>
        <w:widowControl w:val="0"/>
        <w:shd w:val="clear" w:color="auto" w:fill="auto"/>
        <w:tabs>
          <w:tab w:pos="509" w:val="left"/>
        </w:tabs>
        <w:bidi w:val="0"/>
        <w:spacing w:before="0" w:after="20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92"/>
      <w:bookmarkEnd w:id="693"/>
      <w:bookmarkEnd w:id="695"/>
    </w:p>
    <w:p>
      <w:pPr>
        <w:pStyle w:val="Style28"/>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本公司在建工程在工程完工达到预定可使用状态时，结转固定资产。预定可使用状态的判断标准，应符合下列情况之一:</w:t>
      </w:r>
    </w:p>
    <w:p>
      <w:pPr>
        <w:pStyle w:val="Style28"/>
        <w:keepNext w:val="0"/>
        <w:keepLines w:val="0"/>
        <w:widowControl w:val="0"/>
        <w:numPr>
          <w:ilvl w:val="0"/>
          <w:numId w:val="53"/>
        </w:numPr>
        <w:shd w:val="clear" w:color="auto" w:fill="auto"/>
        <w:tabs>
          <w:tab w:pos="733" w:val="left"/>
        </w:tabs>
        <w:bidi w:val="0"/>
        <w:spacing w:before="0" w:after="0" w:line="470" w:lineRule="exact"/>
        <w:ind w:left="0" w:right="0" w:firstLine="360"/>
        <w:jc w:val="both"/>
      </w:pPr>
      <w:bookmarkStart w:id="696" w:name="bookmark696"/>
      <w:bookmarkEnd w:id="696"/>
      <w:r>
        <w:rPr>
          <w:color w:val="000000"/>
          <w:spacing w:val="0"/>
          <w:w w:val="100"/>
          <w:position w:val="0"/>
        </w:rPr>
        <w:t>固定资产的实体建造（包括安装）工作已经全部完成或实质上已经全部完成；</w:t>
      </w:r>
    </w:p>
    <w:p>
      <w:pPr>
        <w:pStyle w:val="Style28"/>
        <w:keepNext w:val="0"/>
        <w:keepLines w:val="0"/>
        <w:widowControl w:val="0"/>
        <w:numPr>
          <w:ilvl w:val="0"/>
          <w:numId w:val="53"/>
        </w:numPr>
        <w:shd w:val="clear" w:color="auto" w:fill="auto"/>
        <w:tabs>
          <w:tab w:pos="723" w:val="left"/>
        </w:tabs>
        <w:bidi w:val="0"/>
        <w:spacing w:before="0" w:after="0" w:line="470" w:lineRule="exact"/>
        <w:ind w:left="0" w:right="0" w:firstLine="360"/>
        <w:jc w:val="both"/>
      </w:pPr>
      <w:bookmarkStart w:id="697" w:name="bookmark697"/>
      <w:bookmarkEnd w:id="697"/>
      <w:r>
        <w:rPr>
          <w:color w:val="000000"/>
          <w:spacing w:val="0"/>
          <w:w w:val="100"/>
          <w:position w:val="0"/>
        </w:rPr>
        <w:t>已经试生产或试运行，并且其结果表明资产能够正常运行或能够稳定地生产出合格产品，或者试运行结果表明其能够 正常运转或营业；</w:t>
      </w:r>
    </w:p>
    <w:p>
      <w:pPr>
        <w:pStyle w:val="Style28"/>
        <w:keepNext w:val="0"/>
        <w:keepLines w:val="0"/>
        <w:widowControl w:val="0"/>
        <w:numPr>
          <w:ilvl w:val="0"/>
          <w:numId w:val="53"/>
        </w:numPr>
        <w:shd w:val="clear" w:color="auto" w:fill="auto"/>
        <w:tabs>
          <w:tab w:pos="733" w:val="left"/>
        </w:tabs>
        <w:bidi w:val="0"/>
        <w:spacing w:before="0" w:after="0" w:line="470" w:lineRule="exact"/>
        <w:ind w:left="0" w:right="0" w:firstLine="360"/>
        <w:jc w:val="both"/>
      </w:pPr>
      <w:bookmarkStart w:id="698" w:name="bookmark698"/>
      <w:bookmarkEnd w:id="698"/>
      <w:r>
        <w:rPr>
          <w:color w:val="000000"/>
          <w:spacing w:val="0"/>
          <w:w w:val="100"/>
          <w:position w:val="0"/>
        </w:rPr>
        <w:t>该项建造的固定资产上的支出金额很少或者几乎不再发生；</w:t>
      </w:r>
    </w:p>
    <w:p>
      <w:pPr>
        <w:pStyle w:val="Style28"/>
        <w:keepNext w:val="0"/>
        <w:keepLines w:val="0"/>
        <w:widowControl w:val="0"/>
        <w:numPr>
          <w:ilvl w:val="0"/>
          <w:numId w:val="53"/>
        </w:numPr>
        <w:shd w:val="clear" w:color="auto" w:fill="auto"/>
        <w:tabs>
          <w:tab w:pos="733" w:val="left"/>
        </w:tabs>
        <w:bidi w:val="0"/>
        <w:spacing w:before="0" w:after="440" w:line="470" w:lineRule="exact"/>
        <w:ind w:left="0" w:right="0" w:firstLine="360"/>
        <w:jc w:val="both"/>
      </w:pPr>
      <w:bookmarkStart w:id="699" w:name="bookmark699"/>
      <w:bookmarkEnd w:id="699"/>
      <w:r>
        <w:rPr>
          <w:color w:val="000000"/>
          <w:spacing w:val="0"/>
          <w:w w:val="100"/>
          <w:position w:val="0"/>
        </w:rPr>
        <w:t>所购建的固定资产已经达到设计或合同要求，或与设计或合同要求基本相符。</w:t>
      </w:r>
    </w:p>
    <w:p>
      <w:pPr>
        <w:pStyle w:val="Style33"/>
        <w:keepNext/>
        <w:keepLines/>
        <w:widowControl w:val="0"/>
        <w:shd w:val="clear" w:color="auto" w:fill="auto"/>
        <w:tabs>
          <w:tab w:pos="509" w:val="left"/>
        </w:tabs>
        <w:bidi w:val="0"/>
        <w:spacing w:before="0" w:after="20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700"/>
      <w:bookmarkEnd w:id="701"/>
      <w:bookmarkEnd w:id="703"/>
    </w:p>
    <w:p>
      <w:pPr>
        <w:pStyle w:val="Style28"/>
        <w:keepNext w:val="0"/>
        <w:keepLines w:val="0"/>
        <w:widowControl w:val="0"/>
        <w:shd w:val="clear" w:color="auto" w:fill="auto"/>
        <w:bidi w:val="0"/>
        <w:spacing w:before="0" w:after="200" w:line="468" w:lineRule="exact"/>
        <w:ind w:left="0" w:right="0" w:firstLine="360"/>
        <w:jc w:val="both"/>
      </w:pPr>
      <w:r>
        <w:rPr>
          <w:color w:val="000000"/>
          <w:spacing w:val="0"/>
          <w:w w:val="100"/>
          <w:position w:val="0"/>
        </w:rPr>
        <w:t>资产负债表日对在建工程进行全面检查，判断在建工程是否存在可能发生减值的迹象。如果存在：（1）在建工程长期 停建并且预计在未来3年内不会重新开工，（2）所建项目在性能上、技术上已经落后并且所带来的经济效益具有很大的不确 定性等减值迹象的，则估计其可收回金额。可收回金额的计量结果表明，在建工程的可收回金额低于其账面价值的，将在建 工程的账面价值减记至可收回金额，减记的金额确认为资产减值损失，计入当期损益，同时计提相应的在建工程减值准备。 在建工程减值损失一经确认，在以后会计期间不再转回。</w:t>
      </w:r>
    </w:p>
    <w:p>
      <w:pPr>
        <w:pStyle w:val="Style33"/>
        <w:keepNext/>
        <w:keepLines/>
        <w:widowControl w:val="0"/>
        <w:shd w:val="clear" w:color="auto" w:fill="auto"/>
        <w:tabs>
          <w:tab w:pos="478" w:val="left"/>
        </w:tabs>
        <w:bidi w:val="0"/>
        <w:spacing w:before="0" w:after="34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1</w:t>
      </w:r>
      <w:bookmarkEnd w:id="706"/>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04"/>
      <w:bookmarkEnd w:id="705"/>
      <w:bookmarkEnd w:id="707"/>
    </w:p>
    <w:p>
      <w:pPr>
        <w:pStyle w:val="Style33"/>
        <w:keepNext/>
        <w:keepLines/>
        <w:widowControl w:val="0"/>
        <w:shd w:val="clear" w:color="auto" w:fill="auto"/>
        <w:tabs>
          <w:tab w:pos="493" w:val="left"/>
        </w:tabs>
        <w:bidi w:val="0"/>
        <w:spacing w:before="0" w:after="200" w:line="240" w:lineRule="auto"/>
        <w:ind w:left="0" w:right="0" w:firstLine="0"/>
        <w:jc w:val="left"/>
      </w:pPr>
      <w:bookmarkStart w:id="704" w:name="bookmark704"/>
      <w:bookmarkStart w:id="705" w:name="bookmark705"/>
      <w:bookmarkStart w:id="708" w:name="bookmark708"/>
      <w:bookmarkStart w:id="709" w:name="bookmark709"/>
      <w:r>
        <w:rPr>
          <w:color w:val="000000"/>
          <w:spacing w:val="0"/>
          <w:w w:val="100"/>
          <w:position w:val="0"/>
        </w:rPr>
        <w:t>（</w:t>
      </w:r>
      <w:bookmarkEnd w:id="70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704"/>
      <w:bookmarkEnd w:id="705"/>
      <w:bookmarkEnd w:id="709"/>
    </w:p>
    <w:p>
      <w:pPr>
        <w:pStyle w:val="Style28"/>
        <w:keepNext w:val="0"/>
        <w:keepLines w:val="0"/>
        <w:widowControl w:val="0"/>
        <w:shd w:val="clear" w:color="auto" w:fill="auto"/>
        <w:bidi w:val="0"/>
        <w:spacing w:before="0" w:after="440" w:line="468"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他借款费用，在发生时根据其发生额确认为费用，计入当期损益。符合资本化条件的资产，是指需要经过相当长时间的购建 或者生产活动才能达到预定可使用或者可销售状态的固定资产、投资性房地产和存货等资产。</w:t>
      </w:r>
    </w:p>
    <w:p>
      <w:pPr>
        <w:pStyle w:val="Style33"/>
        <w:keepNext/>
        <w:keepLines/>
        <w:widowControl w:val="0"/>
        <w:shd w:val="clear" w:color="auto" w:fill="auto"/>
        <w:tabs>
          <w:tab w:pos="493" w:val="left"/>
        </w:tabs>
        <w:bidi w:val="0"/>
        <w:spacing w:before="0" w:after="20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710"/>
      <w:bookmarkEnd w:id="711"/>
      <w:bookmarkEnd w:id="713"/>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33"/>
        <w:keepNext/>
        <w:keepLines/>
        <w:widowControl w:val="0"/>
        <w:shd w:val="clear" w:color="auto" w:fill="auto"/>
        <w:tabs>
          <w:tab w:pos="493" w:val="left"/>
        </w:tabs>
        <w:bidi w:val="0"/>
        <w:spacing w:before="0" w:after="20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714"/>
      <w:bookmarkEnd w:id="715"/>
      <w:bookmarkEnd w:id="717"/>
    </w:p>
    <w:p>
      <w:pPr>
        <w:pStyle w:val="Style28"/>
        <w:keepNext w:val="0"/>
        <w:keepLines w:val="0"/>
        <w:widowControl w:val="0"/>
        <w:shd w:val="clear" w:color="auto" w:fill="auto"/>
        <w:bidi w:val="0"/>
        <w:spacing w:before="0" w:after="440" w:line="485" w:lineRule="exact"/>
        <w:ind w:left="0" w:right="0"/>
        <w:jc w:val="both"/>
      </w:pPr>
      <w:r>
        <w:rPr>
          <w:color w:val="000000"/>
          <w:spacing w:val="0"/>
          <w:w w:val="100"/>
          <w:position w:val="0"/>
        </w:rPr>
        <w:t>如果资产的购建活动发生非正常中断，并且中断时间连续超过3个月，暂停借款费用的资本化，直至资产的购建活动重 新开始。</w:t>
      </w:r>
    </w:p>
    <w:p>
      <w:pPr>
        <w:pStyle w:val="Style33"/>
        <w:keepNext/>
        <w:keepLines/>
        <w:widowControl w:val="0"/>
        <w:shd w:val="clear" w:color="auto" w:fill="auto"/>
        <w:tabs>
          <w:tab w:pos="493" w:val="left"/>
        </w:tabs>
        <w:bidi w:val="0"/>
        <w:spacing w:before="0" w:after="20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718"/>
      <w:bookmarkEnd w:id="719"/>
      <w:bookmarkEnd w:id="721"/>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资本化金额计算：①借入专门借款，按照专门借款当期实际发生的利息费用，减去将尚未动用的借款资金存入银行取得 的利息收入或进行暂时性投资取得的投资收益后的金额确定;②占用一般借款按照累计资产支出超过专门借款部分的资产支 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实际利率法是根据借款实际利率计算其摊余折价或溢价或利息费用的方法。其中实际利率是借款在预期存续期间的未来 现金流量，折现为该借款当前账面价值所使用的利率。</w:t>
      </w:r>
    </w:p>
    <w:p>
      <w:pPr>
        <w:pStyle w:val="Style33"/>
        <w:keepNext/>
        <w:keepLines/>
        <w:widowControl w:val="0"/>
        <w:shd w:val="clear" w:color="auto" w:fill="auto"/>
        <w:tabs>
          <w:tab w:pos="478" w:val="left"/>
        </w:tabs>
        <w:bidi w:val="0"/>
        <w:spacing w:before="0" w:after="34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bookmarkEnd w:id="724"/>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722"/>
      <w:bookmarkEnd w:id="723"/>
      <w:bookmarkEnd w:id="725"/>
    </w:p>
    <w:p>
      <w:pPr>
        <w:pStyle w:val="Style33"/>
        <w:keepNext/>
        <w:keepLines/>
        <w:widowControl w:val="0"/>
        <w:shd w:val="clear" w:color="auto" w:fill="auto"/>
        <w:bidi w:val="0"/>
        <w:spacing w:before="0" w:after="200" w:line="240" w:lineRule="auto"/>
        <w:ind w:left="0" w:right="0" w:firstLine="0"/>
        <w:jc w:val="left"/>
      </w:pPr>
      <w:bookmarkStart w:id="722" w:name="bookmark722"/>
      <w:bookmarkStart w:id="723" w:name="bookmark723"/>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722"/>
      <w:bookmarkEnd w:id="723"/>
      <w:bookmarkEnd w:id="727"/>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无形资产指企业拥有或控制的没有实物形态的可辨认非货币性资产，包括专有技术、土地使用权等。</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本公司无形资产按照成本进行初始计量。购入的无形资产，按实际支付的价款和相关支出作为实际成本。投资者投入的 无形资产，按投资合同或协议约定的价值确定实际成本，但合同或协议约定价值不公允的，按公允价值确定实际成本。自行 开发的无形资产，其成本为达到预定用途前所发生的支出总额。</w:t>
      </w:r>
    </w:p>
    <w:p>
      <w:pPr>
        <w:pStyle w:val="Style28"/>
        <w:keepNext w:val="0"/>
        <w:keepLines w:val="0"/>
        <w:widowControl w:val="0"/>
        <w:shd w:val="clear" w:color="auto" w:fill="auto"/>
        <w:bidi w:val="0"/>
        <w:spacing w:before="0" w:after="440" w:line="469" w:lineRule="exact"/>
        <w:ind w:left="0" w:right="0"/>
        <w:jc w:val="both"/>
      </w:pPr>
      <w:r>
        <w:rPr>
          <w:color w:val="000000"/>
          <w:spacing w:val="0"/>
          <w:w w:val="100"/>
          <w:position w:val="0"/>
        </w:rPr>
        <w:t xml:space="preserve">本公司无形资产后续计量，分别为①使用寿命有限无形资产采用直线法摊销，并在年度终了，对无形资产的使用寿命和 摊销方法进行复核，如与原先估计数存在差异的，进行相应的调整。②使用寿命不确定的无形资产不摊销，但在年度终了， </w:t>
      </w:r>
      <w:r>
        <w:rPr>
          <w:color w:val="000000"/>
          <w:spacing w:val="0"/>
          <w:w w:val="100"/>
          <w:position w:val="0"/>
        </w:rPr>
        <w:t>对使用寿命进行复核，当有确凿证据表明其使用寿命是有限的，则估计其使用寿命，按直线法进行摊销。</w:t>
      </w:r>
    </w:p>
    <w:p>
      <w:pPr>
        <w:pStyle w:val="Style33"/>
        <w:keepNext/>
        <w:keepLines/>
        <w:widowControl w:val="0"/>
        <w:shd w:val="clear" w:color="auto" w:fill="auto"/>
        <w:bidi w:val="0"/>
        <w:spacing w:before="0" w:after="44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28"/>
      <w:bookmarkEnd w:id="729"/>
      <w:bookmarkEnd w:id="731"/>
    </w:p>
    <w:p>
      <w:pPr>
        <w:pStyle w:val="Style28"/>
        <w:keepNext w:val="0"/>
        <w:keepLines w:val="0"/>
        <w:widowControl w:val="0"/>
        <w:shd w:val="clear" w:color="auto" w:fill="auto"/>
        <w:bidi w:val="0"/>
        <w:spacing w:before="0" w:after="260" w:line="240" w:lineRule="auto"/>
        <w:ind w:left="0" w:right="0"/>
        <w:jc w:val="left"/>
      </w:pPr>
      <w:r>
        <w:rPr>
          <w:color w:val="000000"/>
          <w:spacing w:val="0"/>
          <w:w w:val="100"/>
          <w:position w:val="0"/>
        </w:rPr>
        <w:t>对使用寿命有限的无形资产，估计其使用寿命时通常考虑以下因素：</w:t>
      </w:r>
    </w:p>
    <w:p>
      <w:pPr>
        <w:pStyle w:val="Style28"/>
        <w:keepNext w:val="0"/>
        <w:keepLines w:val="0"/>
        <w:widowControl w:val="0"/>
        <w:numPr>
          <w:ilvl w:val="0"/>
          <w:numId w:val="55"/>
        </w:numPr>
        <w:shd w:val="clear" w:color="auto" w:fill="auto"/>
        <w:tabs>
          <w:tab w:pos="753" w:val="left"/>
        </w:tabs>
        <w:bidi w:val="0"/>
        <w:spacing w:before="0" w:after="260" w:line="240" w:lineRule="auto"/>
        <w:ind w:left="0" w:right="0"/>
        <w:jc w:val="left"/>
      </w:pPr>
      <w:bookmarkStart w:id="732" w:name="bookmark732"/>
      <w:bookmarkEnd w:id="732"/>
      <w:r>
        <w:rPr>
          <w:color w:val="000000"/>
          <w:spacing w:val="0"/>
          <w:w w:val="100"/>
          <w:position w:val="0"/>
        </w:rPr>
        <w:t>运用该资产生产的产品通常的寿命周期、可获得的类似资产使用寿命的信息；</w:t>
      </w:r>
    </w:p>
    <w:p>
      <w:pPr>
        <w:pStyle w:val="Style28"/>
        <w:keepNext w:val="0"/>
        <w:keepLines w:val="0"/>
        <w:widowControl w:val="0"/>
        <w:numPr>
          <w:ilvl w:val="0"/>
          <w:numId w:val="55"/>
        </w:numPr>
        <w:shd w:val="clear" w:color="auto" w:fill="auto"/>
        <w:tabs>
          <w:tab w:pos="753" w:val="left"/>
        </w:tabs>
        <w:bidi w:val="0"/>
        <w:spacing w:before="0" w:after="260" w:line="240" w:lineRule="auto"/>
        <w:ind w:left="0" w:right="0"/>
        <w:jc w:val="left"/>
      </w:pPr>
      <w:bookmarkStart w:id="733" w:name="bookmark733"/>
      <w:bookmarkEnd w:id="733"/>
      <w:r>
        <w:rPr>
          <w:color w:val="000000"/>
          <w:spacing w:val="0"/>
          <w:w w:val="100"/>
          <w:position w:val="0"/>
        </w:rPr>
        <w:t>技术、工艺等方面的现阶段情况及对未来发展趋势的估计；</w:t>
      </w:r>
    </w:p>
    <w:p>
      <w:pPr>
        <w:pStyle w:val="Style28"/>
        <w:keepNext w:val="0"/>
        <w:keepLines w:val="0"/>
        <w:widowControl w:val="0"/>
        <w:numPr>
          <w:ilvl w:val="0"/>
          <w:numId w:val="55"/>
        </w:numPr>
        <w:shd w:val="clear" w:color="auto" w:fill="auto"/>
        <w:tabs>
          <w:tab w:pos="753" w:val="left"/>
        </w:tabs>
        <w:bidi w:val="0"/>
        <w:spacing w:before="0" w:after="260" w:line="240" w:lineRule="auto"/>
        <w:ind w:left="0" w:right="0"/>
        <w:jc w:val="left"/>
      </w:pPr>
      <w:bookmarkStart w:id="734" w:name="bookmark734"/>
      <w:bookmarkEnd w:id="734"/>
      <w:r>
        <w:rPr>
          <w:color w:val="000000"/>
          <w:spacing w:val="0"/>
          <w:w w:val="100"/>
          <w:position w:val="0"/>
        </w:rPr>
        <w:t>以该资产生产的产品或提供劳务的市场需求情况；</w:t>
      </w:r>
    </w:p>
    <w:p>
      <w:pPr>
        <w:pStyle w:val="Style28"/>
        <w:keepNext w:val="0"/>
        <w:keepLines w:val="0"/>
        <w:widowControl w:val="0"/>
        <w:numPr>
          <w:ilvl w:val="0"/>
          <w:numId w:val="55"/>
        </w:numPr>
        <w:shd w:val="clear" w:color="auto" w:fill="auto"/>
        <w:tabs>
          <w:tab w:pos="753" w:val="left"/>
        </w:tabs>
        <w:bidi w:val="0"/>
        <w:spacing w:before="0" w:after="260" w:line="240" w:lineRule="auto"/>
        <w:ind w:left="0" w:right="0"/>
        <w:jc w:val="left"/>
      </w:pPr>
      <w:bookmarkStart w:id="735" w:name="bookmark735"/>
      <w:bookmarkEnd w:id="735"/>
      <w:r>
        <w:rPr>
          <w:color w:val="000000"/>
          <w:spacing w:val="0"/>
          <w:w w:val="100"/>
          <w:position w:val="0"/>
        </w:rPr>
        <w:t>现在或潜在的竞争者预期采取的行动；</w:t>
      </w:r>
    </w:p>
    <w:p>
      <w:pPr>
        <w:pStyle w:val="Style28"/>
        <w:keepNext w:val="0"/>
        <w:keepLines w:val="0"/>
        <w:widowControl w:val="0"/>
        <w:numPr>
          <w:ilvl w:val="0"/>
          <w:numId w:val="55"/>
        </w:numPr>
        <w:shd w:val="clear" w:color="auto" w:fill="auto"/>
        <w:tabs>
          <w:tab w:pos="753" w:val="left"/>
        </w:tabs>
        <w:bidi w:val="0"/>
        <w:spacing w:before="0" w:after="260" w:line="240" w:lineRule="auto"/>
        <w:ind w:left="0" w:right="0"/>
        <w:jc w:val="left"/>
      </w:pPr>
      <w:bookmarkStart w:id="736" w:name="bookmark736"/>
      <w:bookmarkEnd w:id="736"/>
      <w:r>
        <w:rPr>
          <w:color w:val="000000"/>
          <w:spacing w:val="0"/>
          <w:w w:val="100"/>
          <w:position w:val="0"/>
        </w:rPr>
        <w:t>为维持该资产带来经济利益能力的预期维护支出，以及公司预计支付有关支出的能力；</w:t>
      </w:r>
    </w:p>
    <w:p>
      <w:pPr>
        <w:pStyle w:val="Style28"/>
        <w:keepNext w:val="0"/>
        <w:keepLines w:val="0"/>
        <w:widowControl w:val="0"/>
        <w:numPr>
          <w:ilvl w:val="0"/>
          <w:numId w:val="55"/>
        </w:numPr>
        <w:shd w:val="clear" w:color="auto" w:fill="auto"/>
        <w:tabs>
          <w:tab w:pos="753" w:val="left"/>
        </w:tabs>
        <w:bidi w:val="0"/>
        <w:spacing w:before="0" w:after="260" w:line="240" w:lineRule="auto"/>
        <w:ind w:left="0" w:right="0"/>
        <w:jc w:val="left"/>
      </w:pPr>
      <w:bookmarkStart w:id="737" w:name="bookmark737"/>
      <w:bookmarkEnd w:id="737"/>
      <w:r>
        <w:rPr>
          <w:color w:val="000000"/>
          <w:spacing w:val="0"/>
          <w:w w:val="100"/>
          <w:position w:val="0"/>
        </w:rPr>
        <w:t>对该资产控制期限的相关法律规定或类似限制，如特许使用期、租赁期等；</w:t>
      </w:r>
    </w:p>
    <w:p>
      <w:pPr>
        <w:pStyle w:val="Style28"/>
        <w:keepNext w:val="0"/>
        <w:keepLines w:val="0"/>
        <w:widowControl w:val="0"/>
        <w:numPr>
          <w:ilvl w:val="0"/>
          <w:numId w:val="55"/>
        </w:numPr>
        <w:shd w:val="clear" w:color="auto" w:fill="auto"/>
        <w:tabs>
          <w:tab w:pos="753" w:val="left"/>
        </w:tabs>
        <w:bidi w:val="0"/>
        <w:spacing w:before="0" w:after="120" w:line="240" w:lineRule="auto"/>
        <w:ind w:left="0" w:right="0"/>
        <w:jc w:val="left"/>
      </w:pPr>
      <w:bookmarkStart w:id="738" w:name="bookmark738"/>
      <w:bookmarkEnd w:id="738"/>
      <w:r>
        <w:rPr>
          <w:color w:val="000000"/>
          <w:spacing w:val="0"/>
          <w:w w:val="100"/>
          <w:position w:val="0"/>
        </w:rPr>
        <w:t>与公司持有其他资产使用寿命的关联性等。</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w:t>
            </w:r>
          </w:p>
        </w:tc>
      </w:tr>
    </w:tbl>
    <w:p>
      <w:pPr>
        <w:widowControl w:val="0"/>
        <w:spacing w:after="299" w:line="1" w:lineRule="exact"/>
      </w:pPr>
    </w:p>
    <w:p>
      <w:pPr>
        <w:pStyle w:val="Style33"/>
        <w:keepNext/>
        <w:keepLines/>
        <w:widowControl w:val="0"/>
        <w:shd w:val="clear" w:color="auto" w:fill="auto"/>
        <w:tabs>
          <w:tab w:pos="493" w:val="left"/>
        </w:tabs>
        <w:bidi w:val="0"/>
        <w:spacing w:before="0" w:after="20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39"/>
      <w:bookmarkEnd w:id="740"/>
      <w:bookmarkEnd w:id="742"/>
    </w:p>
    <w:p>
      <w:pPr>
        <w:pStyle w:val="Style28"/>
        <w:keepNext w:val="0"/>
        <w:keepLines w:val="0"/>
        <w:widowControl w:val="0"/>
        <w:shd w:val="clear" w:color="auto" w:fill="auto"/>
        <w:bidi w:val="0"/>
        <w:spacing w:before="0" w:after="440" w:line="470" w:lineRule="exact"/>
        <w:ind w:left="0" w:right="0"/>
        <w:jc w:val="left"/>
      </w:pPr>
      <w:r>
        <w:rPr>
          <w:color w:val="000000"/>
          <w:spacing w:val="0"/>
          <w:w w:val="100"/>
          <w:position w:val="0"/>
        </w:rPr>
        <w:t>公司在每个会计期间对使用寿命不确定的无形资产的使用寿命进行复核，如果有证据表明无形资产的使用寿命是有限 的，估计其使用寿命，按照使用寿命有限的无形资产处理。</w:t>
      </w:r>
    </w:p>
    <w:p>
      <w:pPr>
        <w:pStyle w:val="Style33"/>
        <w:keepNext/>
        <w:keepLines/>
        <w:widowControl w:val="0"/>
        <w:shd w:val="clear" w:color="auto" w:fill="auto"/>
        <w:tabs>
          <w:tab w:pos="493" w:val="left"/>
        </w:tabs>
        <w:bidi w:val="0"/>
        <w:spacing w:before="0" w:after="20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w:t>
      </w:r>
      <w:bookmarkEnd w:id="74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43"/>
      <w:bookmarkEnd w:id="744"/>
      <w:bookmarkEnd w:id="746"/>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期末检查各项无形资产预计给本公司带来未来经济利益的能力，当存在以下情形之一时：</w:t>
      </w:r>
    </w:p>
    <w:p>
      <w:pPr>
        <w:pStyle w:val="Style28"/>
        <w:keepNext w:val="0"/>
        <w:keepLines w:val="0"/>
        <w:widowControl w:val="0"/>
        <w:numPr>
          <w:ilvl w:val="0"/>
          <w:numId w:val="57"/>
        </w:numPr>
        <w:shd w:val="clear" w:color="auto" w:fill="auto"/>
        <w:tabs>
          <w:tab w:pos="753" w:val="left"/>
        </w:tabs>
        <w:bidi w:val="0"/>
        <w:spacing w:before="0" w:after="0" w:line="469" w:lineRule="exact"/>
        <w:ind w:left="0" w:right="0"/>
        <w:jc w:val="both"/>
      </w:pPr>
      <w:bookmarkStart w:id="747" w:name="bookmark747"/>
      <w:bookmarkEnd w:id="747"/>
      <w:r>
        <w:rPr>
          <w:color w:val="000000"/>
          <w:spacing w:val="0"/>
          <w:w w:val="100"/>
          <w:position w:val="0"/>
        </w:rPr>
        <w:t>某项无形资产已被其他新技术等所替代，使其为企业创造经济利益的能力受到重大不利影响；</w:t>
      </w:r>
    </w:p>
    <w:p>
      <w:pPr>
        <w:pStyle w:val="Style28"/>
        <w:keepNext w:val="0"/>
        <w:keepLines w:val="0"/>
        <w:widowControl w:val="0"/>
        <w:numPr>
          <w:ilvl w:val="0"/>
          <w:numId w:val="57"/>
        </w:numPr>
        <w:shd w:val="clear" w:color="auto" w:fill="auto"/>
        <w:tabs>
          <w:tab w:pos="753" w:val="left"/>
        </w:tabs>
        <w:bidi w:val="0"/>
        <w:spacing w:before="0" w:after="0" w:line="469" w:lineRule="exact"/>
        <w:ind w:left="0" w:right="0"/>
        <w:jc w:val="both"/>
      </w:pPr>
      <w:bookmarkStart w:id="748" w:name="bookmark748"/>
      <w:bookmarkEnd w:id="748"/>
      <w:r>
        <w:rPr>
          <w:color w:val="000000"/>
          <w:spacing w:val="0"/>
          <w:w w:val="100"/>
          <w:position w:val="0"/>
        </w:rPr>
        <w:t>某项无形资产的市价在当期大幅下跌，在剩余摊销年限内预期不会恢复；</w:t>
      </w:r>
    </w:p>
    <w:p>
      <w:pPr>
        <w:pStyle w:val="Style28"/>
        <w:keepNext w:val="0"/>
        <w:keepLines w:val="0"/>
        <w:widowControl w:val="0"/>
        <w:numPr>
          <w:ilvl w:val="0"/>
          <w:numId w:val="57"/>
        </w:numPr>
        <w:shd w:val="clear" w:color="auto" w:fill="auto"/>
        <w:tabs>
          <w:tab w:pos="733" w:val="left"/>
        </w:tabs>
        <w:bidi w:val="0"/>
        <w:spacing w:before="0" w:after="0" w:line="469" w:lineRule="exact"/>
        <w:ind w:left="0" w:right="0"/>
        <w:jc w:val="both"/>
      </w:pPr>
      <w:bookmarkStart w:id="749" w:name="bookmark749"/>
      <w:bookmarkEnd w:id="749"/>
      <w:r>
        <w:rPr>
          <w:color w:val="000000"/>
          <w:spacing w:val="0"/>
          <w:w w:val="100"/>
          <w:position w:val="0"/>
        </w:rPr>
        <w:t>某项无形资产已超过法律保护期限，但仍然具有部分使用价值等减值迹象的，则估计其可收回金额。可收回金额的 计量结果表明，无形资产的可收回金额低于其账面价值的，将无形资产的账面价值减记至可收回金额，减记的金额确认为资 产减值损失，计入当期损益，同时计提相应的无形资产减值准备；</w:t>
      </w:r>
    </w:p>
    <w:p>
      <w:pPr>
        <w:pStyle w:val="Style28"/>
        <w:keepNext w:val="0"/>
        <w:keepLines w:val="0"/>
        <w:widowControl w:val="0"/>
        <w:numPr>
          <w:ilvl w:val="0"/>
          <w:numId w:val="57"/>
        </w:numPr>
        <w:shd w:val="clear" w:color="auto" w:fill="auto"/>
        <w:tabs>
          <w:tab w:pos="723" w:val="left"/>
        </w:tabs>
        <w:bidi w:val="0"/>
        <w:spacing w:before="0" w:after="260" w:line="469" w:lineRule="exact"/>
        <w:ind w:left="0" w:right="0"/>
        <w:jc w:val="both"/>
      </w:pPr>
      <w:bookmarkStart w:id="750" w:name="bookmark750"/>
      <w:bookmarkEnd w:id="750"/>
      <w:r>
        <w:rPr>
          <w:color w:val="000000"/>
          <w:spacing w:val="0"/>
          <w:w w:val="100"/>
          <w:position w:val="0"/>
        </w:rPr>
        <w:t>其他足以证明某项无形资产实质上已发生了减值准备情形的情况，按预计可收回金额低于账面价值的差额计提无形 资产减值准备。无形资产减值损失一经确认，在以后会计期间不再转回。</w:t>
      </w:r>
    </w:p>
    <w:p>
      <w:pPr>
        <w:pStyle w:val="Style33"/>
        <w:keepNext/>
        <w:keepLines/>
        <w:widowControl w:val="0"/>
        <w:shd w:val="clear" w:color="auto" w:fill="auto"/>
        <w:tabs>
          <w:tab w:pos="503" w:val="left"/>
        </w:tabs>
        <w:bidi w:val="0"/>
        <w:spacing w:before="0" w:after="18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51"/>
      <w:bookmarkEnd w:id="752"/>
      <w:bookmarkEnd w:id="754"/>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公司内部研究开发项目开发阶段的支出，同时满足下列条件的，才能确认为无形资产：</w:t>
      </w:r>
    </w:p>
    <w:p>
      <w:pPr>
        <w:pStyle w:val="Style28"/>
        <w:keepNext w:val="0"/>
        <w:keepLines w:val="0"/>
        <w:widowControl w:val="0"/>
        <w:numPr>
          <w:ilvl w:val="0"/>
          <w:numId w:val="59"/>
        </w:numPr>
        <w:shd w:val="clear" w:color="auto" w:fill="auto"/>
        <w:tabs>
          <w:tab w:pos="753" w:val="left"/>
        </w:tabs>
        <w:bidi w:val="0"/>
        <w:spacing w:before="0" w:after="0" w:line="470" w:lineRule="exact"/>
        <w:ind w:left="0" w:right="0"/>
        <w:jc w:val="left"/>
      </w:pPr>
      <w:bookmarkStart w:id="755" w:name="bookmark755"/>
      <w:bookmarkEnd w:id="755"/>
      <w:r>
        <w:rPr>
          <w:color w:val="000000"/>
          <w:spacing w:val="0"/>
          <w:w w:val="100"/>
          <w:position w:val="0"/>
        </w:rPr>
        <w:t>完成该无形资产以使其能够使用或出售在技术上具有可行性；</w:t>
      </w:r>
    </w:p>
    <w:p>
      <w:pPr>
        <w:pStyle w:val="Style28"/>
        <w:keepNext w:val="0"/>
        <w:keepLines w:val="0"/>
        <w:widowControl w:val="0"/>
        <w:numPr>
          <w:ilvl w:val="0"/>
          <w:numId w:val="59"/>
        </w:numPr>
        <w:shd w:val="clear" w:color="auto" w:fill="auto"/>
        <w:tabs>
          <w:tab w:pos="753" w:val="left"/>
        </w:tabs>
        <w:bidi w:val="0"/>
        <w:spacing w:before="0" w:after="0" w:line="470" w:lineRule="exact"/>
        <w:ind w:left="0" w:right="0"/>
        <w:jc w:val="both"/>
      </w:pPr>
      <w:bookmarkStart w:id="756" w:name="bookmark756"/>
      <w:bookmarkEnd w:id="756"/>
      <w:r>
        <w:rPr>
          <w:color w:val="000000"/>
          <w:spacing w:val="0"/>
          <w:w w:val="100"/>
          <w:position w:val="0"/>
        </w:rPr>
        <w:t>具有完成该无形资产并使用或出售的意图；</w:t>
      </w:r>
    </w:p>
    <w:p>
      <w:pPr>
        <w:pStyle w:val="Style28"/>
        <w:keepNext w:val="0"/>
        <w:keepLines w:val="0"/>
        <w:widowControl w:val="0"/>
        <w:numPr>
          <w:ilvl w:val="0"/>
          <w:numId w:val="59"/>
        </w:numPr>
        <w:shd w:val="clear" w:color="auto" w:fill="auto"/>
        <w:tabs>
          <w:tab w:pos="753" w:val="left"/>
        </w:tabs>
        <w:bidi w:val="0"/>
        <w:spacing w:before="0" w:after="0" w:line="470" w:lineRule="exact"/>
        <w:ind w:left="380" w:right="0" w:firstLine="0"/>
        <w:jc w:val="both"/>
      </w:pPr>
      <w:bookmarkStart w:id="757" w:name="bookmark757"/>
      <w:bookmarkEnd w:id="757"/>
      <w:r>
        <w:rPr>
          <w:color w:val="000000"/>
          <w:spacing w:val="0"/>
          <w:w w:val="100"/>
          <w:position w:val="0"/>
        </w:rPr>
        <w:t>无形资产产生经济利益的方式，包括能够证明运用该无形资产生产的产品存在市场或无形资产自身存在市场，无形资 产将在内部使用的，应当证明其有用性；</w:t>
      </w:r>
    </w:p>
    <w:p>
      <w:pPr>
        <w:pStyle w:val="Style28"/>
        <w:keepNext w:val="0"/>
        <w:keepLines w:val="0"/>
        <w:widowControl w:val="0"/>
        <w:numPr>
          <w:ilvl w:val="0"/>
          <w:numId w:val="59"/>
        </w:numPr>
        <w:shd w:val="clear" w:color="auto" w:fill="auto"/>
        <w:tabs>
          <w:tab w:pos="753" w:val="left"/>
        </w:tabs>
        <w:bidi w:val="0"/>
        <w:spacing w:before="0" w:after="0" w:line="470" w:lineRule="exact"/>
        <w:ind w:left="380" w:right="0" w:firstLine="0"/>
        <w:jc w:val="both"/>
      </w:pPr>
      <w:bookmarkStart w:id="758" w:name="bookmark758"/>
      <w:bookmarkEnd w:id="758"/>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59"/>
        </w:numPr>
        <w:shd w:val="clear" w:color="auto" w:fill="auto"/>
        <w:tabs>
          <w:tab w:pos="753" w:val="left"/>
        </w:tabs>
        <w:bidi w:val="0"/>
        <w:spacing w:before="0" w:after="0" w:line="470" w:lineRule="exact"/>
        <w:ind w:left="0" w:right="0"/>
        <w:jc w:val="both"/>
      </w:pPr>
      <w:bookmarkStart w:id="759" w:name="bookmark759"/>
      <w:bookmarkEnd w:id="759"/>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除满足上述条件的开发阶段的支出外，其他研究、开发支出均于发生时计入当期损益。</w:t>
      </w:r>
    </w:p>
    <w:p>
      <w:pPr>
        <w:pStyle w:val="Style33"/>
        <w:keepNext/>
        <w:keepLines/>
        <w:widowControl w:val="0"/>
        <w:shd w:val="clear" w:color="auto" w:fill="auto"/>
        <w:tabs>
          <w:tab w:pos="503" w:val="left"/>
        </w:tabs>
        <w:bidi w:val="0"/>
        <w:spacing w:before="0" w:after="180" w:line="240" w:lineRule="auto"/>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60"/>
      <w:bookmarkEnd w:id="761"/>
      <w:bookmarkEnd w:id="763"/>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内部研究开发项目研究阶段的支出，在发生时计入当期损益。</w:t>
      </w:r>
    </w:p>
    <w:p>
      <w:pPr>
        <w:pStyle w:val="Style33"/>
        <w:keepNext/>
        <w:keepLines/>
        <w:widowControl w:val="0"/>
        <w:shd w:val="clear" w:color="auto" w:fill="auto"/>
        <w:tabs>
          <w:tab w:pos="503" w:val="left"/>
        </w:tabs>
        <w:bidi w:val="0"/>
        <w:spacing w:before="0" w:after="180" w:line="240"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764"/>
      <w:bookmarkEnd w:id="765"/>
      <w:bookmarkEnd w:id="767"/>
    </w:p>
    <w:p>
      <w:pPr>
        <w:pStyle w:val="Style28"/>
        <w:keepNext w:val="0"/>
        <w:keepLines w:val="0"/>
        <w:widowControl w:val="0"/>
        <w:shd w:val="clear" w:color="auto" w:fill="auto"/>
        <w:tabs>
          <w:tab w:pos="820" w:val="left"/>
        </w:tabs>
        <w:bidi w:val="0"/>
        <w:spacing w:before="0" w:after="0" w:line="470" w:lineRule="exact"/>
        <w:ind w:left="0" w:right="0"/>
        <w:jc w:val="both"/>
      </w:pPr>
      <w:bookmarkStart w:id="768" w:name="bookmark768"/>
      <w:r>
        <w:rPr>
          <w:color w:val="000000"/>
          <w:spacing w:val="0"/>
          <w:w w:val="100"/>
          <w:position w:val="0"/>
        </w:rPr>
        <w:t>（</w:t>
      </w:r>
      <w:bookmarkEnd w:id="768"/>
      <w:r>
        <w:rPr>
          <w:color w:val="000000"/>
          <w:spacing w:val="0"/>
          <w:w w:val="100"/>
          <w:position w:val="0"/>
        </w:rPr>
        <w:t>1）</w:t>
        <w:tab/>
        <w:t>长期待摊费用指应由本期和以后各期负担的分摊期限在一年以上的各项费用。</w:t>
      </w:r>
    </w:p>
    <w:p>
      <w:pPr>
        <w:pStyle w:val="Style28"/>
        <w:keepNext w:val="0"/>
        <w:keepLines w:val="0"/>
        <w:widowControl w:val="0"/>
        <w:shd w:val="clear" w:color="auto" w:fill="auto"/>
        <w:tabs>
          <w:tab w:pos="896" w:val="left"/>
        </w:tabs>
        <w:bidi w:val="0"/>
        <w:spacing w:before="0" w:after="440" w:line="475" w:lineRule="exact"/>
        <w:ind w:left="0" w:right="0"/>
        <w:jc w:val="both"/>
      </w:pPr>
      <w:bookmarkStart w:id="769" w:name="bookmark769"/>
      <w:r>
        <w:rPr>
          <w:color w:val="000000"/>
          <w:spacing w:val="0"/>
          <w:w w:val="100"/>
          <w:position w:val="0"/>
        </w:rPr>
        <w:t>（</w:t>
      </w:r>
      <w:bookmarkEnd w:id="769"/>
      <w:r>
        <w:rPr>
          <w:color w:val="000000"/>
          <w:spacing w:val="0"/>
          <w:w w:val="100"/>
          <w:position w:val="0"/>
        </w:rPr>
        <w:t>2）</w:t>
        <w:tab/>
        <w:t>长期待摊费用在取得时按照实际成本计价，开办费在发生时计入当期损益；经营性租赁固定资产的装修费用在自 生产经营之日起5年内平均摊销，其他长期待摊费用按项目的受益期平均摊销。对于在以后会计期间已无法带来预期经济利 益的长期待摊费用，本公司对其尚未摊销的摊余价值全部转入当期损益。</w:t>
      </w:r>
    </w:p>
    <w:p>
      <w:pPr>
        <w:pStyle w:val="Style33"/>
        <w:keepNext/>
        <w:keepLines/>
        <w:widowControl w:val="0"/>
        <w:shd w:val="clear" w:color="auto" w:fill="auto"/>
        <w:tabs>
          <w:tab w:pos="503" w:val="left"/>
        </w:tabs>
        <w:bidi w:val="0"/>
        <w:spacing w:before="0" w:after="18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770"/>
      <w:bookmarkEnd w:id="771"/>
      <w:bookmarkEnd w:id="773"/>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因产品质量保证、对外提供担保、未决诉讼等事项形成的现时义务，其履行很可能导致经济利益的流出，在该义务的金 额能够可靠计量时，确认为预计负债。对于未来经营亏损，不确认预计负债。</w:t>
      </w:r>
    </w:p>
    <w:p>
      <w:pPr>
        <w:pStyle w:val="Style28"/>
        <w:keepNext w:val="0"/>
        <w:keepLines w:val="0"/>
        <w:widowControl w:val="0"/>
        <w:shd w:val="clear" w:color="auto" w:fill="auto"/>
        <w:bidi w:val="0"/>
        <w:spacing w:before="0" w:after="0" w:line="469"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28"/>
        <w:keepNext w:val="0"/>
        <w:keepLines w:val="0"/>
        <w:widowControl w:val="0"/>
        <w:shd w:val="clear" w:color="auto" w:fill="auto"/>
        <w:bidi w:val="0"/>
        <w:spacing w:before="0" w:after="440" w:line="469" w:lineRule="exact"/>
        <w:ind w:left="0" w:right="0"/>
        <w:jc w:val="both"/>
      </w:pPr>
      <w:r>
        <w:rPr>
          <w:color w:val="000000"/>
          <w:spacing w:val="0"/>
          <w:w w:val="100"/>
          <w:position w:val="0"/>
        </w:rPr>
        <w:t>于资产负债表日，对预计负债的账面价值进行复核并作适当调整，以反映当前的最佳估计数。</w:t>
      </w:r>
    </w:p>
    <w:p>
      <w:pPr>
        <w:pStyle w:val="Style33"/>
        <w:keepNext/>
        <w:keepLines/>
        <w:widowControl w:val="0"/>
        <w:shd w:val="clear" w:color="auto" w:fill="auto"/>
        <w:bidi w:val="0"/>
        <w:spacing w:before="0" w:after="18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774"/>
      <w:bookmarkEnd w:id="775"/>
      <w:bookmarkEnd w:id="777"/>
    </w:p>
    <w:p>
      <w:pPr>
        <w:pStyle w:val="Style28"/>
        <w:keepNext w:val="0"/>
        <w:keepLines w:val="0"/>
        <w:widowControl w:val="0"/>
        <w:shd w:val="clear" w:color="auto" w:fill="auto"/>
        <w:bidi w:val="0"/>
        <w:spacing w:before="0" w:after="180" w:line="470" w:lineRule="exact"/>
        <w:ind w:left="0" w:right="0"/>
        <w:jc w:val="both"/>
      </w:pPr>
      <w:r>
        <w:rPr>
          <w:color w:val="000000"/>
          <w:spacing w:val="0"/>
          <w:w w:val="100"/>
          <w:position w:val="0"/>
        </w:rPr>
        <w:t>与或有事项相关的义务同时符合以下条件，本公司将其确认为预计负债：该义务是本公司承担的现时义务；该义务的履</w:t>
      </w:r>
    </w:p>
    <w:p>
      <w:pPr>
        <w:pStyle w:val="Style28"/>
        <w:keepNext w:val="0"/>
        <w:keepLines w:val="0"/>
        <w:widowControl w:val="0"/>
        <w:shd w:val="clear" w:color="auto" w:fill="auto"/>
        <w:bidi w:val="0"/>
        <w:spacing w:before="0" w:after="440" w:line="467" w:lineRule="exact"/>
        <w:ind w:left="0" w:right="0" w:firstLine="0"/>
        <w:jc w:val="left"/>
      </w:pPr>
      <w:r>
        <w:rPr>
          <w:color w:val="000000"/>
          <w:spacing w:val="0"/>
          <w:w w:val="100"/>
          <w:position w:val="0"/>
        </w:rPr>
        <w:t>行很可能导致经济利益流出企业；该义务的金额能够可靠的计量。</w:t>
      </w:r>
    </w:p>
    <w:p>
      <w:pPr>
        <w:pStyle w:val="Style33"/>
        <w:keepNext/>
        <w:keepLines/>
        <w:widowControl w:val="0"/>
        <w:shd w:val="clear" w:color="auto" w:fill="auto"/>
        <w:bidi w:val="0"/>
        <w:spacing w:before="0" w:after="20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778"/>
      <w:bookmarkEnd w:id="779"/>
      <w:bookmarkEnd w:id="781"/>
    </w:p>
    <w:p>
      <w:pPr>
        <w:pStyle w:val="Style28"/>
        <w:keepNext w:val="0"/>
        <w:keepLines w:val="0"/>
        <w:widowControl w:val="0"/>
        <w:shd w:val="clear" w:color="auto" w:fill="auto"/>
        <w:bidi w:val="0"/>
        <w:spacing w:before="0" w:after="0" w:line="466" w:lineRule="exact"/>
        <w:ind w:left="0" w:right="0"/>
        <w:jc w:val="both"/>
      </w:pPr>
      <w:r>
        <w:rPr>
          <w:color w:val="000000"/>
          <w:spacing w:val="0"/>
          <w:w w:val="100"/>
          <w:position w:val="0"/>
        </w:rPr>
        <w:t>预计负债按照履行现时义务所需支出的最佳估计数进行初始计量。所需支出存在一个连续范围，且该范围内各种结果发 生的可能性相同的最佳估计数按该范围的中间值确定；在其他情况下，最佳估计数按如下方法确定：</w:t>
      </w:r>
    </w:p>
    <w:p>
      <w:pPr>
        <w:pStyle w:val="Style28"/>
        <w:keepNext w:val="0"/>
        <w:keepLines w:val="0"/>
        <w:widowControl w:val="0"/>
        <w:numPr>
          <w:ilvl w:val="0"/>
          <w:numId w:val="61"/>
        </w:numPr>
        <w:shd w:val="clear" w:color="auto" w:fill="auto"/>
        <w:tabs>
          <w:tab w:pos="753" w:val="left"/>
        </w:tabs>
        <w:bidi w:val="0"/>
        <w:spacing w:before="0" w:after="0" w:line="466" w:lineRule="exact"/>
        <w:ind w:left="0" w:right="0"/>
        <w:jc w:val="both"/>
      </w:pPr>
      <w:bookmarkStart w:id="782" w:name="bookmark782"/>
      <w:bookmarkEnd w:id="782"/>
      <w:r>
        <w:rPr>
          <w:color w:val="000000"/>
          <w:spacing w:val="0"/>
          <w:w w:val="100"/>
          <w:position w:val="0"/>
        </w:rPr>
        <w:t>或有事项涉及单个项目时，最佳估计数按最可能发生金额确定；</w:t>
      </w:r>
    </w:p>
    <w:p>
      <w:pPr>
        <w:pStyle w:val="Style28"/>
        <w:keepNext w:val="0"/>
        <w:keepLines w:val="0"/>
        <w:widowControl w:val="0"/>
        <w:numPr>
          <w:ilvl w:val="0"/>
          <w:numId w:val="61"/>
        </w:numPr>
        <w:shd w:val="clear" w:color="auto" w:fill="auto"/>
        <w:tabs>
          <w:tab w:pos="728" w:val="left"/>
        </w:tabs>
        <w:bidi w:val="0"/>
        <w:spacing w:before="0" w:after="440" w:line="466" w:lineRule="exact"/>
        <w:ind w:left="0" w:right="0"/>
        <w:jc w:val="both"/>
      </w:pPr>
      <w:bookmarkStart w:id="783" w:name="bookmark783"/>
      <w:bookmarkEnd w:id="783"/>
      <w:r>
        <w:rPr>
          <w:color w:val="000000"/>
          <w:spacing w:val="0"/>
          <w:w w:val="100"/>
          <w:position w:val="0"/>
        </w:rPr>
        <w:t>或有事项涉及多个项目时，最佳估计数按各种可能发生额及其发生概率计算确定。公司清偿预计负债所需支出全部或 部分预期由第三方或其他方补偿的，则补偿金额在基本确定能收到时，作为资产单独确认。确认的补偿金额不超过所确认预 计负债的账面价值。</w:t>
      </w:r>
    </w:p>
    <w:p>
      <w:pPr>
        <w:pStyle w:val="Style33"/>
        <w:keepNext/>
        <w:keepLines/>
        <w:widowControl w:val="0"/>
        <w:shd w:val="clear" w:color="auto" w:fill="auto"/>
        <w:bidi w:val="0"/>
        <w:spacing w:before="0" w:after="34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2</w:t>
      </w:r>
      <w:bookmarkEnd w:id="786"/>
      <w:r>
        <w:rPr>
          <w:rFonts w:ascii="Times New Roman" w:eastAsia="Times New Roman" w:hAnsi="Times New Roman" w:cs="Times New Roman"/>
          <w:color w:val="000000"/>
          <w:spacing w:val="0"/>
          <w:w w:val="100"/>
          <w:position w:val="0"/>
        </w:rPr>
        <w:t>1</w:t>
      </w:r>
      <w:r>
        <w:rPr>
          <w:color w:val="000000"/>
          <w:spacing w:val="0"/>
          <w:w w:val="100"/>
          <w:position w:val="0"/>
        </w:rPr>
        <w:t>、股份支付及权益工具</w:t>
      </w:r>
      <w:bookmarkEnd w:id="784"/>
      <w:bookmarkEnd w:id="785"/>
      <w:bookmarkEnd w:id="787"/>
    </w:p>
    <w:p>
      <w:pPr>
        <w:pStyle w:val="Style33"/>
        <w:keepNext/>
        <w:keepLines/>
        <w:widowControl w:val="0"/>
        <w:shd w:val="clear" w:color="auto" w:fill="auto"/>
        <w:tabs>
          <w:tab w:pos="493" w:val="left"/>
        </w:tabs>
        <w:bidi w:val="0"/>
        <w:spacing w:before="0" w:after="200" w:line="240" w:lineRule="auto"/>
        <w:ind w:left="0" w:right="0" w:firstLine="0"/>
        <w:jc w:val="left"/>
      </w:pPr>
      <w:bookmarkStart w:id="784" w:name="bookmark784"/>
      <w:bookmarkStart w:id="785" w:name="bookmark785"/>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84"/>
      <w:bookmarkEnd w:id="785"/>
      <w:bookmarkEnd w:id="789"/>
    </w:p>
    <w:p>
      <w:pPr>
        <w:pStyle w:val="Style28"/>
        <w:keepNext w:val="0"/>
        <w:keepLines w:val="0"/>
        <w:widowControl w:val="0"/>
        <w:shd w:val="clear" w:color="auto" w:fill="auto"/>
        <w:bidi w:val="0"/>
        <w:spacing w:before="0" w:after="440" w:line="467" w:lineRule="exact"/>
        <w:ind w:left="0" w:right="0"/>
        <w:jc w:val="left"/>
      </w:pPr>
      <w:r>
        <w:rPr>
          <w:color w:val="000000"/>
          <w:spacing w:val="0"/>
          <w:w w:val="100"/>
          <w:position w:val="0"/>
        </w:rPr>
        <w:t>本公司的股份支付分为以权益结算的股份支付和以现金结算的股份支付。</w:t>
      </w:r>
    </w:p>
    <w:p>
      <w:pPr>
        <w:pStyle w:val="Style33"/>
        <w:keepNext/>
        <w:keepLines/>
        <w:widowControl w:val="0"/>
        <w:shd w:val="clear" w:color="auto" w:fill="auto"/>
        <w:tabs>
          <w:tab w:pos="493" w:val="left"/>
        </w:tabs>
        <w:bidi w:val="0"/>
        <w:spacing w:before="0" w:after="20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90"/>
      <w:bookmarkEnd w:id="791"/>
      <w:bookmarkEnd w:id="793"/>
    </w:p>
    <w:p>
      <w:pPr>
        <w:pStyle w:val="Style28"/>
        <w:keepNext w:val="0"/>
        <w:keepLines w:val="0"/>
        <w:widowControl w:val="0"/>
        <w:shd w:val="clear" w:color="auto" w:fill="auto"/>
        <w:bidi w:val="0"/>
        <w:spacing w:before="0" w:after="0" w:line="467"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权等权益工具，采用期权定价模型等确定其公允价值，选用的期权定价模型考虑以下因素：①期权的行权价格；②期权的有 效期；③标的股份的现行价格；④股价预计波动率；⑤股份的预计股利；⑥期权有效期内的无风险利率。</w:t>
      </w:r>
    </w:p>
    <w:p>
      <w:pPr>
        <w:pStyle w:val="Style28"/>
        <w:keepNext w:val="0"/>
        <w:keepLines w:val="0"/>
        <w:widowControl w:val="0"/>
        <w:shd w:val="clear" w:color="auto" w:fill="auto"/>
        <w:bidi w:val="0"/>
        <w:spacing w:before="0" w:after="440" w:line="467"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33"/>
        <w:keepNext/>
        <w:keepLines/>
        <w:widowControl w:val="0"/>
        <w:shd w:val="clear" w:color="auto" w:fill="auto"/>
        <w:tabs>
          <w:tab w:pos="493" w:val="left"/>
        </w:tabs>
        <w:bidi w:val="0"/>
        <w:spacing w:before="0" w:after="20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94"/>
      <w:bookmarkEnd w:id="795"/>
      <w:bookmarkEnd w:id="797"/>
    </w:p>
    <w:p>
      <w:pPr>
        <w:pStyle w:val="Style28"/>
        <w:keepNext w:val="0"/>
        <w:keepLines w:val="0"/>
        <w:widowControl w:val="0"/>
        <w:shd w:val="clear" w:color="auto" w:fill="auto"/>
        <w:bidi w:val="0"/>
        <w:spacing w:before="0" w:after="440" w:line="466"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33"/>
        <w:keepNext/>
        <w:keepLines/>
        <w:widowControl w:val="0"/>
        <w:shd w:val="clear" w:color="auto" w:fill="auto"/>
        <w:tabs>
          <w:tab w:pos="493" w:val="left"/>
        </w:tabs>
        <w:bidi w:val="0"/>
        <w:spacing w:before="0" w:after="200" w:line="240" w:lineRule="auto"/>
        <w:ind w:left="0" w:right="0" w:firstLine="0"/>
        <w:jc w:val="left"/>
      </w:pPr>
      <w:bookmarkStart w:id="798" w:name="bookmark798"/>
      <w:bookmarkStart w:id="799" w:name="bookmark799"/>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98"/>
      <w:bookmarkEnd w:id="799"/>
      <w:bookmarkEnd w:id="801"/>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w:t>
      </w:r>
      <w:r>
        <w:rPr>
          <w:color w:val="000000"/>
          <w:spacing w:val="0"/>
          <w:w w:val="100"/>
          <w:position w:val="0"/>
        </w:rPr>
        <w:t>本或费用和资本公积。在可行权日之后不再对已确认的相关成本或费用和所有者权益总额进行调整。</w:t>
      </w:r>
    </w:p>
    <w:p>
      <w:pPr>
        <w:pStyle w:val="Style28"/>
        <w:keepNext w:val="0"/>
        <w:keepLines w:val="0"/>
        <w:widowControl w:val="0"/>
        <w:shd w:val="clear" w:color="auto" w:fill="auto"/>
        <w:bidi w:val="0"/>
        <w:spacing w:before="0" w:after="440" w:line="468"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33"/>
        <w:keepNext/>
        <w:keepLines/>
        <w:widowControl w:val="0"/>
        <w:shd w:val="clear" w:color="auto" w:fill="auto"/>
        <w:tabs>
          <w:tab w:pos="463" w:val="left"/>
        </w:tabs>
        <w:bidi w:val="0"/>
        <w:spacing w:before="0" w:after="20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回购本公司股份</w:t>
      </w:r>
      <w:bookmarkEnd w:id="802"/>
      <w:bookmarkEnd w:id="803"/>
      <w:bookmarkEnd w:id="805"/>
    </w:p>
    <w:p>
      <w:pPr>
        <w:pStyle w:val="Style28"/>
        <w:keepNext w:val="0"/>
        <w:keepLines w:val="0"/>
        <w:widowControl w:val="0"/>
        <w:shd w:val="clear" w:color="auto" w:fill="auto"/>
        <w:bidi w:val="0"/>
        <w:spacing w:before="0" w:after="440" w:line="469" w:lineRule="exact"/>
        <w:ind w:left="0" w:right="0"/>
        <w:jc w:val="both"/>
      </w:pPr>
      <w:r>
        <w:rPr>
          <w:color w:val="000000"/>
          <w:spacing w:val="0"/>
          <w:w w:val="100"/>
          <w:position w:val="0"/>
        </w:rPr>
        <w:t>因减少注册资本或奖励职工等原因收购本公司股份的，按实际支付的金额作为库存股处理，同时进行备查登记。如果将 回购的股份注销，则将按注销股票面值和注销股数计算的股票面值总额与实际回购所支付的金额之间的差额冲减资本公积， 资本公积不足冲减的，冲减留存收益；如果将回购的股份奖励给本公司职工属于以权益结算的股份支付，于职工行权购买本 公司股份收到价款时，转销交付职工的库存股成本和等待期内资本公积（其他资本公积）累计金额，同时，按照其差额调整 资本公积（股本溢价）。</w:t>
      </w:r>
    </w:p>
    <w:p>
      <w:pPr>
        <w:pStyle w:val="Style33"/>
        <w:keepNext/>
        <w:keepLines/>
        <w:widowControl w:val="0"/>
        <w:shd w:val="clear" w:color="auto" w:fill="auto"/>
        <w:tabs>
          <w:tab w:pos="463" w:val="left"/>
        </w:tabs>
        <w:bidi w:val="0"/>
        <w:spacing w:before="0" w:after="34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rFonts w:ascii="Times New Roman" w:eastAsia="Times New Roman" w:hAnsi="Times New Roman" w:cs="Times New Roman"/>
          <w:color w:val="000000"/>
          <w:spacing w:val="0"/>
          <w:w w:val="100"/>
          <w:position w:val="0"/>
        </w:rPr>
        <w:t>3</w:t>
      </w:r>
      <w:r>
        <w:rPr>
          <w:color w:val="000000"/>
          <w:spacing w:val="0"/>
          <w:w w:val="100"/>
          <w:position w:val="0"/>
        </w:rPr>
        <w:t>、</w:t>
        <w:tab/>
        <w:t>收入</w:t>
      </w:r>
      <w:bookmarkEnd w:id="806"/>
      <w:bookmarkEnd w:id="807"/>
      <w:bookmarkEnd w:id="809"/>
    </w:p>
    <w:p>
      <w:pPr>
        <w:pStyle w:val="Style33"/>
        <w:keepNext/>
        <w:keepLines/>
        <w:widowControl w:val="0"/>
        <w:shd w:val="clear" w:color="auto" w:fill="auto"/>
        <w:tabs>
          <w:tab w:pos="463" w:val="left"/>
        </w:tabs>
        <w:bidi w:val="0"/>
        <w:spacing w:before="0" w:after="200" w:line="240" w:lineRule="auto"/>
        <w:ind w:left="0" w:right="0" w:firstLine="0"/>
        <w:jc w:val="left"/>
      </w:pPr>
      <w:bookmarkStart w:id="806" w:name="bookmark806"/>
      <w:bookmarkStart w:id="807" w:name="bookmark807"/>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806"/>
      <w:bookmarkEnd w:id="807"/>
      <w:bookmarkEnd w:id="811"/>
    </w:p>
    <w:p>
      <w:pPr>
        <w:pStyle w:val="Style28"/>
        <w:keepNext w:val="0"/>
        <w:keepLines w:val="0"/>
        <w:widowControl w:val="0"/>
        <w:shd w:val="clear" w:color="auto" w:fill="auto"/>
        <w:bidi w:val="0"/>
        <w:spacing w:before="0" w:after="0" w:line="468" w:lineRule="exact"/>
        <w:ind w:left="0" w:right="0"/>
        <w:jc w:val="both"/>
      </w:pPr>
      <w:r>
        <w:rPr>
          <w:color w:val="000000"/>
          <w:spacing w:val="0"/>
          <w:w w:val="100"/>
          <w:position w:val="0"/>
        </w:rPr>
        <w:t>企业已将商品所有权上的主要风险和报酬转移给购货方；企业既没有保留通常与所有权相联系的继续管理权，也没有对 已售出的商品实施有效控制；收入的金额能够可靠地计量；相关的经济利益很可能流入企业；相关的已发生或将发生的成本 能够可靠地计量。本公司商品销售主要有软件产品和系统集成收入，其收入的具体确认原则：</w:t>
      </w:r>
    </w:p>
    <w:p>
      <w:pPr>
        <w:pStyle w:val="Style28"/>
        <w:keepNext w:val="0"/>
        <w:keepLines w:val="0"/>
        <w:widowControl w:val="0"/>
        <w:numPr>
          <w:ilvl w:val="0"/>
          <w:numId w:val="63"/>
        </w:numPr>
        <w:shd w:val="clear" w:color="auto" w:fill="auto"/>
        <w:tabs>
          <w:tab w:pos="688" w:val="left"/>
        </w:tabs>
        <w:bidi w:val="0"/>
        <w:spacing w:before="0" w:after="0" w:line="468" w:lineRule="exact"/>
        <w:ind w:left="0" w:right="0"/>
        <w:jc w:val="both"/>
      </w:pPr>
      <w:bookmarkStart w:id="812" w:name="bookmark812"/>
      <w:bookmarkEnd w:id="812"/>
      <w:r>
        <w:rPr>
          <w:color w:val="000000"/>
          <w:spacing w:val="0"/>
          <w:w w:val="100"/>
          <w:position w:val="0"/>
        </w:rPr>
        <w:t>软件产品：是指本公司自主开发的，取得了软件产品登记认证，购买方个性化差异很小，基本具有行业通用性，因而 可以批量复制销售的应用软件。对于软件产品本公司在按照合同约定内容向购买方移交，并完成安装、调试工作，取得了购 买方安装确认单据后确认收入。</w:t>
      </w:r>
    </w:p>
    <w:p>
      <w:pPr>
        <w:pStyle w:val="Style28"/>
        <w:keepNext w:val="0"/>
        <w:keepLines w:val="0"/>
        <w:widowControl w:val="0"/>
        <w:numPr>
          <w:ilvl w:val="0"/>
          <w:numId w:val="63"/>
        </w:numPr>
        <w:shd w:val="clear" w:color="auto" w:fill="auto"/>
        <w:tabs>
          <w:tab w:pos="693" w:val="left"/>
        </w:tabs>
        <w:bidi w:val="0"/>
        <w:spacing w:before="0" w:after="440" w:line="468" w:lineRule="exact"/>
        <w:ind w:left="0" w:right="0"/>
        <w:jc w:val="both"/>
      </w:pPr>
      <w:bookmarkStart w:id="813" w:name="bookmark813"/>
      <w:bookmarkEnd w:id="813"/>
      <w:r>
        <w:rPr>
          <w:color w:val="000000"/>
          <w:spacing w:val="0"/>
          <w:w w:val="100"/>
          <w:position w:val="0"/>
        </w:rPr>
        <w:t>系统集成：是指与本公司为客户提供的软件产品和软件开发相关的，应客户要求代客户购买硬件设备或第三方软件， 并提供相应的集成服务。系统集成在按照合同约定内容向购买方移交了所提供的硬件设备或第三方软件的所有权，并取得了 购买方的验收单据后确认收入。</w:t>
      </w:r>
    </w:p>
    <w:p>
      <w:pPr>
        <w:pStyle w:val="Style33"/>
        <w:keepNext/>
        <w:keepLines/>
        <w:widowControl w:val="0"/>
        <w:shd w:val="clear" w:color="auto" w:fill="auto"/>
        <w:tabs>
          <w:tab w:pos="463" w:val="left"/>
        </w:tabs>
        <w:bidi w:val="0"/>
        <w:spacing w:before="0" w:after="200" w:line="240" w:lineRule="auto"/>
        <w:ind w:left="0" w:right="0" w:firstLine="0"/>
        <w:jc w:val="left"/>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814"/>
      <w:bookmarkEnd w:id="815"/>
      <w:bookmarkEnd w:id="817"/>
    </w:p>
    <w:p>
      <w:pPr>
        <w:pStyle w:val="Style28"/>
        <w:keepNext w:val="0"/>
        <w:keepLines w:val="0"/>
        <w:widowControl w:val="0"/>
        <w:shd w:val="clear" w:color="auto" w:fill="auto"/>
        <w:bidi w:val="0"/>
        <w:spacing w:before="0" w:after="200" w:line="466" w:lineRule="exact"/>
        <w:ind w:left="0" w:right="0"/>
        <w:jc w:val="both"/>
      </w:pPr>
      <w:r>
        <w:rPr>
          <w:color w:val="000000"/>
          <w:spacing w:val="0"/>
          <w:w w:val="100"/>
          <w:position w:val="0"/>
        </w:rPr>
        <w:t>让渡资产使用权收入包括利息收入和使用费收入等；利息收入金额，按照他人使用本公司货币资金的时间和实际利率计 算确定；使用费收入金额，按照有关合同或协议约定的收费时间和方法计算确定。</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本公司让渡资产使用权主要有为房屋租赁收入，其收入的具体确认原则：</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房屋租赁按照《企业会计准则第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号——租赁》第</w:t>
      </w:r>
      <w:r>
        <w:rPr>
          <w:rFonts w:ascii="Times New Roman" w:eastAsia="Times New Roman" w:hAnsi="Times New Roman" w:cs="Times New Roman"/>
          <w:color w:val="000000"/>
          <w:spacing w:val="0"/>
          <w:w w:val="100"/>
          <w:position w:val="0"/>
        </w:rPr>
        <w:t>22</w:t>
      </w:r>
      <w:r>
        <w:rPr>
          <w:color w:val="000000"/>
          <w:spacing w:val="0"/>
          <w:w w:val="100"/>
          <w:position w:val="0"/>
        </w:rPr>
        <w:t>条的规定确认收入，即对于经营租赁的租金，按照租赁期内合同总 金额在租赁期内各个期间按照直线法确认为当期损益。</w:t>
      </w:r>
    </w:p>
    <w:p>
      <w:pPr>
        <w:pStyle w:val="Style33"/>
        <w:keepNext/>
        <w:keepLines/>
        <w:widowControl w:val="0"/>
        <w:shd w:val="clear" w:color="auto" w:fill="auto"/>
        <w:tabs>
          <w:tab w:pos="493" w:val="left"/>
        </w:tabs>
        <w:bidi w:val="0"/>
        <w:spacing w:before="0" w:after="200" w:line="240" w:lineRule="auto"/>
        <w:ind w:left="0" w:right="0" w:firstLine="0"/>
        <w:jc w:val="left"/>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818"/>
      <w:bookmarkEnd w:id="819"/>
      <w:bookmarkEnd w:id="821"/>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本公司提供劳务主要有软件开发和服务类收入，其收入的具体确认原则：</w:t>
      </w:r>
    </w:p>
    <w:p>
      <w:pPr>
        <w:pStyle w:val="Style28"/>
        <w:keepNext w:val="0"/>
        <w:keepLines w:val="0"/>
        <w:widowControl w:val="0"/>
        <w:numPr>
          <w:ilvl w:val="0"/>
          <w:numId w:val="65"/>
        </w:numPr>
        <w:shd w:val="clear" w:color="auto" w:fill="auto"/>
        <w:tabs>
          <w:tab w:pos="728" w:val="left"/>
        </w:tabs>
        <w:bidi w:val="0"/>
        <w:spacing w:before="0" w:after="0" w:line="470" w:lineRule="exact"/>
        <w:ind w:left="0" w:right="0"/>
        <w:jc w:val="both"/>
      </w:pPr>
      <w:bookmarkStart w:id="822" w:name="bookmark822"/>
      <w:bookmarkEnd w:id="822"/>
      <w:r>
        <w:rPr>
          <w:color w:val="000000"/>
          <w:spacing w:val="0"/>
          <w:w w:val="100"/>
          <w:position w:val="0"/>
        </w:rPr>
        <w:t>软件开发：是指本公司在自主研发的各种底层开发平台或技术的基础上，按照客户的个性化需求进行定制性开发而形 成的应用软件。</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对于软件开发本公司在按照合同约定内容实施了开发工作，并为购买方完成了安装、调试工作，且至少具备以下条件之 一时确认收入：①已取得购买方的验收文件；②取得购买方对软件已正式投入使用的确认文件；③已符合合同约定的验收条 件。</w:t>
      </w:r>
    </w:p>
    <w:p>
      <w:pPr>
        <w:pStyle w:val="Style28"/>
        <w:keepNext w:val="0"/>
        <w:keepLines w:val="0"/>
        <w:widowControl w:val="0"/>
        <w:numPr>
          <w:ilvl w:val="0"/>
          <w:numId w:val="65"/>
        </w:numPr>
        <w:shd w:val="clear" w:color="auto" w:fill="auto"/>
        <w:tabs>
          <w:tab w:pos="753" w:val="left"/>
        </w:tabs>
        <w:bidi w:val="0"/>
        <w:spacing w:before="0" w:after="0" w:line="470" w:lineRule="exact"/>
        <w:ind w:left="0" w:right="0"/>
        <w:jc w:val="both"/>
      </w:pPr>
      <w:bookmarkStart w:id="823" w:name="bookmark823"/>
      <w:bookmarkEnd w:id="823"/>
      <w:r>
        <w:rPr>
          <w:color w:val="000000"/>
          <w:spacing w:val="0"/>
          <w:w w:val="100"/>
          <w:position w:val="0"/>
        </w:rPr>
        <w:t>技术服务：是指本公司对已销售的软件产品、软件开发、系统集成等，为客户提供的后续技术支持或维护服务。</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对于按期提供劳务并计价收费的技术服务，本公司在按照合同约定内容提供了劳务后，分期确认收入；对于按次提供劳 务并计价收费的技术服务，本公司在劳务已经提供，并取得购买方的服务确认单据后确认收入。</w:t>
      </w:r>
    </w:p>
    <w:p>
      <w:pPr>
        <w:pStyle w:val="Style33"/>
        <w:keepNext/>
        <w:keepLines/>
        <w:widowControl w:val="0"/>
        <w:shd w:val="clear" w:color="auto" w:fill="auto"/>
        <w:tabs>
          <w:tab w:pos="493" w:val="left"/>
        </w:tabs>
        <w:bidi w:val="0"/>
        <w:spacing w:before="0" w:after="200" w:line="240" w:lineRule="auto"/>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824"/>
      <w:bookmarkEnd w:id="825"/>
      <w:bookmarkEnd w:id="827"/>
    </w:p>
    <w:p>
      <w:pPr>
        <w:pStyle w:val="Style28"/>
        <w:keepNext w:val="0"/>
        <w:keepLines w:val="0"/>
        <w:widowControl w:val="0"/>
        <w:shd w:val="clear" w:color="auto" w:fill="auto"/>
        <w:bidi w:val="0"/>
        <w:spacing w:before="0" w:after="0" w:line="467" w:lineRule="exact"/>
        <w:ind w:left="0" w:right="0"/>
        <w:jc w:val="left"/>
      </w:pPr>
      <w:r>
        <w:rPr>
          <w:color w:val="000000"/>
          <w:spacing w:val="0"/>
          <w:w w:val="100"/>
          <w:position w:val="0"/>
        </w:rPr>
        <w:t>在同一会计年度内开始并完成的劳务，在完成劳务时确认收入；</w:t>
      </w:r>
    </w:p>
    <w:p>
      <w:pPr>
        <w:pStyle w:val="Style28"/>
        <w:keepNext w:val="0"/>
        <w:keepLines w:val="0"/>
        <w:widowControl w:val="0"/>
        <w:shd w:val="clear" w:color="auto" w:fill="auto"/>
        <w:bidi w:val="0"/>
        <w:spacing w:before="0" w:after="0" w:line="467" w:lineRule="exact"/>
        <w:ind w:left="0" w:right="0"/>
        <w:jc w:val="left"/>
      </w:pPr>
      <w:r>
        <w:rPr>
          <w:color w:val="000000"/>
          <w:spacing w:val="0"/>
          <w:w w:val="100"/>
          <w:position w:val="0"/>
        </w:rPr>
        <w:t>如劳务的开始和完成超过一个完整会计年度，在提供劳务交易的结果能够可靠地估计（即劳务总收入及总成本能够可靠 地计量，劳务的完成程度能够可靠地确定，相关的价款能够流入）时，于资产负债表日按完工百分比法确认相关的劳务收入。</w:t>
      </w:r>
    </w:p>
    <w:p>
      <w:pPr>
        <w:pStyle w:val="Style28"/>
        <w:keepNext w:val="0"/>
        <w:keepLines w:val="0"/>
        <w:widowControl w:val="0"/>
        <w:shd w:val="clear" w:color="auto" w:fill="auto"/>
        <w:bidi w:val="0"/>
        <w:spacing w:before="0" w:after="440" w:line="467" w:lineRule="exact"/>
        <w:ind w:left="0" w:right="0"/>
        <w:jc w:val="left"/>
      </w:pPr>
      <w:r>
        <w:rPr>
          <w:color w:val="000000"/>
          <w:spacing w:val="0"/>
          <w:w w:val="100"/>
          <w:position w:val="0"/>
        </w:rPr>
        <w:t>在资产负债表日提供劳务交易结果不能够可靠估计的，分别下列情况处理:①已经发生的劳务成本预计能够得到补偿的， 按照已经发生的劳务成本金额确认提供劳务收入，并按相同金额结转劳务成本；②已经发生的劳务成本预计不能够得到补偿 的，应当将已经发生的劳务成本计入当期损益，不确认提供劳务收入。</w:t>
      </w:r>
    </w:p>
    <w:p>
      <w:pPr>
        <w:pStyle w:val="Style33"/>
        <w:keepNext/>
        <w:keepLines/>
        <w:widowControl w:val="0"/>
        <w:shd w:val="clear" w:color="auto" w:fill="auto"/>
        <w:bidi w:val="0"/>
        <w:spacing w:before="0" w:after="34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828"/>
      <w:bookmarkEnd w:id="829"/>
      <w:bookmarkEnd w:id="831"/>
    </w:p>
    <w:p>
      <w:pPr>
        <w:pStyle w:val="Style33"/>
        <w:keepNext/>
        <w:keepLines/>
        <w:widowControl w:val="0"/>
        <w:shd w:val="clear" w:color="auto" w:fill="auto"/>
        <w:tabs>
          <w:tab w:pos="493" w:val="left"/>
        </w:tabs>
        <w:bidi w:val="0"/>
        <w:spacing w:before="0" w:after="200" w:line="240" w:lineRule="auto"/>
        <w:ind w:left="0" w:right="0" w:firstLine="0"/>
        <w:jc w:val="left"/>
      </w:pPr>
      <w:bookmarkStart w:id="828" w:name="bookmark828"/>
      <w:bookmarkStart w:id="829" w:name="bookmark829"/>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28"/>
      <w:bookmarkEnd w:id="829"/>
      <w:bookmarkEnd w:id="833"/>
    </w:p>
    <w:p>
      <w:pPr>
        <w:pStyle w:val="Style28"/>
        <w:keepNext w:val="0"/>
        <w:keepLines w:val="0"/>
        <w:widowControl w:val="0"/>
        <w:shd w:val="clear" w:color="auto" w:fill="auto"/>
        <w:bidi w:val="0"/>
        <w:spacing w:before="0" w:after="440" w:line="470" w:lineRule="exact"/>
        <w:ind w:left="0" w:right="0"/>
        <w:jc w:val="left"/>
      </w:pPr>
      <w:r>
        <w:rPr>
          <w:color w:val="000000"/>
          <w:spacing w:val="0"/>
          <w:w w:val="100"/>
          <w:position w:val="0"/>
        </w:rPr>
        <w:t>政府补助包括财政拨款、财政贴息、税收返还和无偿划拨非货币性资产。</w:t>
      </w:r>
    </w:p>
    <w:p>
      <w:pPr>
        <w:pStyle w:val="Style33"/>
        <w:keepNext/>
        <w:keepLines/>
        <w:widowControl w:val="0"/>
        <w:shd w:val="clear" w:color="auto" w:fill="auto"/>
        <w:tabs>
          <w:tab w:pos="493" w:val="left"/>
        </w:tabs>
        <w:bidi w:val="0"/>
        <w:spacing w:before="0" w:after="20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34"/>
      <w:bookmarkEnd w:id="835"/>
      <w:bookmarkEnd w:id="837"/>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 xml:space="preserve">本公司收到的与资产相关的政府补助，确认为递延收益，自相关资产达到预定可使用状态时起，在该资产使用寿命内平 </w:t>
      </w:r>
      <w:r>
        <w:rPr>
          <w:color w:val="000000"/>
          <w:spacing w:val="0"/>
          <w:w w:val="100"/>
          <w:position w:val="0"/>
        </w:rPr>
        <w:t>均计入各期损益。相关资产在使用寿命结束前被出售、转让、报废或发生毁损的，将递延收益余额一次性转入资产处置当期 的损益。收到的与收益相关的政府补助，用于补偿以后期间的相关费用或损失的，确认为递延收益，在确认相关费用的期间 计入当期损益；用于补偿已经发生的相关费用或损失的，取得时直接计入当期损益。</w:t>
      </w:r>
    </w:p>
    <w:p>
      <w:pPr>
        <w:pStyle w:val="Style33"/>
        <w:keepNext/>
        <w:keepLines/>
        <w:widowControl w:val="0"/>
        <w:shd w:val="clear" w:color="auto" w:fill="auto"/>
        <w:tabs>
          <w:tab w:pos="478" w:val="left"/>
        </w:tabs>
        <w:bidi w:val="0"/>
        <w:spacing w:before="0" w:after="340" w:line="240" w:lineRule="auto"/>
        <w:ind w:left="0" w:right="0" w:firstLine="0"/>
        <w:jc w:val="both"/>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递延所得税资产和递延所得税负债</w:t>
      </w:r>
      <w:bookmarkEnd w:id="838"/>
      <w:bookmarkEnd w:id="839"/>
      <w:bookmarkEnd w:id="841"/>
    </w:p>
    <w:p>
      <w:pPr>
        <w:pStyle w:val="Style33"/>
        <w:keepNext/>
        <w:keepLines/>
        <w:widowControl w:val="0"/>
        <w:shd w:val="clear" w:color="auto" w:fill="auto"/>
        <w:tabs>
          <w:tab w:pos="483" w:val="left"/>
        </w:tabs>
        <w:bidi w:val="0"/>
        <w:spacing w:before="0" w:after="200" w:line="240" w:lineRule="auto"/>
        <w:ind w:left="0" w:right="0" w:firstLine="0"/>
        <w:jc w:val="both"/>
      </w:pPr>
      <w:bookmarkStart w:id="838" w:name="bookmark838"/>
      <w:bookmarkStart w:id="839" w:name="bookmark839"/>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38"/>
      <w:bookmarkEnd w:id="839"/>
      <w:bookmarkEnd w:id="843"/>
    </w:p>
    <w:p>
      <w:pPr>
        <w:pStyle w:val="Style28"/>
        <w:keepNext w:val="0"/>
        <w:keepLines w:val="0"/>
        <w:widowControl w:val="0"/>
        <w:shd w:val="clear" w:color="auto" w:fill="auto"/>
        <w:bidi w:val="0"/>
        <w:spacing w:before="0" w:after="440" w:line="467" w:lineRule="exact"/>
        <w:ind w:left="0" w:right="0"/>
        <w:jc w:val="both"/>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中产生的：①该交易不是企业合并，并且交易发生时既不影响会计利润也不影响应纳税所得额；②对于与子公司、合营企业 及联营企业投资相关的可抵扣暂时性差异，同时满足下列条件的，确认相应的递延所得税资产：暂时性差异在可预见的未来 很可能转回，且未来很可能获得用来抵扣可抵扣暂时性差异的应纳税所得额。于资产负债表日，本公司对递延所得税资产的 账面价值进行复核。如果未来期间很可能无法获得足够的应纳税所得额用以抵扣递延所得税资产的利益，减记递延所得税资 产的账面价值。在很可能获得足够的应纳税所得额时，减记的金额予以转回。</w:t>
      </w:r>
    </w:p>
    <w:p>
      <w:pPr>
        <w:pStyle w:val="Style33"/>
        <w:keepNext/>
        <w:keepLines/>
        <w:widowControl w:val="0"/>
        <w:shd w:val="clear" w:color="auto" w:fill="auto"/>
        <w:tabs>
          <w:tab w:pos="483" w:val="left"/>
        </w:tabs>
        <w:bidi w:val="0"/>
        <w:spacing w:before="0" w:after="20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44"/>
      <w:bookmarkEnd w:id="845"/>
      <w:bookmarkEnd w:id="847"/>
    </w:p>
    <w:p>
      <w:pPr>
        <w:pStyle w:val="Style28"/>
        <w:keepNext w:val="0"/>
        <w:keepLines w:val="0"/>
        <w:widowControl w:val="0"/>
        <w:shd w:val="clear" w:color="auto" w:fill="auto"/>
        <w:bidi w:val="0"/>
        <w:spacing w:before="0" w:after="440" w:line="469" w:lineRule="exact"/>
        <w:ind w:left="0" w:right="0"/>
        <w:jc w:val="both"/>
      </w:pPr>
      <w:r>
        <w:rPr>
          <w:color w:val="000000"/>
          <w:spacing w:val="0"/>
          <w:w w:val="100"/>
          <w:position w:val="0"/>
        </w:rPr>
        <w:t>各项应纳税暂时性差异均确认相关的递延所得税负债，除非该应纳税暂时性差异是在以下交易中产生的：①商誉的初始 确认，或者具有以下特征的交易中产生的资产或负债的初始确认：该交易不是企业合并，并且交易发生时既不影响会计利润 也不影响应纳税所得额；②对于与子公司、合营企业及联营企业投资相关的应纳税暂时性差异，该暂时性差异转回的时间能 够控制并且该暂时性差异在可预见的未来很可能不会转回。于资产负债表日，本公司对递延所得税资产和递延所得税负债， 按照预期收回该资产或清偿该负债期间的适用税率计量，并反映资产负债表日预期收回资产或清偿负债方式的所得税影响。</w:t>
      </w:r>
    </w:p>
    <w:p>
      <w:pPr>
        <w:pStyle w:val="Style33"/>
        <w:keepNext/>
        <w:keepLines/>
        <w:widowControl w:val="0"/>
        <w:shd w:val="clear" w:color="auto" w:fill="auto"/>
        <w:tabs>
          <w:tab w:pos="478" w:val="left"/>
        </w:tabs>
        <w:bidi w:val="0"/>
        <w:spacing w:before="0" w:after="34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rFonts w:ascii="Times New Roman" w:eastAsia="Times New Roman" w:hAnsi="Times New Roman" w:cs="Times New Roman"/>
          <w:color w:val="000000"/>
          <w:spacing w:val="0"/>
          <w:w w:val="100"/>
          <w:position w:val="0"/>
        </w:rPr>
        <w:t>6</w:t>
      </w:r>
      <w:r>
        <w:rPr>
          <w:color w:val="000000"/>
          <w:spacing w:val="0"/>
          <w:w w:val="100"/>
          <w:position w:val="0"/>
        </w:rPr>
        <w:t>、</w:t>
        <w:tab/>
        <w:t>经营租赁、融资租赁</w:t>
      </w:r>
      <w:bookmarkEnd w:id="848"/>
      <w:bookmarkEnd w:id="849"/>
      <w:bookmarkEnd w:id="851"/>
    </w:p>
    <w:p>
      <w:pPr>
        <w:pStyle w:val="Style33"/>
        <w:keepNext/>
        <w:keepLines/>
        <w:widowControl w:val="0"/>
        <w:shd w:val="clear" w:color="auto" w:fill="auto"/>
        <w:tabs>
          <w:tab w:pos="483" w:val="left"/>
        </w:tabs>
        <w:bidi w:val="0"/>
        <w:spacing w:before="0" w:after="200" w:line="240" w:lineRule="auto"/>
        <w:ind w:left="0" w:right="0" w:firstLine="0"/>
        <w:jc w:val="left"/>
      </w:pPr>
      <w:bookmarkStart w:id="848" w:name="bookmark848"/>
      <w:bookmarkStart w:id="849" w:name="bookmark849"/>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48"/>
      <w:bookmarkEnd w:id="849"/>
      <w:bookmarkEnd w:id="853"/>
    </w:p>
    <w:p>
      <w:pPr>
        <w:pStyle w:val="Style28"/>
        <w:keepNext w:val="0"/>
        <w:keepLines w:val="0"/>
        <w:widowControl w:val="0"/>
        <w:shd w:val="clear" w:color="auto" w:fill="auto"/>
        <w:bidi w:val="0"/>
        <w:spacing w:before="0" w:after="440" w:line="468" w:lineRule="exact"/>
        <w:ind w:left="0" w:right="0"/>
        <w:jc w:val="left"/>
      </w:pPr>
      <w:r>
        <w:rPr>
          <w:color w:val="000000"/>
          <w:spacing w:val="0"/>
          <w:w w:val="100"/>
          <w:position w:val="0"/>
        </w:rPr>
        <w:t>无。</w:t>
      </w:r>
    </w:p>
    <w:p>
      <w:pPr>
        <w:pStyle w:val="Style33"/>
        <w:keepNext/>
        <w:keepLines/>
        <w:widowControl w:val="0"/>
        <w:shd w:val="clear" w:color="auto" w:fill="auto"/>
        <w:tabs>
          <w:tab w:pos="483" w:val="left"/>
        </w:tabs>
        <w:bidi w:val="0"/>
        <w:spacing w:before="0" w:after="20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54"/>
      <w:bookmarkEnd w:id="855"/>
      <w:bookmarkEnd w:id="857"/>
    </w:p>
    <w:p>
      <w:pPr>
        <w:pStyle w:val="Style28"/>
        <w:keepNext w:val="0"/>
        <w:keepLines w:val="0"/>
        <w:widowControl w:val="0"/>
        <w:shd w:val="clear" w:color="auto" w:fill="auto"/>
        <w:bidi w:val="0"/>
        <w:spacing w:before="0" w:after="340" w:line="468" w:lineRule="exact"/>
        <w:ind w:left="0" w:right="0"/>
        <w:jc w:val="left"/>
      </w:pPr>
      <w:r>
        <w:rPr>
          <w:color w:val="000000"/>
          <w:spacing w:val="0"/>
          <w:w w:val="100"/>
          <w:position w:val="0"/>
        </w:rPr>
        <w:t>无。</w:t>
      </w:r>
    </w:p>
    <w:p>
      <w:pPr>
        <w:pStyle w:val="Style33"/>
        <w:keepNext/>
        <w:keepLines/>
        <w:widowControl w:val="0"/>
        <w:shd w:val="clear" w:color="auto" w:fill="auto"/>
        <w:bidi w:val="0"/>
        <w:spacing w:before="0" w:after="20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3</w:t>
      </w:r>
      <w:r>
        <w:rPr>
          <w:color w:val="000000"/>
          <w:spacing w:val="0"/>
          <w:w w:val="100"/>
          <w:position w:val="0"/>
        </w:rPr>
        <w:t>）售后租回的会计处理</w:t>
      </w:r>
      <w:bookmarkEnd w:id="858"/>
      <w:bookmarkEnd w:id="859"/>
      <w:bookmarkEnd w:id="861"/>
    </w:p>
    <w:p>
      <w:pPr>
        <w:pStyle w:val="Style28"/>
        <w:keepNext w:val="0"/>
        <w:keepLines w:val="0"/>
        <w:widowControl w:val="0"/>
        <w:shd w:val="clear" w:color="auto" w:fill="auto"/>
        <w:bidi w:val="0"/>
        <w:spacing w:before="0" w:after="440" w:line="470" w:lineRule="exact"/>
        <w:ind w:left="0" w:right="0"/>
        <w:jc w:val="left"/>
      </w:pPr>
      <w:r>
        <w:rPr>
          <w:color w:val="000000"/>
          <w:spacing w:val="0"/>
          <w:w w:val="100"/>
          <w:position w:val="0"/>
        </w:rPr>
        <w:t>无。</w:t>
      </w:r>
    </w:p>
    <w:p>
      <w:pPr>
        <w:pStyle w:val="Style33"/>
        <w:keepNext/>
        <w:keepLines/>
        <w:widowControl w:val="0"/>
        <w:shd w:val="clear" w:color="auto" w:fill="auto"/>
        <w:tabs>
          <w:tab w:pos="488" w:val="left"/>
        </w:tabs>
        <w:bidi w:val="0"/>
        <w:spacing w:before="0" w:after="3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7</w:t>
      </w:r>
      <w:r>
        <w:rPr>
          <w:color w:val="000000"/>
          <w:spacing w:val="0"/>
          <w:w w:val="100"/>
          <w:position w:val="0"/>
        </w:rPr>
        <w:t>、</w:t>
        <w:tab/>
        <w:t>持有待售资产</w:t>
      </w:r>
      <w:bookmarkEnd w:id="862"/>
      <w:bookmarkEnd w:id="863"/>
      <w:bookmarkEnd w:id="865"/>
    </w:p>
    <w:p>
      <w:pPr>
        <w:pStyle w:val="Style33"/>
        <w:keepNext/>
        <w:keepLines/>
        <w:widowControl w:val="0"/>
        <w:shd w:val="clear" w:color="auto" w:fill="auto"/>
        <w:tabs>
          <w:tab w:pos="493" w:val="left"/>
        </w:tabs>
        <w:bidi w:val="0"/>
        <w:spacing w:before="0" w:after="200" w:line="240" w:lineRule="auto"/>
        <w:ind w:left="0" w:right="0" w:firstLine="0"/>
        <w:jc w:val="left"/>
      </w:pPr>
      <w:bookmarkStart w:id="862" w:name="bookmark862"/>
      <w:bookmarkStart w:id="863" w:name="bookmark863"/>
      <w:bookmarkStart w:id="866" w:name="bookmark866"/>
      <w:bookmarkStart w:id="867" w:name="bookmark867"/>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62"/>
      <w:bookmarkEnd w:id="863"/>
      <w:bookmarkEnd w:id="867"/>
    </w:p>
    <w:p>
      <w:pPr>
        <w:pStyle w:val="Style28"/>
        <w:keepNext w:val="0"/>
        <w:keepLines w:val="0"/>
        <w:widowControl w:val="0"/>
        <w:shd w:val="clear" w:color="auto" w:fill="auto"/>
        <w:bidi w:val="0"/>
        <w:spacing w:before="0" w:after="440" w:line="470" w:lineRule="exact"/>
        <w:ind w:left="0" w:right="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20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868"/>
      <w:bookmarkEnd w:id="869"/>
      <w:bookmarkEnd w:id="871"/>
    </w:p>
    <w:p>
      <w:pPr>
        <w:pStyle w:val="Style28"/>
        <w:keepNext w:val="0"/>
        <w:keepLines w:val="0"/>
        <w:widowControl w:val="0"/>
        <w:shd w:val="clear" w:color="auto" w:fill="auto"/>
        <w:bidi w:val="0"/>
        <w:spacing w:before="0" w:after="440" w:line="470" w:lineRule="exact"/>
        <w:ind w:left="0" w:right="0"/>
        <w:jc w:val="left"/>
      </w:pPr>
      <w:r>
        <w:rPr>
          <w:color w:val="000000"/>
          <w:spacing w:val="0"/>
          <w:w w:val="100"/>
          <w:position w:val="0"/>
        </w:rPr>
        <w:t>无。</w:t>
      </w:r>
    </w:p>
    <w:p>
      <w:pPr>
        <w:pStyle w:val="Style33"/>
        <w:keepNext/>
        <w:keepLines/>
        <w:widowControl w:val="0"/>
        <w:shd w:val="clear" w:color="auto" w:fill="auto"/>
        <w:tabs>
          <w:tab w:pos="488" w:val="left"/>
        </w:tabs>
        <w:bidi w:val="0"/>
        <w:spacing w:before="0" w:after="20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8</w:t>
      </w:r>
      <w:r>
        <w:rPr>
          <w:color w:val="000000"/>
          <w:spacing w:val="0"/>
          <w:w w:val="100"/>
          <w:position w:val="0"/>
        </w:rPr>
        <w:t>、</w:t>
        <w:tab/>
        <w:t>资产证券化业务</w:t>
      </w:r>
      <w:bookmarkEnd w:id="872"/>
      <w:bookmarkEnd w:id="873"/>
      <w:bookmarkEnd w:id="875"/>
    </w:p>
    <w:p>
      <w:pPr>
        <w:pStyle w:val="Style28"/>
        <w:keepNext w:val="0"/>
        <w:keepLines w:val="0"/>
        <w:widowControl w:val="0"/>
        <w:shd w:val="clear" w:color="auto" w:fill="auto"/>
        <w:bidi w:val="0"/>
        <w:spacing w:before="0" w:after="440" w:line="470" w:lineRule="exact"/>
        <w:ind w:left="0" w:right="0"/>
        <w:jc w:val="left"/>
      </w:pPr>
      <w:r>
        <w:rPr>
          <w:color w:val="000000"/>
          <w:spacing w:val="0"/>
          <w:w w:val="100"/>
          <w:position w:val="0"/>
        </w:rPr>
        <w:t>无。</w:t>
      </w:r>
    </w:p>
    <w:p>
      <w:pPr>
        <w:pStyle w:val="Style33"/>
        <w:keepNext/>
        <w:keepLines/>
        <w:widowControl w:val="0"/>
        <w:shd w:val="clear" w:color="auto" w:fill="auto"/>
        <w:tabs>
          <w:tab w:pos="488" w:val="left"/>
        </w:tabs>
        <w:bidi w:val="0"/>
        <w:spacing w:before="0" w:after="20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9</w:t>
      </w:r>
      <w:r>
        <w:rPr>
          <w:color w:val="000000"/>
          <w:spacing w:val="0"/>
          <w:w w:val="100"/>
          <w:position w:val="0"/>
        </w:rPr>
        <w:t>、</w:t>
        <w:tab/>
        <w:t>套期会计</w:t>
      </w:r>
      <w:bookmarkEnd w:id="876"/>
      <w:bookmarkEnd w:id="877"/>
      <w:bookmarkEnd w:id="879"/>
    </w:p>
    <w:p>
      <w:pPr>
        <w:pStyle w:val="Style28"/>
        <w:keepNext w:val="0"/>
        <w:keepLines w:val="0"/>
        <w:widowControl w:val="0"/>
        <w:shd w:val="clear" w:color="auto" w:fill="auto"/>
        <w:bidi w:val="0"/>
        <w:spacing w:before="0" w:after="440" w:line="470" w:lineRule="exact"/>
        <w:ind w:left="0" w:right="0"/>
        <w:jc w:val="left"/>
      </w:pPr>
      <w:r>
        <w:rPr>
          <w:color w:val="000000"/>
          <w:spacing w:val="0"/>
          <w:w w:val="100"/>
          <w:position w:val="0"/>
        </w:rPr>
        <w:t>无。</w:t>
      </w:r>
    </w:p>
    <w:p>
      <w:pPr>
        <w:pStyle w:val="Style33"/>
        <w:keepNext/>
        <w:keepLines/>
        <w:widowControl w:val="0"/>
        <w:shd w:val="clear" w:color="auto" w:fill="auto"/>
        <w:tabs>
          <w:tab w:pos="488" w:val="left"/>
        </w:tabs>
        <w:bidi w:val="0"/>
        <w:spacing w:before="0" w:after="36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3</w:t>
      </w:r>
      <w:bookmarkEnd w:id="882"/>
      <w:r>
        <w:rPr>
          <w:rFonts w:ascii="Times New Roman" w:eastAsia="Times New Roman" w:hAnsi="Times New Roman" w:cs="Times New Roman"/>
          <w:color w:val="000000"/>
          <w:spacing w:val="0"/>
          <w:w w:val="100"/>
          <w:position w:val="0"/>
        </w:rPr>
        <w:t>0</w:t>
      </w:r>
      <w:r>
        <w:rPr>
          <w:color w:val="000000"/>
          <w:spacing w:val="0"/>
          <w:w w:val="100"/>
          <w:position w:val="0"/>
        </w:rPr>
        <w:t>、</w:t>
        <w:tab/>
        <w:t>主要会计政策、会计估计的变更</w:t>
      </w:r>
      <w:bookmarkEnd w:id="880"/>
      <w:bookmarkEnd w:id="881"/>
      <w:bookmarkEnd w:id="88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本报告期主要会计政策、会计估计是否变更</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440" w:line="470" w:lineRule="exact"/>
        <w:ind w:left="0" w:right="0"/>
        <w:jc w:val="both"/>
      </w:pPr>
      <w:r>
        <w:rPr>
          <w:color w:val="000000"/>
          <w:spacing w:val="0"/>
          <w:w w:val="100"/>
          <w:position w:val="0"/>
        </w:rPr>
        <w:t>公司对会计估计变更适用时点的确定原则：自董事会等相关机构正式批准后生效，自最近一期尚未公布的定期报告开始 实施。</w:t>
      </w:r>
    </w:p>
    <w:p>
      <w:pPr>
        <w:pStyle w:val="Style33"/>
        <w:keepNext/>
        <w:keepLines/>
        <w:widowControl w:val="0"/>
        <w:shd w:val="clear" w:color="auto" w:fill="auto"/>
        <w:tabs>
          <w:tab w:pos="493" w:val="left"/>
        </w:tabs>
        <w:bidi w:val="0"/>
        <w:spacing w:before="0" w:after="36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84"/>
      <w:bookmarkEnd w:id="885"/>
      <w:bookmarkEnd w:id="887"/>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本报告期主要会计政策是否变更</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本报告期公司主要会计政策未发生变更。</w:t>
      </w:r>
    </w:p>
    <w:p>
      <w:pPr>
        <w:pStyle w:val="Style33"/>
        <w:keepNext/>
        <w:keepLines/>
        <w:widowControl w:val="0"/>
        <w:shd w:val="clear" w:color="auto" w:fill="auto"/>
        <w:tabs>
          <w:tab w:pos="493" w:val="left"/>
        </w:tabs>
        <w:bidi w:val="0"/>
        <w:spacing w:before="0" w:after="36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88"/>
      <w:bookmarkEnd w:id="889"/>
      <w:bookmarkEnd w:id="89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本报告期主要会计估计是否变更</w:t>
      </w:r>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本报告期公司主要会计估计未发生变更。</w:t>
      </w:r>
    </w:p>
    <w:p>
      <w:pPr>
        <w:pStyle w:val="Style33"/>
        <w:keepNext/>
        <w:keepLines/>
        <w:widowControl w:val="0"/>
        <w:shd w:val="clear" w:color="auto" w:fill="auto"/>
        <w:tabs>
          <w:tab w:pos="488" w:val="left"/>
        </w:tabs>
        <w:bidi w:val="0"/>
        <w:spacing w:before="0" w:after="380" w:line="240" w:lineRule="auto"/>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3</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前期会计差错更正</w:t>
      </w:r>
      <w:bookmarkEnd w:id="892"/>
      <w:bookmarkEnd w:id="893"/>
      <w:bookmarkEnd w:id="89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本报告期是否发现前期会计差错</w:t>
      </w:r>
    </w:p>
    <w:p>
      <w:pPr>
        <w:pStyle w:val="Style2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本报告期公司未发生前期会计差错更正。</w:t>
      </w:r>
    </w:p>
    <w:p>
      <w:pPr>
        <w:pStyle w:val="Style33"/>
        <w:keepNext/>
        <w:keepLines/>
        <w:widowControl w:val="0"/>
        <w:shd w:val="clear" w:color="auto" w:fill="auto"/>
        <w:tabs>
          <w:tab w:pos="493" w:val="left"/>
        </w:tabs>
        <w:bidi w:val="0"/>
        <w:spacing w:before="0" w:after="38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96"/>
      <w:bookmarkEnd w:id="897"/>
      <w:bookmarkEnd w:id="89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本报告期是否发现采用追溯重述法的前期会计差错</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900"/>
      <w:bookmarkEnd w:id="901"/>
      <w:bookmarkEnd w:id="903"/>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本报告期是否发现采用未来适用法的前期会计差错</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488" w:val="left"/>
        </w:tabs>
        <w:bidi w:val="0"/>
        <w:spacing w:before="0" w:after="44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其他主要会计政策、会计估计和财务报表编制方法</w:t>
      </w:r>
      <w:bookmarkEnd w:id="904"/>
      <w:bookmarkEnd w:id="905"/>
      <w:bookmarkEnd w:id="907"/>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sz w:val="24"/>
          <w:szCs w:val="24"/>
        </w:rPr>
        <w:t>五</w:t>
      </w:r>
      <w:bookmarkEnd w:id="910"/>
      <w:r>
        <w:rPr>
          <w:color w:val="000000"/>
          <w:spacing w:val="0"/>
          <w:w w:val="100"/>
          <w:position w:val="0"/>
          <w:sz w:val="24"/>
          <w:szCs w:val="24"/>
        </w:rPr>
        <w:t>、税项</w:t>
      </w:r>
      <w:bookmarkEnd w:id="908"/>
      <w:bookmarkEnd w:id="909"/>
      <w:bookmarkEnd w:id="911"/>
    </w:p>
    <w:p>
      <w:pPr>
        <w:pStyle w:val="Style33"/>
        <w:keepNext/>
        <w:keepLines/>
        <w:widowControl w:val="0"/>
        <w:shd w:val="clear" w:color="auto" w:fill="auto"/>
        <w:bidi w:val="0"/>
        <w:spacing w:before="0" w:after="340" w:line="240" w:lineRule="auto"/>
        <w:ind w:left="0" w:right="0" w:firstLine="0"/>
        <w:jc w:val="left"/>
      </w:pPr>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912"/>
      <w:bookmarkEnd w:id="913"/>
      <w:bookmarkEnd w:id="914"/>
    </w:p>
    <w:tbl>
      <w:tblPr>
        <w:tblOverlap w:val="never"/>
        <w:jc w:val="center"/>
        <w:tblLayout w:type="fixed"/>
      </w:tblPr>
      <w:tblGrid>
        <w:gridCol w:w="3518"/>
        <w:gridCol w:w="3024"/>
        <w:gridCol w:w="30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产品销售收入、服务收入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应纳增值税额、应纳营业税额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应纳增值税额、应纳营业税额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应纳增值税额、应纳营业税额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8"/>
        <w:keepNext w:val="0"/>
        <w:keepLines w:val="0"/>
        <w:widowControl w:val="0"/>
        <w:shd w:val="clear" w:color="auto" w:fill="auto"/>
        <w:bidi w:val="0"/>
        <w:spacing w:before="0" w:after="440" w:line="475" w:lineRule="exact"/>
        <w:ind w:left="380" w:right="0" w:firstLine="0"/>
        <w:jc w:val="left"/>
      </w:pPr>
      <w:r>
        <w:rPr>
          <w:color w:val="000000"/>
          <w:spacing w:val="0"/>
          <w:w w:val="100"/>
          <w:position w:val="0"/>
        </w:rPr>
        <w:t>各分公司、分厂执行的所得税税率 无。</w:t>
      </w:r>
    </w:p>
    <w:p>
      <w:pPr>
        <w:pStyle w:val="Style33"/>
        <w:keepNext/>
        <w:keepLines/>
        <w:widowControl w:val="0"/>
        <w:shd w:val="clear" w:color="auto" w:fill="auto"/>
        <w:bidi w:val="0"/>
        <w:spacing w:before="0" w:after="440" w:line="240" w:lineRule="auto"/>
        <w:ind w:left="0" w:right="0" w:firstLine="0"/>
        <w:jc w:val="left"/>
      </w:pPr>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915"/>
      <w:bookmarkEnd w:id="916"/>
      <w:bookmarkEnd w:id="917"/>
    </w:p>
    <w:p>
      <w:pPr>
        <w:pStyle w:val="Style28"/>
        <w:keepNext w:val="0"/>
        <w:keepLines w:val="0"/>
        <w:widowControl w:val="0"/>
        <w:shd w:val="clear" w:color="auto" w:fill="auto"/>
        <w:bidi w:val="0"/>
        <w:spacing w:before="0" w:after="240" w:line="240" w:lineRule="auto"/>
        <w:ind w:left="0" w:right="0"/>
        <w:jc w:val="both"/>
      </w:pPr>
      <w:bookmarkStart w:id="918" w:name="bookmark918"/>
      <w:r>
        <w:rPr>
          <w:color w:val="000000"/>
          <w:spacing w:val="0"/>
          <w:w w:val="100"/>
          <w:position w:val="0"/>
        </w:rPr>
        <w:t>（</w:t>
      </w:r>
      <w:bookmarkEnd w:id="918"/>
      <w:r>
        <w:rPr>
          <w:color w:val="000000"/>
          <w:spacing w:val="0"/>
          <w:w w:val="100"/>
          <w:position w:val="0"/>
        </w:rPr>
        <w:t>一）增值税及享受的税收优惠政策</w:t>
      </w:r>
    </w:p>
    <w:p>
      <w:pPr>
        <w:pStyle w:val="Style28"/>
        <w:keepNext w:val="0"/>
        <w:keepLines w:val="0"/>
        <w:widowControl w:val="0"/>
        <w:shd w:val="clear" w:color="auto" w:fill="auto"/>
        <w:bidi w:val="0"/>
        <w:spacing w:before="0" w:after="240" w:line="240" w:lineRule="auto"/>
        <w:ind w:left="0" w:right="0"/>
        <w:jc w:val="both"/>
      </w:pPr>
      <w:r>
        <w:rPr>
          <w:color w:val="000000"/>
          <w:spacing w:val="0"/>
          <w:w w:val="100"/>
          <w:position w:val="0"/>
        </w:rPr>
        <w:t>本公司及控股子公司为增值税一般纳税人，适用17%的基本税率。</w:t>
      </w:r>
    </w:p>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根据财政部、国家税务总局2011年10月13日发布的《财政部、国家税务总局关于软件产品增值税政策的通知》（财税 </w:t>
      </w:r>
      <w:r>
        <w:rPr>
          <w:color w:val="000000"/>
          <w:spacing w:val="0"/>
          <w:w w:val="100"/>
          <w:position w:val="0"/>
        </w:rPr>
        <w:t>[2011]100号文）的有关规定，自2011年1月1日起对增值税一般纳税人销售其自行开发生产的软件产品，按17%的法定税率 征收增值税后，对其增值税实际税负超过3%的部分实行即征即退政策。</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根据财税[2012]71号《财政部国家税务总局关于在北京等8省市开展交通运输业和部分现代服务业营业税改征增值税试 点的通知》，本公司于2012年11月，原服务收入缴纳营业税改为缴纳增值税，税率为6%。</w:t>
      </w:r>
    </w:p>
    <w:p>
      <w:pPr>
        <w:pStyle w:val="Style28"/>
        <w:keepNext w:val="0"/>
        <w:keepLines w:val="0"/>
        <w:widowControl w:val="0"/>
        <w:shd w:val="clear" w:color="auto" w:fill="auto"/>
        <w:tabs>
          <w:tab w:pos="870" w:val="left"/>
        </w:tabs>
        <w:bidi w:val="0"/>
        <w:spacing w:before="0" w:after="0" w:line="470" w:lineRule="exact"/>
        <w:ind w:left="0" w:right="0"/>
        <w:jc w:val="left"/>
      </w:pPr>
      <w:bookmarkStart w:id="919" w:name="bookmark919"/>
      <w:r>
        <w:rPr>
          <w:color w:val="000000"/>
          <w:spacing w:val="0"/>
          <w:w w:val="100"/>
          <w:position w:val="0"/>
        </w:rPr>
        <w:t>（</w:t>
      </w:r>
      <w:bookmarkEnd w:id="919"/>
      <w:r>
        <w:rPr>
          <w:color w:val="000000"/>
          <w:spacing w:val="0"/>
          <w:w w:val="100"/>
          <w:position w:val="0"/>
        </w:rPr>
        <w:t>二）</w:t>
        <w:tab/>
        <w:t>营业税及享受的税收优惠政策</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本公司及控股子公司按应税劳务收入5%计征。</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根据《财政部、国家税务总局关于贯彻落实〈中共中央国务院关于加强技术创新，发展高科技，实现产业化的决定〉有关 税收问题的通知》（财税字</w:t>
      </w:r>
      <w:r>
        <w:rPr>
          <w:color w:val="000000"/>
          <w:spacing w:val="0"/>
          <w:w w:val="100"/>
          <w:position w:val="0"/>
        </w:rPr>
        <w:t>[1999]</w:t>
      </w:r>
      <w:r>
        <w:rPr>
          <w:color w:val="000000"/>
          <w:spacing w:val="0"/>
          <w:w w:val="100"/>
          <w:position w:val="0"/>
        </w:rPr>
        <w:t>第273号）及《深圳市技术转让技术开发及相关服务性收入免征营业税审批管理办法》（深 地税发〔2003〕348号）规定：对单位和个人从事技术转让、技术开发业务和与之相关的技术咨询、技术服务业务取得的收入， 免征营业税。</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根据《国务院关于印发进一步鼓励软件产业和集成电路产业发展若干政策的通知》（国发〔2011〕4号）的有关规定，继 续实施软件增值税优惠政策；对符合条件的软件企业和集成电路设计企业从事软件开发与测试，信息系统集成、咨询和运营 维护，集成电路设计等业务，免征营业税。</w:t>
      </w:r>
    </w:p>
    <w:p>
      <w:pPr>
        <w:pStyle w:val="Style28"/>
        <w:keepNext w:val="0"/>
        <w:keepLines w:val="0"/>
        <w:widowControl w:val="0"/>
        <w:shd w:val="clear" w:color="auto" w:fill="auto"/>
        <w:tabs>
          <w:tab w:pos="870" w:val="left"/>
        </w:tabs>
        <w:bidi w:val="0"/>
        <w:spacing w:before="0" w:after="0" w:line="470" w:lineRule="exact"/>
        <w:ind w:left="0" w:right="0"/>
        <w:jc w:val="left"/>
      </w:pPr>
      <w:bookmarkStart w:id="920" w:name="bookmark920"/>
      <w:r>
        <w:rPr>
          <w:color w:val="000000"/>
          <w:spacing w:val="0"/>
          <w:w w:val="100"/>
          <w:position w:val="0"/>
        </w:rPr>
        <w:t>（</w:t>
      </w:r>
      <w:bookmarkEnd w:id="920"/>
      <w:r>
        <w:rPr>
          <w:color w:val="000000"/>
          <w:spacing w:val="0"/>
          <w:w w:val="100"/>
          <w:position w:val="0"/>
        </w:rPr>
        <w:t>三）</w:t>
        <w:tab/>
        <w:t>企业所得税及享受的税收优惠政策</w:t>
      </w:r>
    </w:p>
    <w:p>
      <w:pPr>
        <w:pStyle w:val="Style28"/>
        <w:keepNext w:val="0"/>
        <w:keepLines w:val="0"/>
        <w:widowControl w:val="0"/>
        <w:numPr>
          <w:ilvl w:val="0"/>
          <w:numId w:val="67"/>
        </w:numPr>
        <w:shd w:val="clear" w:color="auto" w:fill="auto"/>
        <w:tabs>
          <w:tab w:pos="687" w:val="left"/>
        </w:tabs>
        <w:bidi w:val="0"/>
        <w:spacing w:before="0" w:after="0" w:line="470" w:lineRule="exact"/>
        <w:ind w:left="0" w:right="0"/>
        <w:jc w:val="left"/>
      </w:pPr>
      <w:bookmarkStart w:id="921" w:name="bookmark921"/>
      <w:bookmarkEnd w:id="921"/>
      <w:r>
        <w:rPr>
          <w:color w:val="000000"/>
          <w:spacing w:val="0"/>
          <w:w w:val="100"/>
          <w:position w:val="0"/>
        </w:rPr>
        <w:t>本公司通过高新技术企业复审，于2011年10月31日取得深圳市科技工贸和信息化委员会、深圳市财政委员会、深圳市 国家税务局、深圳市地方税务局联合下发的《高新技术企业证书》，有效期三年。本公司从2011年度起连续三年继续享受减 按15%税率征收企业所得税。</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本公司2013年12月被国家发展和改革委员会、工业和信息化部、财政部、商务部和国家税务总局联合认定为</w:t>
      </w:r>
      <w:r>
        <w:rPr>
          <w:color w:val="000000"/>
          <w:spacing w:val="0"/>
          <w:w w:val="100"/>
          <w:position w:val="0"/>
        </w:rPr>
        <w:t xml:space="preserve">2013-2014 </w:t>
      </w:r>
      <w:r>
        <w:rPr>
          <w:color w:val="000000"/>
          <w:spacing w:val="0"/>
          <w:w w:val="100"/>
          <w:position w:val="0"/>
        </w:rPr>
        <w:t>年度国家规划布局内重点软件企业，根据《关于进一步鼓励软件产业和集成电路产业发展企业所得税政策的通知》（财税 [2012]27号）的有关规定，国家规划布局内重点软件生产企业，如当年未享受免税优惠的，减按10%的税率征收企业所得税。</w:t>
      </w:r>
    </w:p>
    <w:p>
      <w:pPr>
        <w:pStyle w:val="Style28"/>
        <w:keepNext w:val="0"/>
        <w:keepLines w:val="0"/>
        <w:widowControl w:val="0"/>
        <w:shd w:val="clear" w:color="auto" w:fill="auto"/>
        <w:bidi w:val="0"/>
        <w:spacing w:before="0" w:after="0" w:line="470" w:lineRule="exact"/>
        <w:ind w:left="0" w:right="0"/>
        <w:jc w:val="left"/>
      </w:pPr>
      <w:r>
        <w:rPr>
          <w:color w:val="000000"/>
          <w:spacing w:val="0"/>
          <w:w w:val="100"/>
          <w:position w:val="0"/>
        </w:rPr>
        <w:t>故本公司2013年度企业所得税税率实际为10%。</w:t>
      </w:r>
    </w:p>
    <w:p>
      <w:pPr>
        <w:pStyle w:val="Style28"/>
        <w:keepNext w:val="0"/>
        <w:keepLines w:val="0"/>
        <w:widowControl w:val="0"/>
        <w:numPr>
          <w:ilvl w:val="0"/>
          <w:numId w:val="67"/>
        </w:numPr>
        <w:shd w:val="clear" w:color="auto" w:fill="auto"/>
        <w:tabs>
          <w:tab w:pos="712" w:val="left"/>
        </w:tabs>
        <w:bidi w:val="0"/>
        <w:spacing w:before="0" w:after="0" w:line="470" w:lineRule="exact"/>
        <w:ind w:left="0" w:right="0"/>
        <w:jc w:val="both"/>
      </w:pPr>
      <w:bookmarkStart w:id="922" w:name="bookmark922"/>
      <w:bookmarkEnd w:id="922"/>
      <w:r>
        <w:rPr>
          <w:color w:val="000000"/>
          <w:spacing w:val="0"/>
          <w:w w:val="100"/>
          <w:position w:val="0"/>
        </w:rPr>
        <w:t>本公司的控股子公司深圳市银之杰金融设备有限公司成立于2008年11月，法定企业所得税税率为25%。</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根据《财政部、国家税务总局关于企业所得税若干优惠政策的通知》（财税[2008]1号）规定，本公司的控股子公司深圳 市银之杰金融设备有限公司于2009年12月经深圳市福田区国家税务局深国税福减免备案[2009]22 7号文件备案登记，同意该 公司从开始获利年度起，两年免征企业所得税，三年减半征收企业所得税。</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2009年度为本公司的控股子公司深圳市银之杰金融设备有限公司的第一获利年度，2013年度为减半征收，企业所得税率 为12.5%。</w:t>
      </w:r>
    </w:p>
    <w:p>
      <w:pPr>
        <w:pStyle w:val="Style28"/>
        <w:keepNext w:val="0"/>
        <w:keepLines w:val="0"/>
        <w:widowControl w:val="0"/>
        <w:numPr>
          <w:ilvl w:val="0"/>
          <w:numId w:val="67"/>
        </w:numPr>
        <w:shd w:val="clear" w:color="auto" w:fill="auto"/>
        <w:tabs>
          <w:tab w:pos="712" w:val="left"/>
        </w:tabs>
        <w:bidi w:val="0"/>
        <w:spacing w:before="0" w:after="0" w:line="470" w:lineRule="exact"/>
        <w:ind w:left="0" w:right="0"/>
        <w:jc w:val="both"/>
      </w:pPr>
      <w:bookmarkStart w:id="923" w:name="bookmark923"/>
      <w:bookmarkEnd w:id="923"/>
      <w:r>
        <w:rPr>
          <w:color w:val="000000"/>
          <w:spacing w:val="0"/>
          <w:w w:val="100"/>
          <w:position w:val="0"/>
        </w:rPr>
        <w:t>本公司的控股子公司深圳市银之杰技术开发有限公司成立于2011年5月，法定企业所得税税率为25%。</w:t>
      </w:r>
    </w:p>
    <w:p>
      <w:pPr>
        <w:pStyle w:val="Style28"/>
        <w:keepNext w:val="0"/>
        <w:keepLines w:val="0"/>
        <w:widowControl w:val="0"/>
        <w:shd w:val="clear" w:color="auto" w:fill="auto"/>
        <w:bidi w:val="0"/>
        <w:spacing w:before="0" w:after="240" w:line="470" w:lineRule="exact"/>
        <w:ind w:left="0" w:right="0"/>
        <w:jc w:val="both"/>
      </w:pPr>
      <w:r>
        <w:rPr>
          <w:color w:val="000000"/>
          <w:spacing w:val="0"/>
          <w:w w:val="100"/>
          <w:position w:val="0"/>
        </w:rPr>
        <w:t xml:space="preserve">根据《财政部、国家税务总局关于企业所得税若干优惠政策的通知》（财税[2008]1号）规定，本公司的控股子公司深圳 市银之杰技术开发有限公司于2012年5月经深圳市福田区国家税务局深国税福减免备案[2012]425号文件备案登记，同意该公 </w:t>
      </w:r>
      <w:r>
        <w:rPr>
          <w:color w:val="000000"/>
          <w:spacing w:val="0"/>
          <w:w w:val="100"/>
          <w:position w:val="0"/>
        </w:rPr>
        <w:t>司从开始获利年度起，两年免征企业所得税，三年减半征收企业所得税。</w:t>
      </w:r>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2013年度为本公司的控股子公司深圳市银之杰技术开发有限公司的第一获利年度，当年度免征企业所得税。</w:t>
      </w:r>
    </w:p>
    <w:p>
      <w:pPr>
        <w:pStyle w:val="Style33"/>
        <w:keepNext/>
        <w:keepLines/>
        <w:widowControl w:val="0"/>
        <w:shd w:val="clear" w:color="auto" w:fill="auto"/>
        <w:bidi w:val="0"/>
        <w:spacing w:before="0" w:after="44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3</w:t>
      </w:r>
      <w:bookmarkEnd w:id="926"/>
      <w:r>
        <w:rPr>
          <w:color w:val="000000"/>
          <w:spacing w:val="0"/>
          <w:w w:val="100"/>
          <w:position w:val="0"/>
        </w:rPr>
        <w:t>、其他说明</w:t>
      </w:r>
      <w:bookmarkEnd w:id="924"/>
      <w:bookmarkEnd w:id="925"/>
      <w:bookmarkEnd w:id="927"/>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无。</w:t>
      </w:r>
    </w:p>
    <w:p>
      <w:pPr>
        <w:pStyle w:val="Style26"/>
        <w:keepNext/>
        <w:keepLines/>
        <w:widowControl w:val="0"/>
        <w:shd w:val="clear" w:color="auto" w:fill="auto"/>
        <w:bidi w:val="0"/>
        <w:spacing w:before="0" w:after="32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sz w:val="24"/>
          <w:szCs w:val="24"/>
        </w:rPr>
        <w:t>六</w:t>
      </w:r>
      <w:bookmarkEnd w:id="930"/>
      <w:r>
        <w:rPr>
          <w:color w:val="000000"/>
          <w:spacing w:val="0"/>
          <w:w w:val="100"/>
          <w:position w:val="0"/>
          <w:sz w:val="24"/>
          <w:szCs w:val="24"/>
        </w:rPr>
        <w:t>、企业合并及合并财务报表</w:t>
      </w:r>
      <w:bookmarkEnd w:id="928"/>
      <w:bookmarkEnd w:id="929"/>
      <w:bookmarkEnd w:id="931"/>
    </w:p>
    <w:p>
      <w:pPr>
        <w:pStyle w:val="Style33"/>
        <w:keepNext/>
        <w:keepLines/>
        <w:widowControl w:val="0"/>
        <w:shd w:val="clear" w:color="auto" w:fill="auto"/>
        <w:bidi w:val="0"/>
        <w:spacing w:before="0" w:after="320" w:line="240" w:lineRule="auto"/>
        <w:ind w:left="0" w:right="0" w:firstLine="0"/>
        <w:jc w:val="left"/>
      </w:pPr>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932"/>
      <w:bookmarkEnd w:id="933"/>
      <w:bookmarkEnd w:id="934"/>
    </w:p>
    <w:p>
      <w:pPr>
        <w:pStyle w:val="Style33"/>
        <w:keepNext/>
        <w:keepLines/>
        <w:widowControl w:val="0"/>
        <w:shd w:val="clear" w:color="auto" w:fill="auto"/>
        <w:bidi w:val="0"/>
        <w:spacing w:before="0" w:after="360" w:line="240" w:lineRule="auto"/>
        <w:ind w:left="0" w:right="0" w:firstLine="0"/>
        <w:jc w:val="left"/>
      </w:pPr>
      <w:bookmarkStart w:id="932" w:name="bookmark932"/>
      <w:bookmarkStart w:id="933" w:name="bookmark933"/>
      <w:bookmarkStart w:id="935" w:name="bookmark9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932"/>
      <w:bookmarkEnd w:id="933"/>
      <w:bookmarkEnd w:id="9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422"/>
        <w:gridCol w:w="427"/>
        <w:gridCol w:w="566"/>
        <w:gridCol w:w="566"/>
        <w:gridCol w:w="1277"/>
        <w:gridCol w:w="710"/>
        <w:gridCol w:w="643"/>
        <w:gridCol w:w="686"/>
        <w:gridCol w:w="514"/>
        <w:gridCol w:w="566"/>
        <w:gridCol w:w="566"/>
        <w:gridCol w:w="710"/>
        <w:gridCol w:w="1066"/>
      </w:tblGrid>
      <w:tr>
        <w:trPr>
          <w:trHeight w:val="35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子公司全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 司类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注册 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表决 权比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合并 报表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从母公司所 有者权益冲 减子公司少 数股东分担 的本期亏损 超过少数股 东在该子公 司年初所有 者权益中所 享有份额后 的余额</w:t>
            </w:r>
          </w:p>
        </w:tc>
      </w:tr>
      <w:tr>
        <w:trPr>
          <w:trHeight w:val="445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深圳市银 之杰金融 设备有限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 开发、 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计算机硬件、计 算机外围设备、 金融自动化设 备、图像采集设 备、机具、自助 服务设备、打印 设备的技术开 发、生产、销售、 上门维修；计算 机软硬件、金融 专用设备的上 门维修、技术开 发与技术咨询； 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994"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深圳市银</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之杰技术</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 的技术设计、技 术开发、技术咨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854"/>
        <w:gridCol w:w="422"/>
        <w:gridCol w:w="427"/>
        <w:gridCol w:w="566"/>
        <w:gridCol w:w="566"/>
        <w:gridCol w:w="1277"/>
        <w:gridCol w:w="710"/>
        <w:gridCol w:w="643"/>
        <w:gridCol w:w="686"/>
        <w:gridCol w:w="514"/>
        <w:gridCol w:w="566"/>
        <w:gridCol w:w="566"/>
        <w:gridCol w:w="710"/>
        <w:gridCol w:w="1066"/>
      </w:tblGrid>
      <w:tr>
        <w:trPr>
          <w:trHeight w:val="37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询与销售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通过设立或投资等方式取得的子公司的其他说明</w:t>
      </w:r>
    </w:p>
    <w:p>
      <w:pPr>
        <w:widowControl w:val="0"/>
        <w:spacing w:after="239" w:line="1" w:lineRule="exact"/>
      </w:pPr>
    </w:p>
    <w:p>
      <w:pPr>
        <w:pStyle w:val="Style28"/>
        <w:keepNext w:val="0"/>
        <w:keepLines w:val="0"/>
        <w:widowControl w:val="0"/>
        <w:shd w:val="clear" w:color="auto" w:fill="auto"/>
        <w:bidi w:val="0"/>
        <w:spacing w:before="0" w:after="460" w:line="240" w:lineRule="auto"/>
        <w:ind w:left="0" w:right="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sz w:val="24"/>
          <w:szCs w:val="24"/>
        </w:rPr>
        <w:t>七</w:t>
      </w:r>
      <w:bookmarkEnd w:id="938"/>
      <w:r>
        <w:rPr>
          <w:color w:val="000000"/>
          <w:spacing w:val="0"/>
          <w:w w:val="100"/>
          <w:position w:val="0"/>
          <w:sz w:val="24"/>
          <w:szCs w:val="24"/>
        </w:rPr>
        <w:t>、合并财务报表主要项目注释</w:t>
      </w:r>
      <w:bookmarkEnd w:id="936"/>
      <w:bookmarkEnd w:id="937"/>
      <w:bookmarkEnd w:id="939"/>
    </w:p>
    <w:p>
      <w:pPr>
        <w:pStyle w:val="Style33"/>
        <w:keepNext/>
        <w:keepLines/>
        <w:widowControl w:val="0"/>
        <w:shd w:val="clear" w:color="auto" w:fill="auto"/>
        <w:bidi w:val="0"/>
        <w:spacing w:before="0" w:after="340" w:line="240" w:lineRule="auto"/>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40"/>
      <w:bookmarkEnd w:id="941"/>
      <w:bookmarkEnd w:id="94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人民币金额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54,657.71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166,147.46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54,657.71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166,147.46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295,651,304.39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349,916,040.36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295,651,304.39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349,916,040.36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26,559.67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3,026,445.00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26,559.67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3,026,445.00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295,732,521.77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353,108,632.82</w:t>
            </w:r>
          </w:p>
        </w:tc>
      </w:tr>
    </w:tbl>
    <w:p>
      <w:pPr>
        <w:pStyle w:val="Style28"/>
        <w:keepNext w:val="0"/>
        <w:keepLines w:val="0"/>
        <w:widowControl w:val="0"/>
        <w:shd w:val="clear" w:color="auto" w:fill="auto"/>
        <w:bidi w:val="0"/>
        <w:spacing w:before="0" w:after="460" w:line="466" w:lineRule="exact"/>
        <w:ind w:left="380" w:right="0" w:firstLine="0"/>
        <w:jc w:val="left"/>
      </w:pPr>
      <w:r>
        <w:rPr>
          <w:color w:val="000000"/>
          <w:spacing w:val="0"/>
          <w:w w:val="100"/>
          <w:position w:val="0"/>
        </w:rPr>
        <w:t>如有因抵押、质押或冻结等对使用有限制、存放在境外、有潜在回收风险的款项应单独说明 期末货币资金不存在抵押，质押和冻结情况。</w:t>
      </w:r>
    </w:p>
    <w:p>
      <w:pPr>
        <w:pStyle w:val="Style33"/>
        <w:keepNext/>
        <w:keepLines/>
        <w:widowControl w:val="0"/>
        <w:shd w:val="clear" w:color="auto" w:fill="auto"/>
        <w:bidi w:val="0"/>
        <w:spacing w:before="0" w:after="340" w:line="240" w:lineRule="auto"/>
        <w:ind w:left="0" w:right="0" w:firstLine="0"/>
        <w:jc w:val="left"/>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r>
        <w:rPr>
          <w:color w:val="000000"/>
          <w:spacing w:val="0"/>
          <w:w w:val="100"/>
          <w:position w:val="0"/>
        </w:rPr>
        <w:t>、应收利息</w:t>
      </w:r>
      <w:bookmarkEnd w:id="943"/>
      <w:bookmarkEnd w:id="944"/>
      <w:bookmarkEnd w:id="945"/>
    </w:p>
    <w:p>
      <w:pPr>
        <w:pStyle w:val="Style33"/>
        <w:keepNext/>
        <w:keepLines/>
        <w:widowControl w:val="0"/>
        <w:shd w:val="clear" w:color="auto" w:fill="auto"/>
        <w:bidi w:val="0"/>
        <w:spacing w:before="0" w:after="340" w:line="240" w:lineRule="auto"/>
        <w:ind w:left="0" w:right="0" w:firstLine="0"/>
        <w:jc w:val="left"/>
      </w:pPr>
      <w:bookmarkStart w:id="943" w:name="bookmark943"/>
      <w:bookmarkStart w:id="944" w:name="bookmark944"/>
      <w:bookmarkStart w:id="946" w:name="bookmark9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943"/>
      <w:bookmarkEnd w:id="944"/>
      <w:bookmarkEnd w:id="94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67"/>
        <w:gridCol w:w="1858"/>
        <w:gridCol w:w="1862"/>
        <w:gridCol w:w="1858"/>
        <w:gridCol w:w="21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5,970,135.56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5,019,002.23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951,133.33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5,970,135.56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5,019,002.23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951,133.33</w:t>
            </w:r>
          </w:p>
        </w:tc>
      </w:tr>
    </w:tbl>
    <w:p>
      <w:pPr>
        <w:widowControl w:val="0"/>
        <w:spacing w:after="339" w:line="1" w:lineRule="exact"/>
      </w:pPr>
    </w:p>
    <w:p>
      <w:pPr>
        <w:pStyle w:val="Style33"/>
        <w:keepNext/>
        <w:keepLines/>
        <w:widowControl w:val="0"/>
        <w:shd w:val="clear" w:color="auto" w:fill="auto"/>
        <w:bidi w:val="0"/>
        <w:spacing w:before="0" w:after="460" w:line="240" w:lineRule="auto"/>
        <w:ind w:left="0" w:right="0" w:firstLine="140"/>
        <w:jc w:val="left"/>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r>
        <w:rPr>
          <w:color w:val="000000"/>
          <w:spacing w:val="0"/>
          <w:w w:val="100"/>
          <w:position w:val="0"/>
        </w:rPr>
        <w:t>)应收利息的说明</w:t>
      </w:r>
      <w:bookmarkEnd w:id="947"/>
      <w:bookmarkEnd w:id="948"/>
      <w:bookmarkEnd w:id="949"/>
    </w:p>
    <w:p>
      <w:pPr>
        <w:pStyle w:val="Style28"/>
        <w:keepNext w:val="0"/>
        <w:keepLines w:val="0"/>
        <w:widowControl w:val="0"/>
        <w:shd w:val="clear" w:color="auto" w:fill="auto"/>
        <w:bidi w:val="0"/>
        <w:spacing w:before="0" w:after="340" w:line="240" w:lineRule="auto"/>
        <w:ind w:left="0" w:right="0"/>
        <w:jc w:val="left"/>
      </w:pPr>
      <w:r>
        <w:rPr>
          <w:color w:val="000000"/>
          <w:spacing w:val="0"/>
          <w:w w:val="100"/>
          <w:position w:val="0"/>
        </w:rPr>
        <w:t>本期应收利息期末余额为尚未到期银行存款应计利息。</w:t>
      </w:r>
      <w:r>
        <w:br w:type="page"/>
      </w:r>
    </w:p>
    <w:p>
      <w:pPr>
        <w:pStyle w:val="Style33"/>
        <w:keepNext/>
        <w:keepLines/>
        <w:widowControl w:val="0"/>
        <w:shd w:val="clear" w:color="auto" w:fill="auto"/>
        <w:bidi w:val="0"/>
        <w:spacing w:before="0" w:after="36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color w:val="000000"/>
          <w:spacing w:val="0"/>
          <w:w w:val="100"/>
          <w:position w:val="0"/>
        </w:rPr>
        <w:t>、应收账款</w:t>
      </w:r>
      <w:bookmarkEnd w:id="950"/>
      <w:bookmarkEnd w:id="951"/>
      <w:bookmarkEnd w:id="953"/>
    </w:p>
    <w:p>
      <w:pPr>
        <w:pStyle w:val="Style33"/>
        <w:keepNext/>
        <w:keepLines/>
        <w:widowControl w:val="0"/>
        <w:shd w:val="clear" w:color="auto" w:fill="auto"/>
        <w:bidi w:val="0"/>
        <w:spacing w:before="0" w:after="360" w:line="240" w:lineRule="auto"/>
        <w:ind w:left="0" w:right="0" w:firstLine="140"/>
        <w:jc w:val="left"/>
      </w:pPr>
      <w:bookmarkStart w:id="950" w:name="bookmark950"/>
      <w:bookmarkStart w:id="951" w:name="bookmark951"/>
      <w:bookmarkStart w:id="954" w:name="bookmark954"/>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950"/>
      <w:bookmarkEnd w:id="951"/>
      <w:bookmarkEnd w:id="95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262"/>
        <w:gridCol w:w="710"/>
        <w:gridCol w:w="1133"/>
        <w:gridCol w:w="706"/>
        <w:gridCol w:w="1138"/>
        <w:gridCol w:w="706"/>
        <w:gridCol w:w="1138"/>
        <w:gridCol w:w="78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100,409,846.85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8,941,741.11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74,185,884.24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6,664,363.21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100,409,846.85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8,941,741.11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74,185,884.24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6,664,363.21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100,409,846.85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8,941,741.11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74,185,884.24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6,664,363.21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360" w:line="466" w:lineRule="exact"/>
        <w:ind w:left="0" w:right="0"/>
        <w:jc w:val="both"/>
      </w:pPr>
      <w:r>
        <w:rPr>
          <w:color w:val="000000"/>
          <w:spacing w:val="0"/>
          <w:w w:val="100"/>
          <w:position w:val="0"/>
        </w:rPr>
        <w:t>按款项账龄的组合计提坏账准备的应收账款，是指将未单项计提坏账准备的应收账款按账龄划分为若干组合，根据以前 年度与之相同或相类似的、具有类似信用风险特征的应收账款组合的实际损失率为基础，结合现时情况确定各项组合计提坏 账准备的比例，据此计算应计提的坏账准备。</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69"/>
        <w:gridCol w:w="1594"/>
        <w:gridCol w:w="931"/>
        <w:gridCol w:w="1728"/>
        <w:gridCol w:w="1459"/>
        <w:gridCol w:w="922"/>
        <w:gridCol w:w="14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68,789,933.91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3,439,496.70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51,662,260.94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2,583,113.05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23,211,646.57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2,321,164.66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13,301,856.85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1,330,185.68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3,410,178.10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682,035.62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6,199,395.81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1,239,879.16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4,998,088.27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2,499,044.13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3,022,370.64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1,511,185.32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4,998,088.27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2,499,044.13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3,022,370.64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1,511,185.32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100,409,846.85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8,941,741.11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74,185,884.24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6,664,363.21</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955" w:name="bookmark955"/>
      <w:bookmarkStart w:id="956" w:name="bookmark956"/>
      <w:bookmarkStart w:id="957" w:name="bookmark9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955"/>
      <w:bookmarkEnd w:id="956"/>
      <w:bookmarkEnd w:id="95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699"/>
        <w:gridCol w:w="1915"/>
        <w:gridCol w:w="1493"/>
        <w:gridCol w:w="234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天津城市商业银行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5,360,368.00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广西自治区农村信用联社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5,219,463.00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中国农业银行江苏省分行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3,454,620.00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广东华兴银行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2,125,667.20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2,100,100.00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18,260,218.20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4</w:t>
      </w:r>
      <w:bookmarkEnd w:id="960"/>
      <w:r>
        <w:rPr>
          <w:color w:val="000000"/>
          <w:spacing w:val="0"/>
          <w:w w:val="100"/>
          <w:position w:val="0"/>
        </w:rPr>
        <w:t>、其他应收款</w:t>
      </w:r>
      <w:bookmarkEnd w:id="958"/>
      <w:bookmarkEnd w:id="959"/>
      <w:bookmarkEnd w:id="961"/>
    </w:p>
    <w:p>
      <w:pPr>
        <w:pStyle w:val="Style33"/>
        <w:keepNext/>
        <w:keepLines/>
        <w:widowControl w:val="0"/>
        <w:shd w:val="clear" w:color="auto" w:fill="auto"/>
        <w:bidi w:val="0"/>
        <w:spacing w:before="0" w:after="340" w:line="240" w:lineRule="auto"/>
        <w:ind w:left="0" w:right="0" w:firstLine="0"/>
        <w:jc w:val="both"/>
      </w:pPr>
      <w:bookmarkStart w:id="958" w:name="bookmark958"/>
      <w:bookmarkStart w:id="959" w:name="bookmark959"/>
      <w:bookmarkStart w:id="962" w:name="bookmark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958"/>
      <w:bookmarkEnd w:id="959"/>
      <w:bookmarkEnd w:id="96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056"/>
        <w:gridCol w:w="792"/>
        <w:gridCol w:w="1061"/>
        <w:gridCol w:w="792"/>
        <w:gridCol w:w="1061"/>
        <w:gridCol w:w="922"/>
        <w:gridCol w:w="1190"/>
        <w:gridCol w:w="80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9,067,092.61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709,382.91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6,812,685.07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450,813.52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9,067,092.61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709,382.91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6,812,685.07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450,813.52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9,067,092.61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709,382.91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6,812,685.07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450,813.52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其他应收款种类的说明</w:t>
      </w:r>
    </w:p>
    <w:p>
      <w:pPr>
        <w:pStyle w:val="Style28"/>
        <w:keepNext w:val="0"/>
        <w:keepLines w:val="0"/>
        <w:widowControl w:val="0"/>
        <w:shd w:val="clear" w:color="auto" w:fill="auto"/>
        <w:bidi w:val="0"/>
        <w:spacing w:before="0" w:after="40" w:line="310" w:lineRule="exact"/>
        <w:ind w:left="0" w:right="0" w:firstLine="0"/>
        <w:jc w:val="both"/>
      </w:pPr>
      <w:r>
        <w:rPr>
          <w:color w:val="000000"/>
          <w:spacing w:val="0"/>
          <w:w w:val="100"/>
          <w:position w:val="0"/>
        </w:rPr>
        <w:t>按款项账龄的组合计提坏账准备的其他应收款，是指将未单项计提坏账准备的其他应收款按账龄划分为若干组合，根据以前 年度与之相同或相类似的、具有类似信用风险特征的其他应收款组合的实际损失率为基础，结合现时情况确定各项组合计提 坏账准备的比例，据此计算应计提的坏账准备。</w:t>
      </w:r>
    </w:p>
    <w:p>
      <w:pPr>
        <w:pStyle w:val="Style28"/>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310" w:lineRule="exact"/>
        <w:ind w:left="0" w:right="0" w:firstLine="0"/>
        <w:jc w:val="both"/>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310" w:lineRule="exact"/>
        <w:ind w:left="0" w:right="0" w:firstLine="0"/>
        <w:jc w:val="right"/>
      </w:pPr>
      <w:r>
        <w:rPr>
          <w:color w:val="000000"/>
          <w:spacing w:val="0"/>
          <w:w w:val="100"/>
          <w:position w:val="0"/>
        </w:rPr>
        <w:t>单位：元</w:t>
      </w:r>
    </w:p>
    <w:tbl>
      <w:tblPr>
        <w:tblOverlap w:val="never"/>
        <w:jc w:val="center"/>
        <w:tblLayout w:type="fixed"/>
      </w:tblPr>
      <w:tblGrid>
        <w:gridCol w:w="1848"/>
        <w:gridCol w:w="3950"/>
        <w:gridCol w:w="378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848"/>
        <w:gridCol w:w="1843"/>
        <w:gridCol w:w="658"/>
        <w:gridCol w:w="1450"/>
        <w:gridCol w:w="1450"/>
        <w:gridCol w:w="653"/>
        <w:gridCol w:w="168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6,044,786.63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291,398.31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5,659,083.20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226,973.33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2,732,920.98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273,292.10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792,251.87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79,225.19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289,385.00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144,692.50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241,150.00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120,575.00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289,385.00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144,692.50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241,150.00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120,575.00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9,067,092.61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709,382.91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6,812,685.07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450,813.52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963" w:name="bookmark963"/>
      <w:bookmarkStart w:id="964" w:name="bookmark964"/>
      <w:bookmarkStart w:id="965" w:name="bookmark9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)金额较大的其他应收款的性质或内容</w:t>
      </w:r>
      <w:bookmarkEnd w:id="963"/>
      <w:bookmarkEnd w:id="964"/>
      <w:bookmarkEnd w:id="96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1915"/>
        <w:gridCol w:w="288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海口农村商业银行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中国农业银行甘肃省分行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9.37%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冯苏军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303,120.00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北京豪威大厦有限公司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290,602.36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3.21%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廖珊怡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164,870.00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1.82%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2,708,592.36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w:t>
            </w:r>
          </w:p>
        </w:tc>
      </w:tr>
    </w:tbl>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说明</w:t>
      </w:r>
    </w:p>
    <w:p>
      <w:pPr>
        <w:widowControl w:val="0"/>
        <w:spacing w:after="419" w:line="1" w:lineRule="exact"/>
      </w:pPr>
    </w:p>
    <w:p>
      <w:pPr>
        <w:pStyle w:val="Style33"/>
        <w:keepNext/>
        <w:keepLines/>
        <w:widowControl w:val="0"/>
        <w:numPr>
          <w:ilvl w:val="0"/>
          <w:numId w:val="45"/>
        </w:numPr>
        <w:shd w:val="clear" w:color="auto" w:fill="auto"/>
        <w:bidi w:val="0"/>
        <w:spacing w:before="0" w:after="360" w:line="240" w:lineRule="auto"/>
        <w:ind w:left="0" w:right="0" w:firstLine="0"/>
        <w:jc w:val="left"/>
      </w:pPr>
      <w:bookmarkStart w:id="966" w:name="bookmark966"/>
      <w:bookmarkStart w:id="967" w:name="bookmark967"/>
      <w:bookmarkStart w:id="968" w:name="bookmark968"/>
      <w:bookmarkStart w:id="969" w:name="bookmark969"/>
      <w:bookmarkEnd w:id="968"/>
      <w:r>
        <w:rPr>
          <w:color w:val="000000"/>
          <w:spacing w:val="0"/>
          <w:w w:val="100"/>
          <w:position w:val="0"/>
        </w:rPr>
        <w:t>其他应收款金额前五名单位情况</w:t>
      </w:r>
      <w:bookmarkEnd w:id="966"/>
      <w:bookmarkEnd w:id="967"/>
      <w:bookmarkEnd w:id="96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704"/>
        <w:gridCol w:w="1555"/>
        <w:gridCol w:w="249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海口农村商业银行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中国农业银行甘肃省分行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冯苏军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303,120.00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r>
    </w:tbl>
    <w:p>
      <w:pPr>
        <w:widowControl w:val="0"/>
        <w:spacing w:line="1" w:lineRule="exact"/>
      </w:pPr>
      <w:r>
        <w:br w:type="page"/>
      </w:r>
    </w:p>
    <w:tbl>
      <w:tblPr>
        <w:tblOverlap w:val="never"/>
        <w:jc w:val="center"/>
        <w:tblLayout w:type="fixed"/>
      </w:tblPr>
      <w:tblGrid>
        <w:gridCol w:w="2414"/>
        <w:gridCol w:w="1416"/>
        <w:gridCol w:w="1704"/>
        <w:gridCol w:w="1555"/>
        <w:gridCol w:w="2491"/>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北京豪威大厦有限公司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290,602.36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廖珊怡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2,708,592.36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5</w:t>
      </w:r>
      <w:bookmarkEnd w:id="972"/>
      <w:r>
        <w:rPr>
          <w:color w:val="000000"/>
          <w:spacing w:val="0"/>
          <w:w w:val="100"/>
          <w:position w:val="0"/>
        </w:rPr>
        <w:t>、预付款项</w:t>
      </w:r>
      <w:bookmarkEnd w:id="970"/>
      <w:bookmarkEnd w:id="971"/>
      <w:bookmarkEnd w:id="973"/>
    </w:p>
    <w:p>
      <w:pPr>
        <w:pStyle w:val="Style33"/>
        <w:keepNext/>
        <w:keepLines/>
        <w:widowControl w:val="0"/>
        <w:shd w:val="clear" w:color="auto" w:fill="auto"/>
        <w:bidi w:val="0"/>
        <w:spacing w:before="0" w:after="340" w:line="240" w:lineRule="auto"/>
        <w:ind w:left="0" w:right="0" w:firstLine="0"/>
        <w:jc w:val="left"/>
      </w:pPr>
      <w:bookmarkStart w:id="970" w:name="bookmark970"/>
      <w:bookmarkStart w:id="971" w:name="bookmark971"/>
      <w:bookmarkStart w:id="974" w:name="bookmark9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70"/>
      <w:bookmarkEnd w:id="971"/>
      <w:bookmarkEnd w:id="97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3187"/>
        <w:gridCol w:w="1061"/>
        <w:gridCol w:w="3058"/>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8,000,607.76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6,840,806.51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8,076,300.69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7,096,996.51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260" w:line="240" w:lineRule="auto"/>
        <w:ind w:left="0" w:right="0"/>
        <w:jc w:val="left"/>
      </w:pPr>
      <w:r>
        <w:rPr>
          <w:color w:val="000000"/>
          <w:spacing w:val="0"/>
          <w:w w:val="100"/>
          <w:position w:val="0"/>
        </w:rPr>
        <w:t>预付款项账龄的说明</w:t>
      </w:r>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无。</w:t>
      </w:r>
    </w:p>
    <w:p>
      <w:pPr>
        <w:pStyle w:val="Style33"/>
        <w:keepNext/>
        <w:keepLines/>
        <w:widowControl w:val="0"/>
        <w:shd w:val="clear" w:color="auto" w:fill="auto"/>
        <w:bidi w:val="0"/>
        <w:spacing w:before="0" w:after="340" w:line="240" w:lineRule="auto"/>
        <w:ind w:left="0" w:right="0" w:firstLine="140"/>
        <w:jc w:val="left"/>
      </w:pPr>
      <w:bookmarkStart w:id="975" w:name="bookmark975"/>
      <w:bookmarkStart w:id="976" w:name="bookmark976"/>
      <w:bookmarkStart w:id="977" w:name="bookmark9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75"/>
      <w:bookmarkEnd w:id="976"/>
      <w:bookmarkEnd w:id="97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560"/>
        <w:gridCol w:w="1560"/>
        <w:gridCol w:w="1704"/>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苏州市杰恩特自动化设备有限公司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5,954,401.36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深圳市福田区住房和建设局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1,011,300.00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广州市爱达利发展有限公司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219,925.64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北京世纪畅想科技发展有限公司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140,480.00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北京三奇拓达科技有限公司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114,914.30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7,441,021.30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440" w:line="470" w:lineRule="exact"/>
        <w:ind w:left="380" w:right="0" w:firstLine="0"/>
        <w:jc w:val="left"/>
      </w:pPr>
      <w:r>
        <w:rPr>
          <w:color w:val="000000"/>
          <w:spacing w:val="0"/>
          <w:w w:val="100"/>
          <w:position w:val="0"/>
        </w:rPr>
        <w:t>预付款项主要单位的说明 无。</w:t>
      </w:r>
    </w:p>
    <w:p>
      <w:pPr>
        <w:pStyle w:val="Style33"/>
        <w:keepNext/>
        <w:keepLines/>
        <w:widowControl w:val="0"/>
        <w:shd w:val="clear" w:color="auto" w:fill="auto"/>
        <w:bidi w:val="0"/>
        <w:spacing w:before="0" w:after="34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6</w:t>
      </w:r>
      <w:bookmarkEnd w:id="980"/>
      <w:r>
        <w:rPr>
          <w:color w:val="000000"/>
          <w:spacing w:val="0"/>
          <w:w w:val="100"/>
          <w:position w:val="0"/>
        </w:rPr>
        <w:t>、存货</w:t>
      </w:r>
      <w:bookmarkEnd w:id="978"/>
      <w:bookmarkEnd w:id="979"/>
      <w:bookmarkEnd w:id="981"/>
    </w:p>
    <w:p>
      <w:pPr>
        <w:pStyle w:val="Style33"/>
        <w:keepNext/>
        <w:keepLines/>
        <w:widowControl w:val="0"/>
        <w:shd w:val="clear" w:color="auto" w:fill="auto"/>
        <w:bidi w:val="0"/>
        <w:spacing w:before="0" w:after="340" w:line="240" w:lineRule="auto"/>
        <w:ind w:left="0" w:right="0" w:firstLine="0"/>
        <w:jc w:val="left"/>
      </w:pPr>
      <w:bookmarkStart w:id="978" w:name="bookmark978"/>
      <w:bookmarkStart w:id="979" w:name="bookmark979"/>
      <w:bookmarkStart w:id="982" w:name="bookmark9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78"/>
      <w:bookmarkEnd w:id="979"/>
      <w:bookmarkEnd w:id="98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3984"/>
        <w:gridCol w:w="399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603"/>
        <w:gridCol w:w="1459"/>
        <w:gridCol w:w="1195"/>
        <w:gridCol w:w="1330"/>
        <w:gridCol w:w="1325"/>
        <w:gridCol w:w="1330"/>
        <w:gridCol w:w="133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4,220,756.55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4,220,756.55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2,813,238.92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2,813,238.92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1,256,563.07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1,256,563.07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1,608,077.09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1,608,077.09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6,967,771.00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6,967,771.00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6,558,857.50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6,558,857.50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895,429.68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895,429.68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488,464.27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488,464.27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13,340,520.30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13,340,520.30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11,468,637.78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11,468,637.78</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7</w:t>
      </w:r>
      <w:bookmarkEnd w:id="985"/>
      <w:r>
        <w:rPr>
          <w:color w:val="000000"/>
          <w:spacing w:val="0"/>
          <w:w w:val="100"/>
          <w:position w:val="0"/>
        </w:rPr>
        <w:t>、其他流动资产</w:t>
      </w:r>
      <w:bookmarkEnd w:id="983"/>
      <w:bookmarkEnd w:id="984"/>
      <w:bookmarkEnd w:id="98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333,715.65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1,286,540.02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333,715.65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1,286,540.02</w:t>
            </w:r>
          </w:p>
        </w:tc>
      </w:tr>
    </w:tbl>
    <w:p>
      <w:pPr>
        <w:widowControl w:val="0"/>
        <w:spacing w:after="119" w:line="1" w:lineRule="exact"/>
      </w:pPr>
    </w:p>
    <w:p>
      <w:pPr>
        <w:pStyle w:val="Style28"/>
        <w:keepNext w:val="0"/>
        <w:keepLines w:val="0"/>
        <w:widowControl w:val="0"/>
        <w:shd w:val="clear" w:color="auto" w:fill="auto"/>
        <w:bidi w:val="0"/>
        <w:spacing w:before="0" w:after="240" w:line="240" w:lineRule="auto"/>
        <w:ind w:left="0" w:right="0"/>
        <w:jc w:val="left"/>
      </w:pPr>
      <w:r>
        <w:rPr>
          <w:color w:val="000000"/>
          <w:spacing w:val="0"/>
          <w:w w:val="100"/>
          <w:position w:val="0"/>
        </w:rPr>
        <w:t>其他流动资产说明</w:t>
      </w:r>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待摊费用主要为预付的房租。</w:t>
      </w:r>
    </w:p>
    <w:p>
      <w:pPr>
        <w:pStyle w:val="Style33"/>
        <w:keepNext/>
        <w:keepLines/>
        <w:widowControl w:val="0"/>
        <w:shd w:val="clear" w:color="auto" w:fill="auto"/>
        <w:bidi w:val="0"/>
        <w:spacing w:before="0" w:after="340" w:line="240"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8</w:t>
      </w:r>
      <w:bookmarkEnd w:id="989"/>
      <w:r>
        <w:rPr>
          <w:color w:val="000000"/>
          <w:spacing w:val="0"/>
          <w:w w:val="100"/>
          <w:position w:val="0"/>
        </w:rPr>
        <w:t>、长期股权投资</w:t>
      </w:r>
      <w:bookmarkEnd w:id="987"/>
      <w:bookmarkEnd w:id="988"/>
      <w:bookmarkEnd w:id="990"/>
    </w:p>
    <w:p>
      <w:pPr>
        <w:pStyle w:val="Style33"/>
        <w:keepNext/>
        <w:keepLines/>
        <w:widowControl w:val="0"/>
        <w:shd w:val="clear" w:color="auto" w:fill="auto"/>
        <w:bidi w:val="0"/>
        <w:spacing w:before="0" w:after="340" w:line="240" w:lineRule="auto"/>
        <w:ind w:left="0" w:right="0" w:firstLine="0"/>
        <w:jc w:val="left"/>
      </w:pPr>
      <w:bookmarkStart w:id="987" w:name="bookmark987"/>
      <w:bookmarkStart w:id="988" w:name="bookmark988"/>
      <w:bookmarkStart w:id="991" w:name="bookmark9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987"/>
      <w:bookmarkEnd w:id="988"/>
      <w:bookmarkEnd w:id="99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97"/>
        <w:gridCol w:w="797"/>
        <w:gridCol w:w="802"/>
        <w:gridCol w:w="797"/>
        <w:gridCol w:w="797"/>
        <w:gridCol w:w="835"/>
        <w:gridCol w:w="850"/>
        <w:gridCol w:w="850"/>
        <w:gridCol w:w="994"/>
        <w:gridCol w:w="850"/>
        <w:gridCol w:w="566"/>
        <w:gridCol w:w="653"/>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在被投资单 位持股比例 与表决权比 例不一致的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计提 减值 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本期现</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金红利</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深圳票联</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金融服务</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4,897,990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4,897,990.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北京华道 征信有限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24,900,00</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24,897,99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24,897,99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9</w:t>
      </w:r>
      <w:bookmarkEnd w:id="994"/>
      <w:r>
        <w:rPr>
          <w:color w:val="000000"/>
          <w:spacing w:val="0"/>
          <w:w w:val="100"/>
          <w:position w:val="0"/>
        </w:rPr>
        <w:t>、投资性房地产</w:t>
      </w:r>
      <w:bookmarkEnd w:id="992"/>
      <w:bookmarkEnd w:id="993"/>
      <w:bookmarkEnd w:id="995"/>
    </w:p>
    <w:p>
      <w:pPr>
        <w:pStyle w:val="Style33"/>
        <w:keepNext/>
        <w:keepLines/>
        <w:widowControl w:val="0"/>
        <w:shd w:val="clear" w:color="auto" w:fill="auto"/>
        <w:bidi w:val="0"/>
        <w:spacing w:before="0" w:after="340" w:line="240" w:lineRule="auto"/>
        <w:ind w:left="0" w:right="0" w:firstLine="0"/>
        <w:jc w:val="left"/>
      </w:pPr>
      <w:bookmarkStart w:id="992" w:name="bookmark992"/>
      <w:bookmarkStart w:id="993" w:name="bookmark993"/>
      <w:bookmarkStart w:id="996" w:name="bookmark9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992"/>
      <w:bookmarkEnd w:id="993"/>
      <w:bookmarkEnd w:id="996"/>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733"/>
        <w:gridCol w:w="1992"/>
        <w:gridCol w:w="1862"/>
        <w:gridCol w:w="1858"/>
        <w:gridCol w:w="21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48,700,488.23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48,700,488.23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48,700,488.23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48,700,488.23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二、累计折旧和累计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4,679,549.60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1,157,844.48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5,837,394.08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4,679,549.60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1,157,844.48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5,837,394.08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44,020,938.63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-1,157,844.48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42,863,094.15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44,020,938.63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-1,157,844.48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42,863,094.15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四、投资性房地产减 值准备累计金额合计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五、投资性房地产账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44,020,938.63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-1,157,844.48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42,863,094.15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44,020,938.63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-1,157,844.48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42,863,094.15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0.00</w:t>
            </w:r>
          </w:p>
        </w:tc>
      </w:tr>
    </w:tbl>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5362"/>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1,157,844.48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00"/>
      <w:bookmarkEnd w:id="997"/>
      <w:bookmarkEnd w:id="998"/>
    </w:p>
    <w:p>
      <w:pPr>
        <w:pStyle w:val="Style33"/>
        <w:keepNext/>
        <w:keepLines/>
        <w:widowControl w:val="0"/>
        <w:shd w:val="clear" w:color="auto" w:fill="auto"/>
        <w:bidi w:val="0"/>
        <w:spacing w:before="0" w:after="380" w:line="240" w:lineRule="auto"/>
        <w:ind w:left="0" w:right="0" w:firstLine="0"/>
        <w:jc w:val="left"/>
      </w:pPr>
      <w:bookmarkStart w:id="1001" w:name="bookmark1001"/>
      <w:bookmarkStart w:id="997" w:name="bookmark997"/>
      <w:bookmarkStart w:id="998" w:name="bookmark9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01"/>
      <w:bookmarkEnd w:id="997"/>
      <w:bookmarkEnd w:id="99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64"/>
        <w:gridCol w:w="2918"/>
        <w:gridCol w:w="1594"/>
        <w:gridCol w:w="147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11,981,392.95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1,813,974.38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100,067.37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13,695,299.96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2,655,464.72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1,080,932.31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3,736,397.03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4,161,140.00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4,161,140.00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3,952,033.50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661,418.80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100,067.37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4,513,384.93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1,212,754.73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71,623.27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1,284,378.00</w:t>
            </w:r>
          </w:p>
        </w:tc>
      </w:tr>
    </w:tbl>
    <w:p>
      <w:pPr>
        <w:widowControl w:val="0"/>
        <w:spacing w:line="1" w:lineRule="exact"/>
      </w:pPr>
      <w:r>
        <w:br w:type="page"/>
      </w:r>
    </w:p>
    <w:tbl>
      <w:tblPr>
        <w:tblOverlap w:val="never"/>
        <w:jc w:val="center"/>
        <w:tblLayout w:type="fixed"/>
      </w:tblPr>
      <w:tblGrid>
        <w:gridCol w:w="2131"/>
        <w:gridCol w:w="1464"/>
        <w:gridCol w:w="1325"/>
        <w:gridCol w:w="1594"/>
        <w:gridCol w:w="1594"/>
        <w:gridCol w:w="147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5,857,767.85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1,919,646.72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7,685,747.97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680,862.74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655,564.84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1,336,427.58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2,570,408.31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477,132.80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3,047,541.11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2,035,780.58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619,434.08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2,563,548.06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570,716.22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167,515.00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738,231.22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6,123,625.10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6,009,551.99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1,974,601.98</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2,399,969.45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1,590,731.69</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1,113,598.89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1,916,252.92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1,949,836.87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642,038.51</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546,146.78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6,123,625.10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6,009,551.99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1,974,601.98</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2,399,969.45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1,590,731.69</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1,113,598.89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1,916,252.92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1,949,836.87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642,038.51</w:t>
            </w:r>
          </w:p>
        </w:tc>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546,146.78</w:t>
            </w:r>
          </w:p>
        </w:tc>
      </w:tr>
    </w:tbl>
    <w:p>
      <w:pPr>
        <w:widowControl w:val="0"/>
        <w:spacing w:after="99" w:line="1" w:lineRule="exact"/>
      </w:pPr>
    </w:p>
    <w:p>
      <w:pPr>
        <w:pStyle w:val="Style28"/>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1,919,646.72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after="34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002"/>
      <w:bookmarkEnd w:id="1003"/>
      <w:bookmarkEnd w:id="1005"/>
    </w:p>
    <w:p>
      <w:pPr>
        <w:pStyle w:val="Style33"/>
        <w:keepNext/>
        <w:keepLines/>
        <w:widowControl w:val="0"/>
        <w:shd w:val="clear" w:color="auto" w:fill="auto"/>
        <w:bidi w:val="0"/>
        <w:spacing w:before="0" w:after="340" w:line="240" w:lineRule="auto"/>
        <w:ind w:left="0" w:right="0" w:firstLine="0"/>
        <w:jc w:val="left"/>
      </w:pPr>
      <w:bookmarkStart w:id="1002" w:name="bookmark1002"/>
      <w:bookmarkStart w:id="1003" w:name="bookmark1003"/>
      <w:bookmarkStart w:id="1006" w:name="bookmark100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02"/>
      <w:bookmarkEnd w:id="1003"/>
      <w:bookmarkEnd w:id="100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843"/>
        <w:gridCol w:w="1848"/>
        <w:gridCol w:w="1834"/>
        <w:gridCol w:w="18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14,049,290.48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19,204,808.20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33,254,098.68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自主软件产品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6,263,341.41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19,135,532.07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25,398,873.48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银行票据防伪方法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214,102.58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214,102.58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84,596.24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131,616.24</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支票打印机专利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6,960,000.00</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531,426.49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516,106.38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1,749,176.66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4,258,457.87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6,007,634.53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自主软件产品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844,967.46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2,943,059.65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3,788,027.11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银行票据防伪方法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60,662.46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42,820.56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103,483.02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25,721.99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10,082.55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35,804.54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支票打印机专利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773,333.36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1,160,000.04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1,933,333.40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17,263.97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20,023.97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27,227.42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99,735.07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126,962.49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12,300,113.82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14,946,350.33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27,246,464.15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自主软件产品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5,418,373.95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16,192,472.42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21,610,846.37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银行票据防伪方法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153,440.12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110,619.56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21,298.01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74,513.69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95,811.70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支票打印机专利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6,186,666.64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-1,160,000.04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5,026,666.60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16,136.03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13,376.03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504,199.07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389,143.89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自主软件产品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银行票据防伪方法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支票打印机专利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12,300,113.82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14,946,350.33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27,246,464.15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自主软件产品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5,418,373.95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16,192,472.42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21,610,846.37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银行票据防伪方法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153,440.12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110,619.56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金蝶财务软件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21,298.01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74,513.69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95,811.70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支票打印机专利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6,186,666.64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-1,160,000.04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5,026,666.60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16,136.03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13,376.03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商标及其他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504,199.07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389,143.89</w:t>
            </w:r>
          </w:p>
        </w:tc>
      </w:tr>
    </w:tbl>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4,258,457.87</w:t>
      </w:r>
      <w:r>
        <w:rPr>
          <w:color w:val="000000"/>
          <w:spacing w:val="0"/>
          <w:w w:val="100"/>
          <w:position w:val="0"/>
        </w:rPr>
        <w:t>元。</w:t>
      </w:r>
    </w:p>
    <w:p>
      <w:pPr>
        <w:widowControl w:val="0"/>
        <w:spacing w:after="399" w:line="1" w:lineRule="exact"/>
      </w:pPr>
    </w:p>
    <w:p>
      <w:pPr>
        <w:pStyle w:val="Style33"/>
        <w:keepNext/>
        <w:keepLines/>
        <w:widowControl w:val="0"/>
        <w:shd w:val="clear" w:color="auto" w:fill="auto"/>
        <w:bidi w:val="0"/>
        <w:spacing w:before="0" w:after="400" w:line="240" w:lineRule="auto"/>
        <w:ind w:left="0" w:right="0" w:firstLine="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007"/>
      <w:bookmarkEnd w:id="1008"/>
      <w:bookmarkEnd w:id="1009"/>
    </w:p>
    <w:p>
      <w:pPr>
        <w:pStyle w:val="Style28"/>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87"/>
        <w:gridCol w:w="1416"/>
        <w:gridCol w:w="1387"/>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银企对账集中处理系统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3,078,586.37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1,376,026.20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4,454,612.57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临柜智能印控机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2,989,614.33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2,368,206.02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5,357,820.35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后台智能印控机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1,046,799.22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1,046,799.22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回单自助打印系统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2,913,194.63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1,608,261.31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4,521,455.94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柜面业务影像采集平台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1,043,871.31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1,720,784.42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2,764,655.73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整票验印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3,041,570.69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3,041,570.69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印鉴卡智能管理系统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494,101.26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145,418.57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639,519.83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支票</w:t>
            </w:r>
            <w:r>
              <w:rPr>
                <w:rFonts w:ascii="Times New Roman" w:eastAsia="Times New Roman" w:hAnsi="Times New Roman" w:cs="Times New Roman"/>
                <w:color w:val="000000"/>
                <w:spacing w:val="0"/>
                <w:w w:val="100"/>
                <w:position w:val="0"/>
              </w:rPr>
              <w:t>ATM</w:t>
            </w:r>
            <w:r>
              <w:rPr>
                <w:color w:val="000000"/>
                <w:spacing w:val="0"/>
                <w:w w:val="100"/>
                <w:position w:val="0"/>
              </w:rPr>
              <w:t>受理机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215,623.49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1,442,050.25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1,657,673.74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集中运营作业平台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1,106,090.00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3,132,054.19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4,238,144.19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财务共享平台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1,062,072.84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1,062,072.84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软件开发基础框架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1,770,000.95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1,770,000.95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事后监督系统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712,624.19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712,624.19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电子档案管理系统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487,278.54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487,278.54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15,929,451.30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15,824,777.48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19,077,279.64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12,676,949.14</w:t>
            </w:r>
          </w:p>
        </w:tc>
      </w:tr>
    </w:tbl>
    <w:p>
      <w:pPr>
        <w:widowControl w:val="0"/>
        <w:spacing w:after="119" w:line="1" w:lineRule="exact"/>
      </w:pPr>
    </w:p>
    <w:p>
      <w:pPr>
        <w:pStyle w:val="Style28"/>
        <w:keepNext w:val="0"/>
        <w:keepLines w:val="0"/>
        <w:widowControl w:val="0"/>
        <w:shd w:val="clear" w:color="auto" w:fill="auto"/>
        <w:bidi w:val="0"/>
        <w:spacing w:before="0" w:after="240" w:line="240" w:lineRule="auto"/>
        <w:ind w:left="0" w:right="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43.52%</w:t>
      </w:r>
      <w:r>
        <w:rPr>
          <w:color w:val="000000"/>
          <w:spacing w:val="0"/>
          <w:w w:val="100"/>
          <w:position w:val="0"/>
        </w:rPr>
        <w:t>。</w:t>
      </w: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79.32%</w:t>
      </w:r>
      <w:r>
        <w:rPr>
          <w:color w:val="000000"/>
          <w:spacing w:val="0"/>
          <w:w w:val="100"/>
          <w:position w:val="0"/>
        </w:rPr>
        <w:t>。</w:t>
      </w:r>
    </w:p>
    <w:p>
      <w:pPr>
        <w:pStyle w:val="Style28"/>
        <w:keepNext w:val="0"/>
        <w:keepLines w:val="0"/>
        <w:widowControl w:val="0"/>
        <w:shd w:val="clear" w:color="auto" w:fill="auto"/>
        <w:bidi w:val="0"/>
        <w:spacing w:before="0" w:after="240" w:line="240" w:lineRule="auto"/>
        <w:ind w:left="0" w:right="0"/>
        <w:jc w:val="left"/>
      </w:pPr>
      <w:r>
        <w:rPr>
          <w:b/>
          <w:bCs/>
          <w:color w:val="000000"/>
          <w:spacing w:val="0"/>
          <w:w w:val="100"/>
          <w:position w:val="0"/>
        </w:rPr>
        <w:t>公司开发项目的说明，包括本期发生的单项价值在</w:t>
      </w:r>
      <w:r>
        <w:rPr>
          <w:rFonts w:ascii="Times New Roman" w:eastAsia="Times New Roman" w:hAnsi="Times New Roman" w:cs="Times New Roman"/>
          <w:b/>
          <w:bCs/>
          <w:color w:val="000000"/>
          <w:spacing w:val="0"/>
          <w:w w:val="100"/>
          <w:position w:val="0"/>
        </w:rPr>
        <w:t>100</w:t>
      </w:r>
      <w:r>
        <w:rPr>
          <w:b/>
          <w:bCs/>
          <w:color w:val="000000"/>
          <w:spacing w:val="0"/>
          <w:w w:val="100"/>
          <w:position w:val="0"/>
        </w:rPr>
        <w:t xml:space="preserve">万元以上且以评估值为入账依据的，应披露评估机构名称、评估 </w:t>
      </w:r>
      <w:r>
        <w:rPr>
          <w:b/>
          <w:bCs/>
          <w:color w:val="000000"/>
          <w:spacing w:val="0"/>
          <w:w w:val="100"/>
          <w:position w:val="0"/>
        </w:rPr>
        <w:t>方法</w:t>
      </w:r>
    </w:p>
    <w:p>
      <w:pPr>
        <w:pStyle w:val="Style28"/>
        <w:keepNext w:val="0"/>
        <w:keepLines w:val="0"/>
        <w:widowControl w:val="0"/>
        <w:shd w:val="clear" w:color="auto" w:fill="auto"/>
        <w:bidi w:val="0"/>
        <w:spacing w:before="0" w:after="240" w:line="240" w:lineRule="auto"/>
        <w:ind w:left="0" w:right="0"/>
        <w:jc w:val="left"/>
      </w:pPr>
      <w:r>
        <w:rPr>
          <w:color w:val="000000"/>
          <w:spacing w:val="0"/>
          <w:w w:val="100"/>
          <w:position w:val="0"/>
        </w:rPr>
        <w:t>本公司对符合会计准则的研发项目资本化的条件，在《研发项目立项申请书》获得批准，且承担项目开发的具体开发部</w:t>
      </w:r>
    </w:p>
    <w:p>
      <w:pPr>
        <w:pStyle w:val="Style28"/>
        <w:keepNext w:val="0"/>
        <w:keepLines w:val="0"/>
        <w:widowControl w:val="0"/>
        <w:shd w:val="clear" w:color="auto" w:fill="auto"/>
        <w:bidi w:val="0"/>
        <w:spacing w:before="0" w:after="440" w:line="240" w:lineRule="auto"/>
        <w:ind w:left="0" w:right="0" w:firstLine="0"/>
        <w:jc w:val="left"/>
      </w:pPr>
      <w:r>
        <w:rPr>
          <w:color w:val="000000"/>
          <w:spacing w:val="0"/>
          <w:w w:val="100"/>
          <w:position w:val="0"/>
        </w:rPr>
        <w:t>门（人员）落实到位后，将开发部门（人员）所发生的开发支出予以资本化。</w:t>
      </w:r>
    </w:p>
    <w:p>
      <w:pPr>
        <w:pStyle w:val="Style33"/>
        <w:keepNext/>
        <w:keepLines/>
        <w:widowControl w:val="0"/>
        <w:shd w:val="clear" w:color="auto" w:fill="auto"/>
        <w:bidi w:val="0"/>
        <w:spacing w:before="0" w:after="3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1</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10"/>
      <w:bookmarkEnd w:id="1011"/>
      <w:bookmarkEnd w:id="101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本期摊销额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1,744,338.75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443,579.76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1,300,758.99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285,532.02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242,535.27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2,029,870.77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507,576.51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1,543,294.26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240" w:line="240" w:lineRule="auto"/>
        <w:ind w:left="0" w:right="0"/>
        <w:jc w:val="left"/>
      </w:pPr>
      <w:r>
        <w:rPr>
          <w:color w:val="000000"/>
          <w:spacing w:val="0"/>
          <w:w w:val="100"/>
          <w:position w:val="0"/>
        </w:rPr>
        <w:t>长期待摊费用的说明</w:t>
      </w:r>
    </w:p>
    <w:p>
      <w:pPr>
        <w:pStyle w:val="Style28"/>
        <w:keepNext w:val="0"/>
        <w:keepLines w:val="0"/>
        <w:widowControl w:val="0"/>
        <w:shd w:val="clear" w:color="auto" w:fill="auto"/>
        <w:bidi w:val="0"/>
        <w:spacing w:before="0" w:after="240" w:line="240" w:lineRule="auto"/>
        <w:ind w:left="0" w:right="0"/>
        <w:jc w:val="left"/>
      </w:pPr>
      <w:r>
        <w:rPr>
          <w:color w:val="000000"/>
          <w:spacing w:val="0"/>
          <w:w w:val="100"/>
          <w:position w:val="0"/>
        </w:rPr>
        <w:t>办公室装修是指深圳市银之杰科技股份有限公司办公室装修，厂房装修是指深圳市银之杰金融设备有限公司厂房装修。</w:t>
      </w:r>
      <w:r>
        <w:br w:type="page"/>
      </w:r>
    </w:p>
    <w:p>
      <w:pPr>
        <w:pStyle w:val="Style33"/>
        <w:keepNext/>
        <w:keepLines/>
        <w:widowControl w:val="0"/>
        <w:shd w:val="clear" w:color="auto" w:fill="auto"/>
        <w:bidi w:val="0"/>
        <w:spacing w:before="0" w:after="32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、递延所得税资产和递延所得税负债</w:t>
      </w:r>
      <w:bookmarkEnd w:id="1014"/>
      <w:bookmarkEnd w:id="1015"/>
      <w:bookmarkEnd w:id="1017"/>
    </w:p>
    <w:p>
      <w:pPr>
        <w:pStyle w:val="Style33"/>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8" w:name="bookmark10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14"/>
      <w:bookmarkEnd w:id="1015"/>
      <w:bookmarkEnd w:id="101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1,448,203.05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1,067,193.03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1,615,024.83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1,067,193.03</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widowControl w:val="0"/>
        <w:spacing w:after="43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应纳税差异和可抵扣差异项目明细</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923"/>
        <w:gridCol w:w="279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应收账款计提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8,941,741.11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6,664,363.21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r>
              <w:rPr>
                <w:rFonts w:ascii="Times New Roman" w:eastAsia="Times New Roman" w:hAnsi="Times New Roman" w:cs="Times New Roman"/>
                <w:color w:val="000000"/>
                <w:spacing w:val="0"/>
                <w:w w:val="100"/>
                <w:position w:val="0"/>
              </w:rPr>
              <w:t>-</w:t>
            </w:r>
            <w:r>
              <w:rPr>
                <w:color w:val="000000"/>
                <w:spacing w:val="0"/>
                <w:w w:val="100"/>
                <w:position w:val="0"/>
              </w:rPr>
              <w:t>其他应收款计提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709,382.91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450,813.52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1,668,217.78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11,319,341.80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7,115,176.73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19" w:name="bookmark1019"/>
      <w:bookmarkStart w:id="1020" w:name="bookmark1020"/>
      <w:bookmarkStart w:id="1021" w:name="bookmark10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19"/>
      <w:bookmarkEnd w:id="1020"/>
      <w:bookmarkEnd w:id="102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2"/>
        <w:gridCol w:w="1627"/>
        <w:gridCol w:w="1627"/>
        <w:gridCol w:w="1627"/>
        <w:gridCol w:w="1637"/>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报告期末互抵后的 递延所得税资产或</w:t>
            </w:r>
          </w:p>
          <w:p>
            <w:pPr>
              <w:pStyle w:val="Style23"/>
              <w:keepNext w:val="0"/>
              <w:keepLines w:val="0"/>
              <w:widowControl w:val="0"/>
              <w:shd w:val="clear" w:color="auto" w:fill="auto"/>
              <w:bidi w:val="0"/>
              <w:spacing w:before="0" w:after="0" w:line="307" w:lineRule="exact"/>
              <w:ind w:left="0" w:right="0" w:firstLine="620"/>
              <w:jc w:val="left"/>
            </w:pPr>
            <w:r>
              <w:rPr>
                <w:color w:val="000000"/>
                <w:spacing w:val="0"/>
                <w:w w:val="100"/>
                <w:position w:val="0"/>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1,615,024.83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1,067,193.03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val="0"/>
        <w:keepLines w:val="0"/>
        <w:widowControl w:val="0"/>
        <w:shd w:val="clear" w:color="auto" w:fill="auto"/>
        <w:bidi w:val="0"/>
        <w:spacing w:before="0" w:after="320" w:line="350" w:lineRule="exact"/>
        <w:ind w:left="0" w:right="0" w:firstLine="0"/>
        <w:jc w:val="left"/>
      </w:pPr>
      <w:r>
        <w:rPr>
          <w:color w:val="000000"/>
          <w:spacing w:val="0"/>
          <w:w w:val="100"/>
          <w:position w:val="0"/>
        </w:rPr>
        <w:t>递延所得税资产和递延所得税负债的说明 无。</w:t>
      </w:r>
      <w:r>
        <w:br w:type="page"/>
      </w:r>
    </w:p>
    <w:p>
      <w:pPr>
        <w:pStyle w:val="Style33"/>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1</w:t>
      </w:r>
      <w:bookmarkEnd w:id="1024"/>
      <w:r>
        <w:rPr>
          <w:rFonts w:ascii="Times New Roman" w:eastAsia="Times New Roman" w:hAnsi="Times New Roman" w:cs="Times New Roman"/>
          <w:color w:val="000000"/>
          <w:spacing w:val="0"/>
          <w:w w:val="100"/>
          <w:position w:val="0"/>
        </w:rPr>
        <w:t>4</w:t>
      </w:r>
      <w:r>
        <w:rPr>
          <w:color w:val="000000"/>
          <w:spacing w:val="0"/>
          <w:w w:val="100"/>
          <w:position w:val="0"/>
        </w:rPr>
        <w:t>、资产减值准备明细</w:t>
      </w:r>
      <w:bookmarkEnd w:id="1022"/>
      <w:bookmarkEnd w:id="1023"/>
      <w:bookmarkEnd w:id="102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26"/>
        <w:gridCol w:w="1526"/>
        <w:gridCol w:w="1397"/>
        <w:gridCol w:w="1402"/>
        <w:gridCol w:w="145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7,115,176.73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2,535,947.29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9,651,124.02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7,115,176.73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2,535,947.29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9,651,124.02</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资产减值明细情况的说明 无。</w:t>
      </w:r>
    </w:p>
    <w:p>
      <w:pPr>
        <w:pStyle w:val="Style33"/>
        <w:keepNext/>
        <w:keepLines/>
        <w:widowControl w:val="0"/>
        <w:shd w:val="clear" w:color="auto" w:fill="auto"/>
        <w:bidi w:val="0"/>
        <w:spacing w:before="0" w:after="36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026"/>
      <w:bookmarkEnd w:id="1027"/>
      <w:bookmarkEnd w:id="1029"/>
    </w:p>
    <w:p>
      <w:pPr>
        <w:pStyle w:val="Style33"/>
        <w:keepNext/>
        <w:keepLines/>
        <w:widowControl w:val="0"/>
        <w:shd w:val="clear" w:color="auto" w:fill="auto"/>
        <w:bidi w:val="0"/>
        <w:spacing w:before="0" w:after="360" w:line="240" w:lineRule="auto"/>
        <w:ind w:left="0" w:right="0" w:firstLine="0"/>
        <w:jc w:val="left"/>
      </w:pPr>
      <w:bookmarkStart w:id="1026" w:name="bookmark1026"/>
      <w:bookmarkStart w:id="1027" w:name="bookmark1027"/>
      <w:bookmarkStart w:id="1030" w:name="bookmark10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26"/>
      <w:bookmarkEnd w:id="1027"/>
      <w:bookmarkEnd w:id="103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6,982,090.71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6,609,334.25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51,142.50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7,033,233.21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6,610,847.21</w:t>
            </w:r>
          </w:p>
        </w:tc>
      </w:tr>
    </w:tbl>
    <w:p>
      <w:pPr>
        <w:widowControl w:val="0"/>
        <w:spacing w:after="299" w:line="1" w:lineRule="exact"/>
      </w:pPr>
    </w:p>
    <w:p>
      <w:pPr>
        <w:pStyle w:val="Style33"/>
        <w:keepNext/>
        <w:keepLines/>
        <w:widowControl w:val="0"/>
        <w:shd w:val="clear" w:color="auto" w:fill="auto"/>
        <w:bidi w:val="0"/>
        <w:spacing w:before="0" w:after="440" w:line="240" w:lineRule="auto"/>
        <w:ind w:left="0" w:right="0" w:firstLine="0"/>
        <w:jc w:val="left"/>
      </w:pPr>
      <w:bookmarkStart w:id="1031" w:name="bookmark1031"/>
      <w:bookmarkStart w:id="1032" w:name="bookmark1032"/>
      <w:bookmarkStart w:id="1033" w:name="bookmark10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）账龄超过一年的大额应付账款情况的说明</w:t>
      </w:r>
      <w:bookmarkEnd w:id="1031"/>
      <w:bookmarkEnd w:id="1032"/>
      <w:bookmarkEnd w:id="1033"/>
    </w:p>
    <w:p>
      <w:pPr>
        <w:pStyle w:val="Style28"/>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6</w:t>
      </w:r>
      <w:r>
        <w:rPr>
          <w:color w:val="000000"/>
          <w:spacing w:val="0"/>
          <w:w w:val="100"/>
          <w:position w:val="0"/>
        </w:rPr>
        <w:t>、预收账款</w:t>
      </w:r>
      <w:bookmarkEnd w:id="1034"/>
      <w:bookmarkEnd w:id="1035"/>
      <w:bookmarkEnd w:id="1037"/>
    </w:p>
    <w:p>
      <w:pPr>
        <w:pStyle w:val="Style33"/>
        <w:keepNext/>
        <w:keepLines/>
        <w:widowControl w:val="0"/>
        <w:shd w:val="clear" w:color="auto" w:fill="auto"/>
        <w:bidi w:val="0"/>
        <w:spacing w:before="0" w:after="360" w:line="240" w:lineRule="auto"/>
        <w:ind w:left="0" w:right="0" w:firstLine="0"/>
        <w:jc w:val="left"/>
      </w:pPr>
      <w:bookmarkStart w:id="1034" w:name="bookmark1034"/>
      <w:bookmarkStart w:id="1035" w:name="bookmark1035"/>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34"/>
      <w:bookmarkEnd w:id="1035"/>
      <w:bookmarkEnd w:id="103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24,453.00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859"/>
        <w:gridCol w:w="2789"/>
        <w:gridCol w:w="293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24,453.00</w:t>
            </w:r>
          </w:p>
        </w:tc>
      </w:tr>
    </w:tbl>
    <w:p>
      <w:pPr>
        <w:widowControl w:val="0"/>
        <w:spacing w:after="299" w:line="1" w:lineRule="exact"/>
      </w:pPr>
    </w:p>
    <w:p>
      <w:pPr>
        <w:pStyle w:val="Style33"/>
        <w:keepNext/>
        <w:keepLines/>
        <w:widowControl w:val="0"/>
        <w:shd w:val="clear" w:color="auto" w:fill="auto"/>
        <w:bidi w:val="0"/>
        <w:spacing w:before="0" w:after="440" w:line="240" w:lineRule="auto"/>
        <w:ind w:left="0" w:right="0" w:firstLine="0"/>
        <w:jc w:val="left"/>
      </w:pPr>
      <w:bookmarkStart w:id="1039" w:name="bookmark1039"/>
      <w:bookmarkStart w:id="1040" w:name="bookmark1040"/>
      <w:bookmarkStart w:id="1041" w:name="bookmark10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)账龄超过一年的大额预收账款情况的说明</w:t>
      </w:r>
      <w:bookmarkEnd w:id="1039"/>
      <w:bookmarkEnd w:id="1040"/>
      <w:bookmarkEnd w:id="1041"/>
    </w:p>
    <w:p>
      <w:pPr>
        <w:pStyle w:val="Style28"/>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2010</w:t>
      </w:r>
      <w:r>
        <w:rPr>
          <w:color w:val="000000"/>
          <w:spacing w:val="0"/>
          <w:w w:val="100"/>
          <w:position w:val="0"/>
        </w:rPr>
        <w:t>年度预收的款项尚未办理结算手续。</w:t>
      </w:r>
    </w:p>
    <w:p>
      <w:pPr>
        <w:pStyle w:val="Style33"/>
        <w:keepNext/>
        <w:keepLines/>
        <w:widowControl w:val="0"/>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1</w:t>
      </w:r>
      <w:bookmarkEnd w:id="104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042"/>
      <w:bookmarkEnd w:id="1043"/>
      <w:bookmarkEnd w:id="104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44,340,268.19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44,340,268.19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1,078,263.10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1,078,263.10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4,110,632.39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4,110,632.39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1,116,650.30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1,116,650.30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223,410.81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223,410.81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2,083.54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69,087.00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2,083.54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2,083.54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69,087.00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69,087.00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2,083.54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2,083.54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50,938,311.79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50,938,311.79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2,083.54</w:t>
            </w:r>
          </w:p>
        </w:tc>
      </w:tr>
    </w:tbl>
    <w:p>
      <w:pPr>
        <w:widowControl w:val="0"/>
        <w:spacing w:after="99" w:line="1" w:lineRule="exact"/>
      </w:pPr>
    </w:p>
    <w:p>
      <w:pPr>
        <w:pStyle w:val="Style28"/>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69,087.00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223,410.8</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8"/>
        <w:keepNext w:val="0"/>
        <w:keepLines w:val="0"/>
        <w:widowControl w:val="0"/>
        <w:shd w:val="clear" w:color="auto" w:fill="auto"/>
        <w:bidi w:val="0"/>
        <w:spacing w:before="0" w:after="240" w:line="240" w:lineRule="auto"/>
        <w:ind w:left="0" w:right="0" w:firstLine="360"/>
        <w:jc w:val="left"/>
      </w:pPr>
      <w:r>
        <w:rPr>
          <w:b/>
          <w:bCs/>
          <w:color w:val="000000"/>
          <w:spacing w:val="0"/>
          <w:w w:val="100"/>
          <w:position w:val="0"/>
        </w:rPr>
        <w:t>应付职工薪酬预计发放时间、金额等安排</w:t>
      </w:r>
    </w:p>
    <w:p>
      <w:pPr>
        <w:pStyle w:val="Style28"/>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应付职工薪酬是当月计提当月发放。</w:t>
      </w:r>
    </w:p>
    <w:p>
      <w:pPr>
        <w:pStyle w:val="Style33"/>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w:t>
      </w:r>
      <w:bookmarkEnd w:id="104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046"/>
      <w:bookmarkEnd w:id="1047"/>
      <w:bookmarkEnd w:id="104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23"/>
        <w:gridCol w:w="2789"/>
        <w:gridCol w:w="26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3,548,225.48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3,389,876.12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637,381.21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1,612,986.97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137,850.55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123,389.73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200,262.76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223,477.36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141,172.32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159,626.69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4,670,292.47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5,513,728.28</w:t>
            </w:r>
          </w:p>
        </w:tc>
      </w:tr>
    </w:tbl>
    <w:p>
      <w:pPr>
        <w:pStyle w:val="Style28"/>
        <w:keepNext w:val="0"/>
        <w:keepLines w:val="0"/>
        <w:widowControl w:val="0"/>
        <w:shd w:val="clear" w:color="auto" w:fill="auto"/>
        <w:bidi w:val="0"/>
        <w:spacing w:before="0" w:after="440" w:line="470" w:lineRule="exact"/>
        <w:ind w:left="380" w:right="0" w:firstLine="0"/>
        <w:jc w:val="left"/>
      </w:pPr>
      <w:r>
        <w:rPr>
          <w:color w:val="000000"/>
          <w:spacing w:val="0"/>
          <w:w w:val="100"/>
          <w:position w:val="0"/>
        </w:rPr>
        <w:t>应交税费说明，所在地税务机关同意各分公司、分厂之间应纳税所得额相互调剂的，应说明税款计算过程 无。</w:t>
      </w:r>
    </w:p>
    <w:p>
      <w:pPr>
        <w:pStyle w:val="Style33"/>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050"/>
      <w:bookmarkEnd w:id="1051"/>
      <w:bookmarkEnd w:id="1053"/>
    </w:p>
    <w:p>
      <w:pPr>
        <w:pStyle w:val="Style33"/>
        <w:keepNext/>
        <w:keepLines/>
        <w:widowControl w:val="0"/>
        <w:shd w:val="clear" w:color="auto" w:fill="auto"/>
        <w:bidi w:val="0"/>
        <w:spacing w:before="0" w:after="360" w:line="240" w:lineRule="auto"/>
        <w:ind w:left="0" w:right="0" w:firstLine="0"/>
        <w:jc w:val="left"/>
      </w:pPr>
      <w:bookmarkStart w:id="1050" w:name="bookmark1050"/>
      <w:bookmarkStart w:id="1051" w:name="bookmark1051"/>
      <w:bookmarkStart w:id="1054" w:name="bookmark1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50"/>
      <w:bookmarkEnd w:id="1051"/>
      <w:bookmarkEnd w:id="105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1,337,260.31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124,855.41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327,294.00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1,337,260.31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452,149.41</w:t>
            </w:r>
          </w:p>
        </w:tc>
      </w:tr>
    </w:tbl>
    <w:p>
      <w:pPr>
        <w:widowControl w:val="0"/>
        <w:spacing w:after="279" w:line="1" w:lineRule="exact"/>
      </w:pPr>
    </w:p>
    <w:p>
      <w:pPr>
        <w:pStyle w:val="Style33"/>
        <w:keepNext/>
        <w:keepLines/>
        <w:widowControl w:val="0"/>
        <w:shd w:val="clear" w:color="auto" w:fill="auto"/>
        <w:tabs>
          <w:tab w:pos="493" w:val="left"/>
        </w:tabs>
        <w:bidi w:val="0"/>
        <w:spacing w:before="0" w:after="44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账龄超过一年的大额其他应付款情况的说明</w:t>
      </w:r>
      <w:bookmarkEnd w:id="1055"/>
      <w:bookmarkEnd w:id="1056"/>
      <w:bookmarkEnd w:id="1058"/>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其他应付款期末余额主要包括的是各项押金和垫支往来性质的款项。</w:t>
      </w:r>
    </w:p>
    <w:p>
      <w:pPr>
        <w:pStyle w:val="Style33"/>
        <w:keepNext/>
        <w:keepLines/>
        <w:widowControl w:val="0"/>
        <w:shd w:val="clear" w:color="auto" w:fill="auto"/>
        <w:tabs>
          <w:tab w:pos="493" w:val="left"/>
        </w:tabs>
        <w:bidi w:val="0"/>
        <w:spacing w:before="0" w:after="44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w:t>
        <w:tab/>
        <w:t>金额较大的其他应付款说明内容</w:t>
      </w:r>
      <w:bookmarkEnd w:id="1059"/>
      <w:bookmarkEnd w:id="1060"/>
      <w:bookmarkEnd w:id="1062"/>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其他应付款期末余额包括应付金运大厦房屋租赁押金</w:t>
      </w:r>
      <w:r>
        <w:rPr>
          <w:rFonts w:ascii="Times New Roman" w:eastAsia="Times New Roman" w:hAnsi="Times New Roman" w:cs="Times New Roman"/>
          <w:color w:val="000000"/>
          <w:spacing w:val="0"/>
          <w:w w:val="100"/>
          <w:position w:val="0"/>
        </w:rPr>
        <w:t>630,346.4</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0</w:t>
      </w:r>
      <w:r>
        <w:rPr>
          <w:color w:val="000000"/>
          <w:spacing w:val="0"/>
          <w:w w:val="100"/>
          <w:position w:val="0"/>
        </w:rPr>
        <w:t>、股本</w:t>
      </w:r>
      <w:bookmarkEnd w:id="1063"/>
      <w:bookmarkEnd w:id="1064"/>
      <w:bookmarkEnd w:id="106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121,330,000.00</w:t>
            </w:r>
          </w:p>
        </w:tc>
      </w:tr>
    </w:tbl>
    <w:p>
      <w:pPr>
        <w:widowControl w:val="0"/>
        <w:spacing w:after="79" w:line="1" w:lineRule="exact"/>
      </w:pPr>
    </w:p>
    <w:p>
      <w:pPr>
        <w:pStyle w:val="Style28"/>
        <w:keepNext w:val="0"/>
        <w:keepLines w:val="0"/>
        <w:widowControl w:val="0"/>
        <w:shd w:val="clear" w:color="auto" w:fill="auto"/>
        <w:bidi w:val="0"/>
        <w:spacing w:before="0" w:after="280" w:line="240" w:lineRule="auto"/>
        <w:ind w:left="0" w:right="0"/>
        <w:jc w:val="left"/>
      </w:pPr>
      <w:r>
        <w:rPr>
          <w:color w:val="000000"/>
          <w:spacing w:val="0"/>
          <w:w w:val="100"/>
          <w:position w:val="0"/>
        </w:rPr>
        <w:t>股本变动情况说明</w:t>
      </w:r>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有关情况详见附注一、公司基本情况。</w:t>
      </w:r>
    </w:p>
    <w:p>
      <w:pPr>
        <w:pStyle w:val="Style33"/>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、资本公积</w:t>
      </w:r>
      <w:bookmarkEnd w:id="1067"/>
      <w:bookmarkEnd w:id="1068"/>
      <w:bookmarkEnd w:id="107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313,975,300.21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318,949,500.21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313,975,300.21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318,949,500.21</w:t>
            </w:r>
          </w:p>
        </w:tc>
      </w:tr>
    </w:tbl>
    <w:p>
      <w:pPr>
        <w:pStyle w:val="Style28"/>
        <w:keepNext w:val="0"/>
        <w:keepLines w:val="0"/>
        <w:widowControl w:val="0"/>
        <w:shd w:val="clear" w:color="auto" w:fill="auto"/>
        <w:bidi w:val="0"/>
        <w:spacing w:before="0" w:after="260" w:line="240" w:lineRule="auto"/>
        <w:ind w:left="0" w:right="0"/>
        <w:jc w:val="left"/>
      </w:pPr>
      <w:r>
        <w:rPr>
          <w:color w:val="000000"/>
          <w:spacing w:val="0"/>
          <w:w w:val="100"/>
          <w:position w:val="0"/>
        </w:rPr>
        <w:t>资本公积说明</w:t>
      </w:r>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有关情况详见附注一、公司基本情况。</w:t>
      </w:r>
    </w:p>
    <w:p>
      <w:pPr>
        <w:pStyle w:val="Style33"/>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071"/>
      <w:bookmarkEnd w:id="1072"/>
      <w:bookmarkEnd w:id="107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14,759,761.35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1,878,243.70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16,638,005.05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14,759,761.35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1,878,243.70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16,638,005.05</w:t>
            </w:r>
          </w:p>
        </w:tc>
      </w:tr>
    </w:tbl>
    <w:p>
      <w:pPr>
        <w:pStyle w:val="Style28"/>
        <w:keepNext w:val="0"/>
        <w:keepLines w:val="0"/>
        <w:widowControl w:val="0"/>
        <w:shd w:val="clear" w:color="auto" w:fill="auto"/>
        <w:bidi w:val="0"/>
        <w:spacing w:before="0" w:after="440" w:line="475" w:lineRule="exact"/>
        <w:ind w:left="380" w:right="0" w:firstLine="0"/>
        <w:jc w:val="left"/>
      </w:pPr>
      <w:r>
        <w:rPr>
          <w:color w:val="000000"/>
          <w:spacing w:val="0"/>
          <w:w w:val="100"/>
          <w:position w:val="0"/>
        </w:rPr>
        <w:t>盈余公积说明，用盈余公积转增股本、弥补亏损、分派股利的，应说明有关决议 无。</w:t>
      </w:r>
    </w:p>
    <w:p>
      <w:pPr>
        <w:pStyle w:val="Style33"/>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075"/>
      <w:bookmarkEnd w:id="1076"/>
      <w:bookmarkEnd w:id="107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66,977,069.36</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66,977,069.36</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14,446,722.90</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1,878,243.70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14,400,000.00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left"/>
            </w:pPr>
            <w:r>
              <w:rPr>
                <w:rFonts w:ascii="Times New Roman" w:eastAsia="Times New Roman" w:hAnsi="Times New Roman" w:cs="Times New Roman"/>
                <w:color w:val="000000"/>
                <w:spacing w:val="0"/>
                <w:w w:val="100"/>
                <w:position w:val="0"/>
              </w:rPr>
              <w:t>65,145,548.56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468" w:lineRule="exact"/>
        <w:ind w:left="0" w:right="0"/>
        <w:jc w:val="left"/>
      </w:pPr>
      <w:r>
        <w:rPr>
          <w:color w:val="000000"/>
          <w:spacing w:val="0"/>
          <w:w w:val="100"/>
          <w:position w:val="0"/>
        </w:rPr>
        <w:t>调整年初未分配利润明细：</w:t>
      </w:r>
    </w:p>
    <w:p>
      <w:pPr>
        <w:pStyle w:val="Style28"/>
        <w:keepNext w:val="0"/>
        <w:keepLines w:val="0"/>
        <w:widowControl w:val="0"/>
        <w:shd w:val="clear" w:color="auto" w:fill="auto"/>
        <w:tabs>
          <w:tab w:pos="710" w:val="left"/>
        </w:tabs>
        <w:bidi w:val="0"/>
        <w:spacing w:before="0" w:after="0" w:line="468" w:lineRule="exact"/>
        <w:ind w:left="0" w:right="0"/>
        <w:jc w:val="left"/>
      </w:pPr>
      <w:bookmarkStart w:id="1079" w:name="bookmark1079"/>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729" w:val="left"/>
        </w:tabs>
        <w:bidi w:val="0"/>
        <w:spacing w:before="0" w:after="0" w:line="468" w:lineRule="exact"/>
        <w:ind w:left="0" w:right="0"/>
        <w:jc w:val="left"/>
      </w:pPr>
      <w:bookmarkStart w:id="1080" w:name="bookmark1080"/>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8"/>
        <w:keepNext w:val="0"/>
        <w:keepLines w:val="0"/>
        <w:widowControl w:val="0"/>
        <w:shd w:val="clear" w:color="auto" w:fill="auto"/>
        <w:tabs>
          <w:tab w:pos="729" w:val="left"/>
        </w:tabs>
        <w:bidi w:val="0"/>
        <w:spacing w:before="0" w:after="0" w:line="468" w:lineRule="exact"/>
        <w:ind w:left="0" w:right="0"/>
        <w:jc w:val="left"/>
      </w:pPr>
      <w:bookmarkStart w:id="1081" w:name="bookmark1081"/>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8"/>
        <w:keepNext w:val="0"/>
        <w:keepLines w:val="0"/>
        <w:widowControl w:val="0"/>
        <w:shd w:val="clear" w:color="auto" w:fill="auto"/>
        <w:tabs>
          <w:tab w:pos="729" w:val="left"/>
        </w:tabs>
        <w:bidi w:val="0"/>
        <w:spacing w:before="0" w:after="0" w:line="468" w:lineRule="exact"/>
        <w:ind w:left="0" w:right="0"/>
        <w:jc w:val="left"/>
      </w:pPr>
      <w:bookmarkStart w:id="1082" w:name="bookmark1082"/>
      <w:r>
        <w:rPr>
          <w:rFonts w:ascii="Times New Roman" w:eastAsia="Times New Roman" w:hAnsi="Times New Roman" w:cs="Times New Roman"/>
          <w:color w:val="000000"/>
          <w:spacing w:val="0"/>
          <w:w w:val="100"/>
          <w:position w:val="0"/>
        </w:rPr>
        <w:t>4</w:t>
      </w:r>
      <w:bookmarkEnd w:id="108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8"/>
        <w:keepNext w:val="0"/>
        <w:keepLines w:val="0"/>
        <w:widowControl w:val="0"/>
        <w:shd w:val="clear" w:color="auto" w:fill="auto"/>
        <w:tabs>
          <w:tab w:pos="729" w:val="left"/>
        </w:tabs>
        <w:bidi w:val="0"/>
        <w:spacing w:before="0" w:after="160" w:line="468" w:lineRule="exact"/>
        <w:ind w:left="0" w:right="0"/>
        <w:jc w:val="left"/>
      </w:pPr>
      <w:bookmarkStart w:id="1083" w:name="bookmark1083"/>
      <w:r>
        <w:rPr>
          <w:rFonts w:ascii="Times New Roman" w:eastAsia="Times New Roman" w:hAnsi="Times New Roman" w:cs="Times New Roman"/>
          <w:color w:val="000000"/>
          <w:spacing w:val="0"/>
          <w:w w:val="100"/>
          <w:position w:val="0"/>
        </w:rPr>
        <w:t>5</w:t>
      </w:r>
      <w:bookmarkEnd w:id="108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28"/>
        <w:keepNext w:val="0"/>
        <w:keepLines w:val="0"/>
        <w:widowControl w:val="0"/>
        <w:shd w:val="clear" w:color="auto" w:fill="auto"/>
        <w:bidi w:val="0"/>
        <w:spacing w:before="0" w:after="0" w:line="468" w:lineRule="exact"/>
        <w:ind w:left="0" w:right="0"/>
        <w:jc w:val="left"/>
      </w:pPr>
      <w:r>
        <w:rPr>
          <w:b/>
          <w:bCs/>
          <w:color w:val="000000"/>
          <w:spacing w:val="0"/>
          <w:w w:val="100"/>
          <w:position w:val="0"/>
        </w:rPr>
        <w:t>未分配利润说明，对于首次公开发行证券的公司，如果发行前的滚存利润经股东大会决议由新老股东共同享有，应明 确予以说明；如果发行前的滚存利润经股东大会决议在发行前进行分配并由老股东享有，公司应明确披露应付股利中老股 东享有的经审计的利润数</w:t>
      </w:r>
    </w:p>
    <w:p>
      <w:pPr>
        <w:pStyle w:val="Style28"/>
        <w:keepNext w:val="0"/>
        <w:keepLines w:val="0"/>
        <w:widowControl w:val="0"/>
        <w:shd w:val="clear" w:color="auto" w:fill="auto"/>
        <w:bidi w:val="0"/>
        <w:spacing w:before="0" w:after="320" w:line="468" w:lineRule="exact"/>
        <w:ind w:left="0" w:right="0"/>
        <w:jc w:val="left"/>
      </w:pPr>
      <w:r>
        <w:rPr>
          <w:color w:val="000000"/>
          <w:spacing w:val="0"/>
          <w:w w:val="100"/>
          <w:position w:val="0"/>
        </w:rPr>
        <w:t>不适用。</w:t>
      </w:r>
      <w:r>
        <w:br w:type="page"/>
      </w:r>
    </w:p>
    <w:p>
      <w:pPr>
        <w:pStyle w:val="Style33"/>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084"/>
      <w:bookmarkEnd w:id="1085"/>
      <w:bookmarkEnd w:id="1087"/>
    </w:p>
    <w:p>
      <w:pPr>
        <w:pStyle w:val="Style33"/>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8" w:name="bookmark10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084"/>
      <w:bookmarkEnd w:id="1085"/>
      <w:bookmarkEnd w:id="108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107,517,941.86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98,397,141.41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2,556,787.40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2,130,856.20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51,116,498.03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47,136,736.37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089"/>
      <w:bookmarkEnd w:id="1090"/>
      <w:bookmarkEnd w:id="109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107,517,941.86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49,958,656.83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98,397,141.41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45,978,891.84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107,517,941.86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49,958,656.83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98,397,141.41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45,978,891.84</w:t>
            </w:r>
          </w:p>
        </w:tc>
      </w:tr>
    </w:tbl>
    <w:p>
      <w:pPr>
        <w:widowControl w:val="0"/>
        <w:spacing w:after="319" w:line="1" w:lineRule="exact"/>
      </w:pPr>
    </w:p>
    <w:p>
      <w:pPr>
        <w:pStyle w:val="Style33"/>
        <w:keepNext/>
        <w:keepLines/>
        <w:widowControl w:val="0"/>
        <w:numPr>
          <w:ilvl w:val="0"/>
          <w:numId w:val="69"/>
        </w:numPr>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主营业务(分产品)</w:t>
      </w:r>
      <w:bookmarkEnd w:id="1092"/>
      <w:bookmarkEnd w:id="1093"/>
      <w:bookmarkEnd w:id="109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71,821,933.19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27,806,406.11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72,815,412.76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30,288,822.20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22,725,508.84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14,786,567.36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17,862,057.19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11,016,090.05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3,098,820.51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2,497,481.22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1,555,179.44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1,225,478.31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9,871,679.32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4,868,202.14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6,164,492.02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3,448,501.28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107,517,941.86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49,958,656.83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98,397,141.41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45,978,891.84</w:t>
            </w:r>
          </w:p>
        </w:tc>
      </w:tr>
    </w:tbl>
    <w:p>
      <w:pPr>
        <w:widowControl w:val="0"/>
        <w:spacing w:after="319" w:line="1" w:lineRule="exact"/>
      </w:pPr>
    </w:p>
    <w:p>
      <w:pPr>
        <w:pStyle w:val="Style33"/>
        <w:keepNext/>
        <w:keepLines/>
        <w:widowControl w:val="0"/>
        <w:numPr>
          <w:ilvl w:val="0"/>
          <w:numId w:val="69"/>
        </w:numPr>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bookmarkEnd w:id="1098"/>
      <w:r>
        <w:rPr>
          <w:color w:val="000000"/>
          <w:spacing w:val="0"/>
          <w:w w:val="100"/>
          <w:position w:val="0"/>
        </w:rPr>
        <w:t>主营业务(分地区)</w:t>
      </w:r>
      <w:bookmarkEnd w:id="1096"/>
      <w:bookmarkEnd w:id="1097"/>
      <w:bookmarkEnd w:id="109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24,308,189.40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10,368,710.09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18,615,936.46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8,390,390.01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27,132,822.45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13,291,154.22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33,220,131.80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15,662,130.34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36,520,986.58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17,103,374.14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28,746,096.93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14,028,940.83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8,560,461.18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4,327,139.35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5,374,959.85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2,539,097.10</w:t>
            </w:r>
          </w:p>
        </w:tc>
      </w:tr>
    </w:tbl>
    <w:p>
      <w:pPr>
        <w:widowControl w:val="0"/>
        <w:spacing w:line="1" w:lineRule="exact"/>
      </w:pPr>
      <w:r>
        <w:br w:type="page"/>
      </w:r>
    </w:p>
    <w:tbl>
      <w:tblPr>
        <w:tblOverlap w:val="never"/>
        <w:jc w:val="center"/>
        <w:tblLayout w:type="fixed"/>
      </w:tblPr>
      <w:tblGrid>
        <w:gridCol w:w="2530"/>
        <w:gridCol w:w="1728"/>
        <w:gridCol w:w="1858"/>
        <w:gridCol w:w="1728"/>
        <w:gridCol w:w="1738"/>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10,995,482.25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4,868,279.03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12,440,016.37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5,358,333.56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107,517,941.86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49,958,656.83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98,397,141.41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45,978,891.84</w:t>
            </w:r>
          </w:p>
        </w:tc>
      </w:tr>
    </w:tbl>
    <w:p>
      <w:pPr>
        <w:widowControl w:val="0"/>
        <w:spacing w:after="299" w:line="1" w:lineRule="exact"/>
      </w:pPr>
    </w:p>
    <w:p>
      <w:pPr>
        <w:pStyle w:val="Style33"/>
        <w:keepNext/>
        <w:keepLines/>
        <w:widowControl w:val="0"/>
        <w:numPr>
          <w:ilvl w:val="0"/>
          <w:numId w:val="71"/>
        </w:numPr>
        <w:shd w:val="clear" w:color="auto" w:fill="auto"/>
        <w:bidi w:val="0"/>
        <w:spacing w:before="0" w:after="38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公司来自前五名客户的营业收入情况</w:t>
      </w:r>
      <w:bookmarkEnd w:id="1100"/>
      <w:bookmarkEnd w:id="1101"/>
      <w:bookmarkEnd w:id="110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中国农业银行广西省分行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6,400,247.74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广西自治区农村信用联社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5,584,222.09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广东省农村信用社联社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4,851,068.36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天津城市商业银行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3,810,333.36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贵州省农村信用联社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3,580,170.95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24,226,042.50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r>
    </w:tbl>
    <w:p>
      <w:pPr>
        <w:pStyle w:val="Style28"/>
        <w:keepNext w:val="0"/>
        <w:keepLines w:val="0"/>
        <w:widowControl w:val="0"/>
        <w:shd w:val="clear" w:color="auto" w:fill="auto"/>
        <w:bidi w:val="0"/>
        <w:spacing w:before="0" w:after="440" w:line="470" w:lineRule="exact"/>
        <w:ind w:left="360" w:right="0" w:firstLine="0"/>
        <w:jc w:val="left"/>
      </w:pPr>
      <w:r>
        <w:rPr>
          <w:color w:val="000000"/>
          <w:spacing w:val="0"/>
          <w:w w:val="100"/>
          <w:position w:val="0"/>
        </w:rPr>
        <w:t>营业收入的说明 无。</w:t>
      </w:r>
    </w:p>
    <w:p>
      <w:pPr>
        <w:pStyle w:val="Style33"/>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rFonts w:ascii="Times New Roman" w:eastAsia="Times New Roman" w:hAnsi="Times New Roman" w:cs="Times New Roman"/>
          <w:color w:val="000000"/>
          <w:spacing w:val="0"/>
          <w:w w:val="100"/>
          <w:position w:val="0"/>
        </w:rPr>
        <w:t>5</w:t>
      </w:r>
      <w:r>
        <w:rPr>
          <w:color w:val="000000"/>
          <w:spacing w:val="0"/>
          <w:w w:val="100"/>
          <w:position w:val="0"/>
        </w:rPr>
        <w:t>、营业税金及附加</w:t>
      </w:r>
      <w:bookmarkEnd w:id="1104"/>
      <w:bookmarkEnd w:id="1105"/>
      <w:bookmarkEnd w:id="110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130,566.82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290,935.34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软件开发及服务类收入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531,794.63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492,000.72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增值税和营业税应纳税额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379,853.29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351,429.09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增值税和营业税应纳税额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堤围防护费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1,057,438.01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1,146,151.23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440" w:line="470" w:lineRule="exact"/>
        <w:ind w:left="360" w:right="0" w:firstLine="0"/>
        <w:jc w:val="left"/>
      </w:pPr>
      <w:r>
        <w:rPr>
          <w:color w:val="000000"/>
          <w:spacing w:val="0"/>
          <w:w w:val="100"/>
          <w:position w:val="0"/>
        </w:rPr>
        <w:t>营业税金及附加的说明 无。</w:t>
      </w:r>
    </w:p>
    <w:p>
      <w:pPr>
        <w:pStyle w:val="Style33"/>
        <w:keepNext/>
        <w:keepLines/>
        <w:widowControl w:val="0"/>
        <w:shd w:val="clear" w:color="auto" w:fill="auto"/>
        <w:bidi w:val="0"/>
        <w:spacing w:before="0" w:after="38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108"/>
      <w:bookmarkEnd w:id="1109"/>
      <w:bookmarkEnd w:id="111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11,642,742.26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9,160,276.09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2,852,255.47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3,430,442.49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5,374,700.45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5,306,514.90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393,408.56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662,814.49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207,293.40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197,403.68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2,247,910.67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1,709,514.32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22,718,310.81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20,466,965.97</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bookmarkEnd w:id="1114"/>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112"/>
      <w:bookmarkEnd w:id="1113"/>
      <w:bookmarkEnd w:id="111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5,451,605.85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6,754,358.16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3,085,658.22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4,610,992.77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8,629,420.41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4,915,105.52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2,892,454.94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2,918,290.85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1,404,489.66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1,486,407.41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13,212,773.31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9,163,446.65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34,676,402.39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29,848,601.36</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116"/>
      <w:bookmarkEnd w:id="1117"/>
      <w:bookmarkEnd w:id="111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-10,553,133.66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-10,322,603.29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58,987.33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-10,509,771.74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-10,263,615.96</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120"/>
      <w:bookmarkEnd w:id="1121"/>
      <w:bookmarkEnd w:id="1123"/>
    </w:p>
    <w:p>
      <w:pPr>
        <w:pStyle w:val="Style33"/>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4" w:name="bookmark11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20"/>
      <w:bookmarkEnd w:id="1121"/>
      <w:bookmarkEnd w:id="112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140"/>
        <w:jc w:val="left"/>
      </w:pPr>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r>
        <w:rPr>
          <w:color w:val="000000"/>
          <w:spacing w:val="0"/>
          <w:w w:val="100"/>
          <w:position w:val="0"/>
        </w:rPr>
        <w:t>)按权益法核算的长期股权投资收益</w:t>
      </w:r>
      <w:bookmarkEnd w:id="1125"/>
      <w:bookmarkEnd w:id="1126"/>
      <w:bookmarkEnd w:id="112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28"/>
        <w:gridCol w:w="1997"/>
        <w:gridCol w:w="1723"/>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深圳票联金融服务有限公司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-2,009.35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28"/>
        <w:gridCol w:w="1997"/>
        <w:gridCol w:w="1723"/>
        <w:gridCol w:w="293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440" w:line="466" w:lineRule="exact"/>
        <w:ind w:left="380" w:right="0" w:firstLine="0"/>
        <w:jc w:val="left"/>
      </w:pPr>
      <w:r>
        <w:rPr>
          <w:color w:val="000000"/>
          <w:spacing w:val="0"/>
          <w:w w:val="100"/>
          <w:position w:val="0"/>
        </w:rPr>
        <w:t>投资收益的说明，若投资收益汇回有重大限制的，应予以说明。若不存在此类重大限制，也应做出说明 无。</w:t>
      </w:r>
    </w:p>
    <w:p>
      <w:pPr>
        <w:pStyle w:val="Style33"/>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128"/>
      <w:bookmarkEnd w:id="1129"/>
      <w:bookmarkEnd w:id="113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2,535,947.29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1,042,353.41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2,535,947.29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1,042,353.41</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3</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132"/>
      <w:bookmarkEnd w:id="1133"/>
      <w:bookmarkEnd w:id="1135"/>
    </w:p>
    <w:p>
      <w:pPr>
        <w:pStyle w:val="Style33"/>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6" w:name="bookmark11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32"/>
      <w:bookmarkEnd w:id="1133"/>
      <w:bookmarkEnd w:id="113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2,411,600.00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3,953,873.00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3,646,056.40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5,165,438.08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6,057,707.82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9,119,311.08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24,116,051.42</w:t>
            </w:r>
          </w:p>
        </w:tc>
      </w:tr>
    </w:tbl>
    <w:p>
      <w:pPr>
        <w:pStyle w:val="Style28"/>
        <w:keepNext w:val="0"/>
        <w:keepLines w:val="0"/>
        <w:widowControl w:val="0"/>
        <w:shd w:val="clear" w:color="auto" w:fill="auto"/>
        <w:bidi w:val="0"/>
        <w:spacing w:before="0" w:after="440" w:line="470" w:lineRule="exact"/>
        <w:ind w:left="380" w:right="0" w:firstLine="0"/>
        <w:jc w:val="left"/>
      </w:pPr>
      <w:r>
        <w:rPr>
          <w:color w:val="000000"/>
          <w:spacing w:val="0"/>
          <w:w w:val="100"/>
          <w:position w:val="0"/>
        </w:rPr>
        <w:t>营业外收入说明 无。</w:t>
      </w:r>
    </w:p>
    <w:p>
      <w:pPr>
        <w:pStyle w:val="Style33"/>
        <w:keepNext/>
        <w:keepLines/>
        <w:widowControl w:val="0"/>
        <w:shd w:val="clear" w:color="auto" w:fill="auto"/>
        <w:bidi w:val="0"/>
        <w:spacing w:before="0" w:after="360" w:line="240" w:lineRule="auto"/>
        <w:ind w:left="0" w:right="0" w:firstLine="140"/>
        <w:jc w:val="left"/>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37"/>
      <w:bookmarkEnd w:id="1138"/>
      <w:bookmarkEnd w:id="11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科技研究经费补贴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2,411,600.00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1,953,873.00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2,411,600.00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3,953,873.00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140"/>
      <w:bookmarkEnd w:id="1141"/>
      <w:bookmarkEnd w:id="11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0"/>
        <w:gridCol w:w="1925"/>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w:t>
            </w:r>
          </w:p>
        </w:tc>
      </w:tr>
    </w:tbl>
    <w:p>
      <w:pPr>
        <w:widowControl w:val="0"/>
        <w:spacing w:line="1" w:lineRule="exact"/>
      </w:pPr>
      <w:r>
        <w:br w:type="page"/>
      </w:r>
    </w:p>
    <w:tbl>
      <w:tblPr>
        <w:tblOverlap w:val="never"/>
        <w:jc w:val="center"/>
        <w:tblLayout w:type="fixed"/>
      </w:tblPr>
      <w:tblGrid>
        <w:gridCol w:w="3725"/>
        <w:gridCol w:w="2021"/>
        <w:gridCol w:w="1910"/>
        <w:gridCol w:w="1925"/>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1,455.68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2,122.86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1,455.68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1,455.68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2,122.86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1,455.68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税收罚款及滞纳金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1,466.96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2,122.86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1,466.96</w:t>
            </w:r>
          </w:p>
        </w:tc>
      </w:tr>
    </w:tbl>
    <w:p>
      <w:pPr>
        <w:pStyle w:val="Style28"/>
        <w:keepNext w:val="0"/>
        <w:keepLines w:val="0"/>
        <w:widowControl w:val="0"/>
        <w:shd w:val="clear" w:color="auto" w:fill="auto"/>
        <w:bidi w:val="0"/>
        <w:spacing w:before="0" w:after="440" w:line="470" w:lineRule="exact"/>
        <w:ind w:left="360" w:right="0" w:firstLine="0"/>
        <w:jc w:val="left"/>
      </w:pPr>
      <w:r>
        <w:rPr>
          <w:color w:val="000000"/>
          <w:spacing w:val="0"/>
          <w:w w:val="100"/>
          <w:position w:val="0"/>
        </w:rPr>
        <w:t>营业外支出说明 无。</w:t>
      </w:r>
    </w:p>
    <w:p>
      <w:pPr>
        <w:pStyle w:val="Style33"/>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144"/>
      <w:bookmarkEnd w:id="1145"/>
      <w:bookmarkEnd w:id="114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635,244.88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2,305,748.95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-547,831.80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-68,372.94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87,413.08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2,237,376.01</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3</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、基本每股收益和稀释每股收益的计算过程</w:t>
      </w:r>
      <w:bookmarkEnd w:id="1148"/>
      <w:bookmarkEnd w:id="1149"/>
      <w:bookmarkEnd w:id="1151"/>
    </w:p>
    <w:tbl>
      <w:tblPr>
        <w:tblOverlap w:val="never"/>
        <w:jc w:val="center"/>
        <w:tblLayout w:type="fixed"/>
      </w:tblPr>
      <w:tblGrid>
        <w:gridCol w:w="4546"/>
        <w:gridCol w:w="1560"/>
        <w:gridCol w:w="1699"/>
        <w:gridCol w:w="1858"/>
      </w:tblGrid>
      <w:tr>
        <w:trPr>
          <w:trHeight w:val="360" w:hRule="exact"/>
        </w:trPr>
        <w:tc>
          <w:tcPr>
            <w:gridSpan w:val="2"/>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上期金额</w:t>
            </w: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14,446,722.90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18,030,617.44</w:t>
            </w: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报告期归属于公司普通股股东的非经常性损益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F</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2,169,646.01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3,359,662.62</w:t>
            </w:r>
          </w:p>
        </w:tc>
      </w:tr>
      <w:tr>
        <w:trPr>
          <w:trHeight w:val="78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报告期扣除非经常性损益后归属于公司普通股股东的净利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P2=P1-F</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12,277,076.89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14,670,954.82</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稀释事项对归属于公司普通股股东的净利润的影响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87"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稀释事项对扣除非经常性损益后归属于公司普通股股东的 净利润的影响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12,277,076.89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14,670,954.82</w:t>
            </w: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年初股份总数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4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报告期因公积金转增股本或股票股利分配等增加股份数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Si</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增加股份下一月份起至报告期期末的月份数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Sj</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减少股份下一月份起至报告期期末的月份数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Mj</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Sk</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M0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9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发行在外的普通股加权平均数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S=S0+S1+Si*Mi/M0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120,443,333.33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bl>
    <w:p>
      <w:pPr>
        <w:widowControl w:val="0"/>
        <w:spacing w:line="1" w:lineRule="exact"/>
      </w:pPr>
      <w:r>
        <w:br w:type="page"/>
      </w:r>
    </w:p>
    <w:tbl>
      <w:tblPr>
        <w:tblOverlap w:val="never"/>
        <w:jc w:val="center"/>
        <w:tblLayout w:type="fixed"/>
      </w:tblPr>
      <w:tblGrid>
        <w:gridCol w:w="4546"/>
        <w:gridCol w:w="1560"/>
        <w:gridCol w:w="1699"/>
        <w:gridCol w:w="1858"/>
      </w:tblGrid>
      <w:tr>
        <w:trPr>
          <w:trHeight w:val="36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-Sj*Mj/M0-Sk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加：假定稀释性潜在普通股转换为已发行普通股而增加的 普通股加权平均数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计算稀释每股收益的普通股加权平均数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X2=S+X1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120,482,200.99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认股权证</w:t>
            </w:r>
            <w:r>
              <w:rPr>
                <w:rFonts w:ascii="Times New Roman" w:eastAsia="Times New Roman" w:hAnsi="Times New Roman" w:cs="Times New Roman"/>
                <w:color w:val="000000"/>
                <w:spacing w:val="0"/>
                <w:w w:val="100"/>
                <w:position w:val="0"/>
              </w:rPr>
              <w:t>/</w:t>
            </w:r>
            <w:r>
              <w:rPr>
                <w:color w:val="000000"/>
                <w:spacing w:val="0"/>
                <w:w w:val="100"/>
                <w:position w:val="0"/>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Y1=P1/S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0.1503</w:t>
            </w:r>
          </w:p>
        </w:tc>
      </w:tr>
      <w:tr>
        <w:trPr>
          <w:trHeight w:val="78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扣除非经常性损益后归属于公司普通股股东的基本每股收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Y2=P2/S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0.1223</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Y3= </w:t>
            </w:r>
            <w:r>
              <w:rPr>
                <w:color w:val="000000"/>
                <w:spacing w:val="0"/>
                <w:w w:val="100"/>
                <w:position w:val="0"/>
              </w:rPr>
              <w:t>(</w:t>
            </w:r>
            <w:r>
              <w:rPr>
                <w:rFonts w:ascii="Times New Roman" w:eastAsia="Times New Roman" w:hAnsi="Times New Roman" w:cs="Times New Roman"/>
                <w:color w:val="000000"/>
                <w:spacing w:val="0"/>
                <w:w w:val="100"/>
                <w:position w:val="0"/>
              </w:rPr>
              <w:t>P1</w:t>
            </w:r>
            <w:r>
              <w:rPr>
                <w:color w:val="000000"/>
                <w:spacing w:val="0"/>
                <w:w w:val="100"/>
                <w:position w:val="0"/>
              </w:rPr>
              <w:t>+</w:t>
            </w:r>
            <w:r>
              <w:rPr>
                <w:rFonts w:ascii="Times New Roman" w:eastAsia="Times New Roman" w:hAnsi="Times New Roman" w:cs="Times New Roman"/>
                <w:color w:val="000000"/>
                <w:spacing w:val="0"/>
                <w:w w:val="100"/>
                <w:position w:val="0"/>
              </w:rPr>
              <w:t>P3</w:t>
            </w:r>
            <w:r>
              <w:rPr>
                <w:color w:val="000000"/>
                <w:spacing w:val="0"/>
                <w:w w:val="100"/>
                <w:position w:val="0"/>
              </w:rPr>
              <w:t xml:space="preserve">) </w:t>
            </w:r>
            <w:r>
              <w:rPr>
                <w:rFonts w:ascii="Times New Roman" w:eastAsia="Times New Roman" w:hAnsi="Times New Roman" w:cs="Times New Roman"/>
                <w:color w:val="000000"/>
                <w:spacing w:val="0"/>
                <w:w w:val="100"/>
                <w:position w:val="0"/>
              </w:rPr>
              <w:t>/X2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0.1503</w:t>
            </w:r>
          </w:p>
        </w:tc>
      </w:tr>
      <w:tr>
        <w:trPr>
          <w:trHeight w:val="80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扣除非经常性损益后归属于公司普通股股东的稀释每股收 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Y4= </w:t>
            </w:r>
            <w:r>
              <w:rPr>
                <w:color w:val="000000"/>
                <w:spacing w:val="0"/>
                <w:w w:val="100"/>
                <w:position w:val="0"/>
              </w:rPr>
              <w:t>(</w:t>
            </w:r>
            <w:r>
              <w:rPr>
                <w:rFonts w:ascii="Times New Roman" w:eastAsia="Times New Roman" w:hAnsi="Times New Roman" w:cs="Times New Roman"/>
                <w:color w:val="000000"/>
                <w:spacing w:val="0"/>
                <w:w w:val="100"/>
                <w:position w:val="0"/>
              </w:rPr>
              <w:t>P2</w:t>
            </w:r>
            <w:r>
              <w:rPr>
                <w:color w:val="000000"/>
                <w:spacing w:val="0"/>
                <w:w w:val="100"/>
                <w:position w:val="0"/>
              </w:rPr>
              <w:t>+</w:t>
            </w:r>
            <w:r>
              <w:rPr>
                <w:rFonts w:ascii="Times New Roman" w:eastAsia="Times New Roman" w:hAnsi="Times New Roman" w:cs="Times New Roman"/>
                <w:color w:val="000000"/>
                <w:spacing w:val="0"/>
                <w:w w:val="100"/>
                <w:position w:val="0"/>
              </w:rPr>
              <w:t>P4</w:t>
            </w:r>
            <w:r>
              <w:rPr>
                <w:color w:val="000000"/>
                <w:spacing w:val="0"/>
                <w:w w:val="100"/>
                <w:position w:val="0"/>
              </w:rPr>
              <w:t xml:space="preserve">) </w:t>
            </w:r>
            <w:r>
              <w:rPr>
                <w:rFonts w:ascii="Times New Roman" w:eastAsia="Times New Roman" w:hAnsi="Times New Roman" w:cs="Times New Roman"/>
                <w:color w:val="000000"/>
                <w:spacing w:val="0"/>
                <w:w w:val="100"/>
                <w:position w:val="0"/>
              </w:rPr>
              <w:t>/X2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0.1223</w:t>
            </w:r>
          </w:p>
        </w:tc>
      </w:tr>
    </w:tbl>
    <w:p>
      <w:pPr>
        <w:widowControl w:val="0"/>
        <w:spacing w:after="619" w:line="1" w:lineRule="exact"/>
      </w:pPr>
    </w:p>
    <w:p>
      <w:pPr>
        <w:pStyle w:val="Style33"/>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、现金流量表附注</w:t>
      </w:r>
      <w:bookmarkEnd w:id="1152"/>
      <w:bookmarkEnd w:id="1153"/>
      <w:bookmarkEnd w:id="1155"/>
    </w:p>
    <w:p>
      <w:pPr>
        <w:pStyle w:val="Style33"/>
        <w:keepNext/>
        <w:keepLines/>
        <w:widowControl w:val="0"/>
        <w:shd w:val="clear" w:color="auto" w:fill="auto"/>
        <w:bidi w:val="0"/>
        <w:spacing w:before="0" w:after="360" w:line="240" w:lineRule="auto"/>
        <w:ind w:left="0" w:right="0" w:firstLine="0"/>
        <w:jc w:val="left"/>
      </w:pPr>
      <w:bookmarkStart w:id="1152" w:name="bookmark1152"/>
      <w:bookmarkStart w:id="1153" w:name="bookmark1153"/>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52"/>
      <w:bookmarkEnd w:id="1153"/>
      <w:bookmarkEnd w:id="115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2,411,600.00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2,611,336.40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9,602,000.33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881,658.03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15,506,594.76</w:t>
            </w:r>
          </w:p>
        </w:tc>
      </w:tr>
    </w:tbl>
    <w:p>
      <w:pPr>
        <w:pStyle w:val="Style28"/>
        <w:keepNext w:val="0"/>
        <w:keepLines w:val="0"/>
        <w:widowControl w:val="0"/>
        <w:shd w:val="clear" w:color="auto" w:fill="auto"/>
        <w:bidi w:val="0"/>
        <w:spacing w:before="0" w:after="440" w:line="466" w:lineRule="exact"/>
        <w:ind w:left="360" w:right="0" w:firstLine="0"/>
        <w:jc w:val="left"/>
      </w:pPr>
      <w:r>
        <w:rPr>
          <w:color w:val="000000"/>
          <w:spacing w:val="0"/>
          <w:w w:val="100"/>
          <w:position w:val="0"/>
        </w:rPr>
        <w:t>收到的其他与经营活动有关的现金说明 无。</w:t>
      </w:r>
    </w:p>
    <w:p>
      <w:pPr>
        <w:pStyle w:val="Style33"/>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57"/>
      <w:bookmarkEnd w:id="1158"/>
      <w:bookmarkEnd w:id="115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付现财务费用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43,361.92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除工资外付现销售费用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17,305,066.91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除工资、税金外付现管理费用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14,136,236.04</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除工资、采购成本劳务外付现营业成本</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8,908,710.65</w:t>
            </w:r>
          </w:p>
        </w:tc>
      </w:tr>
    </w:tbl>
    <w:p>
      <w:pPr>
        <w:widowControl w:val="0"/>
        <w:spacing w:line="1" w:lineRule="exact"/>
      </w:pPr>
      <w:r>
        <w:br w:type="page"/>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3,048,590.30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31,479.71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43,473,445.53</w:t>
            </w:r>
          </w:p>
        </w:tc>
      </w:tr>
    </w:tbl>
    <w:p>
      <w:pPr>
        <w:pStyle w:val="Style28"/>
        <w:keepNext w:val="0"/>
        <w:keepLines w:val="0"/>
        <w:widowControl w:val="0"/>
        <w:shd w:val="clear" w:color="auto" w:fill="auto"/>
        <w:bidi w:val="0"/>
        <w:spacing w:before="0" w:after="440" w:line="470" w:lineRule="exact"/>
        <w:ind w:left="360" w:right="0" w:firstLine="0"/>
        <w:jc w:val="left"/>
      </w:pPr>
      <w:r>
        <w:rPr>
          <w:color w:val="000000"/>
          <w:spacing w:val="0"/>
          <w:w w:val="100"/>
          <w:position w:val="0"/>
        </w:rPr>
        <w:t>支付的其他与经营活动有关的现金说明 无。</w:t>
      </w:r>
    </w:p>
    <w:p>
      <w:pPr>
        <w:pStyle w:val="Style33"/>
        <w:keepNext/>
        <w:keepLines/>
        <w:widowControl w:val="0"/>
        <w:shd w:val="clear" w:color="auto" w:fill="auto"/>
        <w:bidi w:val="0"/>
        <w:spacing w:before="0" w:after="36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160"/>
      <w:bookmarkEnd w:id="1161"/>
      <w:bookmarkEnd w:id="116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支付股利分配各项费用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13,219.35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13,219.35</w:t>
            </w:r>
          </w:p>
        </w:tc>
      </w:tr>
    </w:tbl>
    <w:p>
      <w:pPr>
        <w:pStyle w:val="Style28"/>
        <w:keepNext w:val="0"/>
        <w:keepLines w:val="0"/>
        <w:widowControl w:val="0"/>
        <w:shd w:val="clear" w:color="auto" w:fill="auto"/>
        <w:bidi w:val="0"/>
        <w:spacing w:before="0" w:after="440" w:line="470" w:lineRule="exact"/>
        <w:ind w:left="360" w:right="0" w:firstLine="0"/>
        <w:jc w:val="left"/>
      </w:pPr>
      <w:r>
        <w:rPr>
          <w:color w:val="000000"/>
          <w:spacing w:val="0"/>
          <w:w w:val="100"/>
          <w:position w:val="0"/>
        </w:rPr>
        <w:t>支付的其他与筹资活动有关的现金说明 无。</w:t>
      </w:r>
    </w:p>
    <w:p>
      <w:pPr>
        <w:pStyle w:val="Style33"/>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3</w:t>
      </w:r>
      <w:bookmarkEnd w:id="1166"/>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164"/>
      <w:bookmarkEnd w:id="1165"/>
      <w:bookmarkEnd w:id="1167"/>
    </w:p>
    <w:p>
      <w:pPr>
        <w:pStyle w:val="Style33"/>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8" w:name="bookmark11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64"/>
      <w:bookmarkEnd w:id="1165"/>
      <w:bookmarkEnd w:id="116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14,446,722.90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18,030,617.44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2,535,947.29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1,042,353.41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3,077,491.20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3,023,149.24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4,196,321.94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1,620,968.22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507,576.51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611,212.28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-547,831.80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-69,515.68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-1,025,498.55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-7,908,576.82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-27,156,535.40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-13,704,864.62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-1,126,310.50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2,958,041.38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952,824.37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-56,480.24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-4,135,878.43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5,549,027.47</w:t>
            </w:r>
          </w:p>
        </w:tc>
      </w:tr>
    </w:tbl>
    <w:p>
      <w:pPr>
        <w:widowControl w:val="0"/>
        <w:spacing w:line="1" w:lineRule="exact"/>
      </w:pPr>
      <w:r>
        <w:br w:type="page"/>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263,732,521.77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353,108,632.82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353,108,632.82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387,791,510.52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-89,376,111.05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-34,682,877.70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169"/>
      <w:bookmarkEnd w:id="1170"/>
      <w:bookmarkEnd w:id="117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263,732,521.77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353,108,632.82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166,147.46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263,651,304.39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349,916,040.36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3,026,445.00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263,732,521.77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353,108,632.82</w:t>
            </w:r>
          </w:p>
        </w:tc>
      </w:tr>
    </w:tbl>
    <w:p>
      <w:pPr>
        <w:pStyle w:val="Style28"/>
        <w:keepNext w:val="0"/>
        <w:keepLines w:val="0"/>
        <w:widowControl w:val="0"/>
        <w:shd w:val="clear" w:color="auto" w:fill="auto"/>
        <w:bidi w:val="0"/>
        <w:spacing w:before="0" w:after="440" w:line="475" w:lineRule="exact"/>
        <w:ind w:left="360" w:right="0" w:firstLine="0"/>
        <w:jc w:val="left"/>
      </w:pPr>
      <w:r>
        <w:rPr>
          <w:color w:val="000000"/>
          <w:spacing w:val="0"/>
          <w:w w:val="100"/>
          <w:position w:val="0"/>
        </w:rPr>
        <w:t>现金流量表补充资料的说明 无。</w:t>
      </w:r>
    </w:p>
    <w:p>
      <w:pPr>
        <w:pStyle w:val="Style26"/>
        <w:keepNext/>
        <w:keepLines/>
        <w:widowControl w:val="0"/>
        <w:shd w:val="clear" w:color="auto" w:fill="auto"/>
        <w:bidi w:val="0"/>
        <w:spacing w:before="0" w:after="32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sz w:val="24"/>
          <w:szCs w:val="24"/>
        </w:rPr>
        <w:t>八</w:t>
      </w:r>
      <w:bookmarkEnd w:id="1174"/>
      <w:r>
        <w:rPr>
          <w:color w:val="000000"/>
          <w:spacing w:val="0"/>
          <w:w w:val="100"/>
          <w:position w:val="0"/>
          <w:sz w:val="24"/>
          <w:szCs w:val="24"/>
        </w:rPr>
        <w:t>、关联方及关联交易</w:t>
      </w:r>
      <w:bookmarkEnd w:id="1172"/>
      <w:bookmarkEnd w:id="1173"/>
      <w:bookmarkEnd w:id="1175"/>
    </w:p>
    <w:p>
      <w:pPr>
        <w:pStyle w:val="Style33"/>
        <w:keepNext/>
        <w:keepLines/>
        <w:widowControl w:val="0"/>
        <w:shd w:val="clear" w:color="auto" w:fill="auto"/>
        <w:bidi w:val="0"/>
        <w:spacing w:before="0" w:after="440" w:line="240" w:lineRule="auto"/>
        <w:ind w:left="0" w:right="0" w:firstLine="0"/>
        <w:jc w:val="left"/>
      </w:pPr>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176"/>
      <w:bookmarkEnd w:id="1177"/>
      <w:bookmarkEnd w:id="1178"/>
    </w:p>
    <w:p>
      <w:pPr>
        <w:pStyle w:val="Style28"/>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本公司股东均为自然人，有关情况详见附注一、公司基本情况。</w:t>
      </w:r>
    </w:p>
    <w:p>
      <w:pPr>
        <w:pStyle w:val="Style33"/>
        <w:keepNext/>
        <w:keepLines/>
        <w:widowControl w:val="0"/>
        <w:shd w:val="clear" w:color="auto" w:fill="auto"/>
        <w:bidi w:val="0"/>
        <w:spacing w:before="0" w:after="320" w:line="240" w:lineRule="auto"/>
        <w:ind w:left="0" w:right="0" w:firstLine="0"/>
        <w:jc w:val="left"/>
      </w:pPr>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179"/>
      <w:bookmarkEnd w:id="1180"/>
      <w:bookmarkEnd w:id="1181"/>
    </w:p>
    <w:tbl>
      <w:tblPr>
        <w:tblOverlap w:val="never"/>
        <w:jc w:val="center"/>
        <w:tblLayout w:type="fixed"/>
      </w:tblPr>
      <w:tblGrid>
        <w:gridCol w:w="960"/>
        <w:gridCol w:w="955"/>
        <w:gridCol w:w="960"/>
        <w:gridCol w:w="960"/>
        <w:gridCol w:w="955"/>
        <w:gridCol w:w="955"/>
        <w:gridCol w:w="960"/>
        <w:gridCol w:w="955"/>
        <w:gridCol w:w="955"/>
        <w:gridCol w:w="96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组织机构代</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深圳市银之 杰金融设备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68201739-4</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深圳市银之 杰技术开发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陈向军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57477825</w:t>
              <w:softHyphen/>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w:t>
            </w:r>
          </w:p>
        </w:tc>
      </w:tr>
    </w:tbl>
    <w:p>
      <w:pPr>
        <w:pStyle w:val="Style26"/>
        <w:keepNext/>
        <w:keepLines/>
        <w:widowControl w:val="0"/>
        <w:shd w:val="clear" w:color="auto" w:fill="auto"/>
        <w:bidi w:val="0"/>
        <w:spacing w:before="0" w:after="32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sz w:val="24"/>
          <w:szCs w:val="24"/>
        </w:rPr>
        <w:t>九</w:t>
      </w:r>
      <w:bookmarkEnd w:id="1184"/>
      <w:r>
        <w:rPr>
          <w:color w:val="000000"/>
          <w:spacing w:val="0"/>
          <w:w w:val="100"/>
          <w:position w:val="0"/>
          <w:sz w:val="24"/>
          <w:szCs w:val="24"/>
        </w:rPr>
        <w:t>、资产负债表日后事项</w:t>
      </w:r>
      <w:bookmarkEnd w:id="1182"/>
      <w:bookmarkEnd w:id="1183"/>
      <w:bookmarkEnd w:id="1185"/>
    </w:p>
    <w:p>
      <w:pPr>
        <w:pStyle w:val="Style33"/>
        <w:keepNext/>
        <w:keepLines/>
        <w:widowControl w:val="0"/>
        <w:shd w:val="clear" w:color="auto" w:fill="auto"/>
        <w:bidi w:val="0"/>
        <w:spacing w:before="0" w:after="320" w:line="240" w:lineRule="auto"/>
        <w:ind w:left="0" w:right="0" w:firstLine="0"/>
        <w:jc w:val="left"/>
      </w:pPr>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186"/>
      <w:bookmarkEnd w:id="1187"/>
      <w:bookmarkEnd w:id="118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6,066,500.00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6,066,500.00</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left"/>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189"/>
      <w:bookmarkEnd w:id="1190"/>
      <w:bookmarkEnd w:id="1191"/>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截至本财务报表签发日(董事会批准报出日)，本公司不存在应披露的资产负债表日后事项。</w:t>
      </w:r>
    </w:p>
    <w:p>
      <w:pPr>
        <w:pStyle w:val="Style26"/>
        <w:keepNext/>
        <w:keepLines/>
        <w:widowControl w:val="0"/>
        <w:shd w:val="clear" w:color="auto" w:fill="auto"/>
        <w:bidi w:val="0"/>
        <w:spacing w:before="0" w:after="320" w:line="240" w:lineRule="auto"/>
        <w:ind w:left="0" w:right="0" w:firstLine="0"/>
        <w:jc w:val="both"/>
      </w:pPr>
      <w:bookmarkStart w:id="1192" w:name="bookmark1192"/>
      <w:bookmarkStart w:id="1193" w:name="bookmark1193"/>
      <w:bookmarkStart w:id="1194" w:name="bookmark1194"/>
      <w:r>
        <w:rPr>
          <w:color w:val="000000"/>
          <w:spacing w:val="0"/>
          <w:w w:val="100"/>
          <w:position w:val="0"/>
          <w:sz w:val="24"/>
          <w:szCs w:val="24"/>
        </w:rPr>
        <w:t>十、母公司财务报表主要项目注释</w:t>
      </w:r>
      <w:bookmarkEnd w:id="1192"/>
      <w:bookmarkEnd w:id="1193"/>
      <w:bookmarkEnd w:id="1194"/>
    </w:p>
    <w:p>
      <w:pPr>
        <w:pStyle w:val="Style33"/>
        <w:keepNext/>
        <w:keepLines/>
        <w:widowControl w:val="0"/>
        <w:shd w:val="clear" w:color="auto" w:fill="auto"/>
        <w:bidi w:val="0"/>
        <w:spacing w:before="0" w:after="320" w:line="240" w:lineRule="auto"/>
        <w:ind w:left="0" w:right="0" w:firstLine="0"/>
        <w:jc w:val="both"/>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95"/>
      <w:bookmarkEnd w:id="1196"/>
      <w:bookmarkEnd w:id="1197"/>
    </w:p>
    <w:p>
      <w:pPr>
        <w:pStyle w:val="Style33"/>
        <w:keepNext/>
        <w:keepLines/>
        <w:widowControl w:val="0"/>
        <w:shd w:val="clear" w:color="auto" w:fill="auto"/>
        <w:bidi w:val="0"/>
        <w:spacing w:before="0" w:after="320" w:line="240" w:lineRule="auto"/>
        <w:ind w:left="0" w:right="0" w:firstLine="0"/>
        <w:jc w:val="both"/>
      </w:pPr>
      <w:bookmarkStart w:id="1195" w:name="bookmark1195"/>
      <w:bookmarkStart w:id="1196" w:name="bookmark1196"/>
      <w:bookmarkStart w:id="1198" w:name="bookmark11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95"/>
      <w:bookmarkEnd w:id="1196"/>
      <w:bookmarkEnd w:id="119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2"/>
        <w:gridCol w:w="1195"/>
        <w:gridCol w:w="528"/>
        <w:gridCol w:w="1330"/>
        <w:gridCol w:w="672"/>
        <w:gridCol w:w="1186"/>
        <w:gridCol w:w="662"/>
        <w:gridCol w:w="1334"/>
        <w:gridCol w:w="67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100,409,846.85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8,941,741.11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74,185,884.24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6,664,363.21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100,409,846.85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8,941,741.11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74,185,884.24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6,664,363.21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100,409,846.85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8,941,741.11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74,185,884.24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6,664,363.21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380" w:line="466" w:lineRule="exact"/>
        <w:ind w:left="0" w:right="0"/>
        <w:jc w:val="both"/>
      </w:pPr>
      <w:r>
        <w:rPr>
          <w:color w:val="000000"/>
          <w:spacing w:val="0"/>
          <w:w w:val="100"/>
          <w:position w:val="0"/>
        </w:rPr>
        <w:t>按款项账龄的组合计提坏账准备的应收账款，是指将未单项计提坏账准备的应收账款按账龄划分为若干组合，根据以前 年度与之相同或相类似的、具有类似信用风险特征的应收账款组合的实际损失率为基础，结合现时情况确定各项组合计提坏 账准备的比例，据此计算应计提的坏账准备。</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00" w:line="240" w:lineRule="auto"/>
        <w:ind w:left="0" w:right="0" w:firstLine="0"/>
        <w:jc w:val="both"/>
      </w:pPr>
      <w:r>
        <w:rPr>
          <w:color w:val="000000"/>
          <w:spacing w:val="0"/>
          <w:w w:val="100"/>
          <w:position w:val="0"/>
        </w:rPr>
        <w:t>组合中，采用账龄分析法计提坏账准备的应收账款</w:t>
      </w:r>
    </w:p>
    <w:p>
      <w:pPr>
        <w:pStyle w:val="Style2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4118"/>
        <w:gridCol w:w="439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68,789,933.91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3,439,496.70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51,662,260.94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2,583,113.05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23,211,646.57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2,321,164.66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13,301,856.85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1,330,185.68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3,410,178.10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682,035.62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6,199,395.81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1,239,879.16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4,998,088.27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2,499,044.13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3,022,370.64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1,511,185.32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4,998,088.27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2,499,044.13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3,022,370.64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1,511,185.32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100,409,846.85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8,941,741.11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74,185,884.24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6,664,363.21</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199"/>
      <w:bookmarkEnd w:id="1200"/>
      <w:bookmarkEnd w:id="120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704"/>
        <w:gridCol w:w="1771"/>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天津城市商业银行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5,360,368.00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一至三年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广西自治区农村信用联社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5,219,463.00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中国农业银行江苏省分行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3,454,620.00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广东华兴银行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2,125,667.20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2,100,100.00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18,260,218.20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02"/>
      <w:bookmarkEnd w:id="1203"/>
      <w:bookmarkEnd w:id="1204"/>
    </w:p>
    <w:p>
      <w:pPr>
        <w:pStyle w:val="Style33"/>
        <w:keepNext/>
        <w:keepLines/>
        <w:widowControl w:val="0"/>
        <w:shd w:val="clear" w:color="auto" w:fill="auto"/>
        <w:bidi w:val="0"/>
        <w:spacing w:before="0" w:after="340" w:line="240" w:lineRule="auto"/>
        <w:ind w:left="0" w:right="0" w:firstLine="0"/>
        <w:jc w:val="both"/>
      </w:pPr>
      <w:bookmarkStart w:id="1202" w:name="bookmark1202"/>
      <w:bookmarkStart w:id="1203" w:name="bookmark1203"/>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02"/>
      <w:bookmarkEnd w:id="1203"/>
      <w:bookmarkEnd w:id="120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982"/>
        <w:gridCol w:w="1858"/>
        <w:gridCol w:w="1824"/>
        <w:gridCol w:w="174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2174"/>
        <w:gridCol w:w="1454"/>
        <w:gridCol w:w="528"/>
        <w:gridCol w:w="1320"/>
        <w:gridCol w:w="528"/>
        <w:gridCol w:w="1320"/>
        <w:gridCol w:w="528"/>
        <w:gridCol w:w="1190"/>
        <w:gridCol w:w="53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按款项账龄的组合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8,734,927.31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703,615.66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6,429,158.67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442,827.62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8,734,927.31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703,615.66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6,429,158.67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442,827.62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8,734,927.31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703,615.66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6,429,158.67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442,827.62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9"/>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220" w:line="468" w:lineRule="exact"/>
        <w:ind w:left="0" w:right="0" w:firstLine="360"/>
        <w:jc w:val="left"/>
      </w:pPr>
      <w:r>
        <w:rPr>
          <w:color w:val="000000"/>
          <w:spacing w:val="0"/>
          <w:w w:val="100"/>
          <w:position w:val="0"/>
        </w:rPr>
        <w:t>按款项账龄的组合计提坏账准备的其他应收款，是指将未单项计提坏账准备的其他应收款按账龄划分为若干组合，根据 以前年度与之相同或相类似的、具有类似信用风险特征的其他应收款组合的实际损失率为基础，结合现时情况确定各项组合 计提坏账准备的比例，据此计算应计提的坏账准备。</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5,712,621.33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285,631.06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5,275,556.80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218,987.43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2,732,920.98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273,292.10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792,251.87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79,225.19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120,200.00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24,040.00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289,385.00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144,692.50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241,150.00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120,575.00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289,385.00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144,692.50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241,150.00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120,575.00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8,734,927.31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703,615.66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6,429,158.67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442,827.62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after="320" w:line="240" w:lineRule="auto"/>
        <w:ind w:left="0" w:right="0" w:firstLine="0"/>
        <w:jc w:val="left"/>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r>
        <w:rPr>
          <w:color w:val="000000"/>
          <w:spacing w:val="0"/>
          <w:w w:val="100"/>
          <w:position w:val="0"/>
        </w:rPr>
        <w:t>)金额较大的其他应收款的性质或内容</w:t>
      </w:r>
      <w:bookmarkEnd w:id="1206"/>
      <w:bookmarkEnd w:id="1207"/>
      <w:bookmarkEnd w:id="1208"/>
    </w:p>
    <w:tbl>
      <w:tblPr>
        <w:tblOverlap w:val="never"/>
        <w:jc w:val="center"/>
        <w:tblLayout w:type="fixed"/>
      </w:tblPr>
      <w:tblGrid>
        <w:gridCol w:w="2558"/>
        <w:gridCol w:w="2126"/>
        <w:gridCol w:w="2021"/>
        <w:gridCol w:w="2885"/>
      </w:tblGrid>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海口农村商业银行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w:t>
            </w: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中国农业银行甘肃省分行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9.73</w:t>
            </w: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冯苏军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303,120.00</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租赁押金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3.47</w:t>
            </w:r>
          </w:p>
        </w:tc>
      </w:tr>
      <w:tr>
        <w:trPr>
          <w:trHeight w:val="35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北京豪威大厦大厦有限公司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290,602.36</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租赁押金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3.33</w:t>
            </w:r>
          </w:p>
        </w:tc>
      </w:tr>
      <w:tr>
        <w:trPr>
          <w:trHeight w:val="35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廖珊怡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164,870.00</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租赁押金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1.89</w:t>
            </w:r>
          </w:p>
        </w:tc>
      </w:tr>
      <w:tr>
        <w:trPr>
          <w:trHeight w:val="37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2,708,592.36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b/>
                <w:bCs/>
                <w:color w:val="000000"/>
                <w:spacing w:val="0"/>
                <w:w w:val="100"/>
                <w:position w:val="0"/>
              </w:rPr>
              <w:t>31.01</w:t>
            </w:r>
          </w:p>
        </w:tc>
      </w:tr>
    </w:tbl>
    <w:p>
      <w:pPr>
        <w:widowControl w:val="0"/>
        <w:spacing w:after="619" w:line="1" w:lineRule="exact"/>
      </w:pPr>
    </w:p>
    <w:p>
      <w:pPr>
        <w:pStyle w:val="Style33"/>
        <w:keepNext/>
        <w:keepLines/>
        <w:widowControl w:val="0"/>
        <w:numPr>
          <w:ilvl w:val="0"/>
          <w:numId w:val="73"/>
        </w:numPr>
        <w:shd w:val="clear" w:color="auto" w:fill="auto"/>
        <w:bidi w:val="0"/>
        <w:spacing w:before="0" w:after="38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其他应收款金额前五名单位情况</w:t>
      </w:r>
      <w:bookmarkEnd w:id="1209"/>
      <w:bookmarkEnd w:id="1210"/>
      <w:bookmarkEnd w:id="121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560"/>
        <w:gridCol w:w="1771"/>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海口农村商业银行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中国农业银行甘肃省分行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冯苏军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303,120.00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北京豪威大厦大厦有限公司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290,602.36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廖邪怡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164,870.00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2,708,592.36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color w:val="000000"/>
          <w:spacing w:val="0"/>
          <w:w w:val="100"/>
          <w:position w:val="0"/>
        </w:rPr>
        <w:t>、长期股权投资</w:t>
      </w:r>
      <w:bookmarkEnd w:id="1213"/>
      <w:bookmarkEnd w:id="1214"/>
      <w:bookmarkEnd w:id="121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595"/>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核算方 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深圳市银之 杰金融设备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深圳市银之 杰技术开发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深圳票联金 融服务有限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4,900,000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4,897,990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4,897,990</w:t>
            </w:r>
          </w:p>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8"/>
        <w:gridCol w:w="595"/>
        <w:gridCol w:w="802"/>
        <w:gridCol w:w="797"/>
        <w:gridCol w:w="797"/>
        <w:gridCol w:w="797"/>
        <w:gridCol w:w="802"/>
        <w:gridCol w:w="797"/>
        <w:gridCol w:w="797"/>
        <w:gridCol w:w="797"/>
        <w:gridCol w:w="802"/>
        <w:gridCol w:w="806"/>
      </w:tblGrid>
      <w:tr>
        <w:trPr>
          <w:trHeight w:val="3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北京华道征 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28,900,00</w:t>
            </w:r>
          </w:p>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24,897,99</w:t>
            </w:r>
          </w:p>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28,897,99</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6,500,000</w:t>
            </w:r>
          </w:p>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119" w:line="1" w:lineRule="exact"/>
      </w:pPr>
    </w:p>
    <w:p>
      <w:pPr>
        <w:pStyle w:val="Style28"/>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长期股权投资的说明</w:t>
      </w:r>
    </w:p>
    <w:p>
      <w:pPr>
        <w:pStyle w:val="Style28"/>
        <w:keepNext w:val="0"/>
        <w:keepLines w:val="0"/>
        <w:widowControl w:val="0"/>
        <w:shd w:val="clear" w:color="auto" w:fill="auto"/>
        <w:bidi w:val="0"/>
        <w:spacing w:before="0" w:after="440" w:line="240" w:lineRule="auto"/>
        <w:ind w:left="0" w:right="0" w:firstLine="36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4</w:t>
      </w:r>
      <w:bookmarkEnd w:id="1219"/>
      <w:r>
        <w:rPr>
          <w:color w:val="000000"/>
          <w:spacing w:val="0"/>
          <w:w w:val="100"/>
          <w:position w:val="0"/>
        </w:rPr>
        <w:t>、营业收入和营业成本</w:t>
      </w:r>
      <w:bookmarkEnd w:id="1217"/>
      <w:bookmarkEnd w:id="1218"/>
      <w:bookmarkEnd w:id="1220"/>
    </w:p>
    <w:p>
      <w:pPr>
        <w:pStyle w:val="Style33"/>
        <w:keepNext/>
        <w:keepLines/>
        <w:widowControl w:val="0"/>
        <w:shd w:val="clear" w:color="auto" w:fill="auto"/>
        <w:bidi w:val="0"/>
        <w:spacing w:before="0" w:after="360" w:line="240" w:lineRule="auto"/>
        <w:ind w:left="0" w:right="0" w:firstLine="0"/>
        <w:jc w:val="left"/>
      </w:pPr>
      <w:bookmarkStart w:id="1217" w:name="bookmark1217"/>
      <w:bookmarkStart w:id="1218" w:name="bookmark1218"/>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217"/>
      <w:bookmarkEnd w:id="1218"/>
      <w:bookmarkEnd w:id="122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107,517,941.86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98,397,141.41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8,065,389.91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2,847,438.87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115,583,331.77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101,244,580.28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68,093,162.25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56,867,703.42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22"/>
      <w:bookmarkEnd w:id="1223"/>
      <w:bookmarkEnd w:id="122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107,517,941.86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61,426,718.54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98,397,141.41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54,993,276.22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107,517,941.86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61,426,718.54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98,397,141.41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54,993,276.22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225"/>
      <w:bookmarkEnd w:id="1226"/>
      <w:bookmarkEnd w:id="122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软件产品及开发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71,821,933.19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39,228,576.81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72,815,412.76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38,294,507.34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22,725,508.84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16,752,325.13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17,862,057.19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12,055,023.05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3,098,820.51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2,311,551.99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1,555,179.44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1,225,478.31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9,871,679.32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3,134,264.61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6,164,492.02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3,418,267.52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107,517,941.86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61,426,718.54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98,397,141.41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54,993,276.22</w:t>
            </w:r>
          </w:p>
        </w:tc>
      </w:tr>
    </w:tbl>
    <w:p>
      <w:pPr>
        <w:spacing w:lineRule="exact" w:line="1"/>
        <w:rPr>
          <w:sz w:val="2"/>
          <w:szCs w:val="2"/>
        </w:rPr>
      </w:pPr>
      <w:r>
        <w:br w:type="page"/>
      </w:r>
    </w:p>
    <w:p>
      <w:pPr>
        <w:pStyle w:val="Style33"/>
        <w:keepNext/>
        <w:keepLines/>
        <w:widowControl w:val="0"/>
        <w:numPr>
          <w:ilvl w:val="0"/>
          <w:numId w:val="73"/>
        </w:numPr>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主营业务(分地区)</w:t>
      </w:r>
      <w:bookmarkEnd w:id="1229"/>
      <w:bookmarkEnd w:id="1230"/>
      <w:bookmarkEnd w:id="123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24,308,189.40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10,368,710.09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18,615,936.46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8,390,390.01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27,132,822.45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13,291,154.22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33,220,131.80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15,662,130.34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36,520,986.58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17,103,374.14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28,746,096.93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14,028,940.83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8,560,461.18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4,327,139.35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5,374,959.85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2,539,097.10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10,995,482.25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4,868,279.03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12,440,016.37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5,358,333.56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107,517,941.86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49,958,656.83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98,397,141.41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45,978,891.84</w:t>
            </w:r>
          </w:p>
        </w:tc>
      </w:tr>
    </w:tbl>
    <w:p>
      <w:pPr>
        <w:widowControl w:val="0"/>
        <w:spacing w:after="319" w:line="1" w:lineRule="exact"/>
      </w:pPr>
    </w:p>
    <w:p>
      <w:pPr>
        <w:pStyle w:val="Style33"/>
        <w:keepNext/>
        <w:keepLines/>
        <w:widowControl w:val="0"/>
        <w:numPr>
          <w:ilvl w:val="0"/>
          <w:numId w:val="73"/>
        </w:numPr>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公司来自前五名客户的营业收入情况</w:t>
      </w:r>
      <w:bookmarkEnd w:id="1233"/>
      <w:bookmarkEnd w:id="1234"/>
      <w:bookmarkEnd w:id="123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中国农业银行广西省分行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6,400,247.74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广西自治区农村信用联社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5,584,222.09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广东省农村信用社联社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4,851,068.36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天津城市商业银行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3,810,333.36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贵州省农村信用联社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3,580,170.95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24,226,042.50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w:t>
            </w:r>
          </w:p>
        </w:tc>
      </w:tr>
    </w:tbl>
    <w:p>
      <w:pPr>
        <w:pStyle w:val="Style28"/>
        <w:keepNext w:val="0"/>
        <w:keepLines w:val="0"/>
        <w:widowControl w:val="0"/>
        <w:shd w:val="clear" w:color="auto" w:fill="auto"/>
        <w:bidi w:val="0"/>
        <w:spacing w:before="0" w:after="440" w:line="475" w:lineRule="exact"/>
        <w:ind w:left="360" w:right="0" w:firstLine="0"/>
        <w:jc w:val="left"/>
      </w:pPr>
      <w:r>
        <w:rPr>
          <w:color w:val="000000"/>
          <w:spacing w:val="0"/>
          <w:w w:val="100"/>
          <w:position w:val="0"/>
        </w:rPr>
        <w:t>营业收入的说明 无。</w:t>
      </w:r>
    </w:p>
    <w:p>
      <w:pPr>
        <w:pStyle w:val="Style33"/>
        <w:keepNext/>
        <w:keepLines/>
        <w:widowControl w:val="0"/>
        <w:shd w:val="clear" w:color="auto" w:fill="auto"/>
        <w:bidi w:val="0"/>
        <w:spacing w:before="0" w:after="32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5</w:t>
      </w:r>
      <w:bookmarkEnd w:id="1239"/>
      <w:r>
        <w:rPr>
          <w:color w:val="000000"/>
          <w:spacing w:val="0"/>
          <w:w w:val="100"/>
          <w:position w:val="0"/>
        </w:rPr>
        <w:t>、投资收益</w:t>
      </w:r>
      <w:bookmarkEnd w:id="1237"/>
      <w:bookmarkEnd w:id="1238"/>
      <w:bookmarkEnd w:id="1240"/>
    </w:p>
    <w:p>
      <w:pPr>
        <w:pStyle w:val="Style33"/>
        <w:keepNext/>
        <w:keepLines/>
        <w:widowControl w:val="0"/>
        <w:shd w:val="clear" w:color="auto" w:fill="auto"/>
        <w:bidi w:val="0"/>
        <w:spacing w:before="0" w:after="320" w:line="240" w:lineRule="auto"/>
        <w:ind w:left="0" w:right="0" w:firstLine="0"/>
        <w:jc w:val="left"/>
      </w:pPr>
      <w:bookmarkStart w:id="1237" w:name="bookmark1237"/>
      <w:bookmarkStart w:id="1238" w:name="bookmark1238"/>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237"/>
      <w:bookmarkEnd w:id="1238"/>
      <w:bookmarkEnd w:id="124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26"/>
        <w:gridCol w:w="2520"/>
        <w:gridCol w:w="25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6,497,990.65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14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242"/>
      <w:bookmarkEnd w:id="1243"/>
      <w:bookmarkEnd w:id="124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深圳市银之杰金融设备有限公司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深圳市银之杰技术开发有限公司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14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245"/>
      <w:bookmarkEnd w:id="1246"/>
      <w:bookmarkEnd w:id="124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728"/>
        <w:gridCol w:w="1594"/>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深圳票联金融服务有限公司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240" w:line="240" w:lineRule="auto"/>
        <w:ind w:left="0" w:right="0"/>
        <w:jc w:val="left"/>
      </w:pPr>
      <w:r>
        <w:rPr>
          <w:color w:val="000000"/>
          <w:spacing w:val="0"/>
          <w:w w:val="100"/>
          <w:position w:val="0"/>
        </w:rPr>
        <w:t>投资收益的说明</w:t>
      </w:r>
    </w:p>
    <w:p>
      <w:pPr>
        <w:pStyle w:val="Style28"/>
        <w:keepNext w:val="0"/>
        <w:keepLines w:val="0"/>
        <w:widowControl w:val="0"/>
        <w:shd w:val="clear" w:color="auto" w:fill="auto"/>
        <w:bidi w:val="0"/>
        <w:spacing w:before="0" w:after="440" w:line="240" w:lineRule="auto"/>
        <w:ind w:left="0" w:right="0"/>
        <w:jc w:val="left"/>
      </w:pPr>
      <w:r>
        <w:rPr>
          <w:color w:val="000000"/>
          <w:spacing w:val="0"/>
          <w:w w:val="100"/>
          <w:position w:val="0"/>
        </w:rPr>
        <w:t>本期现金红利</w:t>
      </w:r>
      <w:r>
        <w:rPr>
          <w:rFonts w:ascii="Times New Roman" w:eastAsia="Times New Roman" w:hAnsi="Times New Roman" w:cs="Times New Roman"/>
          <w:color w:val="000000"/>
          <w:spacing w:val="0"/>
          <w:w w:val="100"/>
          <w:position w:val="0"/>
        </w:rPr>
        <w:t>650</w:t>
      </w:r>
      <w:r>
        <w:rPr>
          <w:color w:val="000000"/>
          <w:spacing w:val="0"/>
          <w:w w:val="100"/>
          <w:position w:val="0"/>
        </w:rPr>
        <w:t>万元是指2013年度深圳市银之杰技术开发有限公司宣告并分配给母公司的利润，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日深圳 </w:t>
      </w:r>
      <w:r>
        <w:rPr>
          <w:color w:val="000000"/>
          <w:spacing w:val="0"/>
          <w:w w:val="100"/>
          <w:position w:val="0"/>
        </w:rPr>
        <w:t>市银之杰技术开发有限公司通过执行董事决议，决定将其中的货币资金</w:t>
      </w:r>
      <w:r>
        <w:rPr>
          <w:rFonts w:ascii="Times New Roman" w:eastAsia="Times New Roman" w:hAnsi="Times New Roman" w:cs="Times New Roman"/>
          <w:color w:val="000000"/>
          <w:spacing w:val="0"/>
          <w:w w:val="100"/>
          <w:position w:val="0"/>
        </w:rPr>
        <w:t>650</w:t>
      </w:r>
      <w:r>
        <w:rPr>
          <w:color w:val="000000"/>
          <w:spacing w:val="0"/>
          <w:w w:val="100"/>
          <w:position w:val="0"/>
        </w:rPr>
        <w:t>万元分配给深圳市银之杰科技股份有限公司。</w:t>
      </w:r>
    </w:p>
    <w:p>
      <w:pPr>
        <w:pStyle w:val="Style33"/>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6</w:t>
      </w:r>
      <w:bookmarkEnd w:id="1251"/>
      <w:r>
        <w:rPr>
          <w:color w:val="000000"/>
          <w:spacing w:val="0"/>
          <w:w w:val="100"/>
          <w:position w:val="0"/>
        </w:rPr>
        <w:t>、现金流量表补充资料</w:t>
      </w:r>
      <w:bookmarkEnd w:id="1249"/>
      <w:bookmarkEnd w:id="1250"/>
      <w:bookmarkEnd w:id="125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11,435,353.27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17,800,519.54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2,538,165.94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1,037,935.97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2,906,742.61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3,001,753.12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4,252,964.33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1,619,358.18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443,579.76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587,029.30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2,122.86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-6,497,990.65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-380,724.90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-156,833.13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-2,380,149.14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-1,614,920.44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-25,042,135.59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-13,392,707.50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3,756,832.23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-4,418,531.81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952,824.37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-56,480.24</w:t>
            </w:r>
          </w:p>
        </w:tc>
      </w:tr>
    </w:tbl>
    <w:p>
      <w:pPr>
        <w:widowControl w:val="0"/>
        <w:spacing w:line="1" w:lineRule="exact"/>
      </w:pPr>
      <w:r>
        <w:br w:type="page"/>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-8,013,133.51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-3,590,754.15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258,804,381.54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337,491,332.43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337,491,332.43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380,047,228.75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-78,686,950.89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-42,555,896.32</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253" w:name="bookmark1253"/>
      <w:bookmarkStart w:id="1254" w:name="bookmark1254"/>
      <w:bookmarkStart w:id="1255" w:name="bookmark1255"/>
      <w:r>
        <w:rPr>
          <w:color w:val="000000"/>
          <w:spacing w:val="0"/>
          <w:w w:val="100"/>
          <w:position w:val="0"/>
          <w:sz w:val="24"/>
          <w:szCs w:val="24"/>
        </w:rPr>
        <w:t>十一、补充资料</w:t>
      </w:r>
      <w:bookmarkEnd w:id="1253"/>
      <w:bookmarkEnd w:id="1254"/>
      <w:bookmarkEnd w:id="1255"/>
    </w:p>
    <w:p>
      <w:pPr>
        <w:pStyle w:val="Style33"/>
        <w:keepNext/>
        <w:keepLines/>
        <w:widowControl w:val="0"/>
        <w:shd w:val="clear" w:color="auto" w:fill="auto"/>
        <w:bidi w:val="0"/>
        <w:spacing w:before="0" w:after="340" w:line="240" w:lineRule="auto"/>
        <w:ind w:left="0" w:right="0" w:firstLine="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256"/>
      <w:bookmarkEnd w:id="1257"/>
      <w:bookmarkEnd w:id="12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2,411,600.00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240,538.45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2,169,646.01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259"/>
      <w:bookmarkEnd w:id="1260"/>
      <w:bookmarkEnd w:id="1261"/>
    </w:p>
    <w:p>
      <w:pPr>
        <w:pStyle w:val="Style33"/>
        <w:keepNext/>
        <w:keepLines/>
        <w:widowControl w:val="0"/>
        <w:shd w:val="clear" w:color="auto" w:fill="auto"/>
        <w:bidi w:val="0"/>
        <w:spacing w:before="0" w:after="340" w:line="240" w:lineRule="auto"/>
        <w:ind w:left="0" w:right="0" w:firstLine="0"/>
        <w:jc w:val="left"/>
      </w:pPr>
      <w:bookmarkStart w:id="1259" w:name="bookmark1259"/>
      <w:bookmarkStart w:id="1260" w:name="bookmark1260"/>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259"/>
      <w:bookmarkEnd w:id="1260"/>
      <w:bookmarkEnd w:id="126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14,446,722.90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18,030,617.44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522,063,053.82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515,712,130.92</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263"/>
      <w:bookmarkEnd w:id="1264"/>
      <w:bookmarkEnd w:id="126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1742"/>
        <w:gridCol w:w="2002"/>
        <w:gridCol w:w="1771"/>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14,446,722.90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18,030,617.44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522,063,053.82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515,712,130.92</w:t>
            </w:r>
          </w:p>
        </w:tc>
      </w:tr>
    </w:tbl>
    <w:p>
      <w:pPr>
        <w:spacing w:lineRule="exact" w:line="1"/>
        <w:rPr>
          <w:sz w:val="2"/>
          <w:szCs w:val="2"/>
        </w:rPr>
      </w:pPr>
      <w:r>
        <w:br w:type="page"/>
      </w:r>
    </w:p>
    <w:p>
      <w:pPr>
        <w:pStyle w:val="Style28"/>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90" w:line="240" w:lineRule="auto"/>
        <w:ind w:left="0" w:right="0" w:firstLine="0"/>
        <w:jc w:val="left"/>
      </w:pPr>
      <w:r>
        <w:rPr>
          <w:color w:val="000000"/>
          <w:spacing w:val="0"/>
          <w:w w:val="100"/>
          <w:position w:val="0"/>
        </w:rPr>
        <w:t>按境外会计准则调整的项目及金额</w:t>
      </w:r>
    </w:p>
    <w:p>
      <w:pPr>
        <w:pStyle w:val="Style33"/>
        <w:keepNext/>
        <w:keepLines/>
        <w:widowControl w:val="0"/>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color w:val="000000"/>
          <w:spacing w:val="0"/>
          <w:w w:val="100"/>
          <w:position w:val="0"/>
        </w:rPr>
        <w:t>、净资产收益率及每股收益</w:t>
      </w:r>
      <w:bookmarkEnd w:id="1266"/>
      <w:bookmarkEnd w:id="1267"/>
      <w:bookmarkEnd w:id="12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0.1199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0.1019</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4</w:t>
      </w:r>
      <w:bookmarkEnd w:id="1272"/>
      <w:r>
        <w:rPr>
          <w:color w:val="000000"/>
          <w:spacing w:val="0"/>
          <w:w w:val="100"/>
          <w:position w:val="0"/>
        </w:rPr>
        <w:t>、公司主要会计报表项目的异常情况及原因的说明</w:t>
      </w:r>
      <w:bookmarkEnd w:id="1270"/>
      <w:bookmarkEnd w:id="1271"/>
      <w:bookmarkEnd w:id="127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54"/>
        <w:gridCol w:w="1344"/>
        <w:gridCol w:w="1349"/>
        <w:gridCol w:w="1320"/>
        <w:gridCol w:w="955"/>
        <w:gridCol w:w="3461"/>
      </w:tblGrid>
      <w:tr>
        <w:trPr>
          <w:trHeight w:val="36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增加额</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增加率</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变化原因分析</w:t>
            </w:r>
          </w:p>
        </w:tc>
      </w:tr>
      <w:tr>
        <w:trPr>
          <w:trHeight w:val="10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295,732,521.77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353,108,632.82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-57,376,111.05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主要原因系公司对外投资联营企业、派发现 金股利、研发项目的投入以及经营活动回款 降低所致。</w:t>
            </w:r>
          </w:p>
        </w:tc>
      </w:tr>
      <w:tr>
        <w:trPr>
          <w:trHeight w:val="7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951,133.33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951,133.33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主要原因系公司按权责发生制原则计提的银 行存款利息收入。</w:t>
            </w:r>
          </w:p>
        </w:tc>
      </w:tr>
      <w:tr>
        <w:trPr>
          <w:trHeight w:val="7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91,468,105.74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67,521,521.03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23,946,584.71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主要原因系公司销售收入增长，回收周期较 长、回款较慢所致。</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8,357,709.70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6,361,871.55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1,995,838.15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主要原因系公司各业务部门经营活动备用 金、投标保证金的增加。</w:t>
            </w:r>
          </w:p>
        </w:tc>
      </w:tr>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24,897,990.65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24,897,990.65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主要原因系对外新增两家联营公司的投资。</w:t>
            </w:r>
          </w:p>
        </w:tc>
      </w:tr>
      <w:tr>
        <w:trPr>
          <w:trHeight w:val="7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27,246,464.15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12,300,113.82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14,946,350.33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主要原因系研发项目开发完成后形成无形资 产的增加。</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12,676,949.14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15,929,451.30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-3,252,502.16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主要原因系公司募集资金投资项目及其他研 发项目的完成转入无形资产。</w:t>
            </w:r>
          </w:p>
        </w:tc>
      </w:tr>
      <w:tr>
        <w:trPr>
          <w:trHeight w:val="7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1,615,024.83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1,067,193.03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547,831.80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主要原因系可抵扣的企业所得税暂时性差异 的增加所致。</w:t>
            </w:r>
          </w:p>
        </w:tc>
      </w:tr>
      <w:tr>
        <w:trPr>
          <w:trHeight w:val="8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1,337,260.31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452,149.41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885,110.90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主要原因系房产押金增加以及公司员工费用 报销尚未支付所致。</w:t>
            </w:r>
          </w:p>
        </w:tc>
      </w:tr>
    </w:tbl>
    <w:p>
      <w:pPr>
        <w:widowControl w:val="0"/>
        <w:spacing w:after="31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363"/>
        <w:gridCol w:w="1344"/>
        <w:gridCol w:w="1296"/>
        <w:gridCol w:w="907"/>
        <w:gridCol w:w="3571"/>
      </w:tblGrid>
      <w:tr>
        <w:trPr>
          <w:trHeight w:val="36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增加额</w:t>
            </w:r>
          </w:p>
        </w:tc>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增加率</w:t>
            </w:r>
          </w:p>
        </w:tc>
        <w:tc>
          <w:tcPr>
            <w:tcBorders>
              <w:top w:val="single" w:sz="4"/>
              <w:left w:val="single" w:sz="4"/>
              <w:righ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变化原因分析</w:t>
            </w:r>
          </w:p>
        </w:tc>
      </w:tr>
      <w:tr>
        <w:trPr>
          <w:trHeight w:val="67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110,074,729.26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100,527,997.61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9,546,731.65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主要原因系公司主营产品销售略有增长及房 租收入提高所致。</w:t>
            </w:r>
          </w:p>
        </w:tc>
      </w:tr>
    </w:tbl>
    <w:p>
      <w:pPr>
        <w:widowControl w:val="0"/>
        <w:spacing w:line="1" w:lineRule="exact"/>
      </w:pPr>
      <w:r>
        <w:br w:type="page"/>
      </w:r>
    </w:p>
    <w:tbl>
      <w:tblPr>
        <w:tblOverlap w:val="never"/>
        <w:jc w:val="center"/>
        <w:tblLayout w:type="fixed"/>
      </w:tblPr>
      <w:tblGrid>
        <w:gridCol w:w="1306"/>
        <w:gridCol w:w="1358"/>
        <w:gridCol w:w="1344"/>
        <w:gridCol w:w="1296"/>
        <w:gridCol w:w="907"/>
        <w:gridCol w:w="3571"/>
      </w:tblGrid>
      <w:tr>
        <w:trPr>
          <w:trHeight w:val="79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51,116,498.03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47,136,736.37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3,979,761.66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主要原因系公司收入对应的产品成本相应提 高所致。</w:t>
            </w:r>
          </w:p>
        </w:tc>
      </w:tr>
      <w:tr>
        <w:trPr>
          <w:trHeight w:val="10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34,676,402.39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29,848,601.36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4,827,801.03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主要原因系研发、管理人员增加致使薪酬总额 增加，以及研发资产摊销增大等因素造成费用 的增加。</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2,535,947.29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1,042,353.41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1,493,593.88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主要原因系应收款项期限增长致坏账准备计 提增加所致。</w:t>
            </w:r>
          </w:p>
        </w:tc>
      </w:tr>
      <w:tr>
        <w:trPr>
          <w:trHeight w:val="7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6,057,707.82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9,119,311.08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-3,061,603.26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主要原因系本期软件产品即征即退即征税款 收入和地方特定事项补贴资金减少。</w:t>
            </w:r>
          </w:p>
        </w:tc>
      </w:tr>
      <w:tr>
        <w:trPr>
          <w:trHeight w:val="4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87,413.08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2,237,376.01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-2,149,962.93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主要原因系应纳税所得额减少引起的。</w:t>
            </w:r>
          </w:p>
        </w:tc>
      </w:tr>
    </w:tbl>
    <w:p>
      <w:pPr>
        <w:sectPr>
          <w:footnotePr>
            <w:pos w:val="pageBottom"/>
            <w:numFmt w:val="decimal"/>
            <w:numRestart w:val="continuous"/>
          </w:footnotePr>
          <w:pgSz w:w="11900" w:h="16840"/>
          <w:pgMar w:top="1292" w:right="824" w:bottom="1441" w:left="852" w:header="0" w:footer="3" w:gutter="0"/>
          <w:cols w:space="720"/>
          <w:noEndnote/>
          <w:rtlGutter w:val="0"/>
          <w:docGrid w:linePitch="360"/>
        </w:sectPr>
      </w:pPr>
    </w:p>
    <w:p>
      <w:pPr>
        <w:pStyle w:val="Style13"/>
        <w:keepNext/>
        <w:keepLines/>
        <w:widowControl w:val="0"/>
        <w:shd w:val="clear" w:color="auto" w:fill="auto"/>
        <w:bidi w:val="0"/>
        <w:spacing w:before="0" w:after="620" w:line="240" w:lineRule="auto"/>
        <w:ind w:left="0" w:right="0" w:firstLine="0"/>
        <w:jc w:val="center"/>
      </w:pPr>
      <w:bookmarkStart w:id="1274" w:name="bookmark1274"/>
      <w:bookmarkStart w:id="1275" w:name="bookmark1275"/>
      <w:bookmarkStart w:id="1276" w:name="bookmark1276"/>
      <w:r>
        <w:rPr>
          <w:color w:val="000000"/>
          <w:spacing w:val="0"/>
          <w:w w:val="100"/>
          <w:position w:val="0"/>
        </w:rPr>
        <w:t>第十节备查文件目录</w:t>
      </w:r>
      <w:bookmarkEnd w:id="1274"/>
      <w:bookmarkEnd w:id="1275"/>
      <w:bookmarkEnd w:id="1276"/>
    </w:p>
    <w:p>
      <w:pPr>
        <w:pStyle w:val="Style28"/>
        <w:keepNext w:val="0"/>
        <w:keepLines w:val="0"/>
        <w:widowControl w:val="0"/>
        <w:numPr>
          <w:ilvl w:val="0"/>
          <w:numId w:val="75"/>
        </w:numPr>
        <w:shd w:val="clear" w:color="auto" w:fill="auto"/>
        <w:tabs>
          <w:tab w:pos="320" w:val="left"/>
        </w:tabs>
        <w:bidi w:val="0"/>
        <w:spacing w:before="0" w:after="240" w:line="240" w:lineRule="auto"/>
        <w:ind w:left="0" w:right="0" w:firstLine="0"/>
        <w:jc w:val="left"/>
      </w:pPr>
      <w:bookmarkStart w:id="1277" w:name="bookmark1277"/>
      <w:bookmarkEnd w:id="1277"/>
      <w:r>
        <w:rPr>
          <w:color w:val="000000"/>
          <w:spacing w:val="0"/>
          <w:w w:val="100"/>
          <w:position w:val="0"/>
        </w:rPr>
        <w:t>载有公司法定代表人陈向军、主管会计工作负责人许秋江、会计机构负责人张春雷签名并盖章的财务报表。</w:t>
      </w:r>
    </w:p>
    <w:p>
      <w:pPr>
        <w:pStyle w:val="Style28"/>
        <w:keepNext w:val="0"/>
        <w:keepLines w:val="0"/>
        <w:widowControl w:val="0"/>
        <w:numPr>
          <w:ilvl w:val="0"/>
          <w:numId w:val="75"/>
        </w:numPr>
        <w:shd w:val="clear" w:color="auto" w:fill="auto"/>
        <w:tabs>
          <w:tab w:pos="339" w:val="left"/>
        </w:tabs>
        <w:bidi w:val="0"/>
        <w:spacing w:before="0" w:after="240" w:line="240" w:lineRule="auto"/>
        <w:ind w:left="0" w:right="0" w:firstLine="0"/>
        <w:jc w:val="left"/>
      </w:pPr>
      <w:bookmarkStart w:id="1278" w:name="bookmark1278"/>
      <w:bookmarkEnd w:id="1278"/>
      <w:r>
        <w:rPr>
          <w:color w:val="000000"/>
          <w:spacing w:val="0"/>
          <w:w w:val="100"/>
          <w:position w:val="0"/>
        </w:rPr>
        <w:t>载有瑞华会计师事务所盖章、注册会计师杨春盛、梅月欣签名并盖章的审计报告原件。</w:t>
      </w:r>
    </w:p>
    <w:p>
      <w:pPr>
        <w:pStyle w:val="Style28"/>
        <w:keepNext w:val="0"/>
        <w:keepLines w:val="0"/>
        <w:widowControl w:val="0"/>
        <w:numPr>
          <w:ilvl w:val="0"/>
          <w:numId w:val="75"/>
        </w:numPr>
        <w:shd w:val="clear" w:color="auto" w:fill="auto"/>
        <w:tabs>
          <w:tab w:pos="339" w:val="left"/>
        </w:tabs>
        <w:bidi w:val="0"/>
        <w:spacing w:before="0" w:after="240" w:line="240" w:lineRule="auto"/>
        <w:ind w:left="0" w:right="0" w:firstLine="0"/>
        <w:jc w:val="left"/>
      </w:pPr>
      <w:bookmarkStart w:id="1279" w:name="bookmark1279"/>
      <w:bookmarkEnd w:id="1279"/>
      <w:r>
        <w:rPr>
          <w:color w:val="000000"/>
          <w:spacing w:val="0"/>
          <w:w w:val="100"/>
          <w:position w:val="0"/>
        </w:rPr>
        <w:t>载有公司董事长陈向军签名的公司</w:t>
      </w:r>
      <w:r>
        <w:rPr>
          <w:rFonts w:ascii="Times New Roman" w:eastAsia="Times New Roman" w:hAnsi="Times New Roman" w:cs="Times New Roman"/>
          <w:color w:val="000000"/>
          <w:spacing w:val="0"/>
          <w:w w:val="100"/>
          <w:position w:val="0"/>
        </w:rPr>
        <w:t>2013</w:t>
      </w:r>
      <w:r>
        <w:rPr>
          <w:color w:val="000000"/>
          <w:spacing w:val="0"/>
          <w:w w:val="100"/>
          <w:position w:val="0"/>
        </w:rPr>
        <w:t>年年度报告。</w:t>
      </w:r>
    </w:p>
    <w:p>
      <w:pPr>
        <w:pStyle w:val="Style28"/>
        <w:keepNext w:val="0"/>
        <w:keepLines w:val="0"/>
        <w:widowControl w:val="0"/>
        <w:numPr>
          <w:ilvl w:val="0"/>
          <w:numId w:val="75"/>
        </w:numPr>
        <w:shd w:val="clear" w:color="auto" w:fill="auto"/>
        <w:tabs>
          <w:tab w:pos="339" w:val="left"/>
        </w:tabs>
        <w:bidi w:val="0"/>
        <w:spacing w:before="0" w:after="240" w:line="240" w:lineRule="auto"/>
        <w:ind w:left="0" w:right="0" w:firstLine="0"/>
        <w:jc w:val="left"/>
      </w:pPr>
      <w:bookmarkStart w:id="1280" w:name="bookmark1280"/>
      <w:bookmarkEnd w:id="1280"/>
      <w:r>
        <w:rPr>
          <w:color w:val="000000"/>
          <w:spacing w:val="0"/>
          <w:w w:val="100"/>
          <w:position w:val="0"/>
        </w:rPr>
        <w:t>报告期内公司在中国证监会指定网站上公开披露过的所有文件的正本及公告的原件。</w:t>
      </w:r>
    </w:p>
    <w:p>
      <w:pPr>
        <w:pStyle w:val="Style28"/>
        <w:keepNext w:val="0"/>
        <w:keepLines w:val="0"/>
        <w:widowControl w:val="0"/>
        <w:numPr>
          <w:ilvl w:val="0"/>
          <w:numId w:val="75"/>
        </w:numPr>
        <w:shd w:val="clear" w:color="auto" w:fill="auto"/>
        <w:tabs>
          <w:tab w:pos="339" w:val="left"/>
        </w:tabs>
        <w:bidi w:val="0"/>
        <w:spacing w:before="0" w:after="240" w:line="240" w:lineRule="auto"/>
        <w:ind w:left="0" w:right="0" w:firstLine="0"/>
        <w:jc w:val="left"/>
      </w:pPr>
      <w:bookmarkStart w:id="1281" w:name="bookmark1281"/>
      <w:bookmarkEnd w:id="1281"/>
      <w:r>
        <w:rPr>
          <w:color w:val="000000"/>
          <w:spacing w:val="0"/>
          <w:w w:val="100"/>
          <w:position w:val="0"/>
        </w:rPr>
        <w:t>其他有关资料。</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以上备查文件的备置地点：深圳市福田区天安数码城天祥大厦</w:t>
      </w:r>
      <w:r>
        <w:rPr>
          <w:rFonts w:ascii="Times New Roman" w:eastAsia="Times New Roman" w:hAnsi="Times New Roman" w:cs="Times New Roman"/>
          <w:color w:val="000000"/>
          <w:spacing w:val="0"/>
          <w:w w:val="100"/>
          <w:position w:val="0"/>
        </w:rPr>
        <w:t>AB</w:t>
      </w:r>
      <w:r>
        <w:rPr>
          <w:color w:val="000000"/>
          <w:spacing w:val="0"/>
          <w:w w:val="100"/>
          <w:position w:val="0"/>
        </w:rPr>
        <w:t>座</w:t>
      </w:r>
      <w:r>
        <w:rPr>
          <w:rFonts w:ascii="Times New Roman" w:eastAsia="Times New Roman" w:hAnsi="Times New Roman" w:cs="Times New Roman"/>
          <w:color w:val="000000"/>
          <w:spacing w:val="0"/>
          <w:w w:val="100"/>
          <w:position w:val="0"/>
        </w:rPr>
        <w:t>10A</w:t>
      </w:r>
      <w:r>
        <w:rPr>
          <w:color w:val="000000"/>
          <w:spacing w:val="0"/>
          <w:w w:val="100"/>
          <w:position w:val="0"/>
        </w:rPr>
        <w:t>,</w:t>
      </w:r>
      <w:r>
        <w:rPr>
          <w:color w:val="000000"/>
          <w:spacing w:val="0"/>
          <w:w w:val="100"/>
          <w:position w:val="0"/>
        </w:rPr>
        <w:t>公司董事会办公室。</w:t>
      </w:r>
    </w:p>
    <w:sectPr>
      <w:footnotePr>
        <w:pos w:val="pageBottom"/>
        <w:numFmt w:val="decimal"/>
        <w:numRestart w:val="continuous"/>
      </w:footnotePr>
      <w:pgSz w:w="11900" w:h="16840"/>
      <w:pgMar w:top="1974" w:right="1659" w:bottom="1974" w:left="146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6758305</wp:posOffset>
              </wp:positionH>
              <wp:positionV relativeFrom="page">
                <wp:posOffset>9955530</wp:posOffset>
              </wp:positionV>
              <wp:extent cx="100330" cy="79375"/>
              <wp:wrapNone/>
              <wp:docPr id="10" name="Shape 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2.14999999999998pt;margin-top:783.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4272280</wp:posOffset>
              </wp:positionH>
              <wp:positionV relativeFrom="page">
                <wp:posOffset>478790</wp:posOffset>
              </wp:positionV>
              <wp:extent cx="2563495" cy="106680"/>
              <wp:wrapNone/>
              <wp:docPr id="2" name="Shape 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深圳市银之杰科技股份有限公司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40000000000003pt;margin-top:37.700000000000003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深圳市银之杰科技股份有限公司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4298315</wp:posOffset>
              </wp:positionH>
              <wp:positionV relativeFrom="page">
                <wp:posOffset>561340</wp:posOffset>
              </wp:positionV>
              <wp:extent cx="2563495" cy="106680"/>
              <wp:wrapNone/>
              <wp:docPr id="7" name="Shape 7"/>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深圳市银之杰科技股份有限公司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3" type="#_x0000_t202" style="position:absolute;margin-left:338.44999999999999pt;margin-top:44.200000000000003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深圳市银之杰科技股份有限公司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723265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95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5)_"/>
    <w:basedOn w:val="DefaultParagraphFont"/>
    <w:link w:val="Style6"/>
    <w:rPr>
      <w:rFonts w:ascii="SimHei" w:eastAsia="SimHei" w:hAnsi="SimHei" w:cs="SimHei"/>
      <w:b w:val="0"/>
      <w:bCs w:val="0"/>
      <w:i w:val="0"/>
      <w:iCs w:val="0"/>
      <w:smallCaps w:val="0"/>
      <w:strike w:val="0"/>
      <w:sz w:val="52"/>
      <w:szCs w:val="52"/>
      <w:u w:val="none"/>
      <w:shd w:val="clear" w:color="auto" w:fill="auto"/>
    </w:rPr>
  </w:style>
  <w:style w:type="character" w:customStyle="1" w:styleId="CharStyle9">
    <w:name w:val="正文文本 (4)_"/>
    <w:basedOn w:val="DefaultParagraphFont"/>
    <w:link w:val="Style8"/>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4">
    <w:name w:val="标题 #2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标题 #1_"/>
    <w:basedOn w:val="DefaultParagraphFont"/>
    <w:link w:val="Style18"/>
    <w:rPr>
      <w:rFonts w:ascii="SimSun" w:eastAsia="SimSun" w:hAnsi="SimSun" w:cs="SimSun"/>
      <w:b/>
      <w:bCs/>
      <w:i w:val="0"/>
      <w:iCs w:val="0"/>
      <w:smallCaps w:val="0"/>
      <w:strike w:val="0"/>
      <w:sz w:val="36"/>
      <w:szCs w:val="3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正文文本 (3)_"/>
    <w:basedOn w:val="DefaultParagraphFont"/>
    <w:link w:val="Style3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5)"/>
    <w:basedOn w:val="Normal"/>
    <w:link w:val="CharStyle7"/>
    <w:pPr>
      <w:widowControl w:val="0"/>
      <w:shd w:val="clear" w:color="auto" w:fill="auto"/>
      <w:spacing w:after="2020"/>
      <w:jc w:val="center"/>
    </w:pPr>
    <w:rPr>
      <w:rFonts w:ascii="SimHei" w:eastAsia="SimHei" w:hAnsi="SimHei" w:cs="SimHei"/>
      <w:b w:val="0"/>
      <w:bCs w:val="0"/>
      <w:i w:val="0"/>
      <w:iCs w:val="0"/>
      <w:smallCaps w:val="0"/>
      <w:strike w:val="0"/>
      <w:sz w:val="52"/>
      <w:szCs w:val="52"/>
      <w:u w:val="none"/>
      <w:shd w:val="clear" w:color="auto" w:fill="auto"/>
    </w:rPr>
  </w:style>
  <w:style w:type="paragraph" w:customStyle="1" w:styleId="Style8">
    <w:name w:val="正文文本 (4)"/>
    <w:basedOn w:val="Normal"/>
    <w:link w:val="CharStyle9"/>
    <w:pPr>
      <w:widowControl w:val="0"/>
      <w:shd w:val="clear" w:color="auto" w:fill="auto"/>
      <w:spacing w:after="910"/>
      <w:jc w:val="center"/>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13">
    <w:name w:val="标题 #2"/>
    <w:basedOn w:val="Normal"/>
    <w:link w:val="CharStyle14"/>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7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标题 #1"/>
    <w:basedOn w:val="Normal"/>
    <w:link w:val="CharStyle19"/>
    <w:pPr>
      <w:widowControl w:val="0"/>
      <w:shd w:val="clear" w:color="auto" w:fill="auto"/>
      <w:spacing w:before="1620" w:after="14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20">
    <w:name w:val="目录"/>
    <w:basedOn w:val="Normal"/>
    <w:link w:val="CharStyle21"/>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6">
    <w:name w:val="标题 #3"/>
    <w:basedOn w:val="Normal"/>
    <w:link w:val="CharStyle27"/>
    <w:pPr>
      <w:widowControl w:val="0"/>
      <w:shd w:val="clear" w:color="auto" w:fill="auto"/>
      <w:spacing w:after="300"/>
      <w:outlineLvl w:val="2"/>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line="48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4"/>
    <w:basedOn w:val="Normal"/>
    <w:link w:val="CharStyle34"/>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正文文本 (3)"/>
    <w:basedOn w:val="Normal"/>
    <w:link w:val="CharStyle37"/>
    <w:pPr>
      <w:widowControl w:val="0"/>
      <w:shd w:val="clear" w:color="auto" w:fill="auto"/>
      <w:spacing w:line="468" w:lineRule="exact"/>
      <w:ind w:firstLine="4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Microsoft Word - 2013年年度报告.doc</dc:title>
  <dc:subject/>
  <dc:creator>Administrator</dc:creator>
  <cp:keywords/>
</cp:coreProperties>
</file>